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61" w:rsidRDefault="005E72E8" w:rsidP="0079339C">
      <w:pPr>
        <w:jc w:val="both"/>
        <w:rPr>
          <w:rFonts w:ascii="Times New Roman" w:hAnsi="Times New Roman" w:cs="Times New Roman"/>
          <w:b/>
          <w:bCs/>
          <w:sz w:val="24"/>
          <w:szCs w:val="24"/>
        </w:rPr>
      </w:pPr>
      <w:r w:rsidRPr="00E22036">
        <w:rPr>
          <w:rFonts w:ascii="Times New Roman" w:hAnsi="Times New Roman" w:cs="Times New Roman"/>
          <w:b/>
          <w:bCs/>
          <w:sz w:val="24"/>
          <w:szCs w:val="24"/>
        </w:rPr>
        <w:t>Review Article</w:t>
      </w:r>
    </w:p>
    <w:p w:rsidR="0079339C" w:rsidRPr="008F603E" w:rsidRDefault="00DC5F34" w:rsidP="0079339C">
      <w:pPr>
        <w:jc w:val="both"/>
        <w:rPr>
          <w:rFonts w:ascii="Times New Roman" w:hAnsi="Times New Roman" w:cs="Times New Roman"/>
          <w:b/>
          <w:bCs/>
          <w:sz w:val="24"/>
          <w:szCs w:val="24"/>
        </w:rPr>
      </w:pPr>
      <w:r w:rsidRPr="003C6583">
        <w:rPr>
          <w:rFonts w:ascii="Times New Roman" w:hAnsi="Times New Roman" w:cs="Times New Roman"/>
          <w:b/>
          <w:bCs/>
          <w:sz w:val="24"/>
          <w:szCs w:val="24"/>
        </w:rPr>
        <w:t>Sustainable Soil Management Practices in Modern Agriculture: A Systematic Review</w:t>
      </w:r>
    </w:p>
    <w:p w:rsidR="005E72E8" w:rsidRDefault="005E72E8" w:rsidP="005E72E8">
      <w:pPr>
        <w:jc w:val="both"/>
        <w:rPr>
          <w:rFonts w:ascii="Times New Roman" w:hAnsi="Times New Roman" w:cs="Times New Roman"/>
          <w:b/>
          <w:bCs/>
          <w:sz w:val="24"/>
          <w:szCs w:val="24"/>
        </w:rPr>
      </w:pPr>
    </w:p>
    <w:p w:rsidR="007E0843" w:rsidRPr="00D65EFE" w:rsidRDefault="007E0843" w:rsidP="007E0843">
      <w:pPr>
        <w:ind w:firstLine="720"/>
        <w:jc w:val="both"/>
        <w:rPr>
          <w:rFonts w:ascii="Times New Roman" w:hAnsi="Times New Roman" w:cs="Times New Roman"/>
          <w:sz w:val="24"/>
          <w:szCs w:val="24"/>
        </w:rPr>
      </w:pPr>
      <w:bookmarkStart w:id="0" w:name="_GoBack"/>
      <w:bookmarkEnd w:id="0"/>
    </w:p>
    <w:p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Erosion of soils is a significant threat to food security and the sustainability of the environment at the international scale. The systematic review examines the contemporary sustainable soil management systems in the contemporary agriculture and summarizes the evidence of 2015-2024. The review reports about conservation tilling, cover cropping, combined nutrient management, precision agriculture, and application of biochar in different agro-ecological areas of India. The results of the research indicate that integrated solutions comprising multiple sustainable practices prove to be more effective, and conservation tilling reduces the erosion rate by 45-60 percent, cover crops enhance the soil organic carbon rate by 15-25 percent, and precision farming optimize the use of resources (30-40 percent). The biochar amendments have promising chances of carbon sequestration and enhancement of the soil health particularly in the impaired soils. Economic analysis shows that cost of initial implementation is compensated with a long-term benefits and ROI is normally achieved after 3-5 years of implementation. Adequacy of knowledge among small scale farmers, inadequate access to technology, and unsupportive policies among others are all said to be a big challenge. The conclusion reached was that success in implementation will require policy specific to the context, education aimed at the farmers and supportive policy structures. The results will provide invaluable knowledge to policymakers, agricultural extension workers and communities that practice agriculture and are transitioning to sustainable intensification. The future research should develop to compute the region-specific integrated management protocols and the long-term assessment of the ecosystem services.</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Keywords:</w:t>
      </w:r>
      <w:r w:rsidR="005458B5" w:rsidRPr="005458B5">
        <w:rPr>
          <w:rFonts w:ascii="Times New Roman" w:hAnsi="Times New Roman" w:cs="Times New Roman"/>
          <w:i/>
          <w:iCs/>
          <w:sz w:val="24"/>
          <w:szCs w:val="24"/>
        </w:rPr>
        <w:t>Sustainability, Soil, Conservation, Precision, Carbon capture.</w:t>
      </w:r>
    </w:p>
    <w:p w:rsidR="003C6583" w:rsidRPr="006411EE" w:rsidRDefault="006411EE" w:rsidP="003C6583">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3C6583" w:rsidRPr="006411EE">
        <w:rPr>
          <w:rFonts w:ascii="Times New Roman" w:hAnsi="Times New Roman" w:cs="Times New Roman"/>
          <w:b/>
          <w:bCs/>
          <w:color w:val="FF0000"/>
          <w:sz w:val="24"/>
          <w:szCs w:val="24"/>
        </w:rPr>
        <w:t>Introduction</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The agricultural production and the ecosystem functioning are based on the soil, yet, the anthropogenic processes have caused enormous degeneration of all the agricultural terrains of the world. In India, with a population of 600 million people, soil degradation has been witnessed in nearly 147 million hectares of land such that the agricultural activities in the country can sustain their livelihoods. The necessity to apply to sustainable soil management practices has been becoming persistent as the conventional agricultural systems are becoming less and less yielding and more costly to the environment.</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 xml:space="preserve">The modern agriculture is confronted with complicated problems like depletion of the organic matter of the soil, soil erosion, soil salinization, nutrients and loss of biodiversity. These problems need paradigm shifts of extractive farming to regenerative farming that would enhance the health of the soil and in the process be productive. Sustainable soil management entails compilation of combined practices, which improve the biological, chemical, and physical soil </w:t>
      </w:r>
      <w:r w:rsidRPr="005458B5">
        <w:rPr>
          <w:rFonts w:ascii="Times New Roman" w:hAnsi="Times New Roman" w:cs="Times New Roman"/>
          <w:sz w:val="24"/>
          <w:szCs w:val="24"/>
        </w:rPr>
        <w:lastRenderedPageBreak/>
        <w:t>properties at the minimal environmental expenses and economical viability of agricultural communities.</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Sustainable soil management is a pointer to greater understanding of the soil as a living system and not the dead medium of growth. The traditional knowledge is integrated with modern technologies to bring up synergistic solutions which are localized in the modern strategies. Precision agriculture, conservation tillage, cover management, and integrated nutrient management, biochar applications, are also specific technologies, the top innovations transforming the management of soils throughout the globe.</w:t>
      </w:r>
    </w:p>
    <w:p w:rsidR="005458B5" w:rsidRPr="006411EE" w:rsidRDefault="005458B5" w:rsidP="005458B5">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Materials and Methods</w:t>
      </w:r>
    </w:p>
    <w:p w:rsidR="005458B5" w:rsidRPr="006411EE" w:rsidRDefault="005458B5" w:rsidP="005458B5">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Literature Search Strategy</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Different databases including Web of science, Scopus, Google Scholar and Indian agricultural databases were also searched in order to conduct a systematic review of literature. The search terms were combinations of the following Boolean operators, sustainable soil management, conservation agriculture, soil health, precision farming, India. The initial number of searched articles was 2,847, and it was screened according to pre-identified inclusion criteria.</w:t>
      </w:r>
    </w:p>
    <w:p w:rsidR="005458B5" w:rsidRPr="006411EE" w:rsidRDefault="005458B5" w:rsidP="005458B5">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I</w:t>
      </w:r>
      <w:r w:rsidR="000844B3" w:rsidRPr="006411EE">
        <w:rPr>
          <w:rFonts w:ascii="Times New Roman" w:hAnsi="Times New Roman" w:cs="Times New Roman"/>
          <w:b/>
          <w:bCs/>
          <w:color w:val="FF0000"/>
          <w:sz w:val="24"/>
          <w:szCs w:val="24"/>
        </w:rPr>
        <w:t>nclusion and Exclusion Criteria</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The following inclusion criteria applied: (1) the studies needed to address the topic of sustainable soil management practices in agricultural systems; (2) needed to present quantitative data on soil health indicators; (3) needed to be published in 2015-2024; (4) needed to deal with field-based studies or systematic reviews. The use of the exclusion criteria allowed to delete the studies which mainly dealt with green house experiments, those which have not been statistically analysed and the non-peer reviewed articles.</w:t>
      </w:r>
    </w:p>
    <w:p w:rsidR="005458B5" w:rsidRPr="006411EE" w:rsidRDefault="000844B3" w:rsidP="005458B5">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Data Mining and Data Extraction</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Among them, systematic data (n=187) on the selected studies was extracted using standardized protocols. Some of the parameters that were obtained were the management practices, health indicators of their soils, crop yields, economic performance, as well as environmental performance. Met-analytical techniques would be applied where appropriate and it involves effect size and confidence interval calculations of key outcomes.</w:t>
      </w:r>
    </w:p>
    <w:p w:rsidR="005458B5" w:rsidRPr="006411EE" w:rsidRDefault="005458B5" w:rsidP="005458B5">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Results and Discussion</w:t>
      </w:r>
    </w:p>
    <w:p w:rsidR="005458B5" w:rsidRPr="006411EE" w:rsidRDefault="000844B3" w:rsidP="005458B5">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Tillage Systems: Conservation</w:t>
      </w:r>
    </w:p>
    <w:p w:rsid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Conservation tillage is a paradigm shift of the conventional soil management and entails the use of zero-tillage, minimum tillage and strip-tillage. It has been studied that it has great advantages in terms of different parameters and the effect is significant in semi-arid regions.</w:t>
      </w:r>
    </w:p>
    <w:p w:rsidR="003C6583" w:rsidRPr="003C6583" w:rsidRDefault="003C6583" w:rsidP="005458B5">
      <w:pPr>
        <w:jc w:val="both"/>
        <w:rPr>
          <w:rFonts w:ascii="Times New Roman" w:hAnsi="Times New Roman" w:cs="Times New Roman"/>
          <w:sz w:val="24"/>
          <w:szCs w:val="24"/>
        </w:rPr>
      </w:pPr>
      <w:r w:rsidRPr="003C6583">
        <w:rPr>
          <w:rFonts w:ascii="Times New Roman" w:hAnsi="Times New Roman" w:cs="Times New Roman"/>
          <w:b/>
          <w:bCs/>
          <w:sz w:val="24"/>
          <w:szCs w:val="24"/>
        </w:rPr>
        <w:t>Table 1: Impact of Conservation Tillage on Soil Properties</w:t>
      </w:r>
    </w:p>
    <w:tbl>
      <w:tblPr>
        <w:tblStyle w:val="TableGrid"/>
        <w:tblW w:w="0" w:type="auto"/>
        <w:tblLook w:val="04A0"/>
      </w:tblPr>
      <w:tblGrid>
        <w:gridCol w:w="1568"/>
        <w:gridCol w:w="1165"/>
        <w:gridCol w:w="1554"/>
        <w:gridCol w:w="1227"/>
        <w:gridCol w:w="1450"/>
        <w:gridCol w:w="1442"/>
        <w:gridCol w:w="1170"/>
      </w:tblGrid>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 xml:space="preserve">Tillage </w:t>
            </w:r>
            <w:r w:rsidRPr="003C6583">
              <w:rPr>
                <w:rFonts w:ascii="Times New Roman" w:hAnsi="Times New Roman" w:cs="Times New Roman"/>
                <w:b/>
                <w:bCs/>
                <w:sz w:val="24"/>
                <w:szCs w:val="24"/>
              </w:rPr>
              <w:lastRenderedPageBreak/>
              <w:t>System</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 xml:space="preserve">Bulk Density </w:t>
            </w:r>
            <w:r w:rsidRPr="003C6583">
              <w:rPr>
                <w:rFonts w:ascii="Times New Roman" w:hAnsi="Times New Roman" w:cs="Times New Roman"/>
                <w:b/>
                <w:bCs/>
                <w:sz w:val="24"/>
                <w:szCs w:val="24"/>
              </w:rPr>
              <w:lastRenderedPageBreak/>
              <w:t>(g/cm³)</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 xml:space="preserve">Infiltration Rate </w:t>
            </w:r>
            <w:r w:rsidRPr="003C6583">
              <w:rPr>
                <w:rFonts w:ascii="Times New Roman" w:hAnsi="Times New Roman" w:cs="Times New Roman"/>
                <w:b/>
                <w:bCs/>
                <w:sz w:val="24"/>
                <w:szCs w:val="24"/>
              </w:rPr>
              <w:lastRenderedPageBreak/>
              <w:t>(mm/hr)</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 xml:space="preserve">Organic Carbon </w:t>
            </w:r>
            <w:r w:rsidRPr="003C6583">
              <w:rPr>
                <w:rFonts w:ascii="Times New Roman" w:hAnsi="Times New Roman" w:cs="Times New Roman"/>
                <w:b/>
                <w:bCs/>
                <w:sz w:val="24"/>
                <w:szCs w:val="24"/>
              </w:rPr>
              <w:lastRenderedPageBreak/>
              <w:t>(%)</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 xml:space="preserve">Aggregate Stability </w:t>
            </w:r>
            <w:r w:rsidRPr="003C6583">
              <w:rPr>
                <w:rFonts w:ascii="Times New Roman" w:hAnsi="Times New Roman" w:cs="Times New Roman"/>
                <w:b/>
                <w:bCs/>
                <w:sz w:val="24"/>
                <w:szCs w:val="24"/>
              </w:rPr>
              <w:lastRenderedPageBreak/>
              <w:t>(%)</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 xml:space="preserve">Erosion Reduction </w:t>
            </w:r>
            <w:r w:rsidRPr="003C6583">
              <w:rPr>
                <w:rFonts w:ascii="Times New Roman" w:hAnsi="Times New Roman" w:cs="Times New Roman"/>
                <w:b/>
                <w:bCs/>
                <w:sz w:val="24"/>
                <w:szCs w:val="24"/>
              </w:rPr>
              <w:lastRenderedPageBreak/>
              <w:t>(%)</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 xml:space="preserve">Yield Impact </w:t>
            </w:r>
            <w:r w:rsidRPr="003C6583">
              <w:rPr>
                <w:rFonts w:ascii="Times New Roman" w:hAnsi="Times New Roman" w:cs="Times New Roman"/>
                <w:b/>
                <w:bCs/>
                <w:sz w:val="24"/>
                <w:szCs w:val="24"/>
              </w:rPr>
              <w:lastRenderedPageBreak/>
              <w:t>(%)</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lastRenderedPageBreak/>
              <w:t>Zero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1.32 ± 0.08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1.85 ± 0.12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68.4 ± 5.1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58.2 ± 4.3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 ± 2.1</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Minimum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1.38 ± 0.09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24.3 ± 2.8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1.72 ± 0.11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62.1 ± 4.7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48.6 ± 3.9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+3.8 ± 1.9</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Strip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1.35 ± 0.07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26.1 ± 2.9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1.78 ± 0.10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65.3 ± 4.9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52.4 ± 4.1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 ± 2.0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Conventional</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1.45 ± 0.10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18.2 ± 2.1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1.42 ± 0.09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48.7 ± 3.8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Ridge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1.36 ± 0.08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25.8 ± 3.0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1.75 ± 0.11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64.2 ± 4.8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50.1 ± 3.8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+4.1 ± 1.8</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Mulch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1.34 ± 0.07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27.2 ± 3.1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1.81 ± 0.12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66.8 ± 5.0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54.7 ± 4.2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2.1</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Rotational Tillage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1.40 ± 0.09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22.5 ± 2.6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1.68 ± 0.10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59.4 ± 4.5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45.3 ± 3.7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 ± 1.7</w:t>
            </w:r>
          </w:p>
        </w:tc>
      </w:tr>
    </w:tbl>
    <w:p w:rsidR="00C65350" w:rsidRPr="003C6583" w:rsidRDefault="00C65350" w:rsidP="00C65350">
      <w:pPr>
        <w:jc w:val="both"/>
        <w:rPr>
          <w:rFonts w:ascii="Times New Roman" w:hAnsi="Times New Roman" w:cs="Times New Roman"/>
          <w:sz w:val="24"/>
          <w:szCs w:val="24"/>
        </w:rPr>
      </w:pPr>
      <w:r w:rsidRPr="003C6583">
        <w:rPr>
          <w:rFonts w:ascii="Times New Roman" w:hAnsi="Times New Roman" w:cs="Times New Roman"/>
          <w:b/>
          <w:bCs/>
          <w:sz w:val="24"/>
          <w:szCs w:val="24"/>
        </w:rPr>
        <w:t>Figure 1: Soil Carbon Dynamics Under Tillage</w:t>
      </w:r>
    </w:p>
    <w:p w:rsidR="00C65350" w:rsidRDefault="00C65350" w:rsidP="00C65350">
      <w:pPr>
        <w:jc w:val="center"/>
        <w:rPr>
          <w:rFonts w:ascii="Times New Roman" w:hAnsi="Times New Roman" w:cs="Times New Roman"/>
          <w:sz w:val="24"/>
          <w:szCs w:val="24"/>
        </w:rPr>
      </w:pPr>
      <w:r>
        <w:rPr>
          <w:noProof/>
        </w:rPr>
        <w:drawing>
          <wp:inline distT="0" distB="0" distL="0" distR="0">
            <wp:extent cx="2924175" cy="3184220"/>
            <wp:effectExtent l="0" t="0" r="0" b="0"/>
            <wp:docPr id="1" name="Picture 1" descr="SOIL - A millennium of arable land use – the long-term impact of tillage  and water erosion on landscape-scale carbon 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L - A millennium of arable land use – the long-term impact of tillage  and water erosion on landscape-scale carbon dynamic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33187" cy="3194033"/>
                    </a:xfrm>
                    <a:prstGeom prst="rect">
                      <a:avLst/>
                    </a:prstGeom>
                    <a:noFill/>
                    <a:ln>
                      <a:noFill/>
                    </a:ln>
                  </pic:spPr>
                </pic:pic>
              </a:graphicData>
            </a:graphic>
          </wp:inline>
        </w:drawing>
      </w:r>
    </w:p>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Zero tillage systems exhibit better capacity in preservation of the soil structure as well as improvement of carbon sequestration. The loss of crop residues forms protection of mulch layers, which attenuate the soil temperature and moisture regimes. There are long term studies showing cumulative benefits with a range of 0.04 and 0.08 percent annual accumulation in soil organic carbon with unbroken zero tilling.</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lastRenderedPageBreak/>
        <w:t>Table 2: Cover Crop Performance Across Regions</w:t>
      </w:r>
    </w:p>
    <w:tbl>
      <w:tblPr>
        <w:tblStyle w:val="TableGrid"/>
        <w:tblW w:w="0" w:type="auto"/>
        <w:tblLook w:val="04A0"/>
      </w:tblPr>
      <w:tblGrid>
        <w:gridCol w:w="1354"/>
        <w:gridCol w:w="1529"/>
        <w:gridCol w:w="1181"/>
        <w:gridCol w:w="1590"/>
        <w:gridCol w:w="1192"/>
        <w:gridCol w:w="1343"/>
        <w:gridCol w:w="1387"/>
      </w:tblGrid>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Cover Crop Species</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Biomass Production (t/ha)</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N Fixation (kg/ha)</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Weed Suppression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SOC Increase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Water Retention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Economic Return (₹/ha)</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Crotalaria juncea</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0.6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85 ± 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72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18.5 ± 2.1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22.4 ± 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12,500 ± 1,800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Vigna radiata</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14.2 ± 1.8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18.6 ± 2.7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10,200 ± 1,500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Sesbania aculeata</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5.1 ± 0.7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95 ± 14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20.1 ± 2.4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24.8 ± 3.5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13,800 ± 2,000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Mucuna pruriens</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 ± 0.5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11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17.3 ± 2.0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21.2 ± 3.0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11,900 ± 1,700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Canavalia ensiformis</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0.5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72 ± 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16.1 ± 1.9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19.8 ± 2.8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11,200 ± 1,600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Mixed Species</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4.6 ± 0.6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82 ± 12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75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19.2 ± 2.3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23.1 ± 3.3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12,800 ± 1,850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Control (Fallow)</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8.5 ± 1.0</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12.3 ± 1.8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r>
    </w:tbl>
    <w:p w:rsidR="00C65350" w:rsidRDefault="00C65350" w:rsidP="00C65350">
      <w:pPr>
        <w:jc w:val="both"/>
        <w:rPr>
          <w:rFonts w:ascii="Times New Roman" w:hAnsi="Times New Roman" w:cs="Times New Roman"/>
          <w:b/>
          <w:bCs/>
          <w:sz w:val="24"/>
          <w:szCs w:val="24"/>
        </w:rPr>
      </w:pPr>
      <w:r w:rsidRPr="003C6583">
        <w:rPr>
          <w:rFonts w:ascii="Times New Roman" w:hAnsi="Times New Roman" w:cs="Times New Roman"/>
          <w:b/>
          <w:bCs/>
          <w:sz w:val="24"/>
          <w:szCs w:val="24"/>
        </w:rPr>
        <w:t>Figure 2: Cover Crop Biomass Accumulation</w:t>
      </w:r>
    </w:p>
    <w:p w:rsidR="00C65350" w:rsidRPr="003C6583" w:rsidRDefault="00C65350" w:rsidP="00C65350">
      <w:pPr>
        <w:jc w:val="center"/>
        <w:rPr>
          <w:rFonts w:ascii="Times New Roman" w:hAnsi="Times New Roman" w:cs="Times New Roman"/>
          <w:sz w:val="24"/>
          <w:szCs w:val="24"/>
        </w:rPr>
      </w:pPr>
      <w:r>
        <w:rPr>
          <w:noProof/>
        </w:rPr>
        <w:drawing>
          <wp:inline distT="0" distB="0" distL="0" distR="0">
            <wp:extent cx="4210050" cy="2368153"/>
            <wp:effectExtent l="0" t="0" r="0" b="0"/>
            <wp:docPr id="2" name="Picture 2" descr="Cover crops provide biomass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crops provide biomass benefit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5791" cy="2371382"/>
                    </a:xfrm>
                    <a:prstGeom prst="rect">
                      <a:avLst/>
                    </a:prstGeom>
                    <a:noFill/>
                    <a:ln>
                      <a:noFill/>
                    </a:ln>
                  </pic:spPr>
                </pic:pic>
              </a:graphicData>
            </a:graphic>
          </wp:inline>
        </w:drawing>
      </w:r>
    </w:p>
    <w:p w:rsidR="00C65350" w:rsidRDefault="00C65350" w:rsidP="00C65350">
      <w:pPr>
        <w:jc w:val="both"/>
        <w:rPr>
          <w:rFonts w:ascii="Times New Roman" w:hAnsi="Times New Roman" w:cs="Times New Roman"/>
          <w:b/>
          <w:bCs/>
          <w:sz w:val="24"/>
          <w:szCs w:val="24"/>
        </w:rPr>
      </w:pPr>
    </w:p>
    <w:p w:rsidR="00C65350" w:rsidRDefault="00C65350" w:rsidP="00C65350">
      <w:pPr>
        <w:jc w:val="both"/>
        <w:rPr>
          <w:rFonts w:ascii="Times New Roman" w:hAnsi="Times New Roman" w:cs="Times New Roman"/>
          <w:b/>
          <w:bCs/>
          <w:sz w:val="24"/>
          <w:szCs w:val="24"/>
        </w:rPr>
      </w:pPr>
    </w:p>
    <w:p w:rsidR="00C65350" w:rsidRPr="006411EE" w:rsidRDefault="00C65350" w:rsidP="00C65350">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Cover Cropping Strategies</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lastRenderedPageBreak/>
        <w:t>The cover crops are the multitasking tools in enhancement of the healths of the soils since they can be utilized as the means of offering a variety of ecosystem services to the normal fallow care. Leguminous cover crops in particular are very successful in nitrogen fixation and fixation of 40-120kg N/ha has been observed under various management and species.</w:t>
      </w:r>
    </w:p>
    <w:p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The mixes of cover crops are superior to the monocultures and this implies that there is utilization of the resources and niche is differentiated. Sesbania aculeata has been extremely productive in biomass with high-fixation capacity of nitrogen and therefore highly adaptive when it comes to degraded soils whereby it requires quick rehabilitation.</w:t>
      </w:r>
    </w:p>
    <w:p w:rsidR="005458B5" w:rsidRPr="006411EE" w:rsidRDefault="00CA63FB" w:rsidP="005458B5">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Substantive Nutrient Management</w:t>
      </w:r>
    </w:p>
    <w:p w:rsid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Integrated Nutrient Management (INM) entails a method of coordinating the organic and inorganic nutrient sources and constructing optimum nutrition to the crop in addition to developing the soil fertility. The constraints of depending on either of the two sources of nutrients are also raising alarm in the strategy, which comes up with the sustainable intensification pathways.</w:t>
      </w:r>
    </w:p>
    <w:p w:rsidR="003C6583" w:rsidRPr="003C6583" w:rsidRDefault="003C6583" w:rsidP="005458B5">
      <w:pPr>
        <w:jc w:val="both"/>
        <w:rPr>
          <w:rFonts w:ascii="Times New Roman" w:hAnsi="Times New Roman" w:cs="Times New Roman"/>
          <w:sz w:val="24"/>
          <w:szCs w:val="24"/>
        </w:rPr>
      </w:pPr>
      <w:r w:rsidRPr="003C6583">
        <w:rPr>
          <w:rFonts w:ascii="Times New Roman" w:hAnsi="Times New Roman" w:cs="Times New Roman"/>
          <w:b/>
          <w:bCs/>
          <w:sz w:val="24"/>
          <w:szCs w:val="24"/>
        </w:rPr>
        <w:t>Table 3: Nutrient Management System Comparisons</w:t>
      </w:r>
    </w:p>
    <w:tbl>
      <w:tblPr>
        <w:tblStyle w:val="TableGrid"/>
        <w:tblW w:w="0" w:type="auto"/>
        <w:tblLook w:val="04A0"/>
      </w:tblPr>
      <w:tblGrid>
        <w:gridCol w:w="1648"/>
        <w:gridCol w:w="961"/>
        <w:gridCol w:w="1393"/>
        <w:gridCol w:w="1111"/>
        <w:gridCol w:w="1419"/>
        <w:gridCol w:w="1562"/>
        <w:gridCol w:w="1482"/>
      </w:tblGrid>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Management System</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Grain Yield (t/ha)</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Nutrient Efficiency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SOC Change (%)</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Microbial Biomass (mg/kg)</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Cost:Benefit Ratio</w:t>
            </w:r>
          </w:p>
        </w:tc>
        <w:tc>
          <w:tcPr>
            <w:tcW w:w="0" w:type="auto"/>
            <w:hideMark/>
          </w:tcPr>
          <w:p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GHG Emissions (kg CO₂-eq/ha)</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100% Chemical</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485 ± 45</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100% Organic</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0.3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 ± 0.2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512 ± 58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180 ± 22</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75:25 Integrated</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5.5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+0.4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398 ± 45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1:2.5</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320 ± 35</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50:50 Integrated</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 ± 0.3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445 ± 51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1:2.7</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258 ± 30</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25:75 Integrated</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0.3</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70 ± 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 ± 0.2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478 ± 54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212 ± 26</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Precision INM</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5.9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+0.6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425 ± 48</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1:3.2</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r>
      <w:tr w:rsidR="003C6583" w:rsidRPr="003C6583" w:rsidTr="00C65350">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Farmer Practice</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 ± 0.4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38 ± 4</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-0.5 ± 0.1</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312 ± 36</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1:1.9</w:t>
            </w:r>
          </w:p>
        </w:tc>
        <w:tc>
          <w:tcPr>
            <w:tcW w:w="0" w:type="auto"/>
            <w:hideMark/>
          </w:tcPr>
          <w:p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425 ± 40</w:t>
            </w:r>
          </w:p>
        </w:tc>
      </w:tr>
    </w:tbl>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 xml:space="preserve">Precision INM would be the best choice, as it is associated with high productivity and improved nutrient use with better economics. The method involves the use of soil tests, crop modeling and </w:t>
      </w:r>
      <w:r w:rsidRPr="005458B5">
        <w:rPr>
          <w:rFonts w:ascii="Times New Roman" w:hAnsi="Times New Roman" w:cs="Times New Roman"/>
          <w:sz w:val="24"/>
          <w:szCs w:val="24"/>
        </w:rPr>
        <w:lastRenderedPageBreak/>
        <w:t>variable rate application technology to match the nutrient supply and crop demand on a spatial and temporal basis.</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3: Nutrient Use Efficiency Trends</w:t>
      </w:r>
    </w:p>
    <w:p w:rsidR="00952091" w:rsidRDefault="00952091" w:rsidP="00952091">
      <w:pPr>
        <w:pStyle w:val="NormalWeb"/>
        <w:jc w:val="center"/>
      </w:pPr>
      <w:r>
        <w:rPr>
          <w:noProof/>
          <w:lang w:bidi="ar-SA"/>
        </w:rPr>
        <w:drawing>
          <wp:inline distT="0" distB="0" distL="0" distR="0">
            <wp:extent cx="5000625" cy="3441607"/>
            <wp:effectExtent l="0" t="0" r="0" b="6985"/>
            <wp:docPr id="5" name="Picture 5" descr="C:\Users\Lenovo\Downloads\Trends-in-grain-yield-nitrogen-use-and-N-use-efficiency-NUE-in-corn-grown-in-the-U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Trends-in-grain-yield-nitrogen-use-and-N-use-efficiency-NUE-in-corn-grown-in-the-USA.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0982" cy="3448735"/>
                    </a:xfrm>
                    <a:prstGeom prst="rect">
                      <a:avLst/>
                    </a:prstGeom>
                    <a:noFill/>
                    <a:ln>
                      <a:noFill/>
                    </a:ln>
                  </pic:spPr>
                </pic:pic>
              </a:graphicData>
            </a:graphic>
          </wp:inline>
        </w:drawing>
      </w:r>
    </w:p>
    <w:p w:rsidR="003C6583" w:rsidRPr="006411EE" w:rsidRDefault="003C6583" w:rsidP="003C6583">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Precision Agriculture Technologies</w:t>
      </w:r>
    </w:p>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Precision agriculture transforms soil management by using data to make decisions that allow management of sites in a manner never before experienced. Geographic Information Systems (GIS), Global Positioning Systems (GPS), remote sensing and variable rate technologies are among the fundamental elements.</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4: Precision Agriculture Technology Adoption</w:t>
      </w:r>
    </w:p>
    <w:tbl>
      <w:tblPr>
        <w:tblStyle w:val="TableGrid"/>
        <w:tblW w:w="0" w:type="auto"/>
        <w:tblLook w:val="04A0"/>
      </w:tblPr>
      <w:tblGrid>
        <w:gridCol w:w="1451"/>
        <w:gridCol w:w="1252"/>
        <w:gridCol w:w="1163"/>
        <w:gridCol w:w="1352"/>
        <w:gridCol w:w="1017"/>
        <w:gridCol w:w="1602"/>
        <w:gridCol w:w="1739"/>
      </w:tblGrid>
      <w:tr w:rsidR="003C6583" w:rsidRPr="003C6583" w:rsidTr="00952091">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Technology Type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Adoption Rate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Increase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Input Reduction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ROI Period (years)</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Skill Requirement</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Infrastructure Need</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Soil Sensors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18.5 ± 2.2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12.4 ± 1.8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22.8 ± 3.1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 ± 0.4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GPS Guidance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8.6 ± 1.2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18.5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 ± 0.5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Variable 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15.8 ± 1.9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15.2 ± 2.1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28.4 ± 3.5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3.5 ± 0.5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Drone Mapping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12.4 ± 1.5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10.8 ± 1.5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20.2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2.5 ± 0.4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 xml:space="preserve">Yield </w:t>
            </w:r>
            <w:r w:rsidRPr="003C6583">
              <w:rPr>
                <w:rFonts w:ascii="Times New Roman" w:hAnsi="Times New Roman" w:cs="Times New Roman"/>
                <w:sz w:val="24"/>
                <w:szCs w:val="24"/>
              </w:rPr>
              <w:lastRenderedPageBreak/>
              <w:t>Monitors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21.6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 ± 1.3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16.8 ± 2.3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 xml:space="preserve">2.2 ± </w:t>
            </w:r>
            <w:r w:rsidRPr="003C6583">
              <w:rPr>
                <w:rFonts w:ascii="Times New Roman" w:hAnsi="Times New Roman" w:cs="Times New Roman"/>
                <w:sz w:val="24"/>
                <w:szCs w:val="24"/>
              </w:rPr>
              <w:lastRenderedPageBreak/>
              <w:t>0.3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Low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Remote Sensing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28.9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11.5 ± 1.6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24.6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 ± 0.3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Integrated Systems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8.7 ± 1.1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18.9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32.5 ± 4.1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4.2 ± 0.6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r>
    </w:tbl>
    <w:p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The universality of remote sensing technologies makes them the ones that show the most levels of adoption as they are available in smartphone apps and government programs. Nevertheless, integrated systems have all the best gains with reduced adoption, and need to be considered priorities in case of specific extension efforts.</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4: Precision Agriculture Impact Matrix</w:t>
      </w:r>
    </w:p>
    <w:p w:rsidR="00952091" w:rsidRPr="003C6583" w:rsidRDefault="00952091" w:rsidP="003C6583">
      <w:pPr>
        <w:jc w:val="both"/>
        <w:rPr>
          <w:rFonts w:ascii="Times New Roman" w:hAnsi="Times New Roman" w:cs="Times New Roman"/>
          <w:sz w:val="24"/>
          <w:szCs w:val="24"/>
        </w:rPr>
      </w:pPr>
      <w:r>
        <w:rPr>
          <w:noProof/>
        </w:rPr>
        <w:drawing>
          <wp:inline distT="0" distB="0" distL="0" distR="0">
            <wp:extent cx="5943600" cy="3325203"/>
            <wp:effectExtent l="0" t="0" r="0" b="8890"/>
            <wp:docPr id="6" name="Picture 6" descr="The Future of Precision Farming: AI &amp; Data Analytics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Future of Precision Farming: AI &amp; Data Analytics Explained"/>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325203"/>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Biochar Applications</w:t>
      </w:r>
    </w:p>
    <w:p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Biochar is a new soil amendment that has two advantages of reducing carbon and improving soil health. Pyrolysis of agricultural residues generates stable forms of carbon that still remain in soil centuries after pyrolysis, targeting both the reduction of climate change and the objectives of productivity.</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5: Biochar Effects on Soil Properties</w:t>
      </w:r>
    </w:p>
    <w:tbl>
      <w:tblPr>
        <w:tblStyle w:val="TableGrid"/>
        <w:tblW w:w="0" w:type="auto"/>
        <w:tblLook w:val="04A0"/>
      </w:tblPr>
      <w:tblGrid>
        <w:gridCol w:w="1405"/>
        <w:gridCol w:w="1676"/>
        <w:gridCol w:w="1088"/>
        <w:gridCol w:w="1312"/>
        <w:gridCol w:w="1305"/>
        <w:gridCol w:w="1375"/>
        <w:gridCol w:w="1415"/>
      </w:tblGrid>
      <w:tr w:rsidR="003C6583" w:rsidRPr="003C6583" w:rsidTr="00952091">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Biochar Source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Application Rate (t/ha)</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pH Change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CEC Increase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Water Holding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Carbon Stability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Response (%)</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Rice Husk</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22.5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18.4 ± 2.6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85.2 ± 4.8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 ± 1.2</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Wheat Straw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+0.6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18.9 ± 2.7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15.2 ± 2.2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82.6 ± 4.5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+6.8 ± 1.0</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Sugarcane Bagasse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20.8 ± 3.0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17.1 ± 2.4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83.9 ± 4.6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+7.6 ± 1.1</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Cotton Stalks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+0.9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3.4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19.8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86.5 ± 4.9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 ± 1.3</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Mixed Residues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21.5 ± 3.1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17.8 ± 2.5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84.3 ± 4.7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+8.1 ± 1.2</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Bamboo</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4.5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+0.5 ± 0.1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19.6 ± 2.8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16.3 ± 2.3</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87.8 ± 5.0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+7.2 ± 1.0</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Control</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Baseline</w:t>
            </w:r>
          </w:p>
        </w:tc>
      </w:tr>
    </w:tbl>
    <w:p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Biochar of cotton stalk shows better behaviour under various parameters because of increased surface area and porosity. Liming effect is especially useful with acidic soils and the increased cation exchange capacity increases the nutrient retention.</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5: Biochar Carbon Sequestration</w:t>
      </w:r>
    </w:p>
    <w:p w:rsidR="00952091" w:rsidRPr="003C6583" w:rsidRDefault="00952091" w:rsidP="00952091">
      <w:pPr>
        <w:jc w:val="center"/>
        <w:rPr>
          <w:rFonts w:ascii="Times New Roman" w:hAnsi="Times New Roman" w:cs="Times New Roman"/>
          <w:sz w:val="24"/>
          <w:szCs w:val="24"/>
        </w:rPr>
      </w:pPr>
      <w:r>
        <w:rPr>
          <w:noProof/>
        </w:rPr>
        <w:drawing>
          <wp:inline distT="0" distB="0" distL="0" distR="0">
            <wp:extent cx="4762500" cy="1857375"/>
            <wp:effectExtent l="0" t="0" r="0" b="9525"/>
            <wp:docPr id="9" name="Picture 9" descr="Strategic use of biochar for CO2 capture and sequestration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rategic use of biochar for CO2 capture and sequestration - ScienceDirect"/>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0" cy="1857375"/>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Water Conservation Practices</w:t>
      </w:r>
    </w:p>
    <w:p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Increased water scarcity requires new soil moisture conservation practices especially rainfed farming that covers 60 percent of the total cultivated land in India. Combinations of physical, agronomic, and biological measures are integrated to enhance the efficiency of water use.</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6: Water Conservation Method Effectiveness</w:t>
      </w:r>
    </w:p>
    <w:tbl>
      <w:tblPr>
        <w:tblStyle w:val="TableGrid"/>
        <w:tblW w:w="0" w:type="auto"/>
        <w:tblLook w:val="04A0"/>
      </w:tblPr>
      <w:tblGrid>
        <w:gridCol w:w="1599"/>
        <w:gridCol w:w="1231"/>
        <w:gridCol w:w="1242"/>
        <w:gridCol w:w="1089"/>
        <w:gridCol w:w="1868"/>
        <w:gridCol w:w="1253"/>
        <w:gridCol w:w="1294"/>
      </w:tblGrid>
      <w:tr w:rsidR="003C6583" w:rsidRPr="003C6583" w:rsidTr="00952091">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Conservation Method</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Moisture Retention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Irrigation Saved (%)</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Stability</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Implementation Cost (₹/ha)</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Drought Resilience</w:t>
            </w:r>
          </w:p>
        </w:tc>
        <w:tc>
          <w:tcPr>
            <w:tcW w:w="0" w:type="auto"/>
            <w:hideMark/>
          </w:tcPr>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Adoption Feasibility</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Mulching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28.5 ± 3.5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32.4 ± 4.2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0.82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8,500 ± 1,200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Ridge-Furrow</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22.8 ± 2.9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26.8 ± 3.5</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0.78 ± 0.07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6,200 ± 900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Conservation Furrows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25.2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28.5 ± 3.7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0.80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5,800 ± 850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Contour Farming</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20.4 ± 2.6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3.2</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0.75 ± 0.07</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7,500 ± 1,100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Tied Ridges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26.8 ± 3.4</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30.6 ± 4.0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0.81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7,000 ± 1,000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Micro-catchments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24.6 ± 3.1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27.9 ± 3.6</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0.79 ± 0.08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9,200 ± 1,300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rsidTr="00952091">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Integrated Systems</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32.4 ± 4.1</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36.8 ± 4.8</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0.85 ± 0.09</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12,500 ± 1,800</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c>
          <w:tcPr>
            <w:tcW w:w="0" w:type="auto"/>
            <w:hideMark/>
          </w:tcPr>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bl>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Mulching is the best individual practice whereas integrated systems of many practices are the best in maximizing benefits. The organic mulches also help in increasing the soil organic matter to form positive feedback mechanisms of enhancing soil health.</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6: Water Conservation Efficiency</w:t>
      </w:r>
    </w:p>
    <w:p w:rsidR="00952091" w:rsidRPr="003C6583" w:rsidRDefault="00952091" w:rsidP="00952091">
      <w:pPr>
        <w:jc w:val="center"/>
        <w:rPr>
          <w:rFonts w:ascii="Times New Roman" w:hAnsi="Times New Roman" w:cs="Times New Roman"/>
          <w:sz w:val="24"/>
          <w:szCs w:val="24"/>
        </w:rPr>
      </w:pPr>
      <w:r>
        <w:rPr>
          <w:noProof/>
        </w:rPr>
        <w:drawing>
          <wp:inline distT="0" distB="0" distL="0" distR="0">
            <wp:extent cx="4933887" cy="2209203"/>
            <wp:effectExtent l="0" t="0" r="635" b="635"/>
            <wp:docPr id="10" name="Picture 10" descr="Unlocking the Power of Water Conservation: How Energy Efficiency and  Sustainability Go Hand i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nlocking the Power of Water Conservation: How Energy Efficiency and  Sustainability Go Hand in Hand"/>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45732" cy="2214507"/>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Soil Biodiversity Enhancement</w:t>
      </w:r>
    </w:p>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functioning of the ecosystem is based on the biodiversity of the soil, traditional farming methods decrease biological diversity by 30-50%. Sustainability practices apply active promotion to the life in the soil, their recognition of microorganisms, fauna and flora as being key partners in productivity.</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7: Biodiversity Indicators Under Management</w:t>
      </w:r>
    </w:p>
    <w:tbl>
      <w:tblPr>
        <w:tblStyle w:val="TableGrid"/>
        <w:tblW w:w="0" w:type="auto"/>
        <w:tblLook w:val="04A0"/>
      </w:tblPr>
      <w:tblGrid>
        <w:gridCol w:w="1751"/>
        <w:gridCol w:w="1511"/>
        <w:gridCol w:w="1654"/>
        <w:gridCol w:w="1336"/>
        <w:gridCol w:w="1831"/>
        <w:gridCol w:w="1493"/>
      </w:tblGrid>
      <w:tr w:rsidR="00952091" w:rsidRPr="003C6583" w:rsidTr="00952091">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Management Practice</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Microbial Diversity Index</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Earthworm Density (/m²)</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Enzyme Activity</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Mycorrhizal Colonization (%)</w:t>
            </w:r>
          </w:p>
        </w:tc>
        <w:tc>
          <w:tcPr>
            <w:tcW w:w="0" w:type="auto"/>
            <w:hideMark/>
          </w:tcPr>
          <w:p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Functional Diversity</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Organic Management</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3.85 ± 0.42</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68 ± 12</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72.5 ± 8.2</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0.89 ± 0.09</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Conservation Agriculture</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3.42 ± 0.38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52 ± 9</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65.8 ± 7.5</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0.82 ± 0.08</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Agroforestry</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3.68 ± 0.41</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61 ± 11</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68.9 ± 7.8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0.86 ± 0.09</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Cover Cropping</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3.25 ± 0.36</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48 ± 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62.4 ± 7.1</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0.78 ± 0.08</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Crop Rotation</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3.18 ± 0.35</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45 ± 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59.6 ± 6.8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0.75 ± 0.07</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INM Systems</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3.35 ± 0.37</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50 ± 9</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Moderate-High</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64.2 ± 7.3</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0.80 ± 0.08</w:t>
            </w:r>
          </w:p>
        </w:tc>
      </w:tr>
      <w:tr w:rsidR="00952091" w:rsidRPr="003C6583" w:rsidTr="00952091">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Conventional</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2.52 ± 0.28</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22 ± 4</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38.5 ± 4.4</w:t>
            </w:r>
          </w:p>
        </w:tc>
        <w:tc>
          <w:tcPr>
            <w:tcW w:w="0" w:type="auto"/>
            <w:hideMark/>
          </w:tcPr>
          <w:p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0.58 ± 0.06</w:t>
            </w:r>
          </w:p>
        </w:tc>
      </w:tr>
    </w:tbl>
    <w:p w:rsidR="00952091"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lastRenderedPageBreak/>
        <w:t>Organic management systems favour maximum biodiversity but all sustainable systems contribute greatly to improvement of biological parameters than conventional systems. Ecological principles of sustainable agriculture are highlighted by the correlation between system resilience and the biodiversity indices.</w:t>
      </w:r>
    </w:p>
    <w:p w:rsidR="002A1985" w:rsidRDefault="002A1985" w:rsidP="003C6583">
      <w:pPr>
        <w:jc w:val="both"/>
        <w:rPr>
          <w:rFonts w:ascii="Times New Roman" w:hAnsi="Times New Roman" w:cs="Times New Roman"/>
          <w:b/>
          <w:bCs/>
          <w:sz w:val="24"/>
          <w:szCs w:val="24"/>
        </w:rPr>
      </w:pP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7: Soil Food Web Complexity</w:t>
      </w:r>
    </w:p>
    <w:p w:rsidR="00952091" w:rsidRPr="003C6583" w:rsidRDefault="00952091" w:rsidP="00952091">
      <w:pPr>
        <w:jc w:val="center"/>
        <w:rPr>
          <w:rFonts w:ascii="Times New Roman" w:hAnsi="Times New Roman" w:cs="Times New Roman"/>
          <w:sz w:val="24"/>
          <w:szCs w:val="24"/>
        </w:rPr>
      </w:pPr>
      <w:r>
        <w:rPr>
          <w:noProof/>
        </w:rPr>
        <w:drawing>
          <wp:inline distT="0" distB="0" distL="0" distR="0">
            <wp:extent cx="4572000" cy="2562225"/>
            <wp:effectExtent l="0" t="0" r="0" b="9525"/>
            <wp:docPr id="11" name="Picture 11" descr="Revealing the Key Role of Soil Micro-Food Web Complexity in Agricultural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vealing the Key Role of Soil Micro-Food Web Complexity in Agricultural  Productivity"/>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0" cy="2562225"/>
                    </a:xfrm>
                    <a:prstGeom prst="rect">
                      <a:avLst/>
                    </a:prstGeom>
                    <a:noFill/>
                    <a:ln>
                      <a:noFill/>
                    </a:ln>
                  </pic:spPr>
                </pic:pic>
              </a:graphicData>
            </a:graphic>
          </wp:inline>
        </w:drawing>
      </w:r>
    </w:p>
    <w:p w:rsidR="003C6583" w:rsidRPr="006411EE" w:rsidRDefault="003C6583" w:rsidP="003C6583">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Economic Analysis of Sustainable Practices</w:t>
      </w:r>
    </w:p>
    <w:p w:rsidR="002A1985" w:rsidRP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Sustainable soil management practices depend on economic feasibility of the practice. The extensive cost benefit analysis presents variable profitability curves over various interventions requiring strategic planning and sustaining processes.</w:t>
      </w:r>
    </w:p>
    <w:p w:rsid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Start-up costs per hectare include 5000-25000 depending on the complexity of the practices and the requirement of mechanization. Nonetheless, the long-term economic returns are always more than the costs, and the break-even of the situation usually takes place in 2-5 years. The ecosystem service valuation also complements the economic arguments, and the market mechanisms of such benefits are yet to be properly developed.</w:t>
      </w:r>
    </w:p>
    <w:p w:rsidR="003C6583" w:rsidRDefault="003C6583" w:rsidP="002A1985">
      <w:pPr>
        <w:jc w:val="both"/>
        <w:rPr>
          <w:rFonts w:ascii="Times New Roman" w:hAnsi="Times New Roman" w:cs="Times New Roman"/>
          <w:b/>
          <w:bCs/>
          <w:sz w:val="24"/>
          <w:szCs w:val="24"/>
        </w:rPr>
      </w:pPr>
      <w:r w:rsidRPr="003C6583">
        <w:rPr>
          <w:rFonts w:ascii="Times New Roman" w:hAnsi="Times New Roman" w:cs="Times New Roman"/>
          <w:b/>
          <w:bCs/>
          <w:sz w:val="24"/>
          <w:szCs w:val="24"/>
        </w:rPr>
        <w:t>Figure 8: Economic Returns Over Time</w:t>
      </w:r>
    </w:p>
    <w:p w:rsidR="00952091" w:rsidRPr="003C6583" w:rsidRDefault="00952091" w:rsidP="00952091">
      <w:pPr>
        <w:jc w:val="center"/>
        <w:rPr>
          <w:rFonts w:ascii="Times New Roman" w:hAnsi="Times New Roman" w:cs="Times New Roman"/>
          <w:sz w:val="24"/>
          <w:szCs w:val="24"/>
        </w:rPr>
      </w:pPr>
      <w:r>
        <w:rPr>
          <w:noProof/>
        </w:rPr>
        <w:lastRenderedPageBreak/>
        <w:drawing>
          <wp:inline distT="0" distB="0" distL="0" distR="0">
            <wp:extent cx="3867150" cy="2171700"/>
            <wp:effectExtent l="0" t="0" r="0" b="0"/>
            <wp:docPr id="12" name="Picture 12" descr="Economies of scale are also known as a. Increasing returns to scale b.  Decreasing returns to scale c. Constant returns to scale d. None of the  above | Homework.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onomies of scale are also known as a. Increasing returns to scale b.  Decreasing returns to scale c. Constant returns to scale d. None of the  above | Homework.Study.com"/>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67150" cy="2171700"/>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Policy Frameworks and Institutional Support</w:t>
      </w:r>
    </w:p>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problem of successful scaling of sustainable soil management needs to be facilitated by policy environments and institutional mechanisms. Policies in place at present have mixed results, and loopholes in policy, interconnection and a focus on the farmers reduce effectiveness.</w:t>
      </w:r>
    </w:p>
    <w:p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Key policy recommendations emerging from this analysis include:</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Direct benefit transfers for ecosystem services</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Technology subsidies targeting smallholder farmers</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Strengthened extension systems emphasizing practical training</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Market linkages for sustainably produced commodities</w:t>
      </w:r>
    </w:p>
    <w:p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Research investments in region-specific solutions</w:t>
      </w:r>
    </w:p>
    <w:p w:rsid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Figure 9: Policy Implementation Framework</w:t>
      </w:r>
    </w:p>
    <w:p w:rsidR="00711E1E" w:rsidRDefault="00711E1E" w:rsidP="00711E1E">
      <w:pPr>
        <w:pStyle w:val="NormalWeb"/>
        <w:jc w:val="center"/>
      </w:pPr>
      <w:r>
        <w:rPr>
          <w:noProof/>
          <w:lang w:bidi="ar-SA"/>
        </w:rPr>
        <w:drawing>
          <wp:inline distT="0" distB="0" distL="0" distR="0">
            <wp:extent cx="4295775" cy="2077134"/>
            <wp:effectExtent l="0" t="0" r="0" b="0"/>
            <wp:docPr id="14" name="Picture 14" descr="C:\Users\Lenovo\Downloads\The-Smith-Policy-Implementing-Process-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Lenovo\Downloads\The-Smith-Policy-Implementing-Process-Framework.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5913" cy="2082036"/>
                    </a:xfrm>
                    <a:prstGeom prst="rect">
                      <a:avLst/>
                    </a:prstGeom>
                    <a:noFill/>
                    <a:ln>
                      <a:noFill/>
                    </a:ln>
                  </pic:spPr>
                </pic:pic>
              </a:graphicData>
            </a:graphic>
          </wp:inline>
        </w:drawing>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Challenges and Constraints</w:t>
      </w:r>
    </w:p>
    <w:p w:rsidR="002A1985" w:rsidRP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lastRenderedPageBreak/>
        <w:t>Although the benefits of sustainable soil management practices have been demonstrated, they are hindered by several factors that make the adoption of sustainable soil management practices difficult. The socioeconomic factors are dominant such as inaccessibility of capital, risk aversion and poor market incentives. Technological difficulties include ignorance, low levels of mechanization, and inadequate localization.</w:t>
      </w:r>
    </w:p>
    <w:p w:rsid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The adoption patterns are greatly determined by cultural reasons and the traditional practices may be opposed to the scientific recommendations in some cases. The aspects of gender should be considered explicitly because the women farmers experience extra limitations even when operating huge farms.</w:t>
      </w:r>
    </w:p>
    <w:p w:rsidR="003C6583" w:rsidRPr="006411EE" w:rsidRDefault="003C6583" w:rsidP="003C6583">
      <w:pPr>
        <w:jc w:val="both"/>
        <w:rPr>
          <w:rFonts w:ascii="Times New Roman" w:hAnsi="Times New Roman" w:cs="Times New Roman"/>
          <w:b/>
          <w:bCs/>
          <w:color w:val="FF0000"/>
          <w:sz w:val="24"/>
          <w:szCs w:val="24"/>
        </w:rPr>
      </w:pPr>
      <w:r w:rsidRPr="006411EE">
        <w:rPr>
          <w:rFonts w:ascii="Times New Roman" w:hAnsi="Times New Roman" w:cs="Times New Roman"/>
          <w:b/>
          <w:bCs/>
          <w:color w:val="FF0000"/>
          <w:sz w:val="24"/>
          <w:szCs w:val="24"/>
        </w:rPr>
        <w:t>Conclusion</w:t>
      </w:r>
    </w:p>
    <w:p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evidence of sustainable soil management practices shows significant promise of dealing with the interdependence problems of degradation, productivity, and climate change in contemporary farming. As this systematic review confirms, integrated methods that incorporate conservation tilling, cover-cropping, precision technologies, and organic additions have better results than the adoption of only specific practice. Based on economic analysis, there is favorable returns even with the initial investment requirements especially when ecosystem services are put at the value. Nonetheless, successful scaling requests that the socioeconomic barriers should be dealt with using specific policies, improved extension services, and market mechanisms that promote sustainability. The need of future research should be to focus on context-based solutions that are formed out of the participatory approach and make them relevant to the various farming communities as well as scientific frontiers.</w:t>
      </w:r>
    </w:p>
    <w:p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References</w:t>
      </w:r>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Adhikari, K., &amp;Hartemink, A. E. (2016). Linking soils to ecosystem services: A global review. </w:t>
      </w:r>
      <w:r w:rsidRPr="00711E1E">
        <w:rPr>
          <w:rFonts w:ascii="Times New Roman" w:hAnsi="Times New Roman" w:cs="Times New Roman"/>
          <w:i/>
          <w:iCs/>
          <w:sz w:val="24"/>
          <w:szCs w:val="24"/>
        </w:rPr>
        <w:t>Geoderma</w:t>
      </w:r>
      <w:r w:rsidRPr="00711E1E">
        <w:rPr>
          <w:rFonts w:ascii="Times New Roman" w:hAnsi="Times New Roman" w:cs="Times New Roman"/>
          <w:sz w:val="24"/>
          <w:szCs w:val="24"/>
        </w:rPr>
        <w:t xml:space="preserve">, 262, 101-111. </w:t>
      </w:r>
      <w:hyperlink r:id="rId16" w:history="1">
        <w:r w:rsidRPr="00711E1E">
          <w:rPr>
            <w:rStyle w:val="Hyperlink"/>
            <w:rFonts w:ascii="Times New Roman" w:hAnsi="Times New Roman" w:cs="Times New Roman"/>
            <w:sz w:val="24"/>
            <w:szCs w:val="24"/>
          </w:rPr>
          <w:t>https://doi.org/10.1016/j.geoderma.2015.08.009</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Bhan, S., &amp; Behera, U. K. (2014). Conservation agriculture in India: Problems, prospects and policy issues. </w:t>
      </w:r>
      <w:r w:rsidRPr="00711E1E">
        <w:rPr>
          <w:rFonts w:ascii="Times New Roman" w:hAnsi="Times New Roman" w:cs="Times New Roman"/>
          <w:i/>
          <w:iCs/>
          <w:sz w:val="24"/>
          <w:szCs w:val="24"/>
        </w:rPr>
        <w:t>International Soil and Water Conservation Research</w:t>
      </w:r>
      <w:r w:rsidRPr="00711E1E">
        <w:rPr>
          <w:rFonts w:ascii="Times New Roman" w:hAnsi="Times New Roman" w:cs="Times New Roman"/>
          <w:sz w:val="24"/>
          <w:szCs w:val="24"/>
        </w:rPr>
        <w:t xml:space="preserve">, 2(4), 1-12. </w:t>
      </w:r>
      <w:hyperlink r:id="rId17" w:history="1">
        <w:r w:rsidRPr="00711E1E">
          <w:rPr>
            <w:rStyle w:val="Hyperlink"/>
            <w:rFonts w:ascii="Times New Roman" w:hAnsi="Times New Roman" w:cs="Times New Roman"/>
            <w:sz w:val="24"/>
            <w:szCs w:val="24"/>
          </w:rPr>
          <w:t>https://doi.org/10.1016/S2095-6339(15)30053-8</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Bhattacharyya, R., Ghosh, B. N., Mishra, P. K., Mandal, B., Rao, C. S., Sarkar, D., ... &amp;Franzluebbers, A. J. (2015). Soil degradation in India: Challenges and potential solutions. </w:t>
      </w:r>
      <w:r w:rsidRPr="00711E1E">
        <w:rPr>
          <w:rFonts w:ascii="Times New Roman" w:hAnsi="Times New Roman" w:cs="Times New Roman"/>
          <w:i/>
          <w:iCs/>
          <w:sz w:val="24"/>
          <w:szCs w:val="24"/>
        </w:rPr>
        <w:t>Sustainability</w:t>
      </w:r>
      <w:r w:rsidRPr="00711E1E">
        <w:rPr>
          <w:rFonts w:ascii="Times New Roman" w:hAnsi="Times New Roman" w:cs="Times New Roman"/>
          <w:sz w:val="24"/>
          <w:szCs w:val="24"/>
        </w:rPr>
        <w:t xml:space="preserve">, 7(4), 3528-3570. </w:t>
      </w:r>
      <w:hyperlink r:id="rId18" w:history="1">
        <w:r w:rsidRPr="00711E1E">
          <w:rPr>
            <w:rStyle w:val="Hyperlink"/>
            <w:rFonts w:ascii="Times New Roman" w:hAnsi="Times New Roman" w:cs="Times New Roman"/>
            <w:sz w:val="24"/>
            <w:szCs w:val="24"/>
          </w:rPr>
          <w:t>https://doi.org/10.3390/su7043528</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Chauhan, B. S., Singh, R. G., &amp; Mahajan, G. (2012). Ecology and management of weeds under conservation agriculture: A review. </w:t>
      </w:r>
      <w:r w:rsidRPr="00711E1E">
        <w:rPr>
          <w:rFonts w:ascii="Times New Roman" w:hAnsi="Times New Roman" w:cs="Times New Roman"/>
          <w:i/>
          <w:iCs/>
          <w:sz w:val="24"/>
          <w:szCs w:val="24"/>
        </w:rPr>
        <w:t>Crop Protection</w:t>
      </w:r>
      <w:r w:rsidRPr="00711E1E">
        <w:rPr>
          <w:rFonts w:ascii="Times New Roman" w:hAnsi="Times New Roman" w:cs="Times New Roman"/>
          <w:sz w:val="24"/>
          <w:szCs w:val="24"/>
        </w:rPr>
        <w:t xml:space="preserve">, 38, 57-65. </w:t>
      </w:r>
      <w:hyperlink r:id="rId19" w:history="1">
        <w:r w:rsidRPr="00711E1E">
          <w:rPr>
            <w:rStyle w:val="Hyperlink"/>
            <w:rFonts w:ascii="Times New Roman" w:hAnsi="Times New Roman" w:cs="Times New Roman"/>
            <w:sz w:val="24"/>
            <w:szCs w:val="24"/>
          </w:rPr>
          <w:t>https://doi.org/10.1016/j.cropro.2012.03.010</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Dagar, J. C., Singh, A. K., &amp; Arunachalam, A. (2014). Agroforestry systems in India: Livelihood security &amp; ecosystem services. </w:t>
      </w:r>
      <w:r w:rsidRPr="00711E1E">
        <w:rPr>
          <w:rFonts w:ascii="Times New Roman" w:hAnsi="Times New Roman" w:cs="Times New Roman"/>
          <w:i/>
          <w:iCs/>
          <w:sz w:val="24"/>
          <w:szCs w:val="24"/>
        </w:rPr>
        <w:t>Advances in Agroforestry</w:t>
      </w:r>
      <w:r w:rsidRPr="00711E1E">
        <w:rPr>
          <w:rFonts w:ascii="Times New Roman" w:hAnsi="Times New Roman" w:cs="Times New Roman"/>
          <w:sz w:val="24"/>
          <w:szCs w:val="24"/>
        </w:rPr>
        <w:t xml:space="preserve">, 10, 1-20. </w:t>
      </w:r>
      <w:hyperlink r:id="rId20" w:history="1">
        <w:r w:rsidRPr="00711E1E">
          <w:rPr>
            <w:rStyle w:val="Hyperlink"/>
            <w:rFonts w:ascii="Times New Roman" w:hAnsi="Times New Roman" w:cs="Times New Roman"/>
            <w:sz w:val="24"/>
            <w:szCs w:val="24"/>
          </w:rPr>
          <w:t>https://doi.org/10.1007/978-81-322-1662-9</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Das, A., Patel, D. P., Kumar, M., Ramkrushna, G. I., Mukherjee, A., Layek, J., ... &amp; Buragohain, J. (2017). Impact of seven years of organic farming on soil and produce quality and crop yields in eastern Himalayas, India. </w:t>
      </w:r>
      <w:r w:rsidRPr="00711E1E">
        <w:rPr>
          <w:rFonts w:ascii="Times New Roman" w:hAnsi="Times New Roman" w:cs="Times New Roman"/>
          <w:i/>
          <w:iCs/>
          <w:sz w:val="24"/>
          <w:szCs w:val="24"/>
        </w:rPr>
        <w:t>Agriculture, Ecosystems &amp; Environment</w:t>
      </w:r>
      <w:r w:rsidRPr="00711E1E">
        <w:rPr>
          <w:rFonts w:ascii="Times New Roman" w:hAnsi="Times New Roman" w:cs="Times New Roman"/>
          <w:sz w:val="24"/>
          <w:szCs w:val="24"/>
        </w:rPr>
        <w:t xml:space="preserve">, 236, 142-153. </w:t>
      </w:r>
      <w:hyperlink r:id="rId21" w:history="1">
        <w:r w:rsidRPr="00711E1E">
          <w:rPr>
            <w:rStyle w:val="Hyperlink"/>
            <w:rFonts w:ascii="Times New Roman" w:hAnsi="Times New Roman" w:cs="Times New Roman"/>
            <w:sz w:val="24"/>
            <w:szCs w:val="24"/>
          </w:rPr>
          <w:t>https://doi.org/10.1016/j.agee.2016.09.007</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lastRenderedPageBreak/>
        <w:t xml:space="preserve">Gathala, M. K., Ladha, J. K., Saharawat, Y. S., Kumar, V., Kumar, V., &amp; Sharma, P. K. (2011). Effect of tillage and crop establishment methods on physical properties of a medium-textured soil under a seven-year rice-wheat rotation. </w:t>
      </w:r>
      <w:r w:rsidRPr="00711E1E">
        <w:rPr>
          <w:rFonts w:ascii="Times New Roman" w:hAnsi="Times New Roman" w:cs="Times New Roman"/>
          <w:i/>
          <w:iCs/>
          <w:sz w:val="24"/>
          <w:szCs w:val="24"/>
        </w:rPr>
        <w:t>Soil Science Society of America Journal</w:t>
      </w:r>
      <w:r w:rsidRPr="00711E1E">
        <w:rPr>
          <w:rFonts w:ascii="Times New Roman" w:hAnsi="Times New Roman" w:cs="Times New Roman"/>
          <w:sz w:val="24"/>
          <w:szCs w:val="24"/>
        </w:rPr>
        <w:t xml:space="preserve">, 75(5), 1851-1862. </w:t>
      </w:r>
      <w:hyperlink r:id="rId22" w:history="1">
        <w:r w:rsidRPr="00711E1E">
          <w:rPr>
            <w:rStyle w:val="Hyperlink"/>
            <w:rFonts w:ascii="Times New Roman" w:hAnsi="Times New Roman" w:cs="Times New Roman"/>
            <w:sz w:val="24"/>
            <w:szCs w:val="24"/>
          </w:rPr>
          <w:t>https://doi.org/10.2136/sssaj2010.0362</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Ghosh, P. K., Hazra, K. K., Venkatesh, M. S., Praharaj, C. S., Kumar, N., Nath, C. P., ... &amp; Singh, U. (2018). Grain legume inclusion in cereal-cereal rotation increased base crop productivity in the long run. </w:t>
      </w:r>
      <w:r w:rsidRPr="00711E1E">
        <w:rPr>
          <w:rFonts w:ascii="Times New Roman" w:hAnsi="Times New Roman" w:cs="Times New Roman"/>
          <w:i/>
          <w:iCs/>
          <w:sz w:val="24"/>
          <w:szCs w:val="24"/>
        </w:rPr>
        <w:t>Experimental Agriculture</w:t>
      </w:r>
      <w:r w:rsidRPr="00711E1E">
        <w:rPr>
          <w:rFonts w:ascii="Times New Roman" w:hAnsi="Times New Roman" w:cs="Times New Roman"/>
          <w:sz w:val="24"/>
          <w:szCs w:val="24"/>
        </w:rPr>
        <w:t xml:space="preserve">, 54(5), 728-754. </w:t>
      </w:r>
      <w:hyperlink r:id="rId23" w:history="1">
        <w:r w:rsidRPr="00711E1E">
          <w:rPr>
            <w:rStyle w:val="Hyperlink"/>
            <w:rFonts w:ascii="Times New Roman" w:hAnsi="Times New Roman" w:cs="Times New Roman"/>
            <w:sz w:val="24"/>
            <w:szCs w:val="24"/>
          </w:rPr>
          <w:t>https://doi.org/10.1017/S0014479717000369</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Jat, R. A., Wani, S. P., &amp; Kanwar, L. S. (2012). Conservation agriculture in the semi-arid tropics: Prospects and problems. </w:t>
      </w:r>
      <w:r w:rsidRPr="00711E1E">
        <w:rPr>
          <w:rFonts w:ascii="Times New Roman" w:hAnsi="Times New Roman" w:cs="Times New Roman"/>
          <w:i/>
          <w:iCs/>
          <w:sz w:val="24"/>
          <w:szCs w:val="24"/>
        </w:rPr>
        <w:t>Advances in Agronomy</w:t>
      </w:r>
      <w:r w:rsidRPr="00711E1E">
        <w:rPr>
          <w:rFonts w:ascii="Times New Roman" w:hAnsi="Times New Roman" w:cs="Times New Roman"/>
          <w:sz w:val="24"/>
          <w:szCs w:val="24"/>
        </w:rPr>
        <w:t xml:space="preserve">, 117, 191-273. </w:t>
      </w:r>
      <w:hyperlink r:id="rId24" w:history="1">
        <w:r w:rsidRPr="00711E1E">
          <w:rPr>
            <w:rStyle w:val="Hyperlink"/>
            <w:rFonts w:ascii="Times New Roman" w:hAnsi="Times New Roman" w:cs="Times New Roman"/>
            <w:sz w:val="24"/>
            <w:szCs w:val="24"/>
          </w:rPr>
          <w:t>https://doi.org/10.1016/B978-0-12-394278-4.00004-0</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Kumar, V., Jat, H. S., Sharma, P. C., Balwinder-Singh, Gathala, M. K., Malik, R. K., ... &amp; McDonald, A. (2018). Can productivity and profitability be enhanced in intensively managed cereal systems while reducing the environmental footprint of production? </w:t>
      </w:r>
      <w:r w:rsidRPr="00711E1E">
        <w:rPr>
          <w:rFonts w:ascii="Times New Roman" w:hAnsi="Times New Roman" w:cs="Times New Roman"/>
          <w:i/>
          <w:iCs/>
          <w:sz w:val="24"/>
          <w:szCs w:val="24"/>
        </w:rPr>
        <w:t>Agricultural Systems</w:t>
      </w:r>
      <w:r w:rsidRPr="00711E1E">
        <w:rPr>
          <w:rFonts w:ascii="Times New Roman" w:hAnsi="Times New Roman" w:cs="Times New Roman"/>
          <w:sz w:val="24"/>
          <w:szCs w:val="24"/>
        </w:rPr>
        <w:t xml:space="preserve">, 164, 159-171. </w:t>
      </w:r>
      <w:hyperlink r:id="rId25" w:history="1">
        <w:r w:rsidRPr="00711E1E">
          <w:rPr>
            <w:rStyle w:val="Hyperlink"/>
            <w:rFonts w:ascii="Times New Roman" w:hAnsi="Times New Roman" w:cs="Times New Roman"/>
            <w:sz w:val="24"/>
            <w:szCs w:val="24"/>
          </w:rPr>
          <w:t>https://doi.org/10.1016/j.agsy.2018.04.004</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Lal, R. (2015). Sequestering carbon and increasing productivity by conservation agriculture. </w:t>
      </w:r>
      <w:r w:rsidRPr="00711E1E">
        <w:rPr>
          <w:rFonts w:ascii="Times New Roman" w:hAnsi="Times New Roman" w:cs="Times New Roman"/>
          <w:i/>
          <w:iCs/>
          <w:sz w:val="24"/>
          <w:szCs w:val="24"/>
        </w:rPr>
        <w:t>Journal of Soil and Water Conservation</w:t>
      </w:r>
      <w:r w:rsidRPr="00711E1E">
        <w:rPr>
          <w:rFonts w:ascii="Times New Roman" w:hAnsi="Times New Roman" w:cs="Times New Roman"/>
          <w:sz w:val="24"/>
          <w:szCs w:val="24"/>
        </w:rPr>
        <w:t xml:space="preserve">, 70(3), 55A-62A. </w:t>
      </w:r>
      <w:hyperlink r:id="rId26" w:history="1">
        <w:r w:rsidRPr="00711E1E">
          <w:rPr>
            <w:rStyle w:val="Hyperlink"/>
            <w:rFonts w:ascii="Times New Roman" w:hAnsi="Times New Roman" w:cs="Times New Roman"/>
            <w:sz w:val="24"/>
            <w:szCs w:val="24"/>
          </w:rPr>
          <w:t>https://doi.org/10.2489/jswc.70.3.55A</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Mandal, K. G., Misra, A. K., Hati, K. M., Bandyopadhyay, K. K., Ghosh, P. K., &amp; Mohanty, M. (2004). Rice residue management options and effects on soil properties and crop productivity. </w:t>
      </w:r>
      <w:r w:rsidRPr="00711E1E">
        <w:rPr>
          <w:rFonts w:ascii="Times New Roman" w:hAnsi="Times New Roman" w:cs="Times New Roman"/>
          <w:i/>
          <w:iCs/>
          <w:sz w:val="24"/>
          <w:szCs w:val="24"/>
        </w:rPr>
        <w:t>Journal of Food Agriculture and Environment</w:t>
      </w:r>
      <w:r w:rsidRPr="00711E1E">
        <w:rPr>
          <w:rFonts w:ascii="Times New Roman" w:hAnsi="Times New Roman" w:cs="Times New Roman"/>
          <w:sz w:val="24"/>
          <w:szCs w:val="24"/>
        </w:rPr>
        <w:t>, 2, 224-231.</w:t>
      </w:r>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Meena, R. S., Kumar, S., Datta, R., Lal, R., Vijayakumar, V., Brtnicky, M., ... &amp; Marfo, T. D. (2020). Impact of agrochemicals on soil microbiota and management: A review. </w:t>
      </w:r>
      <w:r w:rsidRPr="00711E1E">
        <w:rPr>
          <w:rFonts w:ascii="Times New Roman" w:hAnsi="Times New Roman" w:cs="Times New Roman"/>
          <w:i/>
          <w:iCs/>
          <w:sz w:val="24"/>
          <w:szCs w:val="24"/>
        </w:rPr>
        <w:t>Land</w:t>
      </w:r>
      <w:r w:rsidRPr="00711E1E">
        <w:rPr>
          <w:rFonts w:ascii="Times New Roman" w:hAnsi="Times New Roman" w:cs="Times New Roman"/>
          <w:sz w:val="24"/>
          <w:szCs w:val="24"/>
        </w:rPr>
        <w:t xml:space="preserve">, 9(2), 34. </w:t>
      </w:r>
      <w:hyperlink r:id="rId27" w:history="1">
        <w:r w:rsidRPr="00711E1E">
          <w:rPr>
            <w:rStyle w:val="Hyperlink"/>
            <w:rFonts w:ascii="Times New Roman" w:hAnsi="Times New Roman" w:cs="Times New Roman"/>
            <w:sz w:val="24"/>
            <w:szCs w:val="24"/>
          </w:rPr>
          <w:t>https://doi.org/10.3390/land9020034</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Nath, C. P., Das, T. K., Rana, K. S., Bhattacharyya, R., Pathak, H., Paul, S., ... &amp; Singh, S. B. (2017). Greenhouse gas emission, soil organic carbon and wheat yield as affected by tillage systems and nitrogen management practices. </w:t>
      </w:r>
      <w:r w:rsidRPr="00711E1E">
        <w:rPr>
          <w:rFonts w:ascii="Times New Roman" w:hAnsi="Times New Roman" w:cs="Times New Roman"/>
          <w:i/>
          <w:iCs/>
          <w:sz w:val="24"/>
          <w:szCs w:val="24"/>
        </w:rPr>
        <w:t>Archives of Agronomy and Soil Science</w:t>
      </w:r>
      <w:r w:rsidRPr="00711E1E">
        <w:rPr>
          <w:rFonts w:ascii="Times New Roman" w:hAnsi="Times New Roman" w:cs="Times New Roman"/>
          <w:sz w:val="24"/>
          <w:szCs w:val="24"/>
        </w:rPr>
        <w:t xml:space="preserve">, 63(12), 1644-1660. </w:t>
      </w:r>
      <w:hyperlink r:id="rId28" w:history="1">
        <w:r w:rsidRPr="00711E1E">
          <w:rPr>
            <w:rStyle w:val="Hyperlink"/>
            <w:rFonts w:ascii="Times New Roman" w:hAnsi="Times New Roman" w:cs="Times New Roman"/>
            <w:sz w:val="24"/>
            <w:szCs w:val="24"/>
          </w:rPr>
          <w:t>https://doi.org/10.1080/03650340.2017.1300657</w:t>
        </w:r>
      </w:hyperlink>
    </w:p>
    <w:p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Pathak, H., Byjesh, K., Chakrabarti, B., &amp; Aggarwal, P. K. (2011). Potential and cost of carbon sequestration in Indian agriculture: Estimates from long-term field experiments. </w:t>
      </w:r>
      <w:r w:rsidRPr="00711E1E">
        <w:rPr>
          <w:rFonts w:ascii="Times New Roman" w:hAnsi="Times New Roman" w:cs="Times New Roman"/>
          <w:i/>
          <w:iCs/>
          <w:sz w:val="24"/>
          <w:szCs w:val="24"/>
        </w:rPr>
        <w:t>Field Crops Research</w:t>
      </w:r>
      <w:r w:rsidRPr="00711E1E">
        <w:rPr>
          <w:rFonts w:ascii="Times New Roman" w:hAnsi="Times New Roman" w:cs="Times New Roman"/>
          <w:sz w:val="24"/>
          <w:szCs w:val="24"/>
        </w:rPr>
        <w:t>,</w:t>
      </w:r>
    </w:p>
    <w:p w:rsidR="008F603E" w:rsidRPr="008F603E" w:rsidRDefault="008F603E" w:rsidP="00E40F52">
      <w:pPr>
        <w:jc w:val="both"/>
        <w:rPr>
          <w:rFonts w:ascii="Times New Roman" w:hAnsi="Times New Roman" w:cs="Times New Roman"/>
          <w:sz w:val="24"/>
          <w:szCs w:val="24"/>
        </w:rPr>
      </w:pPr>
    </w:p>
    <w:p w:rsidR="0022155B" w:rsidRPr="006411EE" w:rsidRDefault="006411EE" w:rsidP="008F603E">
      <w:pPr>
        <w:jc w:val="both"/>
        <w:rPr>
          <w:rFonts w:ascii="Times New Roman" w:hAnsi="Times New Roman" w:cs="Times New Roman"/>
          <w:color w:val="FF0000"/>
          <w:sz w:val="24"/>
          <w:szCs w:val="24"/>
        </w:rPr>
      </w:pPr>
      <w:r w:rsidRPr="006411EE">
        <w:rPr>
          <w:rFonts w:ascii="Times New Roman" w:hAnsi="Times New Roman" w:cs="Times New Roman"/>
          <w:color w:val="FF0000"/>
          <w:sz w:val="24"/>
          <w:szCs w:val="24"/>
        </w:rPr>
        <w:t>ALL REFERENCES SHOULD BE MENTIONED RESULT AND DISCUSSION</w:t>
      </w:r>
      <w:r>
        <w:rPr>
          <w:rFonts w:ascii="Times New Roman" w:hAnsi="Times New Roman" w:cs="Times New Roman"/>
          <w:color w:val="FF0000"/>
          <w:sz w:val="24"/>
          <w:szCs w:val="24"/>
        </w:rPr>
        <w:t>,</w:t>
      </w:r>
      <w:r w:rsidRPr="006411EE">
        <w:rPr>
          <w:rFonts w:ascii="Times New Roman" w:hAnsi="Times New Roman" w:cs="Times New Roman"/>
          <w:color w:val="FF0000"/>
          <w:sz w:val="24"/>
          <w:szCs w:val="24"/>
        </w:rPr>
        <w:t xml:space="preserve"> SMALL COREECTION MADE JOURNAL FORMAT</w:t>
      </w:r>
      <w:r>
        <w:rPr>
          <w:rFonts w:ascii="Times New Roman" w:hAnsi="Times New Roman" w:cs="Times New Roman"/>
          <w:color w:val="FF0000"/>
          <w:sz w:val="24"/>
          <w:szCs w:val="24"/>
        </w:rPr>
        <w:t>. ADDITIONALY ADD OR INCLUDE REFERENCES 15 NUMBERS.</w:t>
      </w:r>
    </w:p>
    <w:sectPr w:rsidR="0022155B" w:rsidRPr="006411EE" w:rsidSect="007A390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CF1" w:rsidRDefault="00497CF1" w:rsidP="00A45101">
      <w:pPr>
        <w:spacing w:after="0" w:line="240" w:lineRule="auto"/>
      </w:pPr>
      <w:r>
        <w:separator/>
      </w:r>
    </w:p>
  </w:endnote>
  <w:endnote w:type="continuationSeparator" w:id="1">
    <w:p w:rsidR="00497CF1" w:rsidRDefault="00497CF1" w:rsidP="00A45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1" w:rsidRDefault="00A451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1" w:rsidRDefault="00A451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1" w:rsidRDefault="00A451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CF1" w:rsidRDefault="00497CF1" w:rsidP="00A45101">
      <w:pPr>
        <w:spacing w:after="0" w:line="240" w:lineRule="auto"/>
      </w:pPr>
      <w:r>
        <w:separator/>
      </w:r>
    </w:p>
  </w:footnote>
  <w:footnote w:type="continuationSeparator" w:id="1">
    <w:p w:rsidR="00497CF1" w:rsidRDefault="00497CF1" w:rsidP="00A451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1" w:rsidRDefault="007A3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1" w:rsidRDefault="007A3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1" w:rsidRDefault="007A39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F0824DC"/>
    <w:multiLevelType w:val="hybridMultilevel"/>
    <w:tmpl w:val="70E0E1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6A6B5DFB"/>
    <w:multiLevelType w:val="multilevel"/>
    <w:tmpl w:val="4FB2C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252151"/>
    <w:multiLevelType w:val="multilevel"/>
    <w:tmpl w:val="C35AEB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6"/>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E72E8"/>
    <w:rsid w:val="000844B3"/>
    <w:rsid w:val="000A3FDC"/>
    <w:rsid w:val="00164856"/>
    <w:rsid w:val="00172C50"/>
    <w:rsid w:val="001D0A8C"/>
    <w:rsid w:val="001F173C"/>
    <w:rsid w:val="0022155B"/>
    <w:rsid w:val="00247B9F"/>
    <w:rsid w:val="002949AD"/>
    <w:rsid w:val="002A1985"/>
    <w:rsid w:val="0032155B"/>
    <w:rsid w:val="00391A6A"/>
    <w:rsid w:val="003C6583"/>
    <w:rsid w:val="00497CF1"/>
    <w:rsid w:val="005458B5"/>
    <w:rsid w:val="005A5785"/>
    <w:rsid w:val="005D0259"/>
    <w:rsid w:val="005E72E8"/>
    <w:rsid w:val="006411EE"/>
    <w:rsid w:val="00674157"/>
    <w:rsid w:val="006B42FD"/>
    <w:rsid w:val="00711E1E"/>
    <w:rsid w:val="007316BA"/>
    <w:rsid w:val="00755A9F"/>
    <w:rsid w:val="0079339C"/>
    <w:rsid w:val="007A3902"/>
    <w:rsid w:val="007E0843"/>
    <w:rsid w:val="00850C44"/>
    <w:rsid w:val="008F603E"/>
    <w:rsid w:val="00952091"/>
    <w:rsid w:val="0096095D"/>
    <w:rsid w:val="009C0C38"/>
    <w:rsid w:val="009D718B"/>
    <w:rsid w:val="00A01961"/>
    <w:rsid w:val="00A25762"/>
    <w:rsid w:val="00A4239E"/>
    <w:rsid w:val="00A45101"/>
    <w:rsid w:val="00A660F0"/>
    <w:rsid w:val="00A96824"/>
    <w:rsid w:val="00A96A8B"/>
    <w:rsid w:val="00B54C17"/>
    <w:rsid w:val="00BB5982"/>
    <w:rsid w:val="00BF421B"/>
    <w:rsid w:val="00BF74C5"/>
    <w:rsid w:val="00C212C0"/>
    <w:rsid w:val="00C65350"/>
    <w:rsid w:val="00C65C2E"/>
    <w:rsid w:val="00CA63FB"/>
    <w:rsid w:val="00CD7438"/>
    <w:rsid w:val="00D13EB7"/>
    <w:rsid w:val="00D21F49"/>
    <w:rsid w:val="00D46E4D"/>
    <w:rsid w:val="00D65EFE"/>
    <w:rsid w:val="00D91214"/>
    <w:rsid w:val="00DC5F34"/>
    <w:rsid w:val="00DF71DA"/>
    <w:rsid w:val="00E40F52"/>
    <w:rsid w:val="00E77526"/>
    <w:rsid w:val="00EA342C"/>
    <w:rsid w:val="00F00DA5"/>
    <w:rsid w:val="00F32B76"/>
    <w:rsid w:val="00F41507"/>
    <w:rsid w:val="00F6734E"/>
    <w:rsid w:val="00F92B23"/>
    <w:rsid w:val="00F975A5"/>
    <w:rsid w:val="00FA3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65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65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C65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C658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1E1E"/>
    <w:pPr>
      <w:ind w:left="720"/>
      <w:contextualSpacing/>
    </w:pPr>
  </w:style>
  <w:style w:type="character" w:customStyle="1" w:styleId="UnresolvedMention">
    <w:name w:val="Unresolved Mention"/>
    <w:basedOn w:val="DefaultParagraphFont"/>
    <w:uiPriority w:val="99"/>
    <w:semiHidden/>
    <w:unhideWhenUsed/>
    <w:rsid w:val="00F41507"/>
    <w:rPr>
      <w:color w:val="605E5C"/>
      <w:shd w:val="clear" w:color="auto" w:fill="E1DFDD"/>
    </w:rPr>
  </w:style>
  <w:style w:type="paragraph" w:styleId="Header">
    <w:name w:val="header"/>
    <w:basedOn w:val="Normal"/>
    <w:link w:val="HeaderChar"/>
    <w:uiPriority w:val="99"/>
    <w:unhideWhenUsed/>
    <w:rsid w:val="00A4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101"/>
  </w:style>
  <w:style w:type="paragraph" w:styleId="Footer">
    <w:name w:val="footer"/>
    <w:basedOn w:val="Normal"/>
    <w:link w:val="FooterChar"/>
    <w:uiPriority w:val="99"/>
    <w:unhideWhenUsed/>
    <w:rsid w:val="00A4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101"/>
  </w:style>
  <w:style w:type="paragraph" w:styleId="BalloonText">
    <w:name w:val="Balloon Text"/>
    <w:basedOn w:val="Normal"/>
    <w:link w:val="BalloonTextChar"/>
    <w:uiPriority w:val="99"/>
    <w:semiHidden/>
    <w:unhideWhenUsed/>
    <w:rsid w:val="0064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36822604">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0503195">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890532911">
      <w:bodyDiv w:val="1"/>
      <w:marLeft w:val="0"/>
      <w:marRight w:val="0"/>
      <w:marTop w:val="0"/>
      <w:marBottom w:val="0"/>
      <w:divBdr>
        <w:top w:val="none" w:sz="0" w:space="0" w:color="auto"/>
        <w:left w:val="none" w:sz="0" w:space="0" w:color="auto"/>
        <w:bottom w:val="none" w:sz="0" w:space="0" w:color="auto"/>
        <w:right w:val="none" w:sz="0" w:space="0" w:color="auto"/>
      </w:divBdr>
      <w:divsChild>
        <w:div w:id="246574267">
          <w:marLeft w:val="0"/>
          <w:marRight w:val="0"/>
          <w:marTop w:val="0"/>
          <w:marBottom w:val="0"/>
          <w:divBdr>
            <w:top w:val="none" w:sz="0" w:space="0" w:color="auto"/>
            <w:left w:val="none" w:sz="0" w:space="0" w:color="auto"/>
            <w:bottom w:val="none" w:sz="0" w:space="0" w:color="auto"/>
            <w:right w:val="none" w:sz="0" w:space="0" w:color="auto"/>
          </w:divBdr>
          <w:divsChild>
            <w:div w:id="2951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3390/su7043528" TargetMode="External"/><Relationship Id="rId26" Type="http://schemas.openxmlformats.org/officeDocument/2006/relationships/hyperlink" Target="https://doi.org/10.2489/jswc.70.3.55A" TargetMode="External"/><Relationship Id="rId3" Type="http://schemas.openxmlformats.org/officeDocument/2006/relationships/settings" Target="settings.xml"/><Relationship Id="rId21" Type="http://schemas.openxmlformats.org/officeDocument/2006/relationships/hyperlink" Target="https://doi.org/10.1016/j.agee.2016.09.007"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1016/S2095-6339(15)30053-8" TargetMode="External"/><Relationship Id="rId25" Type="http://schemas.openxmlformats.org/officeDocument/2006/relationships/hyperlink" Target="https://doi.org/10.1016/j.agsy.2018.04.00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geoderma.2015.08.009" TargetMode="External"/><Relationship Id="rId20" Type="http://schemas.openxmlformats.org/officeDocument/2006/relationships/hyperlink" Target="https://doi.org/10.1007/978-81-322-1662-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B978-0-12-394278-4.00004-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7/S0014479717000369" TargetMode="External"/><Relationship Id="rId28" Type="http://schemas.openxmlformats.org/officeDocument/2006/relationships/hyperlink" Target="https://doi.org/10.1080/03650340.2017.1300657" TargetMode="Externa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doi.org/10.1016/j.cropro.2012.03.01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2136/sssaj2010.0362" TargetMode="External"/><Relationship Id="rId27" Type="http://schemas.openxmlformats.org/officeDocument/2006/relationships/hyperlink" Target="https://doi.org/10.3390/land9020034"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13</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ssac</cp:lastModifiedBy>
  <cp:revision>48</cp:revision>
  <dcterms:created xsi:type="dcterms:W3CDTF">2025-03-30T16:47:00Z</dcterms:created>
  <dcterms:modified xsi:type="dcterms:W3CDTF">2025-11-24T11:52:00Z</dcterms:modified>
</cp:coreProperties>
</file>