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86E82" w14:textId="0B6B4CA8" w:rsidR="00B31AFB" w:rsidRPr="007219D9" w:rsidRDefault="00B31AFB" w:rsidP="003E124D">
      <w:pPr>
        <w:pStyle w:val="Heading3"/>
        <w:jc w:val="center"/>
        <w:rPr>
          <w:rFonts w:ascii="Arial" w:hAnsi="Arial" w:cs="Arial"/>
          <w:sz w:val="22"/>
          <w:szCs w:val="22"/>
        </w:rPr>
      </w:pPr>
      <w:r w:rsidRPr="007219D9">
        <w:rPr>
          <w:rFonts w:ascii="Arial" w:hAnsi="Arial" w:cs="Arial"/>
          <w:sz w:val="22"/>
          <w:szCs w:val="22"/>
        </w:rPr>
        <w:t>Original Research Article</w:t>
      </w:r>
    </w:p>
    <w:p w14:paraId="1872EB80" w14:textId="00DB5BAB" w:rsidR="0050207A" w:rsidRPr="007219D9" w:rsidRDefault="003E124D" w:rsidP="003E124D">
      <w:pPr>
        <w:pStyle w:val="Heading3"/>
        <w:jc w:val="center"/>
        <w:rPr>
          <w:rFonts w:ascii="Arial" w:hAnsi="Arial" w:cs="Arial"/>
          <w:sz w:val="22"/>
          <w:szCs w:val="22"/>
        </w:rPr>
      </w:pPr>
      <w:r w:rsidRPr="007219D9">
        <w:rPr>
          <w:rFonts w:ascii="Arial" w:hAnsi="Arial" w:cs="Arial"/>
          <w:sz w:val="22"/>
          <w:szCs w:val="22"/>
        </w:rPr>
        <w:t>Evaluating the effectiveness of the implementation of the National Education Policy-2020 in the higher education sector of Uttarakhand state: A student-</w:t>
      </w:r>
      <w:r w:rsidR="002F3570" w:rsidRPr="007219D9">
        <w:rPr>
          <w:rFonts w:ascii="Arial" w:hAnsi="Arial" w:cs="Arial"/>
          <w:sz w:val="22"/>
          <w:szCs w:val="22"/>
        </w:rPr>
        <w:t>centric</w:t>
      </w:r>
      <w:r w:rsidRPr="007219D9">
        <w:rPr>
          <w:rFonts w:ascii="Arial" w:hAnsi="Arial" w:cs="Arial"/>
          <w:sz w:val="22"/>
          <w:szCs w:val="22"/>
        </w:rPr>
        <w:t xml:space="preserve"> </w:t>
      </w:r>
      <w:r w:rsidR="004F1EFA" w:rsidRPr="007219D9">
        <w:rPr>
          <w:rFonts w:ascii="Arial" w:hAnsi="Arial" w:cs="Arial"/>
          <w:sz w:val="22"/>
          <w:szCs w:val="22"/>
        </w:rPr>
        <w:t>PLS-SEM-based</w:t>
      </w:r>
      <w:r w:rsidRPr="007219D9">
        <w:rPr>
          <w:rFonts w:ascii="Arial" w:hAnsi="Arial" w:cs="Arial"/>
          <w:sz w:val="22"/>
          <w:szCs w:val="22"/>
        </w:rPr>
        <w:t xml:space="preserve"> analysis</w:t>
      </w:r>
    </w:p>
    <w:p w14:paraId="30CCA537" w14:textId="77777777" w:rsidR="00904BCD" w:rsidRPr="007219D9" w:rsidRDefault="00904BCD" w:rsidP="00D07383">
      <w:pPr>
        <w:jc w:val="right"/>
        <w:rPr>
          <w:rFonts w:ascii="Arial" w:hAnsi="Arial" w:cs="Arial"/>
        </w:rPr>
      </w:pPr>
    </w:p>
    <w:p w14:paraId="25002265" w14:textId="77777777" w:rsidR="00D07383" w:rsidRPr="007219D9" w:rsidRDefault="00D07383" w:rsidP="0050207A">
      <w:pPr>
        <w:pStyle w:val="Heading3"/>
        <w:jc w:val="center"/>
        <w:rPr>
          <w:sz w:val="24"/>
          <w:szCs w:val="24"/>
        </w:rPr>
      </w:pPr>
    </w:p>
    <w:p w14:paraId="0BC14759" w14:textId="6EC30227" w:rsidR="00C26C64" w:rsidRPr="007219D9" w:rsidRDefault="00C26C64" w:rsidP="0050207A">
      <w:pPr>
        <w:pStyle w:val="Heading3"/>
        <w:jc w:val="center"/>
        <w:rPr>
          <w:rFonts w:ascii="Arial" w:hAnsi="Arial" w:cs="Arial"/>
          <w:sz w:val="22"/>
          <w:szCs w:val="22"/>
        </w:rPr>
      </w:pPr>
      <w:r w:rsidRPr="007219D9">
        <w:rPr>
          <w:rFonts w:ascii="Arial" w:hAnsi="Arial" w:cs="Arial"/>
          <w:sz w:val="22"/>
          <w:szCs w:val="22"/>
        </w:rPr>
        <w:t>A</w:t>
      </w:r>
      <w:r w:rsidR="00C32C12" w:rsidRPr="007219D9">
        <w:rPr>
          <w:rFonts w:ascii="Arial" w:hAnsi="Arial" w:cs="Arial"/>
          <w:sz w:val="22"/>
          <w:szCs w:val="22"/>
        </w:rPr>
        <w:t>BSTRACT</w:t>
      </w:r>
    </w:p>
    <w:p w14:paraId="009AD69F" w14:textId="03D3A397" w:rsidR="00302600" w:rsidRPr="007219D9" w:rsidRDefault="00302600" w:rsidP="00AA6F83">
      <w:pPr>
        <w:pStyle w:val="NormalWeb"/>
        <w:ind w:firstLine="720"/>
        <w:jc w:val="both"/>
        <w:rPr>
          <w:rStyle w:val="Strong"/>
          <w:rFonts w:ascii="Arial" w:hAnsi="Arial" w:cs="Arial"/>
          <w:b w:val="0"/>
          <w:bCs w:val="0"/>
          <w:sz w:val="20"/>
          <w:szCs w:val="20"/>
        </w:rPr>
      </w:pPr>
      <w:r w:rsidRPr="007219D9">
        <w:rPr>
          <w:rStyle w:val="Strong"/>
          <w:rFonts w:ascii="Arial" w:hAnsi="Arial" w:cs="Arial"/>
          <w:b w:val="0"/>
          <w:bCs w:val="0"/>
          <w:sz w:val="20"/>
          <w:szCs w:val="20"/>
        </w:rPr>
        <w:t>The National Education Policy (NEP) – 2020 is a comprehensive and transformative reform initiative in India's higher education system, aiming to strengthen academic quality and relevance through flexibility, multidisciplinary learning, and student-centric governance. However, the actual effectiveness of such policy reforms largely depends on their implementation at the institutional level and the academic realities experienced by students. In this context, this study empirically evaluates the effectiveness of NEP – 2020 implementation in higher education institutions of Uttarakhand state from a student perspective and analyzes its impact on student satisfaction.</w:t>
      </w:r>
      <w:r w:rsidR="00AA6F83" w:rsidRPr="007219D9">
        <w:rPr>
          <w:rStyle w:val="Strong"/>
          <w:rFonts w:ascii="Arial" w:hAnsi="Arial" w:cs="Arial"/>
          <w:b w:val="0"/>
          <w:bCs w:val="0"/>
          <w:sz w:val="20"/>
          <w:szCs w:val="20"/>
        </w:rPr>
        <w:t xml:space="preserve"> </w:t>
      </w:r>
      <w:r w:rsidRPr="007219D9">
        <w:rPr>
          <w:rStyle w:val="Strong"/>
          <w:rFonts w:ascii="Arial" w:hAnsi="Arial" w:cs="Arial"/>
          <w:b w:val="0"/>
          <w:bCs w:val="0"/>
          <w:sz w:val="20"/>
          <w:szCs w:val="20"/>
        </w:rPr>
        <w:t>For the study, primary data was collected from 350 undergraduate, postgraduate, and research students enrolled in government, aided, and private higher education institutions located in the hilly and plain regions of Uttarakhand through a structured questionnaire. The research is based on a quantitative and cross-sectional research design and utilizes the Partial Least Squares – Structural Equation Modeling (PLS-SEM) method for measurement and testing of structural relationships.</w:t>
      </w:r>
    </w:p>
    <w:p w14:paraId="5FBBDD87" w14:textId="4F2848AF" w:rsidR="00302600" w:rsidRPr="007219D9" w:rsidRDefault="00302600" w:rsidP="004F1EFA">
      <w:pPr>
        <w:pStyle w:val="NormalWeb"/>
        <w:jc w:val="both"/>
        <w:rPr>
          <w:rStyle w:val="Strong"/>
          <w:rFonts w:ascii="Arial" w:hAnsi="Arial" w:cs="Arial"/>
          <w:b w:val="0"/>
          <w:bCs w:val="0"/>
          <w:sz w:val="20"/>
          <w:szCs w:val="20"/>
        </w:rPr>
      </w:pPr>
      <w:r w:rsidRPr="007219D9">
        <w:rPr>
          <w:rStyle w:val="Strong"/>
          <w:rFonts w:ascii="Arial" w:hAnsi="Arial" w:cs="Arial"/>
          <w:b w:val="0"/>
          <w:bCs w:val="0"/>
          <w:sz w:val="20"/>
          <w:szCs w:val="20"/>
        </w:rPr>
        <w:t>The results confirm high measurement reliability and validity. The structural model reveals that effective institutional implementation of NEP – 2020 leads to improved performance quality, which has a positive and statistically significant impact on student satisfaction. The mediation analysis also indicates that institutional performance quality acts as a key transmission mechanism between policy implementation and student satisfaction. Overall, the findings suggest that the success of NEP – 2020 depends more on effective institutional performance, availability of academic resources, and robust student support mechanisms than on formal policy adoption.</w:t>
      </w:r>
    </w:p>
    <w:p w14:paraId="37704BDF" w14:textId="0B2C5CBF" w:rsidR="00C26C64" w:rsidRPr="007219D9" w:rsidRDefault="00C26C64" w:rsidP="00C32C12">
      <w:pPr>
        <w:pStyle w:val="NormalWeb"/>
        <w:rPr>
          <w:rFonts w:ascii="Arial" w:hAnsi="Arial" w:cs="Arial"/>
          <w:sz w:val="20"/>
          <w:szCs w:val="20"/>
        </w:rPr>
      </w:pPr>
      <w:r w:rsidRPr="007219D9">
        <w:rPr>
          <w:rStyle w:val="Strong"/>
          <w:rFonts w:ascii="Arial" w:hAnsi="Arial" w:cs="Arial"/>
          <w:sz w:val="20"/>
          <w:szCs w:val="20"/>
        </w:rPr>
        <w:t>Keywords:</w:t>
      </w:r>
      <w:r w:rsidR="00302600" w:rsidRPr="007219D9">
        <w:rPr>
          <w:rFonts w:ascii="Arial" w:hAnsi="Arial" w:cs="Arial"/>
          <w:sz w:val="20"/>
          <w:szCs w:val="20"/>
        </w:rPr>
        <w:t xml:space="preserve"> </w:t>
      </w:r>
      <w:r w:rsidRPr="007219D9">
        <w:rPr>
          <w:rFonts w:ascii="Arial" w:hAnsi="Arial" w:cs="Arial"/>
          <w:sz w:val="20"/>
          <w:szCs w:val="20"/>
        </w:rPr>
        <w:t>National Education Policy–2020; Higher Education</w:t>
      </w:r>
      <w:r w:rsidR="001872F1" w:rsidRPr="007219D9">
        <w:rPr>
          <w:rFonts w:ascii="Arial" w:hAnsi="Arial" w:cs="Arial"/>
          <w:sz w:val="20"/>
          <w:szCs w:val="20"/>
        </w:rPr>
        <w:t xml:space="preserve"> Uttarakhand</w:t>
      </w:r>
      <w:r w:rsidRPr="007219D9">
        <w:rPr>
          <w:rFonts w:ascii="Arial" w:hAnsi="Arial" w:cs="Arial"/>
          <w:sz w:val="20"/>
          <w:szCs w:val="20"/>
        </w:rPr>
        <w:t>; Institutional Implementation; Student Satisfaction; Service Quality; PLS-SEM</w:t>
      </w:r>
      <w:r w:rsidR="001872F1" w:rsidRPr="007219D9">
        <w:rPr>
          <w:rFonts w:ascii="Arial" w:hAnsi="Arial" w:cs="Arial"/>
          <w:sz w:val="20"/>
          <w:szCs w:val="20"/>
        </w:rPr>
        <w:t xml:space="preserve"> Analysis</w:t>
      </w:r>
    </w:p>
    <w:p w14:paraId="670C1260" w14:textId="77777777" w:rsidR="00DE6C4A" w:rsidRPr="007219D9" w:rsidRDefault="003B3E0D" w:rsidP="00C32C12">
      <w:pPr>
        <w:spacing w:before="100" w:beforeAutospacing="1" w:after="100" w:afterAutospacing="1" w:line="240" w:lineRule="auto"/>
        <w:outlineLvl w:val="2"/>
        <w:rPr>
          <w:rFonts w:ascii="Arial" w:eastAsia="Times New Roman" w:hAnsi="Arial" w:cs="Arial"/>
          <w:b/>
          <w:bCs/>
          <w:lang w:bidi="hi-IN"/>
        </w:rPr>
      </w:pPr>
      <w:r w:rsidRPr="007219D9">
        <w:rPr>
          <w:rFonts w:ascii="Arial" w:eastAsia="Times New Roman" w:hAnsi="Arial" w:cs="Arial"/>
          <w:b/>
          <w:bCs/>
          <w:lang w:bidi="hi-IN"/>
        </w:rPr>
        <w:t>Introduction</w:t>
      </w:r>
    </w:p>
    <w:p w14:paraId="32507ADF" w14:textId="3DC79324" w:rsidR="001872F1" w:rsidRPr="007219D9" w:rsidRDefault="001872F1" w:rsidP="004F1EFA">
      <w:pPr>
        <w:spacing w:after="0" w:line="240" w:lineRule="auto"/>
        <w:ind w:firstLine="720"/>
        <w:jc w:val="both"/>
        <w:rPr>
          <w:rFonts w:ascii="Arial" w:hAnsi="Arial" w:cs="Arial"/>
          <w:color w:val="222222"/>
          <w:sz w:val="20"/>
          <w:szCs w:val="20"/>
          <w:shd w:val="clear" w:color="auto" w:fill="FFFFFF"/>
        </w:rPr>
      </w:pPr>
      <w:r w:rsidRPr="007219D9">
        <w:rPr>
          <w:rFonts w:ascii="Arial" w:hAnsi="Arial" w:cs="Arial"/>
          <w:color w:val="222222"/>
          <w:sz w:val="20"/>
          <w:szCs w:val="20"/>
          <w:shd w:val="clear" w:color="auto" w:fill="FFFFFF"/>
        </w:rPr>
        <w:t>The National Education Policy (NEP) – 2020 is a landmark and far-reaching reformative initiative in India's education system, designed to holistically transform the higher education system by promoting multidisciplinary education, curricular flexibility, equity, quality enhancement, and effective governance (Government of India, 2020). Replacing the three-decade-old National Education Policy – ​​1986, NEP – 2020 attempts to realign India's higher education framework with global best practices while also adopting an approach sensitive to local socio-economic and regional realities. Key provisions of the policy include a flexible undergraduate structure with multiple entry and exit options, an Academic Bank of Credits, a strong emphasis on skill development and employment-oriented education, technology-enabled teaching-learning processes, and a shift towards a student-centric and outcome-based education system (Aithal &amp; Aithal, 2020; Tilak, 2021).</w:t>
      </w:r>
    </w:p>
    <w:p w14:paraId="5486968D" w14:textId="77777777" w:rsidR="001872F1" w:rsidRPr="007219D9" w:rsidRDefault="001872F1" w:rsidP="004F1EFA">
      <w:pPr>
        <w:spacing w:after="0" w:line="240" w:lineRule="auto"/>
        <w:jc w:val="both"/>
        <w:rPr>
          <w:rFonts w:ascii="Arial" w:hAnsi="Arial" w:cs="Arial"/>
          <w:color w:val="222222"/>
          <w:sz w:val="20"/>
          <w:szCs w:val="20"/>
          <w:shd w:val="clear" w:color="auto" w:fill="FFFFFF"/>
        </w:rPr>
      </w:pPr>
    </w:p>
    <w:p w14:paraId="5F1D8A83" w14:textId="02A1702C" w:rsidR="00302600" w:rsidRPr="007219D9" w:rsidRDefault="001872F1" w:rsidP="004F1EFA">
      <w:pPr>
        <w:spacing w:after="0" w:line="240" w:lineRule="auto"/>
        <w:ind w:firstLine="720"/>
        <w:jc w:val="both"/>
        <w:rPr>
          <w:rFonts w:ascii="Arial" w:hAnsi="Arial" w:cs="Arial"/>
          <w:color w:val="222222"/>
          <w:sz w:val="20"/>
          <w:szCs w:val="20"/>
          <w:shd w:val="clear" w:color="auto" w:fill="FFFFFF"/>
        </w:rPr>
      </w:pPr>
      <w:r w:rsidRPr="007219D9">
        <w:rPr>
          <w:rFonts w:ascii="Arial" w:hAnsi="Arial" w:cs="Arial"/>
          <w:color w:val="222222"/>
          <w:sz w:val="20"/>
          <w:szCs w:val="20"/>
          <w:shd w:val="clear" w:color="auto" w:fill="FFFFFF"/>
        </w:rPr>
        <w:t xml:space="preserve">Higher education plays a central role in regional development, human capital formation, and social mobility, particularly in geographically diverse and socio-economically sensitive states like Uttarakhand. The combination of mountainous and plain regions, scattered population, infrastructure limitations, and challenges related to educational access provide a unique context for the implementation of national education reforms in Uttarakhand. In such circumstances, the effectiveness of NEP – 2020 depends not only on the policy's design but also on institutional preparedness, the availability of academic and digital resources, administrative capacity, and student awareness and engagement with the policy provisions (Joshi &amp; </w:t>
      </w:r>
      <w:proofErr w:type="spellStart"/>
      <w:r w:rsidRPr="007219D9">
        <w:rPr>
          <w:rFonts w:ascii="Arial" w:hAnsi="Arial" w:cs="Arial"/>
          <w:color w:val="222222"/>
          <w:sz w:val="20"/>
          <w:szCs w:val="20"/>
          <w:shd w:val="clear" w:color="auto" w:fill="FFFFFF"/>
        </w:rPr>
        <w:t>Dangwal</w:t>
      </w:r>
      <w:proofErr w:type="spellEnd"/>
      <w:r w:rsidRPr="007219D9">
        <w:rPr>
          <w:rFonts w:ascii="Arial" w:hAnsi="Arial" w:cs="Arial"/>
          <w:color w:val="222222"/>
          <w:sz w:val="20"/>
          <w:szCs w:val="20"/>
          <w:shd w:val="clear" w:color="auto" w:fill="FFFFFF"/>
        </w:rPr>
        <w:t xml:space="preserve">, 2022). Therefore, evaluating the implementation of NEP from a student perspective becomes crucial to understanding its actual implementation at the institutional and classroom levels. Although a growing body of literature discusses the conceptual framework, reform objectives, and expected outcomes of the National Education Policy (NEP) 2020, empirical evidence regarding its implementation at the grassroots level remains relatively limited (Kumar, 2021; Tilak, 2021). Specifically, student-centric evaluations at the state level are scarce, even though students are key stakeholders and direct beneficiaries of higher education reforms. Perception-based evaluations are crucial because they illuminate how policy interventions translate into actual educational experiences, including curriculum delivery, access to learning resources, skills-based learning, and institutional support mechanisms (Aithal &amp; Aithal, 2020). Against this backdrop, the present study analyzes the status of NEP 2020 implementation in higher education institutions in Uttarakhand, empirically assessing the availability of key policy provisions and students' perceptions of their implementation. Based on primary data collected from students </w:t>
      </w:r>
      <w:r w:rsidRPr="007219D9">
        <w:rPr>
          <w:rFonts w:ascii="Arial" w:hAnsi="Arial" w:cs="Arial"/>
          <w:color w:val="222222"/>
          <w:sz w:val="20"/>
          <w:szCs w:val="20"/>
          <w:shd w:val="clear" w:color="auto" w:fill="FFFFFF"/>
        </w:rPr>
        <w:lastRenderedPageBreak/>
        <w:t>studying in government, aided, and private institutions located in both the hilly and plain regions of the state, this study provides evidence-based insights into the effectiveness of NEP 2020 at the ground level.</w:t>
      </w:r>
      <w:r w:rsidR="00302600" w:rsidRPr="007219D9">
        <w:rPr>
          <w:rFonts w:ascii="Arial" w:hAnsi="Arial" w:cs="Arial"/>
          <w:color w:val="222222"/>
          <w:sz w:val="20"/>
          <w:szCs w:val="20"/>
          <w:shd w:val="clear" w:color="auto" w:fill="FFFFFF"/>
        </w:rPr>
        <w:t xml:space="preserve"> </w:t>
      </w:r>
      <w:r w:rsidRPr="007219D9">
        <w:rPr>
          <w:rFonts w:ascii="Arial" w:hAnsi="Arial" w:cs="Arial"/>
          <w:color w:val="222222"/>
          <w:sz w:val="20"/>
          <w:szCs w:val="20"/>
          <w:shd w:val="clear" w:color="auto" w:fill="FFFFFF"/>
        </w:rPr>
        <w:t>This study is one of the first to empirically validate the implementation of NEP 2020 using a student-perspective-based Partial Least Squares–Structural Equation Modeling (PLS-SEM) framework in the context of a Himalayan state, thereby making a significant contribution to both education policy literature and region-specific higher education planning.</w:t>
      </w:r>
      <w:r w:rsidR="00302600" w:rsidRPr="007219D9">
        <w:rPr>
          <w:rFonts w:ascii="Arial" w:hAnsi="Arial" w:cs="Arial"/>
          <w:color w:val="222222"/>
          <w:sz w:val="20"/>
          <w:szCs w:val="20"/>
          <w:shd w:val="clear" w:color="auto" w:fill="FFFFFF"/>
        </w:rPr>
        <w:t xml:space="preserve"> </w:t>
      </w:r>
    </w:p>
    <w:p w14:paraId="3B5375BA" w14:textId="77777777" w:rsidR="00302600" w:rsidRPr="007219D9" w:rsidRDefault="00302600" w:rsidP="00C32C12">
      <w:pPr>
        <w:spacing w:after="0" w:line="240" w:lineRule="auto"/>
        <w:rPr>
          <w:rFonts w:ascii="Arial" w:hAnsi="Arial" w:cs="Arial"/>
          <w:color w:val="222222"/>
          <w:shd w:val="clear" w:color="auto" w:fill="FFFFFF"/>
        </w:rPr>
      </w:pPr>
    </w:p>
    <w:p w14:paraId="70B5B9ED" w14:textId="0B579DF5" w:rsidR="00302600" w:rsidRPr="007219D9" w:rsidRDefault="00DE6C4A" w:rsidP="00C32C12">
      <w:pPr>
        <w:spacing w:after="0" w:line="240" w:lineRule="auto"/>
        <w:rPr>
          <w:rFonts w:ascii="Arial" w:hAnsi="Arial" w:cs="Arial"/>
          <w:b/>
          <w:bCs/>
          <w:color w:val="000000" w:themeColor="text1"/>
        </w:rPr>
      </w:pPr>
      <w:r w:rsidRPr="007219D9">
        <w:rPr>
          <w:rFonts w:ascii="Arial" w:hAnsi="Arial" w:cs="Arial"/>
          <w:b/>
          <w:bCs/>
          <w:color w:val="000000" w:themeColor="text1"/>
        </w:rPr>
        <w:t>Review of Literature</w:t>
      </w:r>
      <w:r w:rsidR="001872F1" w:rsidRPr="007219D9">
        <w:rPr>
          <w:rFonts w:ascii="Arial" w:hAnsi="Arial" w:cs="Arial"/>
          <w:b/>
          <w:bCs/>
          <w:color w:val="000000" w:themeColor="text1"/>
        </w:rPr>
        <w:t>-</w:t>
      </w:r>
      <w:r w:rsidR="00302600" w:rsidRPr="007219D9">
        <w:rPr>
          <w:rFonts w:ascii="Arial" w:hAnsi="Arial" w:cs="Arial"/>
          <w:b/>
          <w:bCs/>
          <w:color w:val="000000" w:themeColor="text1"/>
        </w:rPr>
        <w:t xml:space="preserve"> </w:t>
      </w:r>
    </w:p>
    <w:p w14:paraId="3AC8E45C" w14:textId="3E021393" w:rsidR="001872F1" w:rsidRPr="007219D9" w:rsidRDefault="001872F1" w:rsidP="004F1EFA">
      <w:pPr>
        <w:spacing w:after="0" w:line="240" w:lineRule="auto"/>
        <w:jc w:val="both"/>
        <w:rPr>
          <w:rFonts w:ascii="Arial" w:hAnsi="Arial" w:cs="Arial"/>
          <w:color w:val="000000" w:themeColor="text1"/>
          <w:sz w:val="20"/>
          <w:szCs w:val="20"/>
        </w:rPr>
      </w:pPr>
      <w:r w:rsidRPr="007219D9">
        <w:rPr>
          <w:rFonts w:ascii="Arial" w:hAnsi="Arial" w:cs="Arial"/>
          <w:color w:val="000000" w:themeColor="text1"/>
          <w:sz w:val="20"/>
          <w:szCs w:val="20"/>
        </w:rPr>
        <w:t>The contemporary literature available on the National Education Policy (NEP) – 2020 generally characterizes it as a transformative reform aimed at bringing about comprehensive improvements in equity, quality, flexibility, and governance in higher education. Many scholars emphasize that while NEP-2020 presents a progressive and holistic policy framework, its actual effectiveness ultimately depends on institutional preparedness, administrative capacity, and sustained public investment at the state level (Aithal &amp; Aithal, 2020; Tilak, 2021).</w:t>
      </w:r>
      <w:r w:rsidR="009B6738" w:rsidRPr="007219D9">
        <w:rPr>
          <w:rFonts w:ascii="Arial" w:hAnsi="Arial" w:cs="Arial"/>
          <w:color w:val="000000" w:themeColor="text1"/>
          <w:sz w:val="20"/>
          <w:szCs w:val="20"/>
        </w:rPr>
        <w:t xml:space="preserve"> </w:t>
      </w:r>
      <w:r w:rsidRPr="007219D9">
        <w:rPr>
          <w:rFonts w:ascii="Arial" w:hAnsi="Arial" w:cs="Arial"/>
          <w:color w:val="000000" w:themeColor="text1"/>
          <w:sz w:val="20"/>
          <w:szCs w:val="20"/>
        </w:rPr>
        <w:t>The policy's emphasis on multidisciplinary education, outcome-based learning, and flexible academic pathways—such as multiple entry and exit options and the Academic Bank of Credits—underscores the need for well-equipped institutions and robust academic support systems to translate policy intentions into meaningful student outcomes (Kumar, 2021). In this context, student awareness and participation emerge as crucial factors in determining whether policy reforms are experienced positively at the grassroots level.</w:t>
      </w:r>
      <w:r w:rsidR="00302600" w:rsidRPr="007219D9">
        <w:rPr>
          <w:rFonts w:ascii="Arial" w:hAnsi="Arial" w:cs="Arial"/>
          <w:color w:val="000000" w:themeColor="text1"/>
          <w:sz w:val="20"/>
          <w:szCs w:val="20"/>
        </w:rPr>
        <w:t xml:space="preserve"> </w:t>
      </w:r>
      <w:r w:rsidRPr="007219D9">
        <w:rPr>
          <w:rFonts w:ascii="Arial" w:hAnsi="Arial" w:cs="Arial"/>
          <w:color w:val="000000" w:themeColor="text1"/>
          <w:sz w:val="20"/>
          <w:szCs w:val="20"/>
        </w:rPr>
        <w:t xml:space="preserve">An emerging stream of empirical studies highlights the critical role of regional and institutional contexts in shaping the implementation of NEP-2020. Research focusing on the Himalayan and geographically challenging regions indicates that infrastructural limitations, the digital divide, and challenges related to educational access significantly impact the effective execution of national education reforms (Joshi &amp; </w:t>
      </w:r>
      <w:proofErr w:type="spellStart"/>
      <w:r w:rsidRPr="007219D9">
        <w:rPr>
          <w:rFonts w:ascii="Arial" w:hAnsi="Arial" w:cs="Arial"/>
          <w:color w:val="000000" w:themeColor="text1"/>
          <w:sz w:val="20"/>
          <w:szCs w:val="20"/>
        </w:rPr>
        <w:t>Dangwal</w:t>
      </w:r>
      <w:proofErr w:type="spellEnd"/>
      <w:r w:rsidRPr="007219D9">
        <w:rPr>
          <w:rFonts w:ascii="Arial" w:hAnsi="Arial" w:cs="Arial"/>
          <w:color w:val="000000" w:themeColor="text1"/>
          <w:sz w:val="20"/>
          <w:szCs w:val="20"/>
        </w:rPr>
        <w:t>, 2022). These constraints are particularly relevant in states like Uttarakhand, where a dispersed population and unequal distribution of resources complicate equitable and effective policy implementation.</w:t>
      </w:r>
      <w:r w:rsidR="009B6738" w:rsidRPr="007219D9">
        <w:rPr>
          <w:rFonts w:ascii="Arial" w:hAnsi="Arial" w:cs="Arial"/>
          <w:color w:val="000000" w:themeColor="text1"/>
          <w:sz w:val="20"/>
          <w:szCs w:val="20"/>
        </w:rPr>
        <w:t xml:space="preserve"> </w:t>
      </w:r>
      <w:r w:rsidRPr="007219D9">
        <w:rPr>
          <w:rFonts w:ascii="Arial" w:hAnsi="Arial" w:cs="Arial"/>
          <w:color w:val="000000" w:themeColor="text1"/>
          <w:sz w:val="20"/>
          <w:szCs w:val="20"/>
        </w:rPr>
        <w:t xml:space="preserve">Scholars also argue that the shift from rote learning to competency-based and skill-oriented education envisioned by NEP-2020 places additional demands on institutional capacity, faculty preparedness, and the availability of learning resources (Mishra, 2021). In this context, students' perceptions provide a reliable and timely indicator of the practical effectiveness of curriculum reforms, teaching-learning processes, and institutional support </w:t>
      </w:r>
      <w:proofErr w:type="spellStart"/>
      <w:proofErr w:type="gramStart"/>
      <w:r w:rsidRPr="007219D9">
        <w:rPr>
          <w:rFonts w:ascii="Arial" w:hAnsi="Arial" w:cs="Arial"/>
          <w:color w:val="000000" w:themeColor="text1"/>
          <w:sz w:val="20"/>
          <w:szCs w:val="20"/>
        </w:rPr>
        <w:t>mechanisms.Another</w:t>
      </w:r>
      <w:proofErr w:type="spellEnd"/>
      <w:proofErr w:type="gramEnd"/>
      <w:r w:rsidRPr="007219D9">
        <w:rPr>
          <w:rFonts w:ascii="Arial" w:hAnsi="Arial" w:cs="Arial"/>
          <w:color w:val="000000" w:themeColor="text1"/>
          <w:sz w:val="20"/>
          <w:szCs w:val="20"/>
        </w:rPr>
        <w:t xml:space="preserve"> important aspect of the literature reveals that governance structures, institutional communication, and stakeholder engagement play a crucial role in determining policy outcomes. Numerous studies have reported that inadequate orientation programs and weak communication strategies limit students' understanding of NEP provisions, preventing the full realization of the reforms' intended benefits (Singh &amp; Srivastava, 2021). Institutional preparedness—including trained faculty, adequate academic resources, and administrative support—has been identified as a significant factor influencing student satisfaction in the context of NEP implementation (Kumar &amp; Sharma, 2022).</w:t>
      </w:r>
      <w:r w:rsidR="009B6738" w:rsidRPr="007219D9">
        <w:rPr>
          <w:rFonts w:ascii="Arial" w:hAnsi="Arial" w:cs="Arial"/>
          <w:color w:val="000000" w:themeColor="text1"/>
          <w:sz w:val="20"/>
          <w:szCs w:val="20"/>
        </w:rPr>
        <w:t xml:space="preserve"> </w:t>
      </w:r>
      <w:r w:rsidRPr="007219D9">
        <w:rPr>
          <w:rFonts w:ascii="Arial" w:hAnsi="Arial" w:cs="Arial"/>
          <w:color w:val="000000" w:themeColor="text1"/>
          <w:sz w:val="20"/>
          <w:szCs w:val="20"/>
        </w:rPr>
        <w:t>At the systemic level, capacity deficits at both the institutional and state levels have been blamed for the recurring implementation shortcomings in Indian higher education reforms, further reinforcing the need for empirical and student-centered evaluations (Tilak &amp; Verghese, 2020). Governance-based analyses also argue that decentralization and institutional autonomy can only enhance academic quality when supported by transparency, accountability, and meaningful student participation (Agarwal, 2021).</w:t>
      </w:r>
      <w:r w:rsidR="009B6738" w:rsidRPr="007219D9">
        <w:rPr>
          <w:rFonts w:ascii="Arial" w:hAnsi="Arial" w:cs="Arial"/>
          <w:color w:val="000000" w:themeColor="text1"/>
          <w:sz w:val="20"/>
          <w:szCs w:val="20"/>
        </w:rPr>
        <w:t xml:space="preserve"> </w:t>
      </w:r>
      <w:r w:rsidRPr="007219D9">
        <w:rPr>
          <w:rFonts w:ascii="Arial" w:hAnsi="Arial" w:cs="Arial"/>
          <w:color w:val="000000" w:themeColor="text1"/>
          <w:sz w:val="20"/>
          <w:szCs w:val="20"/>
        </w:rPr>
        <w:t>International policy research also supports these findings and emphasizes the importance of stakeholder-centered evaluation frameworks. Global institutions highlight that continuous feedback from students is essential to ensure the inclusivity, accessibility, and relevance of education reforms across diverse socio-economic contexts. Similarly, international studies acknowledge the need for perception-based evaluation models in higher education to bridge the gap between policy frameworks and actual learning experiences. Complementing these perspectives, evidence from mountainous states shows that social and economic factors profoundly influence access to and participation in higher education, further highlighting the need for region-specific and student-centered evaluations of national policies such as NEP-2020 (Pandey and Singh, 2016).</w:t>
      </w:r>
    </w:p>
    <w:p w14:paraId="45B777FF" w14:textId="75F166DA" w:rsidR="00DE6C4A" w:rsidRPr="007219D9" w:rsidRDefault="00DE6C4A"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Research Gap</w:t>
      </w:r>
      <w:r w:rsidR="009B6738" w:rsidRPr="007219D9">
        <w:rPr>
          <w:rFonts w:ascii="Arial" w:hAnsi="Arial" w:cs="Arial"/>
          <w:b/>
          <w:bCs/>
          <w:color w:val="000000" w:themeColor="text1"/>
          <w:sz w:val="22"/>
          <w:szCs w:val="22"/>
        </w:rPr>
        <w:t>-</w:t>
      </w:r>
    </w:p>
    <w:p w14:paraId="4FB0FA16" w14:textId="616A29E6" w:rsidR="003B3E0D" w:rsidRPr="007219D9" w:rsidRDefault="009B6738" w:rsidP="004F1EFA">
      <w:pPr>
        <w:spacing w:after="0" w:line="240" w:lineRule="auto"/>
        <w:ind w:firstLine="720"/>
        <w:jc w:val="both"/>
        <w:rPr>
          <w:rFonts w:ascii="Arial" w:eastAsia="Times New Roman" w:hAnsi="Arial" w:cs="Arial"/>
          <w:sz w:val="20"/>
          <w:szCs w:val="20"/>
          <w:lang w:bidi="hi-IN"/>
        </w:rPr>
      </w:pPr>
      <w:r w:rsidRPr="007219D9">
        <w:rPr>
          <w:rFonts w:ascii="Arial" w:eastAsia="Times New Roman" w:hAnsi="Arial" w:cs="Arial"/>
          <w:sz w:val="20"/>
          <w:szCs w:val="20"/>
          <w:lang w:bidi="hi-IN"/>
        </w:rPr>
        <w:t>Although the National Education Policy (NEP) 2020 has received widespread acceptance as a transformative reform in higher education, a significant gap remains in empirical research at the state and institutional levels, particularly regarding student-</w:t>
      </w:r>
      <w:proofErr w:type="spellStart"/>
      <w:r w:rsidRPr="007219D9">
        <w:rPr>
          <w:rFonts w:ascii="Arial" w:eastAsia="Times New Roman" w:hAnsi="Arial" w:cs="Arial"/>
          <w:sz w:val="20"/>
          <w:szCs w:val="20"/>
          <w:lang w:bidi="hi-IN"/>
        </w:rPr>
        <w:t>centred</w:t>
      </w:r>
      <w:proofErr w:type="spellEnd"/>
      <w:r w:rsidRPr="007219D9">
        <w:rPr>
          <w:rFonts w:ascii="Arial" w:eastAsia="Times New Roman" w:hAnsi="Arial" w:cs="Arial"/>
          <w:sz w:val="20"/>
          <w:szCs w:val="20"/>
          <w:lang w:bidi="hi-IN"/>
        </w:rPr>
        <w:t xml:space="preserve"> evaluation. Most studies are limited to policy objectives and conceptual frameworks, paying little attention to the actual implementation experienced by students on the ground. In this context, the present study provides a methodologically rigorous evaluation of the implementation of NEP-2020 in the state of Uttarakhand from a student perspective. Through the PLS-SEM methodology, this study makes an empirical contribution to the education policy literature and provides valuable insights for evidence-based higher education policy-making.</w:t>
      </w:r>
    </w:p>
    <w:p w14:paraId="40D63D10" w14:textId="77777777" w:rsidR="009B6738" w:rsidRPr="007219D9" w:rsidRDefault="009B6738" w:rsidP="004F1EFA">
      <w:pPr>
        <w:spacing w:after="0" w:line="240" w:lineRule="auto"/>
        <w:jc w:val="both"/>
        <w:rPr>
          <w:rFonts w:ascii="Arial" w:eastAsia="Times New Roman" w:hAnsi="Arial" w:cs="Arial"/>
          <w:sz w:val="20"/>
          <w:szCs w:val="20"/>
          <w:lang w:bidi="hi-IN"/>
        </w:rPr>
      </w:pPr>
    </w:p>
    <w:p w14:paraId="5376FF53" w14:textId="2BEDC0AD" w:rsidR="007721DB" w:rsidRPr="007219D9" w:rsidRDefault="007721DB"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Objectives of the Study</w:t>
      </w:r>
      <w:r w:rsidR="00C32C12" w:rsidRPr="007219D9">
        <w:rPr>
          <w:rFonts w:ascii="Arial" w:hAnsi="Arial" w:cs="Arial"/>
          <w:b/>
          <w:bCs/>
          <w:color w:val="000000" w:themeColor="text1"/>
          <w:sz w:val="22"/>
          <w:szCs w:val="22"/>
        </w:rPr>
        <w:t>-</w:t>
      </w:r>
    </w:p>
    <w:p w14:paraId="172DEB1F" w14:textId="7051292C" w:rsidR="007721DB" w:rsidRPr="007219D9" w:rsidRDefault="007721DB" w:rsidP="004F1EFA">
      <w:pPr>
        <w:pStyle w:val="NormalWeb"/>
        <w:jc w:val="both"/>
        <w:rPr>
          <w:rFonts w:ascii="Arial" w:hAnsi="Arial" w:cs="Arial"/>
          <w:sz w:val="20"/>
          <w:szCs w:val="20"/>
        </w:rPr>
      </w:pPr>
      <w:r w:rsidRPr="007219D9">
        <w:rPr>
          <w:rStyle w:val="Strong"/>
          <w:rFonts w:ascii="Arial" w:eastAsiaTheme="majorEastAsia" w:hAnsi="Arial" w:cs="Arial"/>
          <w:sz w:val="20"/>
          <w:szCs w:val="20"/>
        </w:rPr>
        <w:t>Objective 1:</w:t>
      </w:r>
      <w:r w:rsidRPr="007219D9">
        <w:rPr>
          <w:rFonts w:ascii="Arial" w:hAnsi="Arial" w:cs="Arial"/>
          <w:sz w:val="20"/>
          <w:szCs w:val="20"/>
        </w:rPr>
        <w:t xml:space="preserve"> </w:t>
      </w:r>
      <w:r w:rsidR="009B6738" w:rsidRPr="007219D9">
        <w:rPr>
          <w:rFonts w:ascii="Arial" w:hAnsi="Arial" w:cs="Arial"/>
          <w:sz w:val="20"/>
          <w:szCs w:val="20"/>
        </w:rPr>
        <w:t>To empirically examine the impact of aspects of implementing NEP-2020—specifically, the availability of information and the effectiveness of institutional functioning—on overall student satisfaction in higher education institutions in Uttarakhand State.</w:t>
      </w:r>
    </w:p>
    <w:p w14:paraId="737CCF09" w14:textId="067A6E87" w:rsidR="007721DB" w:rsidRPr="007219D9" w:rsidRDefault="007721DB" w:rsidP="004F1EFA">
      <w:pPr>
        <w:pStyle w:val="NormalWeb"/>
        <w:jc w:val="both"/>
        <w:rPr>
          <w:rFonts w:ascii="Arial" w:hAnsi="Arial" w:cs="Arial"/>
          <w:sz w:val="20"/>
          <w:szCs w:val="20"/>
        </w:rPr>
      </w:pPr>
      <w:r w:rsidRPr="007219D9">
        <w:rPr>
          <w:rStyle w:val="Strong"/>
          <w:rFonts w:ascii="Arial" w:eastAsiaTheme="majorEastAsia" w:hAnsi="Arial" w:cs="Arial"/>
          <w:sz w:val="20"/>
          <w:szCs w:val="20"/>
        </w:rPr>
        <w:t>Objective 2:</w:t>
      </w:r>
      <w:r w:rsidRPr="007219D9">
        <w:rPr>
          <w:rFonts w:ascii="Arial" w:hAnsi="Arial" w:cs="Arial"/>
          <w:sz w:val="20"/>
          <w:szCs w:val="20"/>
        </w:rPr>
        <w:t xml:space="preserve"> </w:t>
      </w:r>
      <w:r w:rsidR="009B6738" w:rsidRPr="007219D9">
        <w:rPr>
          <w:rFonts w:ascii="Arial" w:hAnsi="Arial" w:cs="Arial"/>
          <w:sz w:val="20"/>
          <w:szCs w:val="20"/>
        </w:rPr>
        <w:t xml:space="preserve">To </w:t>
      </w:r>
      <w:r w:rsidR="00AA6F83" w:rsidRPr="007219D9">
        <w:rPr>
          <w:rFonts w:ascii="Arial" w:hAnsi="Arial" w:cs="Arial"/>
          <w:sz w:val="20"/>
          <w:szCs w:val="20"/>
        </w:rPr>
        <w:t>validate</w:t>
      </w:r>
      <w:r w:rsidR="009B6738" w:rsidRPr="007219D9">
        <w:rPr>
          <w:rFonts w:ascii="Arial" w:hAnsi="Arial" w:cs="Arial"/>
          <w:sz w:val="20"/>
          <w:szCs w:val="20"/>
        </w:rPr>
        <w:t xml:space="preserve"> a structural relationship model using the Partial Least Squares–Structural Equation </w:t>
      </w:r>
      <w:r w:rsidR="00AA6F83" w:rsidRPr="007219D9">
        <w:rPr>
          <w:rFonts w:ascii="Arial" w:hAnsi="Arial" w:cs="Arial"/>
          <w:sz w:val="20"/>
          <w:szCs w:val="20"/>
        </w:rPr>
        <w:t>Modelling</w:t>
      </w:r>
      <w:r w:rsidR="009B6738" w:rsidRPr="007219D9">
        <w:rPr>
          <w:rFonts w:ascii="Arial" w:hAnsi="Arial" w:cs="Arial"/>
          <w:sz w:val="20"/>
          <w:szCs w:val="20"/>
        </w:rPr>
        <w:t xml:space="preserve"> (PLS-SEM) approach, which explains how the implementation of NEP-2020 affects student satisfaction.</w:t>
      </w:r>
    </w:p>
    <w:p w14:paraId="161F777F" w14:textId="4D28ACF4" w:rsidR="007721DB" w:rsidRPr="007219D9" w:rsidRDefault="007721DB"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lastRenderedPageBreak/>
        <w:t>Hypotheses of the Study</w:t>
      </w:r>
      <w:r w:rsidR="009B6738" w:rsidRPr="007219D9">
        <w:rPr>
          <w:rFonts w:ascii="Arial" w:hAnsi="Arial" w:cs="Arial"/>
          <w:b/>
          <w:bCs/>
          <w:color w:val="000000" w:themeColor="text1"/>
          <w:sz w:val="22"/>
          <w:szCs w:val="22"/>
        </w:rPr>
        <w:t>-</w:t>
      </w:r>
    </w:p>
    <w:p w14:paraId="5037F3EA" w14:textId="07C76DAE" w:rsidR="007721DB" w:rsidRPr="007219D9" w:rsidRDefault="007721DB" w:rsidP="004F1EFA">
      <w:pPr>
        <w:pStyle w:val="NormalWeb"/>
        <w:jc w:val="both"/>
        <w:rPr>
          <w:rFonts w:ascii="Arial" w:hAnsi="Arial" w:cs="Arial"/>
          <w:sz w:val="20"/>
          <w:szCs w:val="20"/>
        </w:rPr>
      </w:pPr>
      <w:r w:rsidRPr="007219D9">
        <w:rPr>
          <w:rStyle w:val="Strong"/>
          <w:rFonts w:ascii="Arial" w:eastAsiaTheme="majorEastAsia" w:hAnsi="Arial" w:cs="Arial"/>
          <w:sz w:val="20"/>
          <w:szCs w:val="20"/>
        </w:rPr>
        <w:t>H1:</w:t>
      </w:r>
      <w:r w:rsidR="009B6738" w:rsidRPr="007219D9">
        <w:rPr>
          <w:rFonts w:ascii="Arial" w:hAnsi="Arial" w:cs="Arial"/>
          <w:sz w:val="20"/>
          <w:szCs w:val="20"/>
        </w:rPr>
        <w:t xml:space="preserve"> </w:t>
      </w:r>
      <w:r w:rsidRPr="007219D9">
        <w:rPr>
          <w:rFonts w:ascii="Arial" w:hAnsi="Arial" w:cs="Arial"/>
          <w:sz w:val="20"/>
          <w:szCs w:val="20"/>
        </w:rPr>
        <w:t>Availability of N</w:t>
      </w:r>
      <w:r w:rsidR="009B6738" w:rsidRPr="007219D9">
        <w:rPr>
          <w:rFonts w:ascii="Arial" w:hAnsi="Arial" w:cs="Arial"/>
          <w:sz w:val="20"/>
          <w:szCs w:val="20"/>
        </w:rPr>
        <w:t>ational Education Policy</w:t>
      </w:r>
      <w:r w:rsidRPr="007219D9">
        <w:rPr>
          <w:rFonts w:ascii="Arial" w:hAnsi="Arial" w:cs="Arial"/>
          <w:sz w:val="20"/>
          <w:szCs w:val="20"/>
        </w:rPr>
        <w:t>–2020 related information and academic provisions has a significant positive effect on student satisfaction in higher education institutions of Uttarakhand</w:t>
      </w:r>
      <w:r w:rsidR="009B6738" w:rsidRPr="007219D9">
        <w:rPr>
          <w:rFonts w:ascii="Arial" w:hAnsi="Arial" w:cs="Arial"/>
          <w:sz w:val="20"/>
          <w:szCs w:val="20"/>
        </w:rPr>
        <w:t xml:space="preserve"> State</w:t>
      </w:r>
      <w:r w:rsidRPr="007219D9">
        <w:rPr>
          <w:rFonts w:ascii="Arial" w:hAnsi="Arial" w:cs="Arial"/>
          <w:sz w:val="20"/>
          <w:szCs w:val="20"/>
        </w:rPr>
        <w:t>.</w:t>
      </w:r>
    </w:p>
    <w:p w14:paraId="0D953B5E" w14:textId="1D87CB79" w:rsidR="007721DB" w:rsidRPr="007219D9" w:rsidRDefault="007721DB" w:rsidP="004F1EFA">
      <w:pPr>
        <w:pStyle w:val="NormalWeb"/>
        <w:jc w:val="both"/>
        <w:rPr>
          <w:rFonts w:ascii="Arial" w:hAnsi="Arial" w:cs="Arial"/>
          <w:sz w:val="20"/>
          <w:szCs w:val="20"/>
        </w:rPr>
      </w:pPr>
      <w:r w:rsidRPr="007219D9">
        <w:rPr>
          <w:rStyle w:val="Strong"/>
          <w:rFonts w:ascii="Arial" w:eastAsiaTheme="majorEastAsia" w:hAnsi="Arial" w:cs="Arial"/>
          <w:sz w:val="20"/>
          <w:szCs w:val="20"/>
        </w:rPr>
        <w:t>H2:</w:t>
      </w:r>
      <w:r w:rsidR="00AA6F83" w:rsidRPr="007219D9">
        <w:rPr>
          <w:rFonts w:ascii="Arial" w:hAnsi="Arial" w:cs="Arial"/>
          <w:sz w:val="20"/>
          <w:szCs w:val="20"/>
        </w:rPr>
        <w:t xml:space="preserve"> </w:t>
      </w:r>
      <w:r w:rsidRPr="007219D9">
        <w:rPr>
          <w:rFonts w:ascii="Arial" w:hAnsi="Arial" w:cs="Arial"/>
          <w:sz w:val="20"/>
          <w:szCs w:val="20"/>
        </w:rPr>
        <w:t xml:space="preserve">Effectiveness of institutional execution of NEP–2020 provisions </w:t>
      </w:r>
      <w:proofErr w:type="gramStart"/>
      <w:r w:rsidRPr="007219D9">
        <w:rPr>
          <w:rFonts w:ascii="Arial" w:hAnsi="Arial" w:cs="Arial"/>
          <w:sz w:val="20"/>
          <w:szCs w:val="20"/>
        </w:rPr>
        <w:t>has</w:t>
      </w:r>
      <w:proofErr w:type="gramEnd"/>
      <w:r w:rsidRPr="007219D9">
        <w:rPr>
          <w:rFonts w:ascii="Arial" w:hAnsi="Arial" w:cs="Arial"/>
          <w:sz w:val="20"/>
          <w:szCs w:val="20"/>
        </w:rPr>
        <w:t xml:space="preserve"> a significant positive effect on student satisfaction in higher education institutions of Uttarakhand</w:t>
      </w:r>
      <w:r w:rsidR="009B6738" w:rsidRPr="007219D9">
        <w:rPr>
          <w:rFonts w:ascii="Arial" w:hAnsi="Arial" w:cs="Arial"/>
          <w:sz w:val="20"/>
          <w:szCs w:val="20"/>
        </w:rPr>
        <w:t xml:space="preserve"> State</w:t>
      </w:r>
      <w:r w:rsidRPr="007219D9">
        <w:rPr>
          <w:rFonts w:ascii="Arial" w:hAnsi="Arial" w:cs="Arial"/>
          <w:sz w:val="20"/>
          <w:szCs w:val="20"/>
        </w:rPr>
        <w:t>.</w:t>
      </w:r>
    </w:p>
    <w:p w14:paraId="31133315" w14:textId="58C45716" w:rsidR="00111856" w:rsidRPr="007219D9" w:rsidRDefault="00111856"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Research Methodology and Sampling</w:t>
      </w:r>
      <w:r w:rsidR="009B6738" w:rsidRPr="007219D9">
        <w:rPr>
          <w:rFonts w:ascii="Arial" w:hAnsi="Arial" w:cs="Arial"/>
          <w:b/>
          <w:bCs/>
          <w:color w:val="000000" w:themeColor="text1"/>
          <w:sz w:val="22"/>
          <w:szCs w:val="22"/>
        </w:rPr>
        <w:t>-</w:t>
      </w:r>
    </w:p>
    <w:p w14:paraId="18ED8A0E" w14:textId="66933F09" w:rsidR="00111856" w:rsidRPr="007219D9" w:rsidRDefault="009B6738" w:rsidP="004F1EFA">
      <w:pPr>
        <w:pStyle w:val="NormalWeb"/>
        <w:ind w:firstLine="720"/>
        <w:jc w:val="both"/>
        <w:rPr>
          <w:rFonts w:ascii="Arial" w:hAnsi="Arial" w:cs="Arial"/>
          <w:sz w:val="20"/>
          <w:szCs w:val="20"/>
        </w:rPr>
      </w:pPr>
      <w:r w:rsidRPr="007219D9">
        <w:rPr>
          <w:rFonts w:ascii="Arial" w:hAnsi="Arial" w:cs="Arial"/>
          <w:sz w:val="20"/>
          <w:szCs w:val="20"/>
        </w:rPr>
        <w:t xml:space="preserve">This study employs a quantitative, descriptive-explanatory research design to </w:t>
      </w:r>
      <w:proofErr w:type="spellStart"/>
      <w:r w:rsidR="00AA6F83" w:rsidRPr="007219D9">
        <w:rPr>
          <w:rFonts w:ascii="Arial" w:hAnsi="Arial" w:cs="Arial"/>
          <w:sz w:val="20"/>
          <w:szCs w:val="20"/>
        </w:rPr>
        <w:t>analyse</w:t>
      </w:r>
      <w:proofErr w:type="spellEnd"/>
      <w:r w:rsidRPr="007219D9">
        <w:rPr>
          <w:rFonts w:ascii="Arial" w:hAnsi="Arial" w:cs="Arial"/>
          <w:sz w:val="20"/>
          <w:szCs w:val="20"/>
        </w:rPr>
        <w:t xml:space="preserve"> students' perceptions of the implementation of the National Education Policy (NEP)-2020 in higher education institutions in Uttarakhand. The research is based on a positivist paradigm and focuses on the objective measurement and statistical analysis of the relationship between NEP-2020 implementation dimensions and student satisfaction. A cross-sectional survey method was used in the study. Primary data were collected through a structured questionnaire, which included demographic details and statements related to policy implementation and student satisfaction, measured on a five-point Likert scale. The data were analyzed using descriptive statistics and PLS-SEM techniques. Convenience sampling was employed for sample selection, and 350 valid responses were obtained from government, aided, and private institutions in both the hilly and plain regions. Although generalizability is limited, the diverse institutional coverage provides analytical rigor to the study.</w:t>
      </w:r>
    </w:p>
    <w:p w14:paraId="6BD60470" w14:textId="67395260" w:rsidR="007721DB" w:rsidRPr="007219D9" w:rsidRDefault="007721DB" w:rsidP="00C32C12">
      <w:pPr>
        <w:pStyle w:val="Heading2"/>
        <w:rPr>
          <w:rFonts w:ascii="Arial" w:hAnsi="Arial" w:cs="Arial"/>
          <w:b/>
          <w:bCs/>
          <w:color w:val="000000" w:themeColor="text1"/>
          <w:sz w:val="22"/>
          <w:szCs w:val="22"/>
        </w:rPr>
      </w:pPr>
      <w:r w:rsidRPr="007219D9">
        <w:rPr>
          <w:rFonts w:ascii="Arial" w:hAnsi="Arial" w:cs="Arial"/>
          <w:b/>
          <w:bCs/>
          <w:color w:val="000000" w:themeColor="text1"/>
          <w:sz w:val="22"/>
          <w:szCs w:val="22"/>
        </w:rPr>
        <w:t>Explanation of the Conceptual Framework</w:t>
      </w:r>
      <w:r w:rsidR="009B6738" w:rsidRPr="007219D9">
        <w:rPr>
          <w:rFonts w:ascii="Arial" w:hAnsi="Arial" w:cs="Arial"/>
          <w:b/>
          <w:bCs/>
          <w:color w:val="000000" w:themeColor="text1"/>
          <w:sz w:val="22"/>
          <w:szCs w:val="22"/>
        </w:rPr>
        <w:t>-</w:t>
      </w:r>
    </w:p>
    <w:p w14:paraId="00928E20" w14:textId="77777777" w:rsidR="009B6738" w:rsidRPr="007219D9" w:rsidRDefault="009B6738" w:rsidP="00C32C12">
      <w:pPr>
        <w:rPr>
          <w:rFonts w:ascii="Arial" w:hAnsi="Arial" w:cs="Arial"/>
        </w:rPr>
      </w:pPr>
    </w:p>
    <w:p w14:paraId="40C94262" w14:textId="14C475EF" w:rsidR="009B6738" w:rsidRPr="007219D9" w:rsidRDefault="009B6738" w:rsidP="004F1EFA">
      <w:pPr>
        <w:jc w:val="both"/>
        <w:rPr>
          <w:rFonts w:ascii="Arial" w:hAnsi="Arial" w:cs="Arial"/>
          <w:sz w:val="20"/>
          <w:szCs w:val="20"/>
        </w:rPr>
      </w:pPr>
      <w:r w:rsidRPr="007219D9">
        <w:rPr>
          <w:rFonts w:ascii="Arial" w:hAnsi="Arial" w:cs="Arial"/>
          <w:sz w:val="20"/>
          <w:szCs w:val="20"/>
        </w:rPr>
        <w:t>This study was developed to elucidate the relationship between the implementation of the National Education Policy (NEP)-2020 in higher education institutions of Uttarakhand and student satisfaction. Based on policy implementation theory and student-</w:t>
      </w:r>
      <w:proofErr w:type="spellStart"/>
      <w:r w:rsidRPr="007219D9">
        <w:rPr>
          <w:rFonts w:ascii="Arial" w:hAnsi="Arial" w:cs="Arial"/>
          <w:sz w:val="20"/>
          <w:szCs w:val="20"/>
        </w:rPr>
        <w:t>centred</w:t>
      </w:r>
      <w:proofErr w:type="spellEnd"/>
      <w:r w:rsidRPr="007219D9">
        <w:rPr>
          <w:rFonts w:ascii="Arial" w:hAnsi="Arial" w:cs="Arial"/>
          <w:sz w:val="20"/>
          <w:szCs w:val="20"/>
        </w:rPr>
        <w:t xml:space="preserve"> evaluation literature, this framework acknowledges that the success of educational reforms is not limited to policy formulation alone, but also depends on the quality of institutional performance and the academic realities experienced by students.</w:t>
      </w:r>
      <w:r w:rsidR="00617CEE" w:rsidRPr="007219D9">
        <w:rPr>
          <w:rFonts w:ascii="Arial" w:hAnsi="Arial" w:cs="Arial"/>
          <w:sz w:val="20"/>
          <w:szCs w:val="20"/>
        </w:rPr>
        <w:t xml:space="preserve"> </w:t>
      </w:r>
      <w:r w:rsidRPr="007219D9">
        <w:rPr>
          <w:rFonts w:ascii="Arial" w:hAnsi="Arial" w:cs="Arial"/>
          <w:sz w:val="20"/>
          <w:szCs w:val="20"/>
        </w:rPr>
        <w:t xml:space="preserve">In this framework, the implementation of NEP-2020 is </w:t>
      </w:r>
      <w:proofErr w:type="spellStart"/>
      <w:r w:rsidRPr="007219D9">
        <w:rPr>
          <w:rFonts w:ascii="Arial" w:hAnsi="Arial" w:cs="Arial"/>
          <w:sz w:val="20"/>
          <w:szCs w:val="20"/>
        </w:rPr>
        <w:t>conceptualised</w:t>
      </w:r>
      <w:proofErr w:type="spellEnd"/>
      <w:r w:rsidRPr="007219D9">
        <w:rPr>
          <w:rFonts w:ascii="Arial" w:hAnsi="Arial" w:cs="Arial"/>
          <w:sz w:val="20"/>
          <w:szCs w:val="20"/>
        </w:rPr>
        <w:t xml:space="preserve"> as an exogenous construct, reflecting the extent to which the key provisions of the policy have been made available and effectively implemented at the institutional level. This includes dimensions such as the availability of policy-related information, clarity of curriculum structure, adequacy of academic resources, availability of skill-based and multidisciplinary courses, and institutional guidance regarding multiple entry and exit options.</w:t>
      </w:r>
      <w:r w:rsidR="00617CEE" w:rsidRPr="007219D9">
        <w:rPr>
          <w:rFonts w:ascii="Arial" w:hAnsi="Arial" w:cs="Arial"/>
          <w:sz w:val="20"/>
          <w:szCs w:val="20"/>
        </w:rPr>
        <w:t xml:space="preserve"> </w:t>
      </w:r>
      <w:r w:rsidRPr="007219D9">
        <w:rPr>
          <w:rFonts w:ascii="Arial" w:hAnsi="Arial" w:cs="Arial"/>
          <w:sz w:val="20"/>
          <w:szCs w:val="20"/>
        </w:rPr>
        <w:t>Institutional performance quality is defined as an intervening mechanism, reflecting the extent to which institutions effectively implement the policy provisions through regular classes, timely completion of the curriculum, availability of learning materials, and structured academic support systems.</w:t>
      </w:r>
    </w:p>
    <w:p w14:paraId="1D1A201E" w14:textId="3A700C07" w:rsidR="009B6738" w:rsidRPr="007219D9" w:rsidRDefault="009B6738" w:rsidP="004F1EFA">
      <w:pPr>
        <w:jc w:val="both"/>
        <w:rPr>
          <w:rFonts w:ascii="Arial" w:hAnsi="Arial" w:cs="Arial"/>
          <w:sz w:val="20"/>
          <w:szCs w:val="20"/>
        </w:rPr>
      </w:pPr>
      <w:r w:rsidRPr="007219D9">
        <w:rPr>
          <w:rFonts w:ascii="Arial" w:hAnsi="Arial" w:cs="Arial"/>
          <w:sz w:val="20"/>
          <w:szCs w:val="20"/>
        </w:rPr>
        <w:t>Finally, student satisfaction is presented as an endogenous construct, representing an evaluation of students' overall academic experience under NEP-2020. This framework assumes a unidirectional causal flow from policy implementation to student satisfaction, ensuring conceptual clarity and providing a robust basis for PLS-SEM-based empirical testing.</w:t>
      </w:r>
    </w:p>
    <w:p w14:paraId="27493026" w14:textId="77777777" w:rsidR="007721DB" w:rsidRPr="007219D9" w:rsidRDefault="00111856" w:rsidP="003B3E0D">
      <w:pPr>
        <w:pStyle w:val="Heading3"/>
      </w:pPr>
      <w:r w:rsidRPr="007219D9">
        <w:t>Data Analysis-</w:t>
      </w:r>
    </w:p>
    <w:p w14:paraId="3DC8F294" w14:textId="77777777" w:rsidR="003B3E0D" w:rsidRPr="007219D9" w:rsidRDefault="008B5E56" w:rsidP="008B5E56">
      <w:pPr>
        <w:pStyle w:val="NormalWeb"/>
        <w:jc w:val="center"/>
        <w:rPr>
          <w:rFonts w:ascii="Arial" w:hAnsi="Arial" w:cs="Arial"/>
          <w:b/>
          <w:bCs/>
          <w:sz w:val="22"/>
          <w:szCs w:val="22"/>
        </w:rPr>
      </w:pPr>
      <w:r w:rsidRPr="007219D9">
        <w:rPr>
          <w:rFonts w:ascii="Arial" w:hAnsi="Arial" w:cs="Arial"/>
          <w:b/>
          <w:bCs/>
          <w:sz w:val="22"/>
          <w:szCs w:val="22"/>
        </w:rPr>
        <w:t>Table 01 Descriptive Statistics</w:t>
      </w:r>
    </w:p>
    <w:tbl>
      <w:tblPr>
        <w:tblStyle w:val="TableGrid"/>
        <w:tblW w:w="5000" w:type="pct"/>
        <w:jc w:val="center"/>
        <w:tblLook w:val="04A0" w:firstRow="1" w:lastRow="0" w:firstColumn="1" w:lastColumn="0" w:noHBand="0" w:noVBand="1"/>
      </w:tblPr>
      <w:tblGrid>
        <w:gridCol w:w="2874"/>
        <w:gridCol w:w="3270"/>
        <w:gridCol w:w="2102"/>
        <w:gridCol w:w="2232"/>
      </w:tblGrid>
      <w:tr w:rsidR="00CE7380" w:rsidRPr="007219D9" w14:paraId="600A7914" w14:textId="77777777" w:rsidTr="00AA6F83">
        <w:trPr>
          <w:jc w:val="center"/>
        </w:trPr>
        <w:tc>
          <w:tcPr>
            <w:tcW w:w="1371" w:type="pct"/>
            <w:hideMark/>
          </w:tcPr>
          <w:p w14:paraId="610EEA43" w14:textId="77777777" w:rsidR="00CE7380" w:rsidRPr="007219D9" w:rsidRDefault="00CE7380" w:rsidP="00CE7380">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De</w:t>
            </w:r>
            <w:r w:rsidR="008B5E56" w:rsidRPr="007219D9">
              <w:rPr>
                <w:rFonts w:ascii="Arial" w:eastAsia="Times New Roman" w:hAnsi="Arial" w:cs="Arial"/>
                <w:b/>
                <w:bCs/>
                <w:sz w:val="20"/>
                <w:szCs w:val="20"/>
                <w:lang w:bidi="hi-IN"/>
              </w:rPr>
              <w:t xml:space="preserve">scriptive </w:t>
            </w:r>
            <w:r w:rsidRPr="007219D9">
              <w:rPr>
                <w:rFonts w:ascii="Arial" w:eastAsia="Times New Roman" w:hAnsi="Arial" w:cs="Arial"/>
                <w:b/>
                <w:bCs/>
                <w:sz w:val="20"/>
                <w:szCs w:val="20"/>
                <w:lang w:bidi="hi-IN"/>
              </w:rPr>
              <w:t>Variable</w:t>
            </w:r>
          </w:p>
        </w:tc>
        <w:tc>
          <w:tcPr>
            <w:tcW w:w="1560" w:type="pct"/>
            <w:hideMark/>
          </w:tcPr>
          <w:p w14:paraId="143DE5A8" w14:textId="77777777" w:rsidR="00CE7380" w:rsidRPr="007219D9" w:rsidRDefault="00CE7380" w:rsidP="00CE7380">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Category</w:t>
            </w:r>
          </w:p>
        </w:tc>
        <w:tc>
          <w:tcPr>
            <w:tcW w:w="1003" w:type="pct"/>
            <w:hideMark/>
          </w:tcPr>
          <w:p w14:paraId="25A0254A" w14:textId="77777777" w:rsidR="00CE7380" w:rsidRPr="007219D9" w:rsidRDefault="00CE7380" w:rsidP="00111856">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Frequency (N)</w:t>
            </w:r>
          </w:p>
        </w:tc>
        <w:tc>
          <w:tcPr>
            <w:tcW w:w="1065" w:type="pct"/>
            <w:hideMark/>
          </w:tcPr>
          <w:p w14:paraId="0BC357C3" w14:textId="77777777" w:rsidR="00CE7380" w:rsidRPr="007219D9" w:rsidRDefault="00CE7380" w:rsidP="00111856">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Percentage (%)</w:t>
            </w:r>
          </w:p>
        </w:tc>
      </w:tr>
      <w:tr w:rsidR="008B5E56" w:rsidRPr="007219D9" w14:paraId="50A30EC5" w14:textId="77777777" w:rsidTr="00AA6F83">
        <w:trPr>
          <w:jc w:val="center"/>
        </w:trPr>
        <w:tc>
          <w:tcPr>
            <w:tcW w:w="1371" w:type="pct"/>
            <w:vMerge w:val="restart"/>
            <w:hideMark/>
          </w:tcPr>
          <w:p w14:paraId="0CD3D8AC"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Gender</w:t>
            </w:r>
          </w:p>
        </w:tc>
        <w:tc>
          <w:tcPr>
            <w:tcW w:w="1560" w:type="pct"/>
            <w:hideMark/>
          </w:tcPr>
          <w:p w14:paraId="362C013F"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Male</w:t>
            </w:r>
          </w:p>
        </w:tc>
        <w:tc>
          <w:tcPr>
            <w:tcW w:w="1003" w:type="pct"/>
            <w:hideMark/>
          </w:tcPr>
          <w:p w14:paraId="5138A1A8"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182</w:t>
            </w:r>
          </w:p>
        </w:tc>
        <w:tc>
          <w:tcPr>
            <w:tcW w:w="1065" w:type="pct"/>
            <w:hideMark/>
          </w:tcPr>
          <w:p w14:paraId="049E86B9"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52.0</w:t>
            </w:r>
          </w:p>
        </w:tc>
      </w:tr>
      <w:tr w:rsidR="008B5E56" w:rsidRPr="007219D9" w14:paraId="66629EE4" w14:textId="77777777" w:rsidTr="00AA6F83">
        <w:trPr>
          <w:jc w:val="center"/>
        </w:trPr>
        <w:tc>
          <w:tcPr>
            <w:tcW w:w="1371" w:type="pct"/>
            <w:vMerge/>
            <w:hideMark/>
          </w:tcPr>
          <w:p w14:paraId="1A7A71D0"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66CEEA9"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Female</w:t>
            </w:r>
          </w:p>
        </w:tc>
        <w:tc>
          <w:tcPr>
            <w:tcW w:w="1003" w:type="pct"/>
            <w:hideMark/>
          </w:tcPr>
          <w:p w14:paraId="7C0CA8C6"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164</w:t>
            </w:r>
          </w:p>
        </w:tc>
        <w:tc>
          <w:tcPr>
            <w:tcW w:w="1065" w:type="pct"/>
            <w:hideMark/>
          </w:tcPr>
          <w:p w14:paraId="0CB3BCE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46.9</w:t>
            </w:r>
          </w:p>
        </w:tc>
      </w:tr>
      <w:tr w:rsidR="008B5E56" w:rsidRPr="007219D9" w14:paraId="48277B87" w14:textId="77777777" w:rsidTr="00AA6F83">
        <w:trPr>
          <w:jc w:val="center"/>
        </w:trPr>
        <w:tc>
          <w:tcPr>
            <w:tcW w:w="1371" w:type="pct"/>
            <w:vMerge/>
            <w:hideMark/>
          </w:tcPr>
          <w:p w14:paraId="70767AC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C50F7FE"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Other</w:t>
            </w:r>
          </w:p>
        </w:tc>
        <w:tc>
          <w:tcPr>
            <w:tcW w:w="1003" w:type="pct"/>
            <w:hideMark/>
          </w:tcPr>
          <w:p w14:paraId="19467AB5"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w:t>
            </w:r>
          </w:p>
        </w:tc>
        <w:tc>
          <w:tcPr>
            <w:tcW w:w="1065" w:type="pct"/>
            <w:hideMark/>
          </w:tcPr>
          <w:p w14:paraId="3FDE2468"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w:t>
            </w:r>
          </w:p>
        </w:tc>
      </w:tr>
      <w:tr w:rsidR="008B5E56" w:rsidRPr="007219D9" w14:paraId="7887594E" w14:textId="77777777" w:rsidTr="00AA6F83">
        <w:trPr>
          <w:jc w:val="center"/>
        </w:trPr>
        <w:tc>
          <w:tcPr>
            <w:tcW w:w="1371" w:type="pct"/>
            <w:vMerge w:val="restart"/>
            <w:hideMark/>
          </w:tcPr>
          <w:p w14:paraId="2DBACA6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Age Group (Years)</w:t>
            </w:r>
          </w:p>
        </w:tc>
        <w:tc>
          <w:tcPr>
            <w:tcW w:w="1560" w:type="pct"/>
            <w:hideMark/>
          </w:tcPr>
          <w:p w14:paraId="71F39B85"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17–20</w:t>
            </w:r>
          </w:p>
        </w:tc>
        <w:tc>
          <w:tcPr>
            <w:tcW w:w="1003" w:type="pct"/>
            <w:hideMark/>
          </w:tcPr>
          <w:p w14:paraId="29A22FCF"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138</w:t>
            </w:r>
          </w:p>
        </w:tc>
        <w:tc>
          <w:tcPr>
            <w:tcW w:w="1065" w:type="pct"/>
            <w:hideMark/>
          </w:tcPr>
          <w:p w14:paraId="4E10E0A8"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39.4</w:t>
            </w:r>
          </w:p>
        </w:tc>
      </w:tr>
      <w:tr w:rsidR="008B5E56" w:rsidRPr="007219D9" w14:paraId="2E19617C" w14:textId="77777777" w:rsidTr="00AA6F83">
        <w:trPr>
          <w:jc w:val="center"/>
        </w:trPr>
        <w:tc>
          <w:tcPr>
            <w:tcW w:w="1371" w:type="pct"/>
            <w:vMerge/>
            <w:hideMark/>
          </w:tcPr>
          <w:p w14:paraId="7B7A0217"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2AF16D5"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21–23</w:t>
            </w:r>
          </w:p>
        </w:tc>
        <w:tc>
          <w:tcPr>
            <w:tcW w:w="1003" w:type="pct"/>
            <w:hideMark/>
          </w:tcPr>
          <w:p w14:paraId="620BA133"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124</w:t>
            </w:r>
          </w:p>
        </w:tc>
        <w:tc>
          <w:tcPr>
            <w:tcW w:w="1065" w:type="pct"/>
            <w:hideMark/>
          </w:tcPr>
          <w:p w14:paraId="733407BA"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35.4</w:t>
            </w:r>
          </w:p>
        </w:tc>
      </w:tr>
      <w:tr w:rsidR="008B5E56" w:rsidRPr="007219D9" w14:paraId="02F9A549" w14:textId="77777777" w:rsidTr="00AA6F83">
        <w:trPr>
          <w:jc w:val="center"/>
        </w:trPr>
        <w:tc>
          <w:tcPr>
            <w:tcW w:w="1371" w:type="pct"/>
            <w:vMerge/>
            <w:hideMark/>
          </w:tcPr>
          <w:p w14:paraId="1EBD8FB7"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93F25C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24–26</w:t>
            </w:r>
          </w:p>
        </w:tc>
        <w:tc>
          <w:tcPr>
            <w:tcW w:w="1003" w:type="pct"/>
            <w:hideMark/>
          </w:tcPr>
          <w:p w14:paraId="3698923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58</w:t>
            </w:r>
          </w:p>
        </w:tc>
        <w:tc>
          <w:tcPr>
            <w:tcW w:w="1065" w:type="pct"/>
            <w:hideMark/>
          </w:tcPr>
          <w:p w14:paraId="162E22CC"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16.6</w:t>
            </w:r>
          </w:p>
        </w:tc>
      </w:tr>
      <w:tr w:rsidR="008B5E56" w:rsidRPr="007219D9" w14:paraId="3A67B458" w14:textId="77777777" w:rsidTr="00AA6F83">
        <w:trPr>
          <w:jc w:val="center"/>
        </w:trPr>
        <w:tc>
          <w:tcPr>
            <w:tcW w:w="1371" w:type="pct"/>
            <w:vMerge/>
            <w:hideMark/>
          </w:tcPr>
          <w:p w14:paraId="3E46855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3276075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Above 26</w:t>
            </w:r>
          </w:p>
        </w:tc>
        <w:tc>
          <w:tcPr>
            <w:tcW w:w="1003" w:type="pct"/>
            <w:hideMark/>
          </w:tcPr>
          <w:p w14:paraId="75046FF1"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w:t>
            </w:r>
          </w:p>
        </w:tc>
        <w:tc>
          <w:tcPr>
            <w:tcW w:w="1065" w:type="pct"/>
            <w:hideMark/>
          </w:tcPr>
          <w:p w14:paraId="46475A8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8.6</w:t>
            </w:r>
          </w:p>
        </w:tc>
      </w:tr>
      <w:tr w:rsidR="008B5E56" w:rsidRPr="007219D9" w14:paraId="3A687308" w14:textId="77777777" w:rsidTr="00AA6F83">
        <w:trPr>
          <w:jc w:val="center"/>
        </w:trPr>
        <w:tc>
          <w:tcPr>
            <w:tcW w:w="1371" w:type="pct"/>
            <w:vMerge w:val="restart"/>
            <w:hideMark/>
          </w:tcPr>
          <w:p w14:paraId="377E77A0"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Level of Study</w:t>
            </w:r>
          </w:p>
        </w:tc>
        <w:tc>
          <w:tcPr>
            <w:tcW w:w="1560" w:type="pct"/>
            <w:hideMark/>
          </w:tcPr>
          <w:p w14:paraId="09BFFEEF"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Undergraduate (UG)</w:t>
            </w:r>
          </w:p>
        </w:tc>
        <w:tc>
          <w:tcPr>
            <w:tcW w:w="1003" w:type="pct"/>
            <w:hideMark/>
          </w:tcPr>
          <w:p w14:paraId="25A3C71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214</w:t>
            </w:r>
          </w:p>
        </w:tc>
        <w:tc>
          <w:tcPr>
            <w:tcW w:w="1065" w:type="pct"/>
            <w:hideMark/>
          </w:tcPr>
          <w:p w14:paraId="17192335"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61.1</w:t>
            </w:r>
          </w:p>
        </w:tc>
      </w:tr>
      <w:tr w:rsidR="008B5E56" w:rsidRPr="007219D9" w14:paraId="5BAB7D07" w14:textId="77777777" w:rsidTr="00AA6F83">
        <w:trPr>
          <w:jc w:val="center"/>
        </w:trPr>
        <w:tc>
          <w:tcPr>
            <w:tcW w:w="1371" w:type="pct"/>
            <w:vMerge/>
            <w:hideMark/>
          </w:tcPr>
          <w:p w14:paraId="5411DE6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C8D45B2"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Postgraduate (PG)</w:t>
            </w:r>
          </w:p>
        </w:tc>
        <w:tc>
          <w:tcPr>
            <w:tcW w:w="1003" w:type="pct"/>
            <w:hideMark/>
          </w:tcPr>
          <w:p w14:paraId="62B78D5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102</w:t>
            </w:r>
          </w:p>
        </w:tc>
        <w:tc>
          <w:tcPr>
            <w:tcW w:w="1065" w:type="pct"/>
            <w:hideMark/>
          </w:tcPr>
          <w:p w14:paraId="36B5132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29.1</w:t>
            </w:r>
          </w:p>
        </w:tc>
      </w:tr>
      <w:tr w:rsidR="008B5E56" w:rsidRPr="007219D9" w14:paraId="23EC8C73" w14:textId="77777777" w:rsidTr="00AA6F83">
        <w:trPr>
          <w:jc w:val="center"/>
        </w:trPr>
        <w:tc>
          <w:tcPr>
            <w:tcW w:w="1371" w:type="pct"/>
            <w:vMerge/>
            <w:hideMark/>
          </w:tcPr>
          <w:p w14:paraId="5CE85D8B"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9597BD4"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Research (Ph.D./M.Phil.)</w:t>
            </w:r>
          </w:p>
        </w:tc>
        <w:tc>
          <w:tcPr>
            <w:tcW w:w="1003" w:type="pct"/>
            <w:hideMark/>
          </w:tcPr>
          <w:p w14:paraId="58F0682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34</w:t>
            </w:r>
          </w:p>
        </w:tc>
        <w:tc>
          <w:tcPr>
            <w:tcW w:w="1065" w:type="pct"/>
            <w:hideMark/>
          </w:tcPr>
          <w:p w14:paraId="19D88ED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9.8</w:t>
            </w:r>
          </w:p>
        </w:tc>
      </w:tr>
      <w:tr w:rsidR="008B5E56" w:rsidRPr="007219D9" w14:paraId="38AB3D61" w14:textId="77777777" w:rsidTr="00AA6F83">
        <w:trPr>
          <w:jc w:val="center"/>
        </w:trPr>
        <w:tc>
          <w:tcPr>
            <w:tcW w:w="1371" w:type="pct"/>
            <w:vMerge w:val="restart"/>
            <w:hideMark/>
          </w:tcPr>
          <w:p w14:paraId="44D4D00C"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Year of Study</w:t>
            </w:r>
          </w:p>
        </w:tc>
        <w:tc>
          <w:tcPr>
            <w:tcW w:w="1560" w:type="pct"/>
            <w:hideMark/>
          </w:tcPr>
          <w:p w14:paraId="333E4602"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First Year</w:t>
            </w:r>
          </w:p>
        </w:tc>
        <w:tc>
          <w:tcPr>
            <w:tcW w:w="1003" w:type="pct"/>
            <w:hideMark/>
          </w:tcPr>
          <w:p w14:paraId="771098E9"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128</w:t>
            </w:r>
          </w:p>
        </w:tc>
        <w:tc>
          <w:tcPr>
            <w:tcW w:w="1065" w:type="pct"/>
            <w:hideMark/>
          </w:tcPr>
          <w:p w14:paraId="52C708D9"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36.6</w:t>
            </w:r>
          </w:p>
        </w:tc>
      </w:tr>
      <w:tr w:rsidR="008B5E56" w:rsidRPr="007219D9" w14:paraId="3F3249EA" w14:textId="77777777" w:rsidTr="00AA6F83">
        <w:trPr>
          <w:jc w:val="center"/>
        </w:trPr>
        <w:tc>
          <w:tcPr>
            <w:tcW w:w="1371" w:type="pct"/>
            <w:vMerge/>
            <w:hideMark/>
          </w:tcPr>
          <w:p w14:paraId="1C5E963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3B4BB7A"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Second Year</w:t>
            </w:r>
          </w:p>
        </w:tc>
        <w:tc>
          <w:tcPr>
            <w:tcW w:w="1003" w:type="pct"/>
            <w:hideMark/>
          </w:tcPr>
          <w:p w14:paraId="778923D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96</w:t>
            </w:r>
          </w:p>
        </w:tc>
        <w:tc>
          <w:tcPr>
            <w:tcW w:w="1065" w:type="pct"/>
            <w:hideMark/>
          </w:tcPr>
          <w:p w14:paraId="632FE35D"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27.4</w:t>
            </w:r>
          </w:p>
        </w:tc>
      </w:tr>
      <w:tr w:rsidR="008B5E56" w:rsidRPr="007219D9" w14:paraId="649FB187" w14:textId="77777777" w:rsidTr="00AA6F83">
        <w:trPr>
          <w:jc w:val="center"/>
        </w:trPr>
        <w:tc>
          <w:tcPr>
            <w:tcW w:w="1371" w:type="pct"/>
            <w:vMerge/>
            <w:hideMark/>
          </w:tcPr>
          <w:p w14:paraId="074A7BC4"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F7AB4F1"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Third Year</w:t>
            </w:r>
          </w:p>
        </w:tc>
        <w:tc>
          <w:tcPr>
            <w:tcW w:w="1003" w:type="pct"/>
            <w:hideMark/>
          </w:tcPr>
          <w:p w14:paraId="317C57DF"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86</w:t>
            </w:r>
          </w:p>
        </w:tc>
        <w:tc>
          <w:tcPr>
            <w:tcW w:w="1065" w:type="pct"/>
            <w:hideMark/>
          </w:tcPr>
          <w:p w14:paraId="0A43C315"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24.6</w:t>
            </w:r>
          </w:p>
        </w:tc>
      </w:tr>
      <w:tr w:rsidR="008B5E56" w:rsidRPr="007219D9" w14:paraId="3776C939" w14:textId="77777777" w:rsidTr="00AA6F83">
        <w:trPr>
          <w:jc w:val="center"/>
        </w:trPr>
        <w:tc>
          <w:tcPr>
            <w:tcW w:w="1371" w:type="pct"/>
            <w:vMerge/>
            <w:hideMark/>
          </w:tcPr>
          <w:p w14:paraId="5D6A6B06"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6989CFF"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Fourth Year</w:t>
            </w:r>
          </w:p>
        </w:tc>
        <w:tc>
          <w:tcPr>
            <w:tcW w:w="1003" w:type="pct"/>
            <w:hideMark/>
          </w:tcPr>
          <w:p w14:paraId="37CBB7FB"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40</w:t>
            </w:r>
          </w:p>
        </w:tc>
        <w:tc>
          <w:tcPr>
            <w:tcW w:w="1065" w:type="pct"/>
            <w:hideMark/>
          </w:tcPr>
          <w:p w14:paraId="1D5DEDC1"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11.4</w:t>
            </w:r>
          </w:p>
        </w:tc>
      </w:tr>
      <w:tr w:rsidR="008B5E56" w:rsidRPr="007219D9" w14:paraId="7C23C206" w14:textId="77777777" w:rsidTr="00AA6F83">
        <w:trPr>
          <w:jc w:val="center"/>
        </w:trPr>
        <w:tc>
          <w:tcPr>
            <w:tcW w:w="1371" w:type="pct"/>
            <w:vMerge w:val="restart"/>
            <w:hideMark/>
          </w:tcPr>
          <w:p w14:paraId="63126DD1"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lastRenderedPageBreak/>
              <w:t>Faculty / Stream</w:t>
            </w:r>
          </w:p>
        </w:tc>
        <w:tc>
          <w:tcPr>
            <w:tcW w:w="1560" w:type="pct"/>
            <w:hideMark/>
          </w:tcPr>
          <w:p w14:paraId="550BCA29"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Arts / Humanities</w:t>
            </w:r>
          </w:p>
        </w:tc>
        <w:tc>
          <w:tcPr>
            <w:tcW w:w="1003" w:type="pct"/>
            <w:hideMark/>
          </w:tcPr>
          <w:p w14:paraId="40575B9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146</w:t>
            </w:r>
          </w:p>
        </w:tc>
        <w:tc>
          <w:tcPr>
            <w:tcW w:w="1065" w:type="pct"/>
            <w:hideMark/>
          </w:tcPr>
          <w:p w14:paraId="726086E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41.7</w:t>
            </w:r>
          </w:p>
        </w:tc>
      </w:tr>
      <w:tr w:rsidR="008B5E56" w:rsidRPr="007219D9" w14:paraId="5D7A4DA2" w14:textId="77777777" w:rsidTr="00AA6F83">
        <w:trPr>
          <w:jc w:val="center"/>
        </w:trPr>
        <w:tc>
          <w:tcPr>
            <w:tcW w:w="1371" w:type="pct"/>
            <w:vMerge/>
            <w:hideMark/>
          </w:tcPr>
          <w:p w14:paraId="02D7614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BBBDFCD"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Commerce</w:t>
            </w:r>
          </w:p>
        </w:tc>
        <w:tc>
          <w:tcPr>
            <w:tcW w:w="1003" w:type="pct"/>
            <w:hideMark/>
          </w:tcPr>
          <w:p w14:paraId="11856A62"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72</w:t>
            </w:r>
          </w:p>
        </w:tc>
        <w:tc>
          <w:tcPr>
            <w:tcW w:w="1065" w:type="pct"/>
            <w:hideMark/>
          </w:tcPr>
          <w:p w14:paraId="464EF0D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20.6</w:t>
            </w:r>
          </w:p>
        </w:tc>
      </w:tr>
      <w:tr w:rsidR="008B5E56" w:rsidRPr="007219D9" w14:paraId="12C57F74" w14:textId="77777777" w:rsidTr="00AA6F83">
        <w:trPr>
          <w:jc w:val="center"/>
        </w:trPr>
        <w:tc>
          <w:tcPr>
            <w:tcW w:w="1371" w:type="pct"/>
            <w:vMerge/>
            <w:hideMark/>
          </w:tcPr>
          <w:p w14:paraId="38011E6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1DF884D4"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Science</w:t>
            </w:r>
          </w:p>
        </w:tc>
        <w:tc>
          <w:tcPr>
            <w:tcW w:w="1003" w:type="pct"/>
            <w:hideMark/>
          </w:tcPr>
          <w:p w14:paraId="620C74F5"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104</w:t>
            </w:r>
          </w:p>
        </w:tc>
        <w:tc>
          <w:tcPr>
            <w:tcW w:w="1065" w:type="pct"/>
            <w:hideMark/>
          </w:tcPr>
          <w:p w14:paraId="12EFC0D6"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29.7</w:t>
            </w:r>
          </w:p>
        </w:tc>
      </w:tr>
      <w:tr w:rsidR="008B5E56" w:rsidRPr="007219D9" w14:paraId="495B4A34" w14:textId="77777777" w:rsidTr="00AA6F83">
        <w:trPr>
          <w:jc w:val="center"/>
        </w:trPr>
        <w:tc>
          <w:tcPr>
            <w:tcW w:w="1371" w:type="pct"/>
            <w:vMerge/>
            <w:hideMark/>
          </w:tcPr>
          <w:p w14:paraId="3DB730F9"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37DEA44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Others</w:t>
            </w:r>
          </w:p>
        </w:tc>
        <w:tc>
          <w:tcPr>
            <w:tcW w:w="1003" w:type="pct"/>
            <w:hideMark/>
          </w:tcPr>
          <w:p w14:paraId="7350761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w:t>
            </w:r>
          </w:p>
        </w:tc>
        <w:tc>
          <w:tcPr>
            <w:tcW w:w="1065" w:type="pct"/>
            <w:hideMark/>
          </w:tcPr>
          <w:p w14:paraId="70CED20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8.0</w:t>
            </w:r>
          </w:p>
        </w:tc>
      </w:tr>
      <w:tr w:rsidR="008B5E56" w:rsidRPr="007219D9" w14:paraId="7B56AE83" w14:textId="77777777" w:rsidTr="00AA6F83">
        <w:trPr>
          <w:jc w:val="center"/>
        </w:trPr>
        <w:tc>
          <w:tcPr>
            <w:tcW w:w="1371" w:type="pct"/>
            <w:vMerge w:val="restart"/>
            <w:hideMark/>
          </w:tcPr>
          <w:p w14:paraId="4E3A7EA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Place of Residence</w:t>
            </w:r>
          </w:p>
        </w:tc>
        <w:tc>
          <w:tcPr>
            <w:tcW w:w="1560" w:type="pct"/>
            <w:hideMark/>
          </w:tcPr>
          <w:p w14:paraId="3519139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Rural</w:t>
            </w:r>
          </w:p>
        </w:tc>
        <w:tc>
          <w:tcPr>
            <w:tcW w:w="1003" w:type="pct"/>
            <w:hideMark/>
          </w:tcPr>
          <w:p w14:paraId="1E10B882"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132</w:t>
            </w:r>
          </w:p>
        </w:tc>
        <w:tc>
          <w:tcPr>
            <w:tcW w:w="1065" w:type="pct"/>
            <w:hideMark/>
          </w:tcPr>
          <w:p w14:paraId="02831F5C"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37.7</w:t>
            </w:r>
          </w:p>
        </w:tc>
      </w:tr>
      <w:tr w:rsidR="008B5E56" w:rsidRPr="007219D9" w14:paraId="7110612A" w14:textId="77777777" w:rsidTr="00AA6F83">
        <w:trPr>
          <w:jc w:val="center"/>
        </w:trPr>
        <w:tc>
          <w:tcPr>
            <w:tcW w:w="1371" w:type="pct"/>
            <w:vMerge/>
            <w:hideMark/>
          </w:tcPr>
          <w:p w14:paraId="4771CA3B"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36826E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Urban</w:t>
            </w:r>
          </w:p>
        </w:tc>
        <w:tc>
          <w:tcPr>
            <w:tcW w:w="1003" w:type="pct"/>
            <w:hideMark/>
          </w:tcPr>
          <w:p w14:paraId="7DA9543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154</w:t>
            </w:r>
          </w:p>
        </w:tc>
        <w:tc>
          <w:tcPr>
            <w:tcW w:w="1065" w:type="pct"/>
            <w:hideMark/>
          </w:tcPr>
          <w:p w14:paraId="6410BC3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44.0</w:t>
            </w:r>
          </w:p>
        </w:tc>
      </w:tr>
      <w:tr w:rsidR="008B5E56" w:rsidRPr="007219D9" w14:paraId="3E2A05CB" w14:textId="77777777" w:rsidTr="00AA6F83">
        <w:trPr>
          <w:jc w:val="center"/>
        </w:trPr>
        <w:tc>
          <w:tcPr>
            <w:tcW w:w="1371" w:type="pct"/>
            <w:vMerge/>
            <w:hideMark/>
          </w:tcPr>
          <w:p w14:paraId="1C6C7F65"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960185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Hilly / Remote Area</w:t>
            </w:r>
          </w:p>
        </w:tc>
        <w:tc>
          <w:tcPr>
            <w:tcW w:w="1003" w:type="pct"/>
            <w:hideMark/>
          </w:tcPr>
          <w:p w14:paraId="4692827E"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64</w:t>
            </w:r>
          </w:p>
        </w:tc>
        <w:tc>
          <w:tcPr>
            <w:tcW w:w="1065" w:type="pct"/>
            <w:hideMark/>
          </w:tcPr>
          <w:p w14:paraId="7DA50126"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18.3</w:t>
            </w:r>
          </w:p>
        </w:tc>
      </w:tr>
      <w:tr w:rsidR="008B5E56" w:rsidRPr="007219D9" w14:paraId="161AE005" w14:textId="77777777" w:rsidTr="00AA6F83">
        <w:trPr>
          <w:jc w:val="center"/>
        </w:trPr>
        <w:tc>
          <w:tcPr>
            <w:tcW w:w="1371" w:type="pct"/>
            <w:vMerge w:val="restart"/>
            <w:hideMark/>
          </w:tcPr>
          <w:p w14:paraId="6D2D014E"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Region</w:t>
            </w:r>
          </w:p>
        </w:tc>
        <w:tc>
          <w:tcPr>
            <w:tcW w:w="1560" w:type="pct"/>
            <w:hideMark/>
          </w:tcPr>
          <w:p w14:paraId="7297EEE4"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Hilly Region</w:t>
            </w:r>
          </w:p>
        </w:tc>
        <w:tc>
          <w:tcPr>
            <w:tcW w:w="1003" w:type="pct"/>
            <w:hideMark/>
          </w:tcPr>
          <w:p w14:paraId="49B48DD9"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168</w:t>
            </w:r>
          </w:p>
        </w:tc>
        <w:tc>
          <w:tcPr>
            <w:tcW w:w="1065" w:type="pct"/>
            <w:hideMark/>
          </w:tcPr>
          <w:p w14:paraId="2EB2A2C3"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48.0</w:t>
            </w:r>
          </w:p>
        </w:tc>
      </w:tr>
      <w:tr w:rsidR="008B5E56" w:rsidRPr="007219D9" w14:paraId="5ADAAEE7" w14:textId="77777777" w:rsidTr="00AA6F83">
        <w:trPr>
          <w:jc w:val="center"/>
        </w:trPr>
        <w:tc>
          <w:tcPr>
            <w:tcW w:w="1371" w:type="pct"/>
            <w:vMerge/>
            <w:hideMark/>
          </w:tcPr>
          <w:p w14:paraId="2010D6BE"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10AEFF8"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Plain Region</w:t>
            </w:r>
          </w:p>
        </w:tc>
        <w:tc>
          <w:tcPr>
            <w:tcW w:w="1003" w:type="pct"/>
            <w:hideMark/>
          </w:tcPr>
          <w:p w14:paraId="5BA4D8BB"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182</w:t>
            </w:r>
          </w:p>
        </w:tc>
        <w:tc>
          <w:tcPr>
            <w:tcW w:w="1065" w:type="pct"/>
            <w:hideMark/>
          </w:tcPr>
          <w:p w14:paraId="5E1B5D6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52.0</w:t>
            </w:r>
          </w:p>
        </w:tc>
      </w:tr>
      <w:tr w:rsidR="008B5E56" w:rsidRPr="007219D9" w14:paraId="04C1C62B" w14:textId="77777777" w:rsidTr="00AA6F83">
        <w:trPr>
          <w:jc w:val="center"/>
        </w:trPr>
        <w:tc>
          <w:tcPr>
            <w:tcW w:w="1371" w:type="pct"/>
            <w:vMerge w:val="restart"/>
            <w:hideMark/>
          </w:tcPr>
          <w:p w14:paraId="1274AB23"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Type of Institution</w:t>
            </w:r>
          </w:p>
        </w:tc>
        <w:tc>
          <w:tcPr>
            <w:tcW w:w="1560" w:type="pct"/>
            <w:hideMark/>
          </w:tcPr>
          <w:p w14:paraId="20D621AD"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Government</w:t>
            </w:r>
          </w:p>
        </w:tc>
        <w:tc>
          <w:tcPr>
            <w:tcW w:w="1003" w:type="pct"/>
            <w:hideMark/>
          </w:tcPr>
          <w:p w14:paraId="51D6BA05"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156</w:t>
            </w:r>
          </w:p>
        </w:tc>
        <w:tc>
          <w:tcPr>
            <w:tcW w:w="1065" w:type="pct"/>
            <w:hideMark/>
          </w:tcPr>
          <w:p w14:paraId="35AB394B"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44.6</w:t>
            </w:r>
          </w:p>
        </w:tc>
      </w:tr>
      <w:tr w:rsidR="008B5E56" w:rsidRPr="007219D9" w14:paraId="0C0B67C4" w14:textId="77777777" w:rsidTr="00AA6F83">
        <w:trPr>
          <w:jc w:val="center"/>
        </w:trPr>
        <w:tc>
          <w:tcPr>
            <w:tcW w:w="1371" w:type="pct"/>
            <w:vMerge/>
            <w:hideMark/>
          </w:tcPr>
          <w:p w14:paraId="18DC23E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50595AC9"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Aided</w:t>
            </w:r>
          </w:p>
        </w:tc>
        <w:tc>
          <w:tcPr>
            <w:tcW w:w="1003" w:type="pct"/>
            <w:hideMark/>
          </w:tcPr>
          <w:p w14:paraId="0EFCA80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74</w:t>
            </w:r>
          </w:p>
        </w:tc>
        <w:tc>
          <w:tcPr>
            <w:tcW w:w="1065" w:type="pct"/>
            <w:hideMark/>
          </w:tcPr>
          <w:p w14:paraId="0DC65083"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21.1</w:t>
            </w:r>
          </w:p>
        </w:tc>
      </w:tr>
      <w:tr w:rsidR="008B5E56" w:rsidRPr="007219D9" w14:paraId="13106A61" w14:textId="77777777" w:rsidTr="00AA6F83">
        <w:trPr>
          <w:jc w:val="center"/>
        </w:trPr>
        <w:tc>
          <w:tcPr>
            <w:tcW w:w="1371" w:type="pct"/>
            <w:vMerge/>
            <w:hideMark/>
          </w:tcPr>
          <w:p w14:paraId="2C988A32"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72FA5848"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Private</w:t>
            </w:r>
          </w:p>
        </w:tc>
        <w:tc>
          <w:tcPr>
            <w:tcW w:w="1003" w:type="pct"/>
            <w:hideMark/>
          </w:tcPr>
          <w:p w14:paraId="0919C43C"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120</w:t>
            </w:r>
          </w:p>
        </w:tc>
        <w:tc>
          <w:tcPr>
            <w:tcW w:w="1065" w:type="pct"/>
            <w:hideMark/>
          </w:tcPr>
          <w:p w14:paraId="3C89F1DC"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34.3</w:t>
            </w:r>
          </w:p>
        </w:tc>
      </w:tr>
      <w:tr w:rsidR="008B5E56" w:rsidRPr="007219D9" w14:paraId="4A8F6608" w14:textId="77777777" w:rsidTr="00AA6F83">
        <w:trPr>
          <w:jc w:val="center"/>
        </w:trPr>
        <w:tc>
          <w:tcPr>
            <w:tcW w:w="1371" w:type="pct"/>
            <w:vMerge w:val="restart"/>
            <w:hideMark/>
          </w:tcPr>
          <w:p w14:paraId="77CDBC77"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b/>
                <w:bCs/>
                <w:sz w:val="20"/>
                <w:szCs w:val="20"/>
                <w:lang w:bidi="hi-IN"/>
              </w:rPr>
              <w:t>Social Category</w:t>
            </w:r>
          </w:p>
        </w:tc>
        <w:tc>
          <w:tcPr>
            <w:tcW w:w="1560" w:type="pct"/>
            <w:hideMark/>
          </w:tcPr>
          <w:p w14:paraId="2AC40809"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General</w:t>
            </w:r>
          </w:p>
        </w:tc>
        <w:tc>
          <w:tcPr>
            <w:tcW w:w="1003" w:type="pct"/>
            <w:hideMark/>
          </w:tcPr>
          <w:p w14:paraId="3D74FCD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152</w:t>
            </w:r>
          </w:p>
        </w:tc>
        <w:tc>
          <w:tcPr>
            <w:tcW w:w="1065" w:type="pct"/>
            <w:hideMark/>
          </w:tcPr>
          <w:p w14:paraId="4C148717"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43.4</w:t>
            </w:r>
          </w:p>
        </w:tc>
      </w:tr>
      <w:tr w:rsidR="008B5E56" w:rsidRPr="007219D9" w14:paraId="0B728FAA" w14:textId="77777777" w:rsidTr="00AA6F83">
        <w:trPr>
          <w:jc w:val="center"/>
        </w:trPr>
        <w:tc>
          <w:tcPr>
            <w:tcW w:w="1371" w:type="pct"/>
            <w:vMerge/>
            <w:hideMark/>
          </w:tcPr>
          <w:p w14:paraId="7A4A113A"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0683D37D"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OBC</w:t>
            </w:r>
          </w:p>
        </w:tc>
        <w:tc>
          <w:tcPr>
            <w:tcW w:w="1003" w:type="pct"/>
            <w:hideMark/>
          </w:tcPr>
          <w:p w14:paraId="0A5507CE"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118</w:t>
            </w:r>
          </w:p>
        </w:tc>
        <w:tc>
          <w:tcPr>
            <w:tcW w:w="1065" w:type="pct"/>
            <w:hideMark/>
          </w:tcPr>
          <w:p w14:paraId="7B190F72"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33.7</w:t>
            </w:r>
          </w:p>
        </w:tc>
      </w:tr>
      <w:tr w:rsidR="008B5E56" w:rsidRPr="007219D9" w14:paraId="2849DFDB" w14:textId="77777777" w:rsidTr="00AA6F83">
        <w:trPr>
          <w:jc w:val="center"/>
        </w:trPr>
        <w:tc>
          <w:tcPr>
            <w:tcW w:w="1371" w:type="pct"/>
            <w:vMerge/>
            <w:hideMark/>
          </w:tcPr>
          <w:p w14:paraId="44FE1AFD"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635E3885"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SC</w:t>
            </w:r>
          </w:p>
        </w:tc>
        <w:tc>
          <w:tcPr>
            <w:tcW w:w="1003" w:type="pct"/>
            <w:hideMark/>
          </w:tcPr>
          <w:p w14:paraId="30AB33A3"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58</w:t>
            </w:r>
          </w:p>
        </w:tc>
        <w:tc>
          <w:tcPr>
            <w:tcW w:w="1065" w:type="pct"/>
            <w:hideMark/>
          </w:tcPr>
          <w:p w14:paraId="32E8CE94"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16.6</w:t>
            </w:r>
          </w:p>
        </w:tc>
      </w:tr>
      <w:tr w:rsidR="008B5E56" w:rsidRPr="007219D9" w14:paraId="5ED1C8B1" w14:textId="77777777" w:rsidTr="00AA6F83">
        <w:trPr>
          <w:jc w:val="center"/>
        </w:trPr>
        <w:tc>
          <w:tcPr>
            <w:tcW w:w="1371" w:type="pct"/>
            <w:vMerge/>
            <w:hideMark/>
          </w:tcPr>
          <w:p w14:paraId="351D911A" w14:textId="77777777" w:rsidR="008B5E56" w:rsidRPr="007219D9" w:rsidRDefault="008B5E56" w:rsidP="00CE7380">
            <w:pPr>
              <w:rPr>
                <w:rFonts w:ascii="Arial" w:eastAsia="Times New Roman" w:hAnsi="Arial" w:cs="Arial"/>
                <w:sz w:val="20"/>
                <w:szCs w:val="20"/>
                <w:lang w:bidi="hi-IN"/>
              </w:rPr>
            </w:pPr>
          </w:p>
        </w:tc>
        <w:tc>
          <w:tcPr>
            <w:tcW w:w="1560" w:type="pct"/>
            <w:hideMark/>
          </w:tcPr>
          <w:p w14:paraId="4A54634B" w14:textId="77777777" w:rsidR="008B5E56" w:rsidRPr="007219D9" w:rsidRDefault="008B5E56" w:rsidP="00CE7380">
            <w:pPr>
              <w:rPr>
                <w:rFonts w:ascii="Arial" w:eastAsia="Times New Roman" w:hAnsi="Arial" w:cs="Arial"/>
                <w:sz w:val="20"/>
                <w:szCs w:val="20"/>
                <w:lang w:bidi="hi-IN"/>
              </w:rPr>
            </w:pPr>
            <w:r w:rsidRPr="007219D9">
              <w:rPr>
                <w:rFonts w:ascii="Arial" w:eastAsia="Times New Roman" w:hAnsi="Arial" w:cs="Arial"/>
                <w:sz w:val="20"/>
                <w:szCs w:val="20"/>
                <w:lang w:bidi="hi-IN"/>
              </w:rPr>
              <w:t>ST</w:t>
            </w:r>
          </w:p>
        </w:tc>
        <w:tc>
          <w:tcPr>
            <w:tcW w:w="1003" w:type="pct"/>
            <w:hideMark/>
          </w:tcPr>
          <w:p w14:paraId="22720DB6"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22</w:t>
            </w:r>
          </w:p>
        </w:tc>
        <w:tc>
          <w:tcPr>
            <w:tcW w:w="1065" w:type="pct"/>
            <w:hideMark/>
          </w:tcPr>
          <w:p w14:paraId="0C84D450" w14:textId="77777777" w:rsidR="008B5E56" w:rsidRPr="007219D9" w:rsidRDefault="008B5E56" w:rsidP="00111856">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6.3</w:t>
            </w:r>
          </w:p>
        </w:tc>
      </w:tr>
    </w:tbl>
    <w:p w14:paraId="310D2104" w14:textId="77777777" w:rsidR="003B3E0D" w:rsidRPr="007219D9" w:rsidRDefault="008B5E56" w:rsidP="003B3E0D">
      <w:pPr>
        <w:spacing w:after="0" w:line="240" w:lineRule="auto"/>
        <w:rPr>
          <w:rFonts w:ascii="Arial" w:eastAsia="Times New Roman" w:hAnsi="Arial" w:cs="Arial"/>
          <w:b/>
          <w:bCs/>
          <w:i/>
          <w:iCs/>
          <w:sz w:val="20"/>
          <w:szCs w:val="20"/>
          <w:lang w:bidi="hi-IN"/>
        </w:rPr>
      </w:pPr>
      <w:r w:rsidRPr="007219D9">
        <w:rPr>
          <w:rFonts w:ascii="Arial" w:eastAsia="Times New Roman" w:hAnsi="Arial" w:cs="Arial"/>
          <w:b/>
          <w:bCs/>
          <w:i/>
          <w:iCs/>
          <w:sz w:val="20"/>
          <w:szCs w:val="20"/>
          <w:lang w:bidi="hi-IN"/>
        </w:rPr>
        <w:t>(Source- Primary Survey Data - 2026)</w:t>
      </w:r>
    </w:p>
    <w:p w14:paraId="5FB873D0" w14:textId="77777777" w:rsidR="003B3E0D" w:rsidRPr="007219D9" w:rsidRDefault="003B3E0D" w:rsidP="003B3E0D">
      <w:pPr>
        <w:spacing w:after="0" w:line="240" w:lineRule="auto"/>
        <w:rPr>
          <w:rFonts w:ascii="Times New Roman" w:eastAsia="Times New Roman" w:hAnsi="Times New Roman" w:cs="Times New Roman"/>
          <w:sz w:val="24"/>
          <w:szCs w:val="24"/>
          <w:lang w:bidi="hi-IN"/>
        </w:rPr>
      </w:pPr>
    </w:p>
    <w:p w14:paraId="27C7699B" w14:textId="77777777" w:rsidR="00617CEE" w:rsidRPr="007219D9" w:rsidRDefault="00617CEE" w:rsidP="00617CEE">
      <w:pPr>
        <w:spacing w:after="0" w:line="240" w:lineRule="auto"/>
        <w:jc w:val="both"/>
        <w:rPr>
          <w:rFonts w:ascii="Arial" w:hAnsi="Arial" w:cs="Arial"/>
          <w:sz w:val="20"/>
          <w:szCs w:val="20"/>
        </w:rPr>
      </w:pPr>
      <w:r w:rsidRPr="007219D9">
        <w:rPr>
          <w:rFonts w:ascii="Arial" w:hAnsi="Arial" w:cs="Arial"/>
          <w:sz w:val="20"/>
          <w:szCs w:val="20"/>
        </w:rPr>
        <w:t>The demographic profile of the respondents presented in Table 01 demonstrates a balanced and representative sample of higher education students in Uttarakhand. The gender distribution is nearly equal, although male students are slightly more numerous, indicating inclusive participation across all genders. In terms of age group, the majority of respondents are between 17 and 23 years old, reflecting a predominance of undergraduate and early postgraduate students—appropriate for evaluating the implementation of the NEP-2020.</w:t>
      </w:r>
    </w:p>
    <w:p w14:paraId="282B28AA" w14:textId="77777777" w:rsidR="00617CEE" w:rsidRPr="007219D9" w:rsidRDefault="00617CEE" w:rsidP="00617CEE">
      <w:pPr>
        <w:spacing w:after="0" w:line="240" w:lineRule="auto"/>
        <w:jc w:val="both"/>
        <w:rPr>
          <w:rFonts w:ascii="Arial" w:hAnsi="Arial" w:cs="Arial"/>
          <w:sz w:val="20"/>
          <w:szCs w:val="20"/>
        </w:rPr>
      </w:pPr>
    </w:p>
    <w:p w14:paraId="266E87A0" w14:textId="70681CBB" w:rsidR="00CE7380" w:rsidRPr="007219D9" w:rsidRDefault="00617CEE" w:rsidP="00617CEE">
      <w:pPr>
        <w:spacing w:after="0" w:line="240" w:lineRule="auto"/>
        <w:jc w:val="both"/>
        <w:rPr>
          <w:rFonts w:ascii="Arial" w:hAnsi="Arial" w:cs="Arial"/>
          <w:sz w:val="20"/>
          <w:szCs w:val="20"/>
        </w:rPr>
      </w:pPr>
      <w:r w:rsidRPr="007219D9">
        <w:rPr>
          <w:rFonts w:ascii="Arial" w:hAnsi="Arial" w:cs="Arial"/>
          <w:sz w:val="20"/>
          <w:szCs w:val="20"/>
        </w:rPr>
        <w:t>The residence-based distribution reflects the regional disparities of rural, urban, and hilly/remote areas, while the nearly equal representation from mountainous and plain regions is particularly important for a geographically diverse state. Participation from government, aided, and private institutions enhances institutional comparability. The social category distribution aligns with the state's demographics, reinforcing external validity. Finally, the fact that most respondents reported studying under the NEP-2020 indicates sufficient exposure to the policy provisions, enabling an informed assessment of availability, implementation, and student satisfaction. Overall, this profile supports the robustness and relevance of the subsequent analyses.</w:t>
      </w:r>
    </w:p>
    <w:p w14:paraId="7955BE98" w14:textId="242F0783" w:rsidR="00587023" w:rsidRPr="007219D9" w:rsidRDefault="00587023" w:rsidP="00587023">
      <w:pPr>
        <w:spacing w:before="100" w:beforeAutospacing="1" w:after="100" w:afterAutospacing="1" w:line="240" w:lineRule="auto"/>
        <w:rPr>
          <w:rFonts w:ascii="Arial" w:eastAsia="Times New Roman" w:hAnsi="Arial" w:cs="Arial"/>
          <w:b/>
          <w:bCs/>
          <w:lang w:bidi="hi-IN"/>
        </w:rPr>
      </w:pPr>
      <w:r w:rsidRPr="007219D9">
        <w:rPr>
          <w:rFonts w:ascii="Arial" w:eastAsia="Times New Roman" w:hAnsi="Arial" w:cs="Arial"/>
          <w:b/>
          <w:bCs/>
          <w:lang w:bidi="hi-IN"/>
        </w:rPr>
        <w:t xml:space="preserve">Mathematical Model </w:t>
      </w:r>
      <w:r w:rsidR="00EB584A" w:rsidRPr="007219D9">
        <w:rPr>
          <w:rFonts w:ascii="Arial" w:eastAsia="Times New Roman" w:hAnsi="Arial" w:cs="Arial"/>
          <w:b/>
          <w:bCs/>
          <w:lang w:bidi="hi-IN"/>
        </w:rPr>
        <w:t>(</w:t>
      </w:r>
      <w:r w:rsidRPr="007219D9">
        <w:rPr>
          <w:rFonts w:ascii="Arial" w:eastAsia="Times New Roman" w:hAnsi="Arial" w:cs="Arial"/>
          <w:b/>
          <w:bCs/>
          <w:lang w:bidi="hi-IN"/>
        </w:rPr>
        <w:t>PLS-SEM</w:t>
      </w:r>
      <w:r w:rsidR="00EB584A" w:rsidRPr="007219D9">
        <w:rPr>
          <w:rFonts w:ascii="Arial" w:eastAsia="Times New Roman" w:hAnsi="Arial" w:cs="Arial"/>
          <w:b/>
          <w:bCs/>
          <w:lang w:bidi="hi-IN"/>
        </w:rPr>
        <w:t>)</w:t>
      </w:r>
      <w:r w:rsidRPr="007219D9">
        <w:rPr>
          <w:rFonts w:ascii="Arial" w:eastAsia="Times New Roman" w:hAnsi="Arial" w:cs="Arial"/>
          <w:b/>
          <w:bCs/>
          <w:lang w:bidi="hi-IN"/>
        </w:rPr>
        <w:t xml:space="preserve"> </w:t>
      </w:r>
    </w:p>
    <w:p w14:paraId="3B3FE888" w14:textId="241B8B5D" w:rsidR="00617CEE" w:rsidRPr="007219D9" w:rsidRDefault="00617CEE" w:rsidP="00617CEE">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To examine the effectiveness of the implementation of NEP-2020 in higher education institutions of Uttarakhand and its impact on student satisfaction, this study adopts the Partial Least Squares-Structural Equation Modeling (PLS-SEM) framework. PLS-SEM is particularly suitable for this research because it is prediction-oriented, handles complex models with latent constructs, and is well-suited for perception-based survey data that may not meet multivariate normality assumptions (Chin, 1998; Hair et al., 2019). The model consists of two interconnected components: (</w:t>
      </w:r>
      <w:proofErr w:type="spellStart"/>
      <w:r w:rsidRPr="007219D9">
        <w:rPr>
          <w:rFonts w:ascii="Arial" w:eastAsia="Times New Roman" w:hAnsi="Arial" w:cs="Arial"/>
          <w:sz w:val="20"/>
          <w:szCs w:val="20"/>
          <w:lang w:bidi="hi-IN"/>
        </w:rPr>
        <w:t>i</w:t>
      </w:r>
      <w:proofErr w:type="spellEnd"/>
      <w:r w:rsidRPr="007219D9">
        <w:rPr>
          <w:rFonts w:ascii="Arial" w:eastAsia="Times New Roman" w:hAnsi="Arial" w:cs="Arial"/>
          <w:sz w:val="20"/>
          <w:szCs w:val="20"/>
          <w:lang w:bidi="hi-IN"/>
        </w:rPr>
        <w:t xml:space="preserve">) the measurement (outer) model, which specifies the relationships between the latent constructs and their observed indicators, and (ii) the structural (inner) model, which defines the </w:t>
      </w:r>
      <w:proofErr w:type="spellStart"/>
      <w:r w:rsidRPr="007219D9">
        <w:rPr>
          <w:rFonts w:ascii="Arial" w:eastAsia="Times New Roman" w:hAnsi="Arial" w:cs="Arial"/>
          <w:sz w:val="20"/>
          <w:szCs w:val="20"/>
          <w:lang w:bidi="hi-IN"/>
        </w:rPr>
        <w:t>hypothesised</w:t>
      </w:r>
      <w:proofErr w:type="spellEnd"/>
      <w:r w:rsidRPr="007219D9">
        <w:rPr>
          <w:rFonts w:ascii="Arial" w:eastAsia="Times New Roman" w:hAnsi="Arial" w:cs="Arial"/>
          <w:sz w:val="20"/>
          <w:szCs w:val="20"/>
          <w:lang w:bidi="hi-IN"/>
        </w:rPr>
        <w:t xml:space="preserve"> causal relationships among the latent constructs. The measurement model assesses how well the observed indicators represent the underlying latent constructs, such as NEP-2020 implementation and student satisfaction. This component is evaluated through indicator reliability, internal consistency reliability, convergent validity, and discriminant validity, according to established PLS-SEM guidelines (Hair et al., 2019; Henseler et al., 2015).</w:t>
      </w:r>
    </w:p>
    <w:p w14:paraId="13DEF693" w14:textId="26324C04" w:rsidR="00C26C64" w:rsidRPr="007219D9" w:rsidRDefault="00C26C64" w:rsidP="00AA6F83">
      <w:pPr>
        <w:pStyle w:val="Heading4"/>
        <w:numPr>
          <w:ilvl w:val="0"/>
          <w:numId w:val="12"/>
        </w:numPr>
        <w:rPr>
          <w:rFonts w:ascii="Arial" w:hAnsi="Arial" w:cs="Arial"/>
          <w:b/>
          <w:bCs/>
          <w:i w:val="0"/>
          <w:iCs w:val="0"/>
          <w:color w:val="000000" w:themeColor="text1"/>
        </w:rPr>
      </w:pPr>
      <w:r w:rsidRPr="007219D9">
        <w:rPr>
          <w:rFonts w:ascii="Arial" w:hAnsi="Arial" w:cs="Arial"/>
          <w:b/>
          <w:bCs/>
          <w:i w:val="0"/>
          <w:iCs w:val="0"/>
          <w:color w:val="000000" w:themeColor="text1"/>
        </w:rPr>
        <w:t>Measurement (Outer) Model</w:t>
      </w:r>
    </w:p>
    <w:p w14:paraId="69B6D5BB" w14:textId="77777777" w:rsidR="00AA6F83" w:rsidRPr="007219D9" w:rsidRDefault="00AA6F83" w:rsidP="00AA6F83"/>
    <w:p w14:paraId="05E3001A" w14:textId="22A61008"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Defined the latent constructs as follows:</w:t>
      </w:r>
    </w:p>
    <w:p w14:paraId="70879A91" w14:textId="77777777"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NEPI = NEP–2020 Implementation (Availability and accessibility of policy provisions)</w:t>
      </w:r>
    </w:p>
    <w:p w14:paraId="1D41A490" w14:textId="77777777"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IEQ = Institutional Execution Quality</w:t>
      </w:r>
    </w:p>
    <w:p w14:paraId="7A52F3C3" w14:textId="77777777"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 SS = Student Satisfaction</w:t>
      </w:r>
    </w:p>
    <w:p w14:paraId="6355AD5F" w14:textId="5B5E7CAB" w:rsidR="002F3570" w:rsidRPr="007219D9" w:rsidRDefault="002F3570" w:rsidP="00302600">
      <w:pPr>
        <w:pStyle w:val="NormalWeb"/>
        <w:spacing w:before="0" w:beforeAutospacing="0" w:after="0" w:afterAutospacing="0"/>
        <w:jc w:val="both"/>
        <w:rPr>
          <w:rStyle w:val="Strong"/>
          <w:rFonts w:ascii="Arial" w:eastAsiaTheme="majorEastAsia" w:hAnsi="Arial" w:cs="Arial"/>
          <w:b w:val="0"/>
          <w:bCs w:val="0"/>
          <w:sz w:val="20"/>
          <w:szCs w:val="20"/>
        </w:rPr>
      </w:pPr>
      <w:r w:rsidRPr="007219D9">
        <w:rPr>
          <w:rStyle w:val="Strong"/>
          <w:rFonts w:ascii="Arial" w:eastAsiaTheme="majorEastAsia" w:hAnsi="Arial" w:cs="Arial"/>
          <w:b w:val="0"/>
          <w:bCs w:val="0"/>
          <w:sz w:val="20"/>
          <w:szCs w:val="20"/>
        </w:rPr>
        <w:t>Each latent construct is measured reflectively through a set of observed indicators derived from a Likert-scale questionnaire.</w:t>
      </w:r>
    </w:p>
    <w:p w14:paraId="498227C0" w14:textId="035B5EEF" w:rsidR="00C26C64" w:rsidRPr="007219D9" w:rsidRDefault="00C26C64" w:rsidP="00C26C64">
      <w:pPr>
        <w:pStyle w:val="NormalWeb"/>
        <w:rPr>
          <w:rFonts w:ascii="Arial" w:hAnsi="Arial" w:cs="Arial"/>
          <w:sz w:val="22"/>
          <w:szCs w:val="22"/>
        </w:rPr>
      </w:pPr>
      <w:r w:rsidRPr="007219D9">
        <w:rPr>
          <w:rStyle w:val="Strong"/>
          <w:rFonts w:ascii="Arial" w:eastAsiaTheme="majorEastAsia" w:hAnsi="Arial" w:cs="Arial"/>
          <w:sz w:val="22"/>
          <w:szCs w:val="22"/>
        </w:rPr>
        <w:t>Reflective measurement equations:</w:t>
      </w:r>
    </w:p>
    <w:p w14:paraId="213BCC17" w14:textId="77777777" w:rsidR="00C26C64" w:rsidRPr="007219D9" w:rsidRDefault="00C26C64" w:rsidP="00302600">
      <w:pPr>
        <w:pStyle w:val="NormalWeb"/>
        <w:spacing w:before="0" w:beforeAutospacing="0" w:after="0" w:afterAutospacing="0" w:line="360" w:lineRule="auto"/>
        <w:jc w:val="center"/>
        <w:rPr>
          <w:rFonts w:ascii="Arial" w:hAnsi="Arial" w:cs="Arial"/>
          <w:sz w:val="22"/>
          <w:szCs w:val="22"/>
        </w:rPr>
      </w:pPr>
      <w:r w:rsidRPr="007219D9">
        <w:rPr>
          <w:rFonts w:ascii="Arial" w:hAnsi="Arial" w:cs="Arial"/>
          <w:sz w:val="22"/>
          <w:szCs w:val="22"/>
        </w:rPr>
        <w:t>For NEP–2020 Implementation:</w:t>
      </w:r>
    </w:p>
    <w:p w14:paraId="0E1151F2" w14:textId="77777777" w:rsidR="00C26C64" w:rsidRPr="007219D9" w:rsidRDefault="00C26C64" w:rsidP="00302600">
      <w:pPr>
        <w:pStyle w:val="NormalWeb"/>
        <w:spacing w:before="0" w:beforeAutospacing="0" w:after="0" w:afterAutospacing="0" w:line="360" w:lineRule="auto"/>
        <w:jc w:val="center"/>
        <w:rPr>
          <w:rStyle w:val="mord"/>
          <w:rFonts w:ascii="Arial" w:hAnsi="Arial" w:cs="Arial"/>
          <w:sz w:val="22"/>
          <w:szCs w:val="22"/>
        </w:rPr>
      </w:pPr>
      <w:r w:rsidRPr="007219D9">
        <w:rPr>
          <w:rStyle w:val="mord"/>
          <w:rFonts w:ascii="Arial" w:hAnsi="Arial" w:cs="Arial"/>
          <w:sz w:val="22"/>
          <w:szCs w:val="22"/>
        </w:rPr>
        <w:t>xi</w:t>
      </w:r>
      <w:r w:rsidRPr="007219D9">
        <w:rPr>
          <w:rStyle w:val="vlist-s"/>
          <w:rFonts w:ascii="Arial" w:hAnsi="Arial" w:cs="Arial"/>
          <w:sz w:val="22"/>
          <w:szCs w:val="22"/>
        </w:rPr>
        <w:t>​</w:t>
      </w:r>
      <w:r w:rsidRPr="007219D9">
        <w:rPr>
          <w:rStyle w:val="mrel"/>
          <w:rFonts w:ascii="Arial" w:hAnsi="Arial" w:cs="Arial"/>
          <w:sz w:val="22"/>
          <w:szCs w:val="22"/>
        </w:rPr>
        <w:t>=</w:t>
      </w:r>
      <w:proofErr w:type="spellStart"/>
      <w:r w:rsidRPr="007219D9">
        <w:rPr>
          <w:rStyle w:val="mord"/>
          <w:rFonts w:ascii="Arial" w:hAnsi="Arial" w:cs="Arial"/>
          <w:sz w:val="22"/>
          <w:szCs w:val="22"/>
        </w:rPr>
        <w:t>λi</w:t>
      </w:r>
      <w:proofErr w:type="spellEnd"/>
      <w:r w:rsidRPr="007219D9">
        <w:rPr>
          <w:rStyle w:val="mopen"/>
          <w:rFonts w:ascii="Arial" w:eastAsiaTheme="majorEastAsia" w:hAnsi="Arial" w:cs="Arial"/>
          <w:sz w:val="22"/>
          <w:szCs w:val="22"/>
          <w:vertAlign w:val="superscript"/>
        </w:rPr>
        <w:t>(</w:t>
      </w:r>
      <w:r w:rsidRPr="007219D9">
        <w:rPr>
          <w:rStyle w:val="mord"/>
          <w:rFonts w:ascii="Arial" w:hAnsi="Arial" w:cs="Arial"/>
          <w:sz w:val="22"/>
          <w:szCs w:val="22"/>
          <w:vertAlign w:val="superscript"/>
        </w:rPr>
        <w:t>NEPI</w:t>
      </w:r>
      <w:r w:rsidRPr="007219D9">
        <w:rPr>
          <w:rStyle w:val="mclose"/>
          <w:rFonts w:ascii="Arial" w:hAnsi="Arial" w:cs="Arial"/>
          <w:sz w:val="22"/>
          <w:szCs w:val="22"/>
          <w:vertAlign w:val="superscript"/>
        </w:rPr>
        <w:t>)</w:t>
      </w:r>
      <w:r w:rsidRPr="007219D9">
        <w:rPr>
          <w:rStyle w:val="vlist-s"/>
          <w:rFonts w:ascii="Arial" w:hAnsi="Arial" w:cs="Arial"/>
          <w:sz w:val="22"/>
          <w:szCs w:val="22"/>
          <w:vertAlign w:val="superscript"/>
        </w:rPr>
        <w:t>​</w:t>
      </w:r>
      <w:r w:rsidRPr="007219D9">
        <w:rPr>
          <w:rStyle w:val="mbin"/>
          <w:rFonts w:ascii="Cambria Math" w:hAnsi="Cambria Math" w:cs="Cambria Math"/>
          <w:sz w:val="22"/>
          <w:szCs w:val="22"/>
          <w:vertAlign w:val="superscript"/>
        </w:rPr>
        <w:t>⋅</w:t>
      </w:r>
      <w:proofErr w:type="spellStart"/>
      <w:r w:rsidRPr="007219D9">
        <w:rPr>
          <w:rStyle w:val="mord"/>
          <w:rFonts w:ascii="Arial" w:hAnsi="Arial" w:cs="Arial"/>
          <w:sz w:val="22"/>
          <w:szCs w:val="22"/>
        </w:rPr>
        <w:t>NEPI</w:t>
      </w:r>
      <w:r w:rsidRPr="007219D9">
        <w:rPr>
          <w:rStyle w:val="mbin"/>
          <w:rFonts w:ascii="Arial" w:hAnsi="Arial" w:cs="Arial"/>
          <w:sz w:val="22"/>
          <w:szCs w:val="22"/>
        </w:rPr>
        <w:t>+</w:t>
      </w:r>
      <w:r w:rsidRPr="007219D9">
        <w:rPr>
          <w:rStyle w:val="mord"/>
          <w:rFonts w:ascii="Arial" w:hAnsi="Arial" w:cs="Arial"/>
          <w:sz w:val="22"/>
          <w:szCs w:val="22"/>
        </w:rPr>
        <w:t>ε</w:t>
      </w:r>
      <w:proofErr w:type="gramStart"/>
      <w:r w:rsidRPr="007219D9">
        <w:rPr>
          <w:rStyle w:val="mord"/>
          <w:rFonts w:ascii="Arial" w:hAnsi="Arial" w:cs="Arial"/>
          <w:sz w:val="22"/>
          <w:szCs w:val="22"/>
        </w:rPr>
        <w:t>i</w:t>
      </w:r>
      <w:proofErr w:type="spellEnd"/>
      <w:r w:rsidRPr="007219D9">
        <w:rPr>
          <w:rStyle w:val="vlist-s"/>
          <w:rFonts w:ascii="Arial" w:hAnsi="Arial" w:cs="Arial"/>
          <w:sz w:val="22"/>
          <w:szCs w:val="22"/>
        </w:rPr>
        <w:t>​</w:t>
      </w:r>
      <w:r w:rsidRPr="007219D9">
        <w:rPr>
          <w:rStyle w:val="mpunct"/>
          <w:rFonts w:ascii="Arial" w:hAnsi="Arial" w:cs="Arial"/>
          <w:sz w:val="22"/>
          <w:szCs w:val="22"/>
        </w:rPr>
        <w:t>,</w:t>
      </w:r>
      <w:proofErr w:type="spellStart"/>
      <w:r w:rsidRPr="007219D9">
        <w:rPr>
          <w:rStyle w:val="mord"/>
          <w:rFonts w:ascii="Arial" w:hAnsi="Arial" w:cs="Arial"/>
          <w:sz w:val="22"/>
          <w:szCs w:val="22"/>
        </w:rPr>
        <w:t>i</w:t>
      </w:r>
      <w:proofErr w:type="spellEnd"/>
      <w:proofErr w:type="gramEnd"/>
      <w:r w:rsidRPr="007219D9">
        <w:rPr>
          <w:rStyle w:val="mrel"/>
          <w:rFonts w:ascii="Arial" w:hAnsi="Arial" w:cs="Arial"/>
          <w:sz w:val="22"/>
          <w:szCs w:val="22"/>
        </w:rPr>
        <w:t>=</w:t>
      </w:r>
      <w:r w:rsidRPr="007219D9">
        <w:rPr>
          <w:rStyle w:val="mord"/>
          <w:rFonts w:ascii="Arial" w:hAnsi="Arial" w:cs="Arial"/>
          <w:sz w:val="22"/>
          <w:szCs w:val="22"/>
        </w:rPr>
        <w:t>1</w:t>
      </w:r>
      <w:r w:rsidRPr="007219D9">
        <w:rPr>
          <w:rStyle w:val="mpunct"/>
          <w:rFonts w:ascii="Arial" w:hAnsi="Arial" w:cs="Arial"/>
          <w:sz w:val="22"/>
          <w:szCs w:val="22"/>
        </w:rPr>
        <w:t>,</w:t>
      </w:r>
      <w:r w:rsidRPr="007219D9">
        <w:rPr>
          <w:rStyle w:val="mord"/>
          <w:rFonts w:ascii="Arial" w:hAnsi="Arial" w:cs="Arial"/>
          <w:sz w:val="22"/>
          <w:szCs w:val="22"/>
        </w:rPr>
        <w:t>2</w:t>
      </w:r>
      <w:r w:rsidRPr="007219D9">
        <w:rPr>
          <w:rStyle w:val="mpunct"/>
          <w:rFonts w:ascii="Arial" w:hAnsi="Arial" w:cs="Arial"/>
          <w:sz w:val="22"/>
          <w:szCs w:val="22"/>
        </w:rPr>
        <w:t>,</w:t>
      </w:r>
      <w:r w:rsidRPr="007219D9">
        <w:rPr>
          <w:rStyle w:val="minner"/>
          <w:rFonts w:ascii="Arial" w:hAnsi="Arial" w:cs="Arial"/>
          <w:sz w:val="22"/>
          <w:szCs w:val="22"/>
        </w:rPr>
        <w:t>…</w:t>
      </w:r>
      <w:r w:rsidRPr="007219D9">
        <w:rPr>
          <w:rStyle w:val="mpunct"/>
          <w:rFonts w:ascii="Arial" w:hAnsi="Arial" w:cs="Arial"/>
          <w:sz w:val="22"/>
          <w:szCs w:val="22"/>
        </w:rPr>
        <w:t>,</w:t>
      </w:r>
      <w:r w:rsidRPr="007219D9">
        <w:rPr>
          <w:rStyle w:val="mord"/>
          <w:rFonts w:ascii="Arial" w:hAnsi="Arial" w:cs="Arial"/>
          <w:sz w:val="22"/>
          <w:szCs w:val="22"/>
        </w:rPr>
        <w:t>p</w:t>
      </w:r>
    </w:p>
    <w:p w14:paraId="49815E3F" w14:textId="77777777" w:rsidR="00C26C64" w:rsidRPr="007219D9" w:rsidRDefault="00C26C64" w:rsidP="00302600">
      <w:pPr>
        <w:pStyle w:val="NormalWeb"/>
        <w:spacing w:before="0" w:beforeAutospacing="0" w:after="0" w:afterAutospacing="0" w:line="360" w:lineRule="auto"/>
        <w:jc w:val="center"/>
        <w:rPr>
          <w:rFonts w:ascii="Arial" w:hAnsi="Arial" w:cs="Arial"/>
          <w:sz w:val="22"/>
          <w:szCs w:val="22"/>
        </w:rPr>
      </w:pPr>
      <w:r w:rsidRPr="007219D9">
        <w:rPr>
          <w:rFonts w:ascii="Arial" w:hAnsi="Arial" w:cs="Arial"/>
          <w:sz w:val="22"/>
          <w:szCs w:val="22"/>
        </w:rPr>
        <w:lastRenderedPageBreak/>
        <w:t>For Institutional Execution Quality:</w:t>
      </w:r>
    </w:p>
    <w:p w14:paraId="03096C9C" w14:textId="77777777" w:rsidR="00C26C64" w:rsidRPr="007219D9" w:rsidRDefault="00C26C64" w:rsidP="00302600">
      <w:pPr>
        <w:pStyle w:val="NormalWeb"/>
        <w:spacing w:before="0" w:beforeAutospacing="0" w:after="0" w:afterAutospacing="0" w:line="360" w:lineRule="auto"/>
        <w:jc w:val="center"/>
        <w:rPr>
          <w:rStyle w:val="mord"/>
          <w:rFonts w:ascii="Arial" w:hAnsi="Arial" w:cs="Arial"/>
          <w:sz w:val="22"/>
          <w:szCs w:val="22"/>
        </w:rPr>
      </w:pPr>
      <w:proofErr w:type="spellStart"/>
      <w:r w:rsidRPr="007219D9">
        <w:rPr>
          <w:rStyle w:val="mord"/>
          <w:rFonts w:ascii="Arial" w:hAnsi="Arial" w:cs="Arial"/>
          <w:sz w:val="22"/>
          <w:szCs w:val="22"/>
        </w:rPr>
        <w:t>xj</w:t>
      </w:r>
      <w:proofErr w:type="spellEnd"/>
      <w:r w:rsidRPr="007219D9">
        <w:rPr>
          <w:rStyle w:val="vlist-s"/>
          <w:rFonts w:ascii="Arial" w:hAnsi="Arial" w:cs="Arial"/>
          <w:sz w:val="22"/>
          <w:szCs w:val="22"/>
        </w:rPr>
        <w:t>​</w:t>
      </w:r>
      <w:r w:rsidRPr="007219D9">
        <w:rPr>
          <w:rStyle w:val="mrel"/>
          <w:rFonts w:ascii="Arial" w:hAnsi="Arial" w:cs="Arial"/>
          <w:sz w:val="22"/>
          <w:szCs w:val="22"/>
        </w:rPr>
        <w:t>=</w:t>
      </w:r>
      <w:proofErr w:type="spellStart"/>
      <w:r w:rsidRPr="007219D9">
        <w:rPr>
          <w:rStyle w:val="mord"/>
          <w:rFonts w:ascii="Arial" w:hAnsi="Arial" w:cs="Arial"/>
          <w:sz w:val="22"/>
          <w:szCs w:val="22"/>
        </w:rPr>
        <w:t>λj</w:t>
      </w:r>
      <w:proofErr w:type="spellEnd"/>
      <w:r w:rsidRPr="007219D9">
        <w:rPr>
          <w:rStyle w:val="mopen"/>
          <w:rFonts w:ascii="Arial" w:eastAsiaTheme="majorEastAsia" w:hAnsi="Arial" w:cs="Arial"/>
          <w:sz w:val="22"/>
          <w:szCs w:val="22"/>
          <w:vertAlign w:val="superscript"/>
        </w:rPr>
        <w:t>(</w:t>
      </w:r>
      <w:r w:rsidRPr="007219D9">
        <w:rPr>
          <w:rStyle w:val="mord"/>
          <w:rFonts w:ascii="Arial" w:hAnsi="Arial" w:cs="Arial"/>
          <w:sz w:val="22"/>
          <w:szCs w:val="22"/>
          <w:vertAlign w:val="superscript"/>
        </w:rPr>
        <w:t>IEQ</w:t>
      </w:r>
      <w:r w:rsidRPr="007219D9">
        <w:rPr>
          <w:rStyle w:val="mclose"/>
          <w:rFonts w:ascii="Arial" w:hAnsi="Arial" w:cs="Arial"/>
          <w:sz w:val="22"/>
          <w:szCs w:val="22"/>
          <w:vertAlign w:val="superscript"/>
        </w:rPr>
        <w:t>)</w:t>
      </w:r>
      <w:r w:rsidRPr="007219D9">
        <w:rPr>
          <w:rStyle w:val="vlist-s"/>
          <w:rFonts w:ascii="Arial" w:hAnsi="Arial" w:cs="Arial"/>
          <w:sz w:val="22"/>
          <w:szCs w:val="22"/>
          <w:vertAlign w:val="superscript"/>
        </w:rPr>
        <w:t>​</w:t>
      </w:r>
      <w:r w:rsidRPr="007219D9">
        <w:rPr>
          <w:rStyle w:val="mbin"/>
          <w:rFonts w:ascii="Cambria Math" w:hAnsi="Cambria Math" w:cs="Cambria Math"/>
          <w:sz w:val="22"/>
          <w:szCs w:val="22"/>
          <w:vertAlign w:val="superscript"/>
        </w:rPr>
        <w:t>⋅</w:t>
      </w:r>
      <w:proofErr w:type="spellStart"/>
      <w:r w:rsidRPr="007219D9">
        <w:rPr>
          <w:rStyle w:val="mord"/>
          <w:rFonts w:ascii="Arial" w:hAnsi="Arial" w:cs="Arial"/>
          <w:sz w:val="22"/>
          <w:szCs w:val="22"/>
        </w:rPr>
        <w:t>IEQ</w:t>
      </w:r>
      <w:r w:rsidRPr="007219D9">
        <w:rPr>
          <w:rStyle w:val="mbin"/>
          <w:rFonts w:ascii="Arial" w:hAnsi="Arial" w:cs="Arial"/>
          <w:sz w:val="22"/>
          <w:szCs w:val="22"/>
        </w:rPr>
        <w:t>+</w:t>
      </w:r>
      <w:r w:rsidRPr="007219D9">
        <w:rPr>
          <w:rStyle w:val="mord"/>
          <w:rFonts w:ascii="Arial" w:hAnsi="Arial" w:cs="Arial"/>
          <w:sz w:val="22"/>
          <w:szCs w:val="22"/>
        </w:rPr>
        <w:t>ε</w:t>
      </w:r>
      <w:proofErr w:type="gramStart"/>
      <w:r w:rsidRPr="007219D9">
        <w:rPr>
          <w:rStyle w:val="mord"/>
          <w:rFonts w:ascii="Arial" w:hAnsi="Arial" w:cs="Arial"/>
          <w:sz w:val="22"/>
          <w:szCs w:val="22"/>
        </w:rPr>
        <w:t>j</w:t>
      </w:r>
      <w:proofErr w:type="spellEnd"/>
      <w:r w:rsidRPr="007219D9">
        <w:rPr>
          <w:rStyle w:val="vlist-s"/>
          <w:rFonts w:ascii="Arial" w:hAnsi="Arial" w:cs="Arial"/>
          <w:sz w:val="22"/>
          <w:szCs w:val="22"/>
        </w:rPr>
        <w:t>​</w:t>
      </w:r>
      <w:r w:rsidRPr="007219D9">
        <w:rPr>
          <w:rStyle w:val="mpunct"/>
          <w:rFonts w:ascii="Arial" w:hAnsi="Arial" w:cs="Arial"/>
          <w:sz w:val="22"/>
          <w:szCs w:val="22"/>
        </w:rPr>
        <w:t>,</w:t>
      </w:r>
      <w:r w:rsidRPr="007219D9">
        <w:rPr>
          <w:rStyle w:val="mord"/>
          <w:rFonts w:ascii="Arial" w:hAnsi="Arial" w:cs="Arial"/>
          <w:sz w:val="22"/>
          <w:szCs w:val="22"/>
        </w:rPr>
        <w:t>j</w:t>
      </w:r>
      <w:proofErr w:type="gramEnd"/>
      <w:r w:rsidRPr="007219D9">
        <w:rPr>
          <w:rStyle w:val="mrel"/>
          <w:rFonts w:ascii="Arial" w:hAnsi="Arial" w:cs="Arial"/>
          <w:sz w:val="22"/>
          <w:szCs w:val="22"/>
        </w:rPr>
        <w:t>=</w:t>
      </w:r>
      <w:r w:rsidRPr="007219D9">
        <w:rPr>
          <w:rStyle w:val="mord"/>
          <w:rFonts w:ascii="Arial" w:hAnsi="Arial" w:cs="Arial"/>
          <w:sz w:val="22"/>
          <w:szCs w:val="22"/>
        </w:rPr>
        <w:t>1</w:t>
      </w:r>
      <w:r w:rsidRPr="007219D9">
        <w:rPr>
          <w:rStyle w:val="mpunct"/>
          <w:rFonts w:ascii="Arial" w:hAnsi="Arial" w:cs="Arial"/>
          <w:sz w:val="22"/>
          <w:szCs w:val="22"/>
        </w:rPr>
        <w:t>,</w:t>
      </w:r>
      <w:r w:rsidRPr="007219D9">
        <w:rPr>
          <w:rStyle w:val="mord"/>
          <w:rFonts w:ascii="Arial" w:hAnsi="Arial" w:cs="Arial"/>
          <w:sz w:val="22"/>
          <w:szCs w:val="22"/>
        </w:rPr>
        <w:t>2</w:t>
      </w:r>
      <w:r w:rsidRPr="007219D9">
        <w:rPr>
          <w:rStyle w:val="mpunct"/>
          <w:rFonts w:ascii="Arial" w:hAnsi="Arial" w:cs="Arial"/>
          <w:sz w:val="22"/>
          <w:szCs w:val="22"/>
        </w:rPr>
        <w:t>,</w:t>
      </w:r>
      <w:r w:rsidRPr="007219D9">
        <w:rPr>
          <w:rStyle w:val="minner"/>
          <w:rFonts w:ascii="Arial" w:hAnsi="Arial" w:cs="Arial"/>
          <w:sz w:val="22"/>
          <w:szCs w:val="22"/>
        </w:rPr>
        <w:t>…</w:t>
      </w:r>
      <w:r w:rsidRPr="007219D9">
        <w:rPr>
          <w:rStyle w:val="mpunct"/>
          <w:rFonts w:ascii="Arial" w:hAnsi="Arial" w:cs="Arial"/>
          <w:sz w:val="22"/>
          <w:szCs w:val="22"/>
        </w:rPr>
        <w:t>,</w:t>
      </w:r>
      <w:r w:rsidRPr="007219D9">
        <w:rPr>
          <w:rStyle w:val="mord"/>
          <w:rFonts w:ascii="Arial" w:hAnsi="Arial" w:cs="Arial"/>
          <w:sz w:val="22"/>
          <w:szCs w:val="22"/>
        </w:rPr>
        <w:t>q</w:t>
      </w:r>
    </w:p>
    <w:p w14:paraId="1B98485C" w14:textId="77777777" w:rsidR="00C26C64" w:rsidRPr="007219D9" w:rsidRDefault="00C26C64" w:rsidP="00302600">
      <w:pPr>
        <w:pStyle w:val="NormalWeb"/>
        <w:spacing w:before="0" w:beforeAutospacing="0" w:after="0" w:afterAutospacing="0" w:line="360" w:lineRule="auto"/>
        <w:jc w:val="center"/>
        <w:rPr>
          <w:rFonts w:ascii="Arial" w:hAnsi="Arial" w:cs="Arial"/>
          <w:sz w:val="22"/>
          <w:szCs w:val="22"/>
        </w:rPr>
      </w:pPr>
      <w:r w:rsidRPr="007219D9">
        <w:rPr>
          <w:rFonts w:ascii="Arial" w:hAnsi="Arial" w:cs="Arial"/>
          <w:sz w:val="22"/>
          <w:szCs w:val="22"/>
        </w:rPr>
        <w:t>For Student Satisfaction:</w:t>
      </w:r>
    </w:p>
    <w:p w14:paraId="3C1CA0EE" w14:textId="77777777" w:rsidR="00C26C64" w:rsidRPr="007219D9" w:rsidRDefault="00C26C64" w:rsidP="00302600">
      <w:pPr>
        <w:pStyle w:val="NormalWeb"/>
        <w:spacing w:before="0" w:beforeAutospacing="0" w:after="0" w:afterAutospacing="0" w:line="360" w:lineRule="auto"/>
        <w:jc w:val="center"/>
        <w:rPr>
          <w:rStyle w:val="mord"/>
          <w:rFonts w:ascii="Arial" w:hAnsi="Arial" w:cs="Arial"/>
          <w:sz w:val="22"/>
          <w:szCs w:val="22"/>
        </w:rPr>
      </w:pPr>
      <w:proofErr w:type="spellStart"/>
      <w:r w:rsidRPr="007219D9">
        <w:rPr>
          <w:rStyle w:val="mord"/>
          <w:rFonts w:ascii="Arial" w:hAnsi="Arial" w:cs="Arial"/>
          <w:sz w:val="22"/>
          <w:szCs w:val="22"/>
        </w:rPr>
        <w:t>yk</w:t>
      </w:r>
      <w:proofErr w:type="spellEnd"/>
      <w:r w:rsidRPr="007219D9">
        <w:rPr>
          <w:rStyle w:val="vlist-s"/>
          <w:rFonts w:ascii="Arial" w:hAnsi="Arial" w:cs="Arial"/>
          <w:sz w:val="22"/>
          <w:szCs w:val="22"/>
        </w:rPr>
        <w:t>​</w:t>
      </w:r>
      <w:r w:rsidRPr="007219D9">
        <w:rPr>
          <w:rStyle w:val="mrel"/>
          <w:rFonts w:ascii="Arial" w:hAnsi="Arial" w:cs="Arial"/>
          <w:sz w:val="22"/>
          <w:szCs w:val="22"/>
        </w:rPr>
        <w:t>=</w:t>
      </w:r>
      <w:proofErr w:type="spellStart"/>
      <w:r w:rsidRPr="007219D9">
        <w:rPr>
          <w:rStyle w:val="mord"/>
          <w:rFonts w:ascii="Arial" w:hAnsi="Arial" w:cs="Arial"/>
          <w:sz w:val="22"/>
          <w:szCs w:val="22"/>
        </w:rPr>
        <w:t>λk</w:t>
      </w:r>
      <w:proofErr w:type="spellEnd"/>
      <w:r w:rsidRPr="007219D9">
        <w:rPr>
          <w:rStyle w:val="mopen"/>
          <w:rFonts w:ascii="Arial" w:eastAsiaTheme="majorEastAsia" w:hAnsi="Arial" w:cs="Arial"/>
          <w:sz w:val="22"/>
          <w:szCs w:val="22"/>
          <w:vertAlign w:val="superscript"/>
        </w:rPr>
        <w:t>(</w:t>
      </w:r>
      <w:r w:rsidRPr="007219D9">
        <w:rPr>
          <w:rStyle w:val="mord"/>
          <w:rFonts w:ascii="Arial" w:hAnsi="Arial" w:cs="Arial"/>
          <w:sz w:val="22"/>
          <w:szCs w:val="22"/>
          <w:vertAlign w:val="superscript"/>
        </w:rPr>
        <w:t>SS</w:t>
      </w:r>
      <w:r w:rsidRPr="007219D9">
        <w:rPr>
          <w:rStyle w:val="mclose"/>
          <w:rFonts w:ascii="Arial" w:hAnsi="Arial" w:cs="Arial"/>
          <w:sz w:val="22"/>
          <w:szCs w:val="22"/>
          <w:vertAlign w:val="superscript"/>
        </w:rPr>
        <w:t>)</w:t>
      </w:r>
      <w:r w:rsidRPr="007219D9">
        <w:rPr>
          <w:rStyle w:val="vlist-s"/>
          <w:rFonts w:ascii="Arial" w:hAnsi="Arial" w:cs="Arial"/>
          <w:sz w:val="22"/>
          <w:szCs w:val="22"/>
          <w:vertAlign w:val="superscript"/>
        </w:rPr>
        <w:t>​</w:t>
      </w:r>
      <w:r w:rsidRPr="007219D9">
        <w:rPr>
          <w:rStyle w:val="mbin"/>
          <w:rFonts w:ascii="Cambria Math" w:hAnsi="Cambria Math" w:cs="Cambria Math"/>
          <w:sz w:val="22"/>
          <w:szCs w:val="22"/>
          <w:vertAlign w:val="superscript"/>
        </w:rPr>
        <w:t>⋅</w:t>
      </w:r>
      <w:proofErr w:type="spellStart"/>
      <w:r w:rsidRPr="007219D9">
        <w:rPr>
          <w:rStyle w:val="mord"/>
          <w:rFonts w:ascii="Arial" w:hAnsi="Arial" w:cs="Arial"/>
          <w:sz w:val="22"/>
          <w:szCs w:val="22"/>
        </w:rPr>
        <w:t>SS</w:t>
      </w:r>
      <w:r w:rsidRPr="007219D9">
        <w:rPr>
          <w:rStyle w:val="mbin"/>
          <w:rFonts w:ascii="Arial" w:hAnsi="Arial" w:cs="Arial"/>
          <w:sz w:val="22"/>
          <w:szCs w:val="22"/>
        </w:rPr>
        <w:t>+</w:t>
      </w:r>
      <w:r w:rsidRPr="007219D9">
        <w:rPr>
          <w:rStyle w:val="mord"/>
          <w:rFonts w:ascii="Arial" w:hAnsi="Arial" w:cs="Arial"/>
          <w:sz w:val="22"/>
          <w:szCs w:val="22"/>
        </w:rPr>
        <w:t>ε</w:t>
      </w:r>
      <w:proofErr w:type="gramStart"/>
      <w:r w:rsidRPr="007219D9">
        <w:rPr>
          <w:rStyle w:val="mord"/>
          <w:rFonts w:ascii="Arial" w:hAnsi="Arial" w:cs="Arial"/>
          <w:sz w:val="22"/>
          <w:szCs w:val="22"/>
        </w:rPr>
        <w:t>k</w:t>
      </w:r>
      <w:proofErr w:type="spellEnd"/>
      <w:r w:rsidRPr="007219D9">
        <w:rPr>
          <w:rStyle w:val="vlist-s"/>
          <w:rFonts w:ascii="Arial" w:hAnsi="Arial" w:cs="Arial"/>
          <w:sz w:val="22"/>
          <w:szCs w:val="22"/>
        </w:rPr>
        <w:t>​</w:t>
      </w:r>
      <w:r w:rsidRPr="007219D9">
        <w:rPr>
          <w:rStyle w:val="mpunct"/>
          <w:rFonts w:ascii="Arial" w:hAnsi="Arial" w:cs="Arial"/>
          <w:sz w:val="22"/>
          <w:szCs w:val="22"/>
        </w:rPr>
        <w:t>,</w:t>
      </w:r>
      <w:r w:rsidRPr="007219D9">
        <w:rPr>
          <w:rStyle w:val="mord"/>
          <w:rFonts w:ascii="Arial" w:hAnsi="Arial" w:cs="Arial"/>
          <w:sz w:val="22"/>
          <w:szCs w:val="22"/>
        </w:rPr>
        <w:t>k</w:t>
      </w:r>
      <w:proofErr w:type="gramEnd"/>
      <w:r w:rsidRPr="007219D9">
        <w:rPr>
          <w:rStyle w:val="mrel"/>
          <w:rFonts w:ascii="Arial" w:hAnsi="Arial" w:cs="Arial"/>
          <w:sz w:val="22"/>
          <w:szCs w:val="22"/>
        </w:rPr>
        <w:t>=</w:t>
      </w:r>
      <w:r w:rsidRPr="007219D9">
        <w:rPr>
          <w:rStyle w:val="mord"/>
          <w:rFonts w:ascii="Arial" w:hAnsi="Arial" w:cs="Arial"/>
          <w:sz w:val="22"/>
          <w:szCs w:val="22"/>
        </w:rPr>
        <w:t>1</w:t>
      </w:r>
      <w:r w:rsidRPr="007219D9">
        <w:rPr>
          <w:rStyle w:val="mpunct"/>
          <w:rFonts w:ascii="Arial" w:hAnsi="Arial" w:cs="Arial"/>
          <w:sz w:val="22"/>
          <w:szCs w:val="22"/>
        </w:rPr>
        <w:t>,</w:t>
      </w:r>
      <w:r w:rsidRPr="007219D9">
        <w:rPr>
          <w:rStyle w:val="mord"/>
          <w:rFonts w:ascii="Arial" w:hAnsi="Arial" w:cs="Arial"/>
          <w:sz w:val="22"/>
          <w:szCs w:val="22"/>
        </w:rPr>
        <w:t>2</w:t>
      </w:r>
      <w:r w:rsidRPr="007219D9">
        <w:rPr>
          <w:rStyle w:val="mpunct"/>
          <w:rFonts w:ascii="Arial" w:hAnsi="Arial" w:cs="Arial"/>
          <w:sz w:val="22"/>
          <w:szCs w:val="22"/>
        </w:rPr>
        <w:t>,</w:t>
      </w:r>
      <w:r w:rsidRPr="007219D9">
        <w:rPr>
          <w:rStyle w:val="minner"/>
          <w:rFonts w:ascii="Arial" w:hAnsi="Arial" w:cs="Arial"/>
          <w:sz w:val="22"/>
          <w:szCs w:val="22"/>
        </w:rPr>
        <w:t>…</w:t>
      </w:r>
      <w:r w:rsidRPr="007219D9">
        <w:rPr>
          <w:rStyle w:val="mpunct"/>
          <w:rFonts w:ascii="Arial" w:hAnsi="Arial" w:cs="Arial"/>
          <w:sz w:val="22"/>
          <w:szCs w:val="22"/>
        </w:rPr>
        <w:t>,</w:t>
      </w:r>
      <w:r w:rsidRPr="007219D9">
        <w:rPr>
          <w:rStyle w:val="mord"/>
          <w:rFonts w:ascii="Arial" w:hAnsi="Arial" w:cs="Arial"/>
          <w:sz w:val="22"/>
          <w:szCs w:val="22"/>
        </w:rPr>
        <w:t>r</w:t>
      </w:r>
    </w:p>
    <w:p w14:paraId="31569B16" w14:textId="77777777" w:rsidR="00C26C64" w:rsidRPr="007219D9" w:rsidRDefault="00C26C64" w:rsidP="00302600">
      <w:pPr>
        <w:pStyle w:val="NormalWeb"/>
        <w:spacing w:before="0" w:beforeAutospacing="0" w:after="0" w:afterAutospacing="0"/>
        <w:rPr>
          <w:rFonts w:ascii="Arial" w:hAnsi="Arial" w:cs="Arial"/>
          <w:sz w:val="22"/>
          <w:szCs w:val="22"/>
        </w:rPr>
      </w:pPr>
      <w:r w:rsidRPr="007219D9">
        <w:rPr>
          <w:rFonts w:ascii="Arial" w:hAnsi="Arial" w:cs="Arial"/>
          <w:sz w:val="22"/>
          <w:szCs w:val="22"/>
        </w:rPr>
        <w:t>where:</w:t>
      </w:r>
    </w:p>
    <w:p w14:paraId="62885F8D" w14:textId="77777777" w:rsidR="00C26C64" w:rsidRPr="007219D9" w:rsidRDefault="00C26C64" w:rsidP="00302600">
      <w:pPr>
        <w:pStyle w:val="NormalWeb"/>
        <w:numPr>
          <w:ilvl w:val="0"/>
          <w:numId w:val="9"/>
        </w:numPr>
        <w:spacing w:before="0" w:beforeAutospacing="0" w:after="0" w:afterAutospacing="0"/>
        <w:rPr>
          <w:rFonts w:ascii="Arial" w:hAnsi="Arial" w:cs="Arial"/>
          <w:sz w:val="22"/>
          <w:szCs w:val="22"/>
        </w:rPr>
      </w:pPr>
      <w:r w:rsidRPr="007219D9">
        <w:rPr>
          <w:rStyle w:val="mord"/>
          <w:rFonts w:ascii="Arial" w:hAnsi="Arial" w:cs="Arial"/>
          <w:sz w:val="22"/>
          <w:szCs w:val="22"/>
        </w:rPr>
        <w:t>λ</w:t>
      </w:r>
      <w:r w:rsidRPr="007219D9">
        <w:rPr>
          <w:rFonts w:ascii="Arial" w:hAnsi="Arial" w:cs="Arial"/>
          <w:sz w:val="22"/>
          <w:szCs w:val="22"/>
        </w:rPr>
        <w:t xml:space="preserve"> denotes factor loadings,</w:t>
      </w:r>
    </w:p>
    <w:p w14:paraId="24C685C8" w14:textId="77777777" w:rsidR="00C26C64" w:rsidRPr="007219D9" w:rsidRDefault="00C26C64" w:rsidP="00302600">
      <w:pPr>
        <w:pStyle w:val="NormalWeb"/>
        <w:numPr>
          <w:ilvl w:val="0"/>
          <w:numId w:val="9"/>
        </w:numPr>
        <w:spacing w:before="0" w:beforeAutospacing="0" w:after="0" w:afterAutospacing="0"/>
        <w:rPr>
          <w:rFonts w:ascii="Arial" w:hAnsi="Arial" w:cs="Arial"/>
          <w:sz w:val="22"/>
          <w:szCs w:val="22"/>
        </w:rPr>
      </w:pPr>
      <w:r w:rsidRPr="007219D9">
        <w:rPr>
          <w:rStyle w:val="mord"/>
          <w:rFonts w:ascii="Arial" w:hAnsi="Arial" w:cs="Arial"/>
          <w:sz w:val="22"/>
          <w:szCs w:val="22"/>
        </w:rPr>
        <w:t>ε</w:t>
      </w:r>
      <w:r w:rsidRPr="007219D9">
        <w:rPr>
          <w:rFonts w:ascii="Arial" w:hAnsi="Arial" w:cs="Arial"/>
          <w:sz w:val="22"/>
          <w:szCs w:val="22"/>
        </w:rPr>
        <w:t xml:space="preserve"> represents measurement error terms, and</w:t>
      </w:r>
    </w:p>
    <w:p w14:paraId="6F071029" w14:textId="77777777" w:rsidR="00C26C64" w:rsidRPr="007219D9" w:rsidRDefault="00C26C64" w:rsidP="00302600">
      <w:pPr>
        <w:pStyle w:val="NormalWeb"/>
        <w:numPr>
          <w:ilvl w:val="0"/>
          <w:numId w:val="9"/>
        </w:numPr>
        <w:spacing w:before="0" w:beforeAutospacing="0" w:after="0" w:afterAutospacing="0"/>
        <w:rPr>
          <w:rFonts w:ascii="Arial" w:hAnsi="Arial" w:cs="Arial"/>
          <w:sz w:val="22"/>
          <w:szCs w:val="22"/>
        </w:rPr>
      </w:pPr>
      <w:proofErr w:type="spellStart"/>
      <w:proofErr w:type="gramStart"/>
      <w:r w:rsidRPr="007219D9">
        <w:rPr>
          <w:rStyle w:val="katex-mathml"/>
          <w:rFonts w:ascii="Arial" w:eastAsiaTheme="majorEastAsia" w:hAnsi="Arial" w:cs="Arial"/>
          <w:sz w:val="22"/>
          <w:szCs w:val="22"/>
        </w:rPr>
        <w:t>p,q</w:t>
      </w:r>
      <w:proofErr w:type="gramEnd"/>
      <w:r w:rsidRPr="007219D9">
        <w:rPr>
          <w:rStyle w:val="katex-mathml"/>
          <w:rFonts w:ascii="Arial" w:eastAsiaTheme="majorEastAsia" w:hAnsi="Arial" w:cs="Arial"/>
          <w:sz w:val="22"/>
          <w:szCs w:val="22"/>
        </w:rPr>
        <w:t>,r</w:t>
      </w:r>
      <w:proofErr w:type="spellEnd"/>
      <w:r w:rsidRPr="007219D9">
        <w:rPr>
          <w:rStyle w:val="katex-mathml"/>
          <w:rFonts w:ascii="Arial" w:eastAsiaTheme="majorEastAsia" w:hAnsi="Arial" w:cs="Arial"/>
          <w:sz w:val="22"/>
          <w:szCs w:val="22"/>
        </w:rPr>
        <w:t>,</w:t>
      </w:r>
      <w:r w:rsidRPr="007219D9">
        <w:rPr>
          <w:rFonts w:ascii="Arial" w:hAnsi="Arial" w:cs="Arial"/>
          <w:sz w:val="22"/>
          <w:szCs w:val="22"/>
        </w:rPr>
        <w:t xml:space="preserve"> are the number of indicators associated with each construct.</w:t>
      </w:r>
    </w:p>
    <w:p w14:paraId="6202B2D0" w14:textId="77777777" w:rsidR="002F3570" w:rsidRPr="007219D9" w:rsidRDefault="002F3570" w:rsidP="00302600">
      <w:pPr>
        <w:pStyle w:val="Heading4"/>
        <w:rPr>
          <w:rFonts w:ascii="Arial" w:hAnsi="Arial" w:cs="Arial"/>
          <w:b/>
          <w:bCs/>
          <w:i w:val="0"/>
          <w:iCs w:val="0"/>
          <w:color w:val="000000" w:themeColor="text1"/>
        </w:rPr>
      </w:pPr>
    </w:p>
    <w:p w14:paraId="7D03F22C" w14:textId="729F3D61" w:rsidR="00C26C64" w:rsidRPr="007219D9" w:rsidRDefault="00C26C64" w:rsidP="00C26C64">
      <w:pPr>
        <w:pStyle w:val="Heading4"/>
        <w:rPr>
          <w:rFonts w:ascii="Arial" w:hAnsi="Arial" w:cs="Arial"/>
          <w:b/>
          <w:bCs/>
          <w:i w:val="0"/>
          <w:iCs w:val="0"/>
          <w:color w:val="000000" w:themeColor="text1"/>
        </w:rPr>
      </w:pPr>
      <w:r w:rsidRPr="007219D9">
        <w:rPr>
          <w:rFonts w:ascii="Arial" w:hAnsi="Arial" w:cs="Arial"/>
          <w:b/>
          <w:bCs/>
          <w:i w:val="0"/>
          <w:iCs w:val="0"/>
          <w:color w:val="000000" w:themeColor="text1"/>
        </w:rPr>
        <w:t>2. Structural (Inner) Model</w:t>
      </w:r>
    </w:p>
    <w:p w14:paraId="54F757D7" w14:textId="77777777" w:rsidR="002F3570" w:rsidRPr="007219D9" w:rsidRDefault="002F3570" w:rsidP="002F3570">
      <w:pPr>
        <w:pStyle w:val="NormalWeb"/>
        <w:rPr>
          <w:rStyle w:val="mord"/>
          <w:rFonts w:ascii="Arial" w:hAnsi="Arial" w:cs="Arial"/>
          <w:sz w:val="20"/>
          <w:szCs w:val="20"/>
        </w:rPr>
      </w:pPr>
      <w:r w:rsidRPr="007219D9">
        <w:rPr>
          <w:rStyle w:val="mord"/>
          <w:rFonts w:ascii="Arial" w:hAnsi="Arial" w:cs="Arial"/>
          <w:sz w:val="20"/>
          <w:szCs w:val="20"/>
        </w:rPr>
        <w:t>Based on updated empirical findings, the causal relationships between the constructs are described as unidirectional, leading from the dimensions of NEP–2020 implementation to student satisfaction.</w:t>
      </w:r>
    </w:p>
    <w:p w14:paraId="2FF1AF58" w14:textId="77777777" w:rsidR="002F3570" w:rsidRPr="007219D9" w:rsidRDefault="002F3570" w:rsidP="002F3570">
      <w:pPr>
        <w:pStyle w:val="NormalWeb"/>
        <w:rPr>
          <w:rStyle w:val="mord"/>
          <w:rFonts w:ascii="Arial" w:hAnsi="Arial" w:cs="Arial"/>
          <w:sz w:val="20"/>
          <w:szCs w:val="20"/>
        </w:rPr>
      </w:pPr>
      <w:r w:rsidRPr="007219D9">
        <w:rPr>
          <w:rStyle w:val="mord"/>
          <w:rFonts w:ascii="Arial" w:hAnsi="Arial" w:cs="Arial"/>
          <w:sz w:val="20"/>
          <w:szCs w:val="20"/>
        </w:rPr>
        <w:t>The structural equations are expressed as follows:</w:t>
      </w:r>
    </w:p>
    <w:p w14:paraId="490F7E57" w14:textId="65E08D72" w:rsidR="002F3570" w:rsidRPr="007219D9" w:rsidRDefault="002F3570" w:rsidP="00302600">
      <w:pPr>
        <w:pStyle w:val="NormalWeb"/>
        <w:spacing w:before="0" w:beforeAutospacing="0" w:after="0" w:afterAutospacing="0"/>
        <w:rPr>
          <w:rStyle w:val="mord"/>
          <w:rFonts w:ascii="Arial" w:hAnsi="Arial" w:cs="Arial"/>
          <w:sz w:val="20"/>
          <w:szCs w:val="20"/>
        </w:rPr>
      </w:pPr>
      <w:r w:rsidRPr="007219D9">
        <w:rPr>
          <w:rStyle w:val="mord"/>
          <w:rFonts w:ascii="Arial" w:hAnsi="Arial" w:cs="Arial"/>
          <w:sz w:val="20"/>
          <w:szCs w:val="20"/>
        </w:rPr>
        <w:t>1. Institutional performance quality as an outcome of NEP–2020 implementation</w:t>
      </w:r>
    </w:p>
    <w:p w14:paraId="3B9211C2" w14:textId="17A8FD70" w:rsidR="00C26C64" w:rsidRPr="007219D9" w:rsidRDefault="00C26C64" w:rsidP="00302600">
      <w:pPr>
        <w:pStyle w:val="NormalWeb"/>
        <w:spacing w:before="0" w:beforeAutospacing="0" w:after="0" w:afterAutospacing="0"/>
        <w:jc w:val="center"/>
        <w:rPr>
          <w:rStyle w:val="mord"/>
          <w:rFonts w:ascii="Arial" w:hAnsi="Arial" w:cs="Arial"/>
          <w:sz w:val="20"/>
          <w:szCs w:val="20"/>
        </w:rPr>
      </w:pPr>
      <w:r w:rsidRPr="007219D9">
        <w:rPr>
          <w:rStyle w:val="mord"/>
          <w:rFonts w:ascii="Arial" w:hAnsi="Arial" w:cs="Arial"/>
          <w:sz w:val="20"/>
          <w:szCs w:val="20"/>
        </w:rPr>
        <w:t>IEQ</w:t>
      </w:r>
      <w:r w:rsidRPr="007219D9">
        <w:rPr>
          <w:rStyle w:val="mrel"/>
          <w:rFonts w:ascii="Arial" w:hAnsi="Arial" w:cs="Arial"/>
          <w:sz w:val="20"/>
          <w:szCs w:val="20"/>
        </w:rPr>
        <w:t>=</w:t>
      </w:r>
      <w:r w:rsidRPr="007219D9">
        <w:rPr>
          <w:rStyle w:val="mord"/>
          <w:rFonts w:ascii="Arial" w:hAnsi="Arial" w:cs="Arial"/>
          <w:sz w:val="20"/>
          <w:szCs w:val="20"/>
        </w:rPr>
        <w:t>β1</w:t>
      </w:r>
      <w:r w:rsidRPr="007219D9">
        <w:rPr>
          <w:rStyle w:val="vlist-s"/>
          <w:rFonts w:ascii="Arial" w:hAnsi="Arial" w:cs="Arial"/>
          <w:sz w:val="20"/>
          <w:szCs w:val="20"/>
        </w:rPr>
        <w:t>​</w:t>
      </w:r>
      <w:r w:rsidRPr="007219D9">
        <w:rPr>
          <w:rStyle w:val="mbin"/>
          <w:rFonts w:ascii="Cambria Math" w:eastAsiaTheme="majorEastAsia" w:hAnsi="Cambria Math" w:cs="Cambria Math"/>
          <w:sz w:val="20"/>
          <w:szCs w:val="20"/>
        </w:rPr>
        <w:t>⋅</w:t>
      </w:r>
      <w:r w:rsidRPr="007219D9">
        <w:rPr>
          <w:rStyle w:val="mord"/>
          <w:rFonts w:ascii="Arial" w:hAnsi="Arial" w:cs="Arial"/>
          <w:sz w:val="20"/>
          <w:szCs w:val="20"/>
        </w:rPr>
        <w:t>NEPI</w:t>
      </w:r>
      <w:r w:rsidRPr="007219D9">
        <w:rPr>
          <w:rStyle w:val="mbin"/>
          <w:rFonts w:ascii="Arial" w:eastAsiaTheme="majorEastAsia" w:hAnsi="Arial" w:cs="Arial"/>
          <w:sz w:val="20"/>
          <w:szCs w:val="20"/>
        </w:rPr>
        <w:t>+</w:t>
      </w:r>
      <w:r w:rsidRPr="007219D9">
        <w:rPr>
          <w:rStyle w:val="mord"/>
          <w:rFonts w:ascii="Arial" w:hAnsi="Arial" w:cs="Arial"/>
          <w:sz w:val="20"/>
          <w:szCs w:val="20"/>
        </w:rPr>
        <w:t>ζ1</w:t>
      </w:r>
    </w:p>
    <w:p w14:paraId="6DC017BD" w14:textId="77777777" w:rsidR="00C26C64" w:rsidRPr="007219D9" w:rsidRDefault="00C26C64" w:rsidP="00302600">
      <w:pPr>
        <w:pStyle w:val="NormalWeb"/>
        <w:spacing w:before="0" w:beforeAutospacing="0" w:after="0" w:afterAutospacing="0"/>
        <w:rPr>
          <w:rFonts w:ascii="Arial" w:hAnsi="Arial" w:cs="Arial"/>
          <w:sz w:val="20"/>
          <w:szCs w:val="20"/>
        </w:rPr>
      </w:pPr>
      <w:r w:rsidRPr="007219D9">
        <w:rPr>
          <w:rFonts w:ascii="Arial" w:hAnsi="Arial" w:cs="Arial"/>
          <w:sz w:val="20"/>
          <w:szCs w:val="20"/>
        </w:rPr>
        <w:t>Student Satisfaction as an outcome of institutional execution</w:t>
      </w:r>
    </w:p>
    <w:p w14:paraId="7D5BACCF" w14:textId="77777777" w:rsidR="00C26C64" w:rsidRPr="007219D9" w:rsidRDefault="00C26C64" w:rsidP="00302600">
      <w:pPr>
        <w:pStyle w:val="NormalWeb"/>
        <w:spacing w:before="0" w:beforeAutospacing="0" w:after="0" w:afterAutospacing="0"/>
        <w:jc w:val="center"/>
        <w:rPr>
          <w:rStyle w:val="vlist-s"/>
          <w:rFonts w:ascii="Arial" w:hAnsi="Arial" w:cs="Arial"/>
          <w:sz w:val="20"/>
          <w:szCs w:val="20"/>
        </w:rPr>
      </w:pPr>
      <w:r w:rsidRPr="007219D9">
        <w:rPr>
          <w:rStyle w:val="mord"/>
          <w:rFonts w:ascii="Arial" w:hAnsi="Arial" w:cs="Arial"/>
          <w:sz w:val="20"/>
          <w:szCs w:val="20"/>
        </w:rPr>
        <w:t>SS</w:t>
      </w:r>
      <w:r w:rsidRPr="007219D9">
        <w:rPr>
          <w:rStyle w:val="mrel"/>
          <w:rFonts w:ascii="Arial" w:hAnsi="Arial" w:cs="Arial"/>
          <w:sz w:val="20"/>
          <w:szCs w:val="20"/>
        </w:rPr>
        <w:t>=</w:t>
      </w:r>
      <w:r w:rsidRPr="007219D9">
        <w:rPr>
          <w:rStyle w:val="mord"/>
          <w:rFonts w:ascii="Arial" w:hAnsi="Arial" w:cs="Arial"/>
          <w:sz w:val="20"/>
          <w:szCs w:val="20"/>
        </w:rPr>
        <w:t>β2</w:t>
      </w:r>
      <w:r w:rsidRPr="007219D9">
        <w:rPr>
          <w:rStyle w:val="vlist-s"/>
          <w:rFonts w:ascii="Arial" w:hAnsi="Arial" w:cs="Arial"/>
          <w:sz w:val="20"/>
          <w:szCs w:val="20"/>
        </w:rPr>
        <w:t>​</w:t>
      </w:r>
      <w:r w:rsidRPr="007219D9">
        <w:rPr>
          <w:rStyle w:val="mbin"/>
          <w:rFonts w:ascii="Cambria Math" w:eastAsiaTheme="majorEastAsia" w:hAnsi="Cambria Math" w:cs="Cambria Math"/>
          <w:sz w:val="20"/>
          <w:szCs w:val="20"/>
        </w:rPr>
        <w:t>⋅</w:t>
      </w:r>
      <w:r w:rsidRPr="007219D9">
        <w:rPr>
          <w:rStyle w:val="mord"/>
          <w:rFonts w:ascii="Arial" w:hAnsi="Arial" w:cs="Arial"/>
          <w:sz w:val="20"/>
          <w:szCs w:val="20"/>
        </w:rPr>
        <w:t>IEQ</w:t>
      </w:r>
      <w:r w:rsidRPr="007219D9">
        <w:rPr>
          <w:rStyle w:val="mbin"/>
          <w:rFonts w:ascii="Arial" w:eastAsiaTheme="majorEastAsia" w:hAnsi="Arial" w:cs="Arial"/>
          <w:sz w:val="20"/>
          <w:szCs w:val="20"/>
        </w:rPr>
        <w:t>+</w:t>
      </w:r>
      <w:r w:rsidRPr="007219D9">
        <w:rPr>
          <w:rStyle w:val="mord"/>
          <w:rFonts w:ascii="Arial" w:hAnsi="Arial" w:cs="Arial"/>
          <w:sz w:val="20"/>
          <w:szCs w:val="20"/>
        </w:rPr>
        <w:t>ζ2</w:t>
      </w:r>
      <w:r w:rsidRPr="007219D9">
        <w:rPr>
          <w:rStyle w:val="vlist-s"/>
          <w:rFonts w:ascii="Arial" w:hAnsi="Arial" w:cs="Arial"/>
          <w:sz w:val="20"/>
          <w:szCs w:val="20"/>
        </w:rPr>
        <w:t>​</w:t>
      </w:r>
    </w:p>
    <w:p w14:paraId="41018AD8" w14:textId="77777777" w:rsidR="00C26C64" w:rsidRPr="007219D9" w:rsidRDefault="00C26C64" w:rsidP="00302600">
      <w:p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where:</w:t>
      </w:r>
    </w:p>
    <w:p w14:paraId="73384DDE" w14:textId="77777777" w:rsidR="00C26C64" w:rsidRPr="007219D9" w:rsidRDefault="00C26C64" w:rsidP="00302600">
      <w:pPr>
        <w:numPr>
          <w:ilvl w:val="0"/>
          <w:numId w:val="11"/>
        </w:num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β1</w:t>
      </w:r>
      <w:proofErr w:type="gramStart"/>
      <w:r w:rsidRPr="007219D9">
        <w:rPr>
          <w:rFonts w:ascii="Arial" w:eastAsia="Times New Roman" w:hAnsi="Arial" w:cs="Arial"/>
          <w:sz w:val="20"/>
          <w:szCs w:val="20"/>
          <w:lang w:bidi="hi-IN"/>
        </w:rPr>
        <w:t>​,β</w:t>
      </w:r>
      <w:proofErr w:type="gramEnd"/>
      <w:r w:rsidRPr="007219D9">
        <w:rPr>
          <w:rFonts w:ascii="Arial" w:eastAsia="Times New Roman" w:hAnsi="Arial" w:cs="Arial"/>
          <w:sz w:val="20"/>
          <w:szCs w:val="20"/>
          <w:lang w:bidi="hi-IN"/>
        </w:rPr>
        <w:t>2​ are path coefficients estimating the strength and direction of relationships,</w:t>
      </w:r>
    </w:p>
    <w:p w14:paraId="52102FD7" w14:textId="5D703277" w:rsidR="00C26C64" w:rsidRPr="007219D9" w:rsidRDefault="00C26C64" w:rsidP="00302600">
      <w:pPr>
        <w:numPr>
          <w:ilvl w:val="0"/>
          <w:numId w:val="11"/>
        </w:numPr>
        <w:spacing w:after="0" w:line="240" w:lineRule="auto"/>
        <w:rPr>
          <w:rFonts w:ascii="Arial" w:eastAsia="Times New Roman" w:hAnsi="Arial" w:cs="Arial"/>
          <w:sz w:val="20"/>
          <w:szCs w:val="20"/>
          <w:lang w:bidi="hi-IN"/>
        </w:rPr>
      </w:pPr>
      <w:r w:rsidRPr="007219D9">
        <w:rPr>
          <w:rFonts w:ascii="Arial" w:eastAsia="Times New Roman" w:hAnsi="Arial" w:cs="Arial"/>
          <w:sz w:val="20"/>
          <w:szCs w:val="20"/>
          <w:lang w:bidi="hi-IN"/>
        </w:rPr>
        <w:t>ζ1</w:t>
      </w:r>
      <w:proofErr w:type="gramStart"/>
      <w:r w:rsidRPr="007219D9">
        <w:rPr>
          <w:rFonts w:ascii="Arial" w:eastAsia="Times New Roman" w:hAnsi="Arial" w:cs="Arial"/>
          <w:sz w:val="20"/>
          <w:szCs w:val="20"/>
          <w:lang w:bidi="hi-IN"/>
        </w:rPr>
        <w:t>​,ζ</w:t>
      </w:r>
      <w:proofErr w:type="gramEnd"/>
      <w:r w:rsidRPr="007219D9">
        <w:rPr>
          <w:rFonts w:ascii="Arial" w:eastAsia="Times New Roman" w:hAnsi="Arial" w:cs="Arial"/>
          <w:sz w:val="20"/>
          <w:szCs w:val="20"/>
          <w:lang w:bidi="hi-IN"/>
        </w:rPr>
        <w:t>2​ are structural disturbance terms.</w:t>
      </w:r>
    </w:p>
    <w:p w14:paraId="344CF7F1" w14:textId="77777777" w:rsidR="002F3570" w:rsidRPr="007219D9" w:rsidRDefault="002F3570" w:rsidP="002F3570">
      <w:pPr>
        <w:spacing w:after="0" w:line="240" w:lineRule="auto"/>
        <w:ind w:left="720"/>
        <w:rPr>
          <w:rFonts w:ascii="Arial" w:eastAsia="Times New Roman" w:hAnsi="Arial" w:cs="Arial"/>
          <w:lang w:bidi="hi-IN"/>
        </w:rPr>
      </w:pPr>
    </w:p>
    <w:p w14:paraId="52081E0D" w14:textId="77777777" w:rsidR="00C26C64" w:rsidRPr="007219D9" w:rsidRDefault="00C26C64" w:rsidP="00C26C64">
      <w:pPr>
        <w:pStyle w:val="Heading4"/>
        <w:rPr>
          <w:rFonts w:ascii="Arial" w:hAnsi="Arial" w:cs="Arial"/>
          <w:b/>
          <w:bCs/>
          <w:i w:val="0"/>
          <w:iCs w:val="0"/>
          <w:color w:val="000000" w:themeColor="text1"/>
        </w:rPr>
      </w:pPr>
      <w:r w:rsidRPr="007219D9">
        <w:rPr>
          <w:rFonts w:ascii="Arial" w:hAnsi="Arial" w:cs="Arial"/>
          <w:b/>
          <w:bCs/>
          <w:i w:val="0"/>
          <w:iCs w:val="0"/>
          <w:color w:val="000000" w:themeColor="text1"/>
        </w:rPr>
        <w:t>3. Indirect (Mediated) Effect</w:t>
      </w:r>
    </w:p>
    <w:p w14:paraId="1C75B57D" w14:textId="77361AEC" w:rsidR="00C26C64" w:rsidRPr="007219D9" w:rsidRDefault="00C26C64" w:rsidP="004F1EFA">
      <w:pPr>
        <w:pStyle w:val="NormalWeb"/>
        <w:jc w:val="both"/>
        <w:rPr>
          <w:rFonts w:ascii="Arial" w:hAnsi="Arial" w:cs="Arial"/>
          <w:sz w:val="20"/>
          <w:szCs w:val="20"/>
        </w:rPr>
      </w:pPr>
      <w:r w:rsidRPr="007219D9">
        <w:rPr>
          <w:rFonts w:ascii="Arial" w:hAnsi="Arial" w:cs="Arial"/>
          <w:sz w:val="20"/>
          <w:szCs w:val="20"/>
        </w:rPr>
        <w:t xml:space="preserve">The updated analysis </w:t>
      </w:r>
      <w:r w:rsidR="002F3570" w:rsidRPr="007219D9">
        <w:rPr>
          <w:rFonts w:ascii="Arial" w:hAnsi="Arial" w:cs="Arial"/>
          <w:sz w:val="20"/>
          <w:szCs w:val="20"/>
        </w:rPr>
        <w:t xml:space="preserve">Revealed </w:t>
      </w:r>
      <w:r w:rsidR="00302600" w:rsidRPr="007219D9">
        <w:rPr>
          <w:rFonts w:ascii="Arial" w:hAnsi="Arial" w:cs="Arial"/>
          <w:sz w:val="20"/>
          <w:szCs w:val="20"/>
        </w:rPr>
        <w:t>That mediating</w:t>
      </w:r>
      <w:r w:rsidRPr="007219D9">
        <w:rPr>
          <w:rStyle w:val="Strong"/>
          <w:rFonts w:ascii="Arial" w:eastAsiaTheme="majorEastAsia" w:hAnsi="Arial" w:cs="Arial"/>
          <w:sz w:val="20"/>
          <w:szCs w:val="20"/>
        </w:rPr>
        <w:t xml:space="preserve"> role of Institutional Execution Quality</w:t>
      </w:r>
      <w:r w:rsidRPr="007219D9">
        <w:rPr>
          <w:rFonts w:ascii="Arial" w:hAnsi="Arial" w:cs="Arial"/>
          <w:sz w:val="20"/>
          <w:szCs w:val="20"/>
        </w:rPr>
        <w:t xml:space="preserve"> in the relationship between N</w:t>
      </w:r>
      <w:r w:rsidR="002F3570" w:rsidRPr="007219D9">
        <w:rPr>
          <w:rFonts w:ascii="Arial" w:hAnsi="Arial" w:cs="Arial"/>
          <w:sz w:val="20"/>
          <w:szCs w:val="20"/>
        </w:rPr>
        <w:t>ational Education Policy</w:t>
      </w:r>
      <w:r w:rsidRPr="007219D9">
        <w:rPr>
          <w:rFonts w:ascii="Arial" w:hAnsi="Arial" w:cs="Arial"/>
          <w:sz w:val="20"/>
          <w:szCs w:val="20"/>
        </w:rPr>
        <w:t>–2020 implementation and student satisfaction</w:t>
      </w:r>
      <w:r w:rsidR="002F3570" w:rsidRPr="007219D9">
        <w:rPr>
          <w:rFonts w:ascii="Arial" w:hAnsi="Arial" w:cs="Arial"/>
          <w:sz w:val="20"/>
          <w:szCs w:val="20"/>
        </w:rPr>
        <w:t xml:space="preserve"> </w:t>
      </w:r>
      <w:proofErr w:type="spellStart"/>
      <w:r w:rsidR="002F3570" w:rsidRPr="007219D9">
        <w:rPr>
          <w:rFonts w:ascii="Arial" w:hAnsi="Arial" w:cs="Arial"/>
          <w:sz w:val="20"/>
          <w:szCs w:val="20"/>
        </w:rPr>
        <w:t>studing</w:t>
      </w:r>
      <w:proofErr w:type="spellEnd"/>
      <w:r w:rsidR="002F3570" w:rsidRPr="007219D9">
        <w:rPr>
          <w:rFonts w:ascii="Arial" w:hAnsi="Arial" w:cs="Arial"/>
          <w:sz w:val="20"/>
          <w:szCs w:val="20"/>
        </w:rPr>
        <w:t xml:space="preserve"> in Higher Educational Institutes</w:t>
      </w:r>
      <w:r w:rsidRPr="007219D9">
        <w:rPr>
          <w:rFonts w:ascii="Arial" w:hAnsi="Arial" w:cs="Arial"/>
          <w:sz w:val="20"/>
          <w:szCs w:val="20"/>
        </w:rPr>
        <w:t>. The indirect effect is given by:</w:t>
      </w:r>
    </w:p>
    <w:p w14:paraId="6AC02AF0" w14:textId="77777777" w:rsidR="00C26C64" w:rsidRPr="007219D9" w:rsidRDefault="00C26C64" w:rsidP="004F1EFA">
      <w:pPr>
        <w:spacing w:before="100" w:beforeAutospacing="1" w:after="100" w:afterAutospacing="1" w:line="240" w:lineRule="auto"/>
        <w:jc w:val="both"/>
        <w:rPr>
          <w:rStyle w:val="vlist-s"/>
          <w:rFonts w:ascii="Arial" w:hAnsi="Arial" w:cs="Arial"/>
          <w:sz w:val="20"/>
          <w:szCs w:val="20"/>
        </w:rPr>
      </w:pPr>
      <w:r w:rsidRPr="007219D9">
        <w:rPr>
          <w:rStyle w:val="mord"/>
          <w:rFonts w:ascii="Arial" w:hAnsi="Arial" w:cs="Arial"/>
          <w:sz w:val="20"/>
          <w:szCs w:val="20"/>
        </w:rPr>
        <w:t>NEPI</w:t>
      </w:r>
      <w:r w:rsidRPr="007219D9">
        <w:rPr>
          <w:rStyle w:val="mrel"/>
          <w:rFonts w:ascii="Arial" w:hAnsi="Arial" w:cs="Arial"/>
          <w:sz w:val="20"/>
          <w:szCs w:val="20"/>
        </w:rPr>
        <w:t>→</w:t>
      </w:r>
      <w:r w:rsidRPr="007219D9">
        <w:rPr>
          <w:rStyle w:val="mord"/>
          <w:rFonts w:ascii="Arial" w:hAnsi="Arial" w:cs="Arial"/>
          <w:sz w:val="20"/>
          <w:szCs w:val="20"/>
        </w:rPr>
        <w:t>IEQ</w:t>
      </w:r>
      <w:r w:rsidRPr="007219D9">
        <w:rPr>
          <w:rStyle w:val="mrel"/>
          <w:rFonts w:ascii="Arial" w:hAnsi="Arial" w:cs="Arial"/>
          <w:sz w:val="20"/>
          <w:szCs w:val="20"/>
        </w:rPr>
        <w:t>→</w:t>
      </w:r>
      <w:r w:rsidRPr="007219D9">
        <w:rPr>
          <w:rStyle w:val="mord"/>
          <w:rFonts w:ascii="Arial" w:hAnsi="Arial" w:cs="Arial"/>
          <w:sz w:val="20"/>
          <w:szCs w:val="20"/>
        </w:rPr>
        <w:t>SS</w:t>
      </w:r>
      <w:r w:rsidRPr="007219D9">
        <w:rPr>
          <w:rStyle w:val="mrel"/>
          <w:rFonts w:ascii="Arial" w:hAnsi="Arial" w:cs="Arial"/>
          <w:sz w:val="20"/>
          <w:szCs w:val="20"/>
        </w:rPr>
        <w:t>=</w:t>
      </w:r>
      <w:r w:rsidRPr="007219D9">
        <w:rPr>
          <w:rStyle w:val="mord"/>
          <w:rFonts w:ascii="Arial" w:hAnsi="Arial" w:cs="Arial"/>
          <w:sz w:val="20"/>
          <w:szCs w:val="20"/>
        </w:rPr>
        <w:t>β1</w:t>
      </w:r>
      <w:r w:rsidRPr="007219D9">
        <w:rPr>
          <w:rStyle w:val="vlist-s"/>
          <w:rFonts w:ascii="Arial" w:hAnsi="Arial" w:cs="Arial"/>
          <w:sz w:val="20"/>
          <w:szCs w:val="20"/>
        </w:rPr>
        <w:t>​</w:t>
      </w:r>
      <w:r w:rsidRPr="007219D9">
        <w:rPr>
          <w:rStyle w:val="mbin"/>
          <w:rFonts w:ascii="Arial" w:hAnsi="Arial" w:cs="Arial"/>
          <w:sz w:val="20"/>
          <w:szCs w:val="20"/>
        </w:rPr>
        <w:t>×</w:t>
      </w:r>
      <w:r w:rsidRPr="007219D9">
        <w:rPr>
          <w:rStyle w:val="mord"/>
          <w:rFonts w:ascii="Arial" w:hAnsi="Arial" w:cs="Arial"/>
          <w:sz w:val="20"/>
          <w:szCs w:val="20"/>
        </w:rPr>
        <w:t>β2</w:t>
      </w:r>
      <w:r w:rsidRPr="007219D9">
        <w:rPr>
          <w:rStyle w:val="vlist-s"/>
          <w:rFonts w:ascii="Arial" w:hAnsi="Arial" w:cs="Arial"/>
          <w:sz w:val="20"/>
          <w:szCs w:val="20"/>
        </w:rPr>
        <w:t>​</w:t>
      </w:r>
    </w:p>
    <w:p w14:paraId="454A7052" w14:textId="3C4264DD" w:rsidR="00C26C64" w:rsidRPr="007219D9" w:rsidRDefault="00C26C64"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hAnsi="Arial" w:cs="Arial"/>
          <w:sz w:val="20"/>
          <w:szCs w:val="20"/>
        </w:rPr>
        <w:t xml:space="preserve">This formulation indicates that NEP–2020 implementation influences student satisfaction </w:t>
      </w:r>
      <w:r w:rsidRPr="007219D9">
        <w:rPr>
          <w:rStyle w:val="Strong"/>
          <w:rFonts w:ascii="Arial" w:hAnsi="Arial" w:cs="Arial"/>
          <w:sz w:val="20"/>
          <w:szCs w:val="20"/>
        </w:rPr>
        <w:t>primarily through the quality of institutional execution</w:t>
      </w:r>
      <w:r w:rsidRPr="007219D9">
        <w:rPr>
          <w:rFonts w:ascii="Arial" w:hAnsi="Arial" w:cs="Arial"/>
          <w:sz w:val="20"/>
          <w:szCs w:val="20"/>
        </w:rPr>
        <w:t>, rather than through a direct pathway alone.</w:t>
      </w:r>
    </w:p>
    <w:p w14:paraId="53C3D5A6" w14:textId="77777777" w:rsidR="00E46EC3" w:rsidRPr="007219D9" w:rsidRDefault="00E46EC3" w:rsidP="00546864">
      <w:pPr>
        <w:jc w:val="center"/>
        <w:rPr>
          <w:rFonts w:ascii="Times New Roman" w:hAnsi="Times New Roman" w:cs="Times New Roman"/>
          <w:b/>
          <w:bCs/>
          <w:sz w:val="24"/>
          <w:szCs w:val="24"/>
        </w:rPr>
      </w:pPr>
      <w:r w:rsidRPr="007219D9">
        <w:rPr>
          <w:rFonts w:ascii="Times New Roman" w:hAnsi="Times New Roman" w:cs="Times New Roman"/>
          <w:b/>
          <w:bCs/>
          <w:sz w:val="24"/>
          <w:szCs w:val="24"/>
        </w:rPr>
        <w:t xml:space="preserve">Table </w:t>
      </w:r>
      <w:r w:rsidR="007721DB" w:rsidRPr="007219D9">
        <w:rPr>
          <w:rFonts w:ascii="Times New Roman" w:hAnsi="Times New Roman" w:cs="Times New Roman"/>
          <w:b/>
          <w:bCs/>
          <w:sz w:val="24"/>
          <w:szCs w:val="24"/>
        </w:rPr>
        <w:t>2</w:t>
      </w:r>
      <w:r w:rsidRPr="007219D9">
        <w:rPr>
          <w:rFonts w:ascii="Times New Roman" w:hAnsi="Times New Roman" w:cs="Times New Roman"/>
          <w:b/>
          <w:bCs/>
          <w:sz w:val="24"/>
          <w:szCs w:val="24"/>
        </w:rPr>
        <w:t>. Measurement Model: Indicator Reliability (Outer Loadings)</w:t>
      </w:r>
    </w:p>
    <w:tbl>
      <w:tblPr>
        <w:tblStyle w:val="TableGrid"/>
        <w:tblW w:w="0" w:type="auto"/>
        <w:tblLook w:val="04A0" w:firstRow="1" w:lastRow="0" w:firstColumn="1" w:lastColumn="0" w:noHBand="0" w:noVBand="1"/>
      </w:tblPr>
      <w:tblGrid>
        <w:gridCol w:w="2263"/>
        <w:gridCol w:w="1560"/>
        <w:gridCol w:w="5136"/>
        <w:gridCol w:w="1519"/>
      </w:tblGrid>
      <w:tr w:rsidR="00E85B01" w:rsidRPr="007219D9" w14:paraId="14482B88" w14:textId="77777777" w:rsidTr="002F3570">
        <w:tc>
          <w:tcPr>
            <w:tcW w:w="2263" w:type="dxa"/>
            <w:hideMark/>
          </w:tcPr>
          <w:p w14:paraId="1AE835AC"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Latent Construct</w:t>
            </w:r>
          </w:p>
        </w:tc>
        <w:tc>
          <w:tcPr>
            <w:tcW w:w="1560" w:type="dxa"/>
            <w:hideMark/>
          </w:tcPr>
          <w:p w14:paraId="595FBE55"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 Code</w:t>
            </w:r>
          </w:p>
        </w:tc>
        <w:tc>
          <w:tcPr>
            <w:tcW w:w="5136" w:type="dxa"/>
            <w:hideMark/>
          </w:tcPr>
          <w:p w14:paraId="49159B38"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 Description</w:t>
            </w:r>
          </w:p>
        </w:tc>
        <w:tc>
          <w:tcPr>
            <w:tcW w:w="0" w:type="auto"/>
            <w:hideMark/>
          </w:tcPr>
          <w:p w14:paraId="5CF0931A"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Outer Loading</w:t>
            </w:r>
          </w:p>
        </w:tc>
      </w:tr>
      <w:tr w:rsidR="002F3570" w:rsidRPr="007219D9" w14:paraId="7AD94E1C" w14:textId="77777777" w:rsidTr="002F3570">
        <w:tc>
          <w:tcPr>
            <w:tcW w:w="2263" w:type="dxa"/>
            <w:vMerge w:val="restart"/>
            <w:hideMark/>
          </w:tcPr>
          <w:p w14:paraId="2FBAC72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b/>
                <w:bCs/>
                <w:sz w:val="20"/>
                <w:szCs w:val="20"/>
                <w:lang w:bidi="hi-IN"/>
              </w:rPr>
              <w:t>NEP–2020 Implementation</w:t>
            </w:r>
          </w:p>
        </w:tc>
        <w:tc>
          <w:tcPr>
            <w:tcW w:w="1560" w:type="dxa"/>
            <w:hideMark/>
          </w:tcPr>
          <w:p w14:paraId="2B76758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NEP1</w:t>
            </w:r>
          </w:p>
        </w:tc>
        <w:tc>
          <w:tcPr>
            <w:tcW w:w="5136" w:type="dxa"/>
            <w:hideMark/>
          </w:tcPr>
          <w:p w14:paraId="7A87F13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NEP–2020 information on institutional website</w:t>
            </w:r>
          </w:p>
        </w:tc>
        <w:tc>
          <w:tcPr>
            <w:tcW w:w="0" w:type="auto"/>
            <w:hideMark/>
          </w:tcPr>
          <w:p w14:paraId="4C3DD320"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0.82</w:t>
            </w:r>
          </w:p>
        </w:tc>
      </w:tr>
      <w:tr w:rsidR="002F3570" w:rsidRPr="007219D9" w14:paraId="03A14D02" w14:textId="77777777" w:rsidTr="002F3570">
        <w:tc>
          <w:tcPr>
            <w:tcW w:w="2263" w:type="dxa"/>
            <w:vMerge/>
            <w:hideMark/>
          </w:tcPr>
          <w:p w14:paraId="7D96800E"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11BB8AE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NEP2</w:t>
            </w:r>
          </w:p>
        </w:tc>
        <w:tc>
          <w:tcPr>
            <w:tcW w:w="5136" w:type="dxa"/>
            <w:hideMark/>
          </w:tcPr>
          <w:p w14:paraId="62CC967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 xml:space="preserve">Orientation / awareness </w:t>
            </w:r>
            <w:proofErr w:type="spellStart"/>
            <w:r w:rsidRPr="007219D9">
              <w:rPr>
                <w:rFonts w:ascii="Arial" w:eastAsia="Times New Roman" w:hAnsi="Arial" w:cs="Arial"/>
                <w:sz w:val="20"/>
                <w:szCs w:val="20"/>
                <w:lang w:bidi="hi-IN"/>
              </w:rPr>
              <w:t>programme</w:t>
            </w:r>
            <w:proofErr w:type="spellEnd"/>
            <w:r w:rsidRPr="007219D9">
              <w:rPr>
                <w:rFonts w:ascii="Arial" w:eastAsia="Times New Roman" w:hAnsi="Arial" w:cs="Arial"/>
                <w:sz w:val="20"/>
                <w:szCs w:val="20"/>
                <w:lang w:bidi="hi-IN"/>
              </w:rPr>
              <w:t xml:space="preserve"> on NEP–2020</w:t>
            </w:r>
          </w:p>
        </w:tc>
        <w:tc>
          <w:tcPr>
            <w:tcW w:w="0" w:type="auto"/>
            <w:hideMark/>
          </w:tcPr>
          <w:p w14:paraId="5DB4FED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0.85</w:t>
            </w:r>
          </w:p>
        </w:tc>
      </w:tr>
      <w:tr w:rsidR="002F3570" w:rsidRPr="007219D9" w14:paraId="2479EFB5" w14:textId="77777777" w:rsidTr="002F3570">
        <w:tc>
          <w:tcPr>
            <w:tcW w:w="2263" w:type="dxa"/>
            <w:vMerge/>
            <w:hideMark/>
          </w:tcPr>
          <w:p w14:paraId="5E14037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40D5DFD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NEP3</w:t>
            </w:r>
          </w:p>
        </w:tc>
        <w:tc>
          <w:tcPr>
            <w:tcW w:w="5136" w:type="dxa"/>
            <w:hideMark/>
          </w:tcPr>
          <w:p w14:paraId="67F945B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Clarity of NEP–2020 based curriculum structure</w:t>
            </w:r>
          </w:p>
        </w:tc>
        <w:tc>
          <w:tcPr>
            <w:tcW w:w="0" w:type="auto"/>
            <w:hideMark/>
          </w:tcPr>
          <w:p w14:paraId="60F4A56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0.87</w:t>
            </w:r>
          </w:p>
        </w:tc>
      </w:tr>
      <w:tr w:rsidR="002F3570" w:rsidRPr="007219D9" w14:paraId="373F23FB" w14:textId="77777777" w:rsidTr="002F3570">
        <w:tc>
          <w:tcPr>
            <w:tcW w:w="2263" w:type="dxa"/>
            <w:vMerge/>
            <w:hideMark/>
          </w:tcPr>
          <w:p w14:paraId="74EDA853"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5C5F737C"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NEP4</w:t>
            </w:r>
          </w:p>
        </w:tc>
        <w:tc>
          <w:tcPr>
            <w:tcW w:w="5136" w:type="dxa"/>
            <w:hideMark/>
          </w:tcPr>
          <w:p w14:paraId="54DE354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Regular and timely conduct of NEP–2020 classes</w:t>
            </w:r>
          </w:p>
        </w:tc>
        <w:tc>
          <w:tcPr>
            <w:tcW w:w="0" w:type="auto"/>
            <w:hideMark/>
          </w:tcPr>
          <w:p w14:paraId="6BAF182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0.84</w:t>
            </w:r>
          </w:p>
        </w:tc>
      </w:tr>
      <w:tr w:rsidR="002F3570" w:rsidRPr="007219D9" w14:paraId="5D6F1602" w14:textId="77777777" w:rsidTr="002F3570">
        <w:tc>
          <w:tcPr>
            <w:tcW w:w="2263" w:type="dxa"/>
            <w:vMerge/>
            <w:hideMark/>
          </w:tcPr>
          <w:p w14:paraId="0C541F7D"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1248C6F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NEP5</w:t>
            </w:r>
          </w:p>
        </w:tc>
        <w:tc>
          <w:tcPr>
            <w:tcW w:w="5136" w:type="dxa"/>
            <w:hideMark/>
          </w:tcPr>
          <w:p w14:paraId="0D04DEC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textbooks and learning materials</w:t>
            </w:r>
          </w:p>
        </w:tc>
        <w:tc>
          <w:tcPr>
            <w:tcW w:w="0" w:type="auto"/>
            <w:hideMark/>
          </w:tcPr>
          <w:p w14:paraId="0EE40A6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0.81</w:t>
            </w:r>
          </w:p>
        </w:tc>
      </w:tr>
      <w:tr w:rsidR="002F3570" w:rsidRPr="007219D9" w14:paraId="56BD6973" w14:textId="77777777" w:rsidTr="002F3570">
        <w:tc>
          <w:tcPr>
            <w:tcW w:w="2263" w:type="dxa"/>
            <w:vMerge/>
            <w:hideMark/>
          </w:tcPr>
          <w:p w14:paraId="09AC44B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30D4C8D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NEP6</w:t>
            </w:r>
          </w:p>
        </w:tc>
        <w:tc>
          <w:tcPr>
            <w:tcW w:w="5136" w:type="dxa"/>
            <w:hideMark/>
          </w:tcPr>
          <w:p w14:paraId="6E2AC2D0"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Timely completion of courses under NEP–2020</w:t>
            </w:r>
          </w:p>
        </w:tc>
        <w:tc>
          <w:tcPr>
            <w:tcW w:w="0" w:type="auto"/>
            <w:hideMark/>
          </w:tcPr>
          <w:p w14:paraId="7980A16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0.83</w:t>
            </w:r>
          </w:p>
        </w:tc>
      </w:tr>
      <w:tr w:rsidR="002F3570" w:rsidRPr="007219D9" w14:paraId="4B3A09B4" w14:textId="77777777" w:rsidTr="002F3570">
        <w:tc>
          <w:tcPr>
            <w:tcW w:w="2263" w:type="dxa"/>
            <w:vMerge/>
            <w:hideMark/>
          </w:tcPr>
          <w:p w14:paraId="3B834A0D"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36BCB66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NEP7</w:t>
            </w:r>
          </w:p>
        </w:tc>
        <w:tc>
          <w:tcPr>
            <w:tcW w:w="5136" w:type="dxa"/>
            <w:hideMark/>
          </w:tcPr>
          <w:p w14:paraId="00AF6E6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e-content and digital resources</w:t>
            </w:r>
          </w:p>
        </w:tc>
        <w:tc>
          <w:tcPr>
            <w:tcW w:w="0" w:type="auto"/>
            <w:hideMark/>
          </w:tcPr>
          <w:p w14:paraId="652B5A7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0.86</w:t>
            </w:r>
          </w:p>
        </w:tc>
      </w:tr>
      <w:tr w:rsidR="002F3570" w:rsidRPr="007219D9" w14:paraId="22490538" w14:textId="77777777" w:rsidTr="002F3570">
        <w:tc>
          <w:tcPr>
            <w:tcW w:w="2263" w:type="dxa"/>
            <w:vMerge/>
            <w:hideMark/>
          </w:tcPr>
          <w:p w14:paraId="0C932379"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03C48DB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NEP8</w:t>
            </w:r>
          </w:p>
        </w:tc>
        <w:tc>
          <w:tcPr>
            <w:tcW w:w="5136" w:type="dxa"/>
            <w:hideMark/>
          </w:tcPr>
          <w:p w14:paraId="267D2DC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Guidance on multiple entry–exit options</w:t>
            </w:r>
          </w:p>
        </w:tc>
        <w:tc>
          <w:tcPr>
            <w:tcW w:w="0" w:type="auto"/>
            <w:hideMark/>
          </w:tcPr>
          <w:p w14:paraId="2B52CB2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0.79</w:t>
            </w:r>
          </w:p>
        </w:tc>
      </w:tr>
      <w:tr w:rsidR="002F3570" w:rsidRPr="007219D9" w14:paraId="04E700CD" w14:textId="77777777" w:rsidTr="002F3570">
        <w:tc>
          <w:tcPr>
            <w:tcW w:w="2263" w:type="dxa"/>
            <w:vMerge/>
            <w:hideMark/>
          </w:tcPr>
          <w:p w14:paraId="6659EB97"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22AFED2E"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NEP9</w:t>
            </w:r>
          </w:p>
        </w:tc>
        <w:tc>
          <w:tcPr>
            <w:tcW w:w="5136" w:type="dxa"/>
            <w:hideMark/>
          </w:tcPr>
          <w:p w14:paraId="522AB1B6"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skill-based courses</w:t>
            </w:r>
          </w:p>
        </w:tc>
        <w:tc>
          <w:tcPr>
            <w:tcW w:w="0" w:type="auto"/>
            <w:hideMark/>
          </w:tcPr>
          <w:p w14:paraId="4AF06F3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0.88</w:t>
            </w:r>
          </w:p>
        </w:tc>
      </w:tr>
      <w:tr w:rsidR="002F3570" w:rsidRPr="007219D9" w14:paraId="198C40CF" w14:textId="77777777" w:rsidTr="002F3570">
        <w:tc>
          <w:tcPr>
            <w:tcW w:w="2263" w:type="dxa"/>
            <w:vMerge/>
            <w:hideMark/>
          </w:tcPr>
          <w:p w14:paraId="2D1662F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4EDF2A78"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NEP10</w:t>
            </w:r>
          </w:p>
        </w:tc>
        <w:tc>
          <w:tcPr>
            <w:tcW w:w="5136" w:type="dxa"/>
            <w:hideMark/>
          </w:tcPr>
          <w:p w14:paraId="626D12C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multidisciplinary course options</w:t>
            </w:r>
          </w:p>
        </w:tc>
        <w:tc>
          <w:tcPr>
            <w:tcW w:w="0" w:type="auto"/>
            <w:hideMark/>
          </w:tcPr>
          <w:p w14:paraId="0D769705"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0.85</w:t>
            </w:r>
          </w:p>
        </w:tc>
      </w:tr>
      <w:tr w:rsidR="002F3570" w:rsidRPr="007219D9" w14:paraId="67D27947" w14:textId="77777777" w:rsidTr="002F3570">
        <w:tc>
          <w:tcPr>
            <w:tcW w:w="2263" w:type="dxa"/>
            <w:vMerge w:val="restart"/>
            <w:hideMark/>
          </w:tcPr>
          <w:p w14:paraId="349EFC33" w14:textId="03362C51"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b/>
                <w:bCs/>
                <w:sz w:val="20"/>
                <w:szCs w:val="20"/>
                <w:lang w:bidi="hi-IN"/>
              </w:rPr>
              <w:t>Student Satisfaction Regarding NEP</w:t>
            </w:r>
          </w:p>
        </w:tc>
        <w:tc>
          <w:tcPr>
            <w:tcW w:w="1560" w:type="dxa"/>
            <w:hideMark/>
          </w:tcPr>
          <w:p w14:paraId="523DF071"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SS1</w:t>
            </w:r>
          </w:p>
        </w:tc>
        <w:tc>
          <w:tcPr>
            <w:tcW w:w="5136" w:type="dxa"/>
            <w:hideMark/>
          </w:tcPr>
          <w:p w14:paraId="2D3DF69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academic support services</w:t>
            </w:r>
          </w:p>
        </w:tc>
        <w:tc>
          <w:tcPr>
            <w:tcW w:w="0" w:type="auto"/>
            <w:hideMark/>
          </w:tcPr>
          <w:p w14:paraId="3D28F882"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0.89</w:t>
            </w:r>
          </w:p>
        </w:tc>
      </w:tr>
      <w:tr w:rsidR="002F3570" w:rsidRPr="007219D9" w14:paraId="0EEE037F" w14:textId="77777777" w:rsidTr="002F3570">
        <w:tc>
          <w:tcPr>
            <w:tcW w:w="2263" w:type="dxa"/>
            <w:vMerge/>
            <w:hideMark/>
          </w:tcPr>
          <w:p w14:paraId="108381C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2016286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SS2</w:t>
            </w:r>
          </w:p>
        </w:tc>
        <w:tc>
          <w:tcPr>
            <w:tcW w:w="5136" w:type="dxa"/>
            <w:hideMark/>
          </w:tcPr>
          <w:p w14:paraId="0D18B5FD"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learning flexibility under NEP–2020</w:t>
            </w:r>
          </w:p>
        </w:tc>
        <w:tc>
          <w:tcPr>
            <w:tcW w:w="0" w:type="auto"/>
            <w:hideMark/>
          </w:tcPr>
          <w:p w14:paraId="080A51B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0.91</w:t>
            </w:r>
          </w:p>
        </w:tc>
      </w:tr>
      <w:tr w:rsidR="002F3570" w:rsidRPr="007219D9" w14:paraId="0E42D5D0" w14:textId="77777777" w:rsidTr="002F3570">
        <w:tc>
          <w:tcPr>
            <w:tcW w:w="2263" w:type="dxa"/>
            <w:vMerge/>
            <w:hideMark/>
          </w:tcPr>
          <w:p w14:paraId="5C08D815"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5A567944"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SS3</w:t>
            </w:r>
          </w:p>
        </w:tc>
        <w:tc>
          <w:tcPr>
            <w:tcW w:w="5136" w:type="dxa"/>
            <w:hideMark/>
          </w:tcPr>
          <w:p w14:paraId="42770529"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institutional execution of NEP–2020</w:t>
            </w:r>
          </w:p>
        </w:tc>
        <w:tc>
          <w:tcPr>
            <w:tcW w:w="0" w:type="auto"/>
            <w:hideMark/>
          </w:tcPr>
          <w:p w14:paraId="6B0DDF77"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0.88</w:t>
            </w:r>
          </w:p>
        </w:tc>
      </w:tr>
      <w:tr w:rsidR="002F3570" w:rsidRPr="007219D9" w14:paraId="0CA991FD" w14:textId="77777777" w:rsidTr="002F3570">
        <w:tc>
          <w:tcPr>
            <w:tcW w:w="2263" w:type="dxa"/>
            <w:vMerge/>
            <w:hideMark/>
          </w:tcPr>
          <w:p w14:paraId="35115086" w14:textId="77777777" w:rsidR="002F3570" w:rsidRPr="007219D9" w:rsidRDefault="002F3570" w:rsidP="00E85B01">
            <w:pPr>
              <w:rPr>
                <w:rFonts w:ascii="Arial" w:eastAsia="Times New Roman" w:hAnsi="Arial" w:cs="Arial"/>
                <w:sz w:val="20"/>
                <w:szCs w:val="20"/>
                <w:lang w:bidi="hi-IN"/>
              </w:rPr>
            </w:pPr>
          </w:p>
        </w:tc>
        <w:tc>
          <w:tcPr>
            <w:tcW w:w="1560" w:type="dxa"/>
            <w:hideMark/>
          </w:tcPr>
          <w:p w14:paraId="744AF4D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SS4</w:t>
            </w:r>
          </w:p>
        </w:tc>
        <w:tc>
          <w:tcPr>
            <w:tcW w:w="5136" w:type="dxa"/>
            <w:hideMark/>
          </w:tcPr>
          <w:p w14:paraId="7AA036AB"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Overall satisfaction with NEP–2020 implementation</w:t>
            </w:r>
          </w:p>
        </w:tc>
        <w:tc>
          <w:tcPr>
            <w:tcW w:w="0" w:type="auto"/>
            <w:hideMark/>
          </w:tcPr>
          <w:p w14:paraId="6F5E387A" w14:textId="77777777" w:rsidR="002F3570" w:rsidRPr="007219D9" w:rsidRDefault="002F3570"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0.92</w:t>
            </w:r>
          </w:p>
        </w:tc>
      </w:tr>
    </w:tbl>
    <w:p w14:paraId="60525F84" w14:textId="77777777" w:rsidR="00E46EC3" w:rsidRPr="007219D9" w:rsidRDefault="00E46EC3" w:rsidP="00E46EC3">
      <w:r w:rsidRPr="007219D9">
        <w:rPr>
          <w:rFonts w:ascii="Times New Roman" w:hAnsi="Times New Roman" w:cs="Times New Roman"/>
        </w:rPr>
        <w:t>All indicators retained</w:t>
      </w:r>
    </w:p>
    <w:p w14:paraId="1FC9B0C6" w14:textId="2BE0507B" w:rsidR="00E46EC3" w:rsidRPr="007219D9" w:rsidRDefault="00617CEE" w:rsidP="004F1EFA">
      <w:pPr>
        <w:jc w:val="both"/>
        <w:rPr>
          <w:rFonts w:ascii="Arial" w:hAnsi="Arial" w:cs="Arial"/>
          <w:sz w:val="20"/>
          <w:szCs w:val="20"/>
        </w:rPr>
      </w:pPr>
      <w:r w:rsidRPr="007219D9">
        <w:rPr>
          <w:rFonts w:ascii="Arial" w:hAnsi="Arial" w:cs="Arial"/>
          <w:sz w:val="20"/>
          <w:szCs w:val="20"/>
        </w:rPr>
        <w:t xml:space="preserve">Table 2 presents the indicator reliability results for the measurement model, showing the outer loadings of each observed indicator on its respective latent construct. Loadings greater than 0.70 are considered satisfactory (Hair et al., 2019). In </w:t>
      </w:r>
      <w:r w:rsidRPr="007219D9">
        <w:rPr>
          <w:rFonts w:ascii="Arial" w:hAnsi="Arial" w:cs="Arial"/>
          <w:sz w:val="20"/>
          <w:szCs w:val="20"/>
        </w:rPr>
        <w:lastRenderedPageBreak/>
        <w:t>this study, the loadings for all indicators related to NEP-2020 implementation were found to be between 0.79 and 0.88, indicating effective measurement of the policy provisions. Similarly, the loadings for the student satisfaction indicators ranged from 0.88 to 0.92, demonstrating high consistency and reliability of the measurement. Overall, the high outer loadings confirm that the measurement model exhibits strong indicator reliability and convergent validity, providing a robust foundation for further structural model analysis.</w:t>
      </w:r>
    </w:p>
    <w:p w14:paraId="178F60B7"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3</w:t>
      </w:r>
      <w:r w:rsidRPr="007219D9">
        <w:rPr>
          <w:rFonts w:ascii="Arial" w:hAnsi="Arial" w:cs="Arial"/>
          <w:b/>
          <w:bCs/>
        </w:rPr>
        <w:t>. Internal Consistency &amp; Convergent Validity</w:t>
      </w:r>
    </w:p>
    <w:tbl>
      <w:tblPr>
        <w:tblStyle w:val="TableGrid"/>
        <w:tblW w:w="0" w:type="auto"/>
        <w:tblLook w:val="04A0" w:firstRow="1" w:lastRow="0" w:firstColumn="1" w:lastColumn="0" w:noHBand="0" w:noVBand="1"/>
      </w:tblPr>
      <w:tblGrid>
        <w:gridCol w:w="3445"/>
        <w:gridCol w:w="2099"/>
        <w:gridCol w:w="2979"/>
        <w:gridCol w:w="852"/>
        <w:gridCol w:w="669"/>
      </w:tblGrid>
      <w:tr w:rsidR="00E46EC3" w:rsidRPr="007219D9" w14:paraId="085E16FA" w14:textId="77777777" w:rsidTr="00E46EC3">
        <w:tc>
          <w:tcPr>
            <w:tcW w:w="0" w:type="auto"/>
            <w:hideMark/>
          </w:tcPr>
          <w:p w14:paraId="727E1C93"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Construct</w:t>
            </w:r>
          </w:p>
        </w:tc>
        <w:tc>
          <w:tcPr>
            <w:tcW w:w="0" w:type="auto"/>
            <w:hideMark/>
          </w:tcPr>
          <w:p w14:paraId="6B1B3A45"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Cronbach’s Alpha</w:t>
            </w:r>
          </w:p>
        </w:tc>
        <w:tc>
          <w:tcPr>
            <w:tcW w:w="0" w:type="auto"/>
            <w:hideMark/>
          </w:tcPr>
          <w:p w14:paraId="0E976779"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Composite Reliability (CR)</w:t>
            </w:r>
          </w:p>
        </w:tc>
        <w:tc>
          <w:tcPr>
            <w:tcW w:w="0" w:type="auto"/>
            <w:hideMark/>
          </w:tcPr>
          <w:p w14:paraId="616950EA" w14:textId="77777777" w:rsidR="00E46EC3" w:rsidRPr="007219D9" w:rsidRDefault="00E46EC3" w:rsidP="00E46EC3">
            <w:pPr>
              <w:jc w:val="center"/>
              <w:rPr>
                <w:rFonts w:ascii="Arial" w:eastAsia="Times New Roman" w:hAnsi="Arial" w:cs="Arial"/>
                <w:b/>
                <w:bCs/>
                <w:lang w:bidi="hi-IN"/>
              </w:rPr>
            </w:pPr>
            <w:proofErr w:type="spellStart"/>
            <w:r w:rsidRPr="007219D9">
              <w:rPr>
                <w:rFonts w:ascii="Arial" w:eastAsia="Times New Roman" w:hAnsi="Arial" w:cs="Arial"/>
                <w:b/>
                <w:bCs/>
                <w:lang w:bidi="hi-IN"/>
              </w:rPr>
              <w:t>rho_A</w:t>
            </w:r>
            <w:proofErr w:type="spellEnd"/>
          </w:p>
        </w:tc>
        <w:tc>
          <w:tcPr>
            <w:tcW w:w="0" w:type="auto"/>
            <w:hideMark/>
          </w:tcPr>
          <w:p w14:paraId="2052178C" w14:textId="77777777" w:rsidR="00E46EC3" w:rsidRPr="007219D9" w:rsidRDefault="00E46EC3" w:rsidP="00E46EC3">
            <w:pPr>
              <w:jc w:val="center"/>
              <w:rPr>
                <w:rFonts w:ascii="Arial" w:eastAsia="Times New Roman" w:hAnsi="Arial" w:cs="Arial"/>
                <w:b/>
                <w:bCs/>
                <w:lang w:bidi="hi-IN"/>
              </w:rPr>
            </w:pPr>
            <w:r w:rsidRPr="007219D9">
              <w:rPr>
                <w:rFonts w:ascii="Arial" w:eastAsia="Times New Roman" w:hAnsi="Arial" w:cs="Arial"/>
                <w:b/>
                <w:bCs/>
                <w:lang w:bidi="hi-IN"/>
              </w:rPr>
              <w:t>AVE</w:t>
            </w:r>
          </w:p>
        </w:tc>
      </w:tr>
      <w:tr w:rsidR="00E46EC3" w:rsidRPr="007219D9" w14:paraId="47066DC1" w14:textId="77777777" w:rsidTr="00E46EC3">
        <w:tc>
          <w:tcPr>
            <w:tcW w:w="0" w:type="auto"/>
            <w:hideMark/>
          </w:tcPr>
          <w:p w14:paraId="1CA42261" w14:textId="61165633"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NEP–2020 Implementation</w:t>
            </w:r>
            <w:r w:rsidR="002F3570" w:rsidRPr="007219D9">
              <w:rPr>
                <w:rFonts w:ascii="Arial" w:eastAsia="Times New Roman" w:hAnsi="Arial" w:cs="Arial"/>
                <w:lang w:bidi="hi-IN"/>
              </w:rPr>
              <w:t xml:space="preserve"> in HE</w:t>
            </w:r>
          </w:p>
        </w:tc>
        <w:tc>
          <w:tcPr>
            <w:tcW w:w="0" w:type="auto"/>
            <w:hideMark/>
          </w:tcPr>
          <w:p w14:paraId="5FC7A77F"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0.949</w:t>
            </w:r>
          </w:p>
        </w:tc>
        <w:tc>
          <w:tcPr>
            <w:tcW w:w="0" w:type="auto"/>
            <w:hideMark/>
          </w:tcPr>
          <w:p w14:paraId="09719F30"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0.958</w:t>
            </w:r>
          </w:p>
        </w:tc>
        <w:tc>
          <w:tcPr>
            <w:tcW w:w="0" w:type="auto"/>
            <w:hideMark/>
          </w:tcPr>
          <w:p w14:paraId="66F4A510"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0.952</w:t>
            </w:r>
          </w:p>
        </w:tc>
        <w:tc>
          <w:tcPr>
            <w:tcW w:w="0" w:type="auto"/>
            <w:hideMark/>
          </w:tcPr>
          <w:p w14:paraId="526D5298" w14:textId="77777777" w:rsidR="00E46EC3" w:rsidRPr="007219D9" w:rsidRDefault="00E46EC3" w:rsidP="00E46EC3">
            <w:pPr>
              <w:rPr>
                <w:rFonts w:ascii="Arial" w:eastAsia="Times New Roman" w:hAnsi="Arial" w:cs="Arial"/>
                <w:lang w:bidi="hi-IN"/>
              </w:rPr>
            </w:pPr>
            <w:r w:rsidRPr="007219D9">
              <w:rPr>
                <w:rFonts w:ascii="Arial" w:eastAsia="Times New Roman" w:hAnsi="Arial" w:cs="Arial"/>
                <w:lang w:bidi="hi-IN"/>
              </w:rPr>
              <w:t>0.67</w:t>
            </w:r>
          </w:p>
        </w:tc>
      </w:tr>
    </w:tbl>
    <w:p w14:paraId="5CAD6B77" w14:textId="77777777" w:rsidR="00E46EC3" w:rsidRPr="007219D9" w:rsidRDefault="00E46EC3" w:rsidP="00E46EC3"/>
    <w:p w14:paraId="25095232" w14:textId="241CB1F3" w:rsidR="00E46EC3" w:rsidRPr="007219D9" w:rsidRDefault="00617CEE" w:rsidP="004F1EFA">
      <w:pPr>
        <w:jc w:val="both"/>
        <w:rPr>
          <w:rFonts w:ascii="Arial" w:hAnsi="Arial" w:cs="Arial"/>
          <w:sz w:val="20"/>
          <w:szCs w:val="20"/>
        </w:rPr>
      </w:pPr>
      <w:r w:rsidRPr="007219D9">
        <w:rPr>
          <w:rFonts w:ascii="Arial" w:hAnsi="Arial" w:cs="Arial"/>
          <w:sz w:val="20"/>
          <w:szCs w:val="20"/>
        </w:rPr>
        <w:t xml:space="preserve">Table 3 presents the results for internal consistency reliability and convergent validity for the latent constructs related to NEP-2020 implementation. Internal consistency was assessed using Cronbach's alpha, Composite Reliability (CR), and </w:t>
      </w:r>
      <w:proofErr w:type="spellStart"/>
      <w:r w:rsidRPr="007219D9">
        <w:rPr>
          <w:rFonts w:ascii="Arial" w:hAnsi="Arial" w:cs="Arial"/>
          <w:sz w:val="20"/>
          <w:szCs w:val="20"/>
        </w:rPr>
        <w:t>rho_A</w:t>
      </w:r>
      <w:proofErr w:type="spellEnd"/>
      <w:r w:rsidRPr="007219D9">
        <w:rPr>
          <w:rFonts w:ascii="Arial" w:hAnsi="Arial" w:cs="Arial"/>
          <w:sz w:val="20"/>
          <w:szCs w:val="20"/>
        </w:rPr>
        <w:t>, all of which exceeded the recommended 0.70 threshold, indicating high reliability and consistency among the indicators. Convergent validity was tested using Average Variance Extracted (AVE), which was found to be substantially greater than 0.50, confirming that the construct explains a sufficient amount of variance in its indicators. Overall, the results demonstrate that the measurement model exhibits strong internal consistency and satisfactory convergent validity, providing a reliable foundation for further PLS-SEM-based structural analysis.</w:t>
      </w:r>
    </w:p>
    <w:p w14:paraId="71A3083A" w14:textId="77777777" w:rsidR="00E46EC3" w:rsidRPr="007219D9" w:rsidRDefault="00E46EC3" w:rsidP="004F1EF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4</w:t>
      </w:r>
      <w:r w:rsidRPr="007219D9">
        <w:rPr>
          <w:rFonts w:ascii="Arial" w:hAnsi="Arial" w:cs="Arial"/>
          <w:b/>
          <w:bCs/>
        </w:rPr>
        <w:t>. Collinearity Assessment (VIF)</w:t>
      </w:r>
    </w:p>
    <w:tbl>
      <w:tblPr>
        <w:tblStyle w:val="TableGrid"/>
        <w:tblW w:w="5000" w:type="pct"/>
        <w:tblLook w:val="04A0" w:firstRow="1" w:lastRow="0" w:firstColumn="1" w:lastColumn="0" w:noHBand="0" w:noVBand="1"/>
      </w:tblPr>
      <w:tblGrid>
        <w:gridCol w:w="6800"/>
        <w:gridCol w:w="3678"/>
      </w:tblGrid>
      <w:tr w:rsidR="00E46EC3" w:rsidRPr="007219D9" w14:paraId="253AA79D" w14:textId="77777777" w:rsidTr="004F1EFA">
        <w:tc>
          <w:tcPr>
            <w:tcW w:w="3245" w:type="pct"/>
            <w:hideMark/>
          </w:tcPr>
          <w:p w14:paraId="167F7E87" w14:textId="77777777" w:rsidR="00E46EC3" w:rsidRPr="007219D9" w:rsidRDefault="00E46EC3" w:rsidP="00546864">
            <w:pPr>
              <w:rPr>
                <w:rFonts w:ascii="Arial" w:eastAsia="Times New Roman" w:hAnsi="Arial" w:cs="Arial"/>
                <w:b/>
                <w:bCs/>
                <w:sz w:val="20"/>
                <w:szCs w:val="20"/>
                <w:lang w:bidi="hi-IN"/>
              </w:rPr>
            </w:pPr>
            <w:r w:rsidRPr="007219D9">
              <w:rPr>
                <w:rFonts w:ascii="Arial" w:eastAsia="Times New Roman" w:hAnsi="Arial" w:cs="Arial"/>
                <w:b/>
                <w:bCs/>
                <w:sz w:val="20"/>
                <w:szCs w:val="20"/>
                <w:lang w:bidi="hi-IN"/>
              </w:rPr>
              <w:t>Indicator</w:t>
            </w:r>
          </w:p>
        </w:tc>
        <w:tc>
          <w:tcPr>
            <w:tcW w:w="1755" w:type="pct"/>
            <w:hideMark/>
          </w:tcPr>
          <w:p w14:paraId="3425B26C" w14:textId="77777777" w:rsidR="00E46EC3" w:rsidRPr="007219D9" w:rsidRDefault="00E46EC3" w:rsidP="00546864">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VIF</w:t>
            </w:r>
          </w:p>
        </w:tc>
      </w:tr>
      <w:tr w:rsidR="00B15EA7" w:rsidRPr="007219D9" w14:paraId="7046A3F2" w14:textId="77777777" w:rsidTr="004F1EFA">
        <w:tc>
          <w:tcPr>
            <w:tcW w:w="3245" w:type="pct"/>
            <w:hideMark/>
          </w:tcPr>
          <w:p w14:paraId="563CE55C"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NEP–2020 information on institutional website</w:t>
            </w:r>
          </w:p>
        </w:tc>
        <w:tc>
          <w:tcPr>
            <w:tcW w:w="1755" w:type="pct"/>
            <w:hideMark/>
          </w:tcPr>
          <w:p w14:paraId="7937E484"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2.31</w:t>
            </w:r>
          </w:p>
        </w:tc>
      </w:tr>
      <w:tr w:rsidR="00B15EA7" w:rsidRPr="007219D9" w14:paraId="0BCF673C" w14:textId="77777777" w:rsidTr="004F1EFA">
        <w:tc>
          <w:tcPr>
            <w:tcW w:w="3245" w:type="pct"/>
            <w:hideMark/>
          </w:tcPr>
          <w:p w14:paraId="610C6ED4" w14:textId="76C8AFC2" w:rsidR="00B15EA7" w:rsidRPr="007219D9" w:rsidRDefault="00AA6F83"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Orientation/awareness</w:t>
            </w:r>
            <w:r w:rsidR="00B15EA7" w:rsidRPr="007219D9">
              <w:rPr>
                <w:rFonts w:ascii="Arial" w:eastAsia="Times New Roman" w:hAnsi="Arial" w:cs="Arial"/>
                <w:sz w:val="20"/>
                <w:szCs w:val="20"/>
                <w:lang w:bidi="hi-IN"/>
              </w:rPr>
              <w:t xml:space="preserve"> </w:t>
            </w:r>
            <w:proofErr w:type="spellStart"/>
            <w:r w:rsidR="00B15EA7" w:rsidRPr="007219D9">
              <w:rPr>
                <w:rFonts w:ascii="Arial" w:eastAsia="Times New Roman" w:hAnsi="Arial" w:cs="Arial"/>
                <w:sz w:val="20"/>
                <w:szCs w:val="20"/>
                <w:lang w:bidi="hi-IN"/>
              </w:rPr>
              <w:t>programme</w:t>
            </w:r>
            <w:proofErr w:type="spellEnd"/>
            <w:r w:rsidR="00B15EA7" w:rsidRPr="007219D9">
              <w:rPr>
                <w:rFonts w:ascii="Arial" w:eastAsia="Times New Roman" w:hAnsi="Arial" w:cs="Arial"/>
                <w:sz w:val="20"/>
                <w:szCs w:val="20"/>
                <w:lang w:bidi="hi-IN"/>
              </w:rPr>
              <w:t xml:space="preserve"> on NEP–2020</w:t>
            </w:r>
          </w:p>
        </w:tc>
        <w:tc>
          <w:tcPr>
            <w:tcW w:w="1755" w:type="pct"/>
            <w:hideMark/>
          </w:tcPr>
          <w:p w14:paraId="350494DB"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2.45</w:t>
            </w:r>
          </w:p>
        </w:tc>
      </w:tr>
      <w:tr w:rsidR="00B15EA7" w:rsidRPr="007219D9" w14:paraId="51D5F27D" w14:textId="77777777" w:rsidTr="004F1EFA">
        <w:tc>
          <w:tcPr>
            <w:tcW w:w="3245" w:type="pct"/>
            <w:hideMark/>
          </w:tcPr>
          <w:p w14:paraId="2EB81BD3"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Clarity of NEP–2020 based curriculum structure</w:t>
            </w:r>
          </w:p>
        </w:tc>
        <w:tc>
          <w:tcPr>
            <w:tcW w:w="1755" w:type="pct"/>
            <w:hideMark/>
          </w:tcPr>
          <w:p w14:paraId="68103BE0"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2.88</w:t>
            </w:r>
          </w:p>
        </w:tc>
      </w:tr>
      <w:tr w:rsidR="00B15EA7" w:rsidRPr="007219D9" w14:paraId="1DBFF860" w14:textId="77777777" w:rsidTr="004F1EFA">
        <w:tc>
          <w:tcPr>
            <w:tcW w:w="3245" w:type="pct"/>
            <w:hideMark/>
          </w:tcPr>
          <w:p w14:paraId="17C497C1"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Regular and timely conduct of NEP–2020 classes</w:t>
            </w:r>
          </w:p>
        </w:tc>
        <w:tc>
          <w:tcPr>
            <w:tcW w:w="1755" w:type="pct"/>
            <w:hideMark/>
          </w:tcPr>
          <w:p w14:paraId="6BFE81A1"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2.67</w:t>
            </w:r>
          </w:p>
        </w:tc>
      </w:tr>
      <w:tr w:rsidR="00B15EA7" w:rsidRPr="007219D9" w14:paraId="63D839A9" w14:textId="77777777" w:rsidTr="004F1EFA">
        <w:tc>
          <w:tcPr>
            <w:tcW w:w="3245" w:type="pct"/>
            <w:hideMark/>
          </w:tcPr>
          <w:p w14:paraId="68A82A27"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textbooks and learning materials</w:t>
            </w:r>
          </w:p>
        </w:tc>
        <w:tc>
          <w:tcPr>
            <w:tcW w:w="1755" w:type="pct"/>
            <w:hideMark/>
          </w:tcPr>
          <w:p w14:paraId="16660B9D"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2.41</w:t>
            </w:r>
          </w:p>
        </w:tc>
      </w:tr>
      <w:tr w:rsidR="00B15EA7" w:rsidRPr="007219D9" w14:paraId="47E653A4" w14:textId="77777777" w:rsidTr="004F1EFA">
        <w:tc>
          <w:tcPr>
            <w:tcW w:w="3245" w:type="pct"/>
            <w:hideMark/>
          </w:tcPr>
          <w:p w14:paraId="7928E800"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Timely completion of courses under NEP–2020</w:t>
            </w:r>
          </w:p>
        </w:tc>
        <w:tc>
          <w:tcPr>
            <w:tcW w:w="1755" w:type="pct"/>
            <w:hideMark/>
          </w:tcPr>
          <w:p w14:paraId="31593F83"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2.74</w:t>
            </w:r>
          </w:p>
        </w:tc>
      </w:tr>
      <w:tr w:rsidR="00B15EA7" w:rsidRPr="007219D9" w14:paraId="592FE68D" w14:textId="77777777" w:rsidTr="004F1EFA">
        <w:tc>
          <w:tcPr>
            <w:tcW w:w="3245" w:type="pct"/>
            <w:hideMark/>
          </w:tcPr>
          <w:p w14:paraId="6A238641"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e-content and digital resources</w:t>
            </w:r>
          </w:p>
        </w:tc>
        <w:tc>
          <w:tcPr>
            <w:tcW w:w="1755" w:type="pct"/>
            <w:hideMark/>
          </w:tcPr>
          <w:p w14:paraId="6FE256FC"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2.82</w:t>
            </w:r>
          </w:p>
        </w:tc>
      </w:tr>
      <w:tr w:rsidR="00B15EA7" w:rsidRPr="007219D9" w14:paraId="59858ABF" w14:textId="77777777" w:rsidTr="004F1EFA">
        <w:tc>
          <w:tcPr>
            <w:tcW w:w="3245" w:type="pct"/>
            <w:hideMark/>
          </w:tcPr>
          <w:p w14:paraId="1DAC835F"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Guidance on multiple entry–exit options</w:t>
            </w:r>
          </w:p>
        </w:tc>
        <w:tc>
          <w:tcPr>
            <w:tcW w:w="1755" w:type="pct"/>
            <w:hideMark/>
          </w:tcPr>
          <w:p w14:paraId="7E38864F"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3.01</w:t>
            </w:r>
          </w:p>
        </w:tc>
      </w:tr>
      <w:tr w:rsidR="00B15EA7" w:rsidRPr="007219D9" w14:paraId="338925D2" w14:textId="77777777" w:rsidTr="004F1EFA">
        <w:tc>
          <w:tcPr>
            <w:tcW w:w="3245" w:type="pct"/>
            <w:hideMark/>
          </w:tcPr>
          <w:p w14:paraId="73289993"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skill-based courses</w:t>
            </w:r>
          </w:p>
        </w:tc>
        <w:tc>
          <w:tcPr>
            <w:tcW w:w="1755" w:type="pct"/>
            <w:hideMark/>
          </w:tcPr>
          <w:p w14:paraId="77989496"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3.05</w:t>
            </w:r>
          </w:p>
        </w:tc>
      </w:tr>
      <w:tr w:rsidR="00B15EA7" w:rsidRPr="007219D9" w14:paraId="3CDAEBA6" w14:textId="77777777" w:rsidTr="004F1EFA">
        <w:tc>
          <w:tcPr>
            <w:tcW w:w="3245" w:type="pct"/>
            <w:hideMark/>
          </w:tcPr>
          <w:p w14:paraId="2F7CAF59"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Availability of multidisciplinary course options</w:t>
            </w:r>
          </w:p>
        </w:tc>
        <w:tc>
          <w:tcPr>
            <w:tcW w:w="1755" w:type="pct"/>
            <w:hideMark/>
          </w:tcPr>
          <w:p w14:paraId="5D5FBCCD"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2.63</w:t>
            </w:r>
          </w:p>
        </w:tc>
      </w:tr>
      <w:tr w:rsidR="00B15EA7" w:rsidRPr="007219D9" w14:paraId="4B21D741" w14:textId="77777777" w:rsidTr="004F1EFA">
        <w:tc>
          <w:tcPr>
            <w:tcW w:w="3245" w:type="pct"/>
            <w:hideMark/>
          </w:tcPr>
          <w:p w14:paraId="358F1DB7" w14:textId="77777777" w:rsidR="00B15EA7" w:rsidRPr="007219D9" w:rsidRDefault="00B15EA7" w:rsidP="00B15EA7">
            <w:pPr>
              <w:rPr>
                <w:rFonts w:ascii="Arial" w:eastAsia="Times New Roman" w:hAnsi="Arial" w:cs="Arial"/>
                <w:sz w:val="20"/>
                <w:szCs w:val="20"/>
                <w:lang w:bidi="hi-IN"/>
              </w:rPr>
            </w:pPr>
            <w:r w:rsidRPr="007219D9">
              <w:rPr>
                <w:rFonts w:ascii="Arial" w:eastAsia="Times New Roman" w:hAnsi="Arial" w:cs="Arial"/>
                <w:sz w:val="20"/>
                <w:szCs w:val="20"/>
                <w:lang w:bidi="hi-IN"/>
              </w:rPr>
              <w:t>Satisfaction with academic support services</w:t>
            </w:r>
          </w:p>
        </w:tc>
        <w:tc>
          <w:tcPr>
            <w:tcW w:w="1755" w:type="pct"/>
            <w:hideMark/>
          </w:tcPr>
          <w:p w14:paraId="4E73CA39" w14:textId="77777777" w:rsidR="00B15EA7" w:rsidRPr="007219D9" w:rsidRDefault="00B15EA7" w:rsidP="00B15EA7">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2.79</w:t>
            </w:r>
          </w:p>
        </w:tc>
      </w:tr>
    </w:tbl>
    <w:p w14:paraId="6C4BBDB0" w14:textId="77777777" w:rsidR="00E46EC3" w:rsidRPr="007219D9" w:rsidRDefault="00E46EC3" w:rsidP="00E46EC3"/>
    <w:p w14:paraId="30B90A6A" w14:textId="77777777" w:rsidR="00E46EC3" w:rsidRPr="007219D9" w:rsidRDefault="00E46EC3" w:rsidP="00E46EC3">
      <w:pPr>
        <w:rPr>
          <w:rFonts w:ascii="Times New Roman" w:hAnsi="Times New Roman" w:cs="Times New Roman"/>
          <w:sz w:val="24"/>
          <w:szCs w:val="24"/>
        </w:rPr>
      </w:pPr>
      <w:r w:rsidRPr="007219D9">
        <w:rPr>
          <w:rStyle w:val="Strong"/>
          <w:rFonts w:ascii="Times New Roman" w:hAnsi="Times New Roman" w:cs="Times New Roman"/>
          <w:sz w:val="24"/>
          <w:szCs w:val="24"/>
        </w:rPr>
        <w:t>Cut-off:</w:t>
      </w:r>
      <w:r w:rsidRPr="007219D9">
        <w:rPr>
          <w:rFonts w:ascii="Times New Roman" w:hAnsi="Times New Roman" w:cs="Times New Roman"/>
          <w:sz w:val="24"/>
          <w:szCs w:val="24"/>
        </w:rPr>
        <w:t xml:space="preserve"> VIF &lt; 5</w:t>
      </w:r>
      <w:r w:rsidR="00546864" w:rsidRPr="007219D9">
        <w:rPr>
          <w:rFonts w:ascii="Times New Roman" w:hAnsi="Times New Roman" w:cs="Times New Roman"/>
          <w:sz w:val="24"/>
          <w:szCs w:val="24"/>
        </w:rPr>
        <w:t xml:space="preserve"> </w:t>
      </w:r>
      <w:r w:rsidRPr="007219D9">
        <w:rPr>
          <w:rFonts w:ascii="Times New Roman" w:hAnsi="Times New Roman" w:cs="Times New Roman"/>
          <w:sz w:val="24"/>
          <w:szCs w:val="24"/>
        </w:rPr>
        <w:t>No multicollinearity issue</w:t>
      </w:r>
    </w:p>
    <w:p w14:paraId="0B655649" w14:textId="264B2172" w:rsidR="00E46EC3" w:rsidRPr="007219D9" w:rsidRDefault="00617CEE" w:rsidP="00617CEE">
      <w:pPr>
        <w:jc w:val="both"/>
        <w:rPr>
          <w:rFonts w:ascii="Arial" w:hAnsi="Arial" w:cs="Arial"/>
          <w:sz w:val="20"/>
          <w:szCs w:val="20"/>
        </w:rPr>
      </w:pPr>
      <w:r w:rsidRPr="007219D9">
        <w:rPr>
          <w:rFonts w:ascii="Arial" w:hAnsi="Arial" w:cs="Arial"/>
          <w:sz w:val="20"/>
          <w:szCs w:val="20"/>
        </w:rPr>
        <w:t>Table 4 presents the assessment of collinearity in the measurement model using the Variance Inflation Factor (VIF) for all indicators related to the NEP-2020 implementation construct. All VIF values ​​for the indicators are well below the commonly accepted threshold of 5.0 and, in most cases, even below the more stringent cutoff of 3.3, indicating the absence of serious multicollinearity. This demonstrates that each indicator provides unique and independent information within the construct. The satisfactory VIF results ensure the stability of the measurement model and support the reliability of the path coefficients in the structural model analysis.</w:t>
      </w:r>
    </w:p>
    <w:p w14:paraId="49ABDCC0"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5</w:t>
      </w:r>
      <w:r w:rsidRPr="007219D9">
        <w:rPr>
          <w:rFonts w:ascii="Arial" w:hAnsi="Arial" w:cs="Arial"/>
          <w:b/>
          <w:bCs/>
        </w:rPr>
        <w:t>. Structural Model: Path Coefficients (Bootstrapped)</w:t>
      </w:r>
    </w:p>
    <w:tbl>
      <w:tblPr>
        <w:tblStyle w:val="TableGrid"/>
        <w:tblW w:w="0" w:type="auto"/>
        <w:tblLayout w:type="fixed"/>
        <w:tblLook w:val="04A0" w:firstRow="1" w:lastRow="0" w:firstColumn="1" w:lastColumn="0" w:noHBand="0" w:noVBand="1"/>
      </w:tblPr>
      <w:tblGrid>
        <w:gridCol w:w="1295"/>
        <w:gridCol w:w="3361"/>
        <w:gridCol w:w="1565"/>
        <w:gridCol w:w="780"/>
        <w:gridCol w:w="932"/>
        <w:gridCol w:w="1265"/>
        <w:gridCol w:w="1280"/>
      </w:tblGrid>
      <w:tr w:rsidR="00E85B01" w:rsidRPr="007219D9" w14:paraId="1313381A" w14:textId="77777777" w:rsidTr="00AA6F83">
        <w:tc>
          <w:tcPr>
            <w:tcW w:w="1295" w:type="dxa"/>
            <w:hideMark/>
          </w:tcPr>
          <w:p w14:paraId="61408E5C"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Hypothesis</w:t>
            </w:r>
          </w:p>
        </w:tc>
        <w:tc>
          <w:tcPr>
            <w:tcW w:w="3361" w:type="dxa"/>
            <w:hideMark/>
          </w:tcPr>
          <w:p w14:paraId="04A24CBF"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Structural Path</w:t>
            </w:r>
          </w:p>
        </w:tc>
        <w:tc>
          <w:tcPr>
            <w:tcW w:w="1565" w:type="dxa"/>
            <w:hideMark/>
          </w:tcPr>
          <w:p w14:paraId="6166EF63"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Path Coefficient (β)</w:t>
            </w:r>
          </w:p>
        </w:tc>
        <w:tc>
          <w:tcPr>
            <w:tcW w:w="780" w:type="dxa"/>
            <w:hideMark/>
          </w:tcPr>
          <w:p w14:paraId="44FA850D"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t-value</w:t>
            </w:r>
          </w:p>
        </w:tc>
        <w:tc>
          <w:tcPr>
            <w:tcW w:w="932" w:type="dxa"/>
            <w:hideMark/>
          </w:tcPr>
          <w:p w14:paraId="59CF26A0"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p-value</w:t>
            </w:r>
          </w:p>
        </w:tc>
        <w:tc>
          <w:tcPr>
            <w:tcW w:w="1265" w:type="dxa"/>
            <w:hideMark/>
          </w:tcPr>
          <w:p w14:paraId="7B09BF55"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Significance</w:t>
            </w:r>
          </w:p>
        </w:tc>
        <w:tc>
          <w:tcPr>
            <w:tcW w:w="1280" w:type="dxa"/>
            <w:hideMark/>
          </w:tcPr>
          <w:p w14:paraId="3FFE1FB5" w14:textId="77777777" w:rsidR="00E85B01" w:rsidRPr="007219D9" w:rsidRDefault="00E85B01" w:rsidP="00E85B01">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Strength</w:t>
            </w:r>
          </w:p>
        </w:tc>
      </w:tr>
      <w:tr w:rsidR="00E85B01" w:rsidRPr="007219D9" w14:paraId="6EC8BC85" w14:textId="77777777" w:rsidTr="00AA6F83">
        <w:tc>
          <w:tcPr>
            <w:tcW w:w="1295" w:type="dxa"/>
            <w:hideMark/>
          </w:tcPr>
          <w:p w14:paraId="635BECA6"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H1</w:t>
            </w:r>
          </w:p>
        </w:tc>
        <w:tc>
          <w:tcPr>
            <w:tcW w:w="3361" w:type="dxa"/>
            <w:hideMark/>
          </w:tcPr>
          <w:p w14:paraId="589286C7" w14:textId="3F7E9779"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 → Student Satisfaction</w:t>
            </w:r>
            <w:r w:rsidR="002F3570" w:rsidRPr="007219D9">
              <w:rPr>
                <w:rFonts w:ascii="Arial" w:eastAsia="Times New Roman" w:hAnsi="Arial" w:cs="Arial"/>
                <w:sz w:val="20"/>
                <w:szCs w:val="20"/>
                <w:lang w:bidi="hi-IN"/>
              </w:rPr>
              <w:t xml:space="preserve"> studying in HEI</w:t>
            </w:r>
          </w:p>
        </w:tc>
        <w:tc>
          <w:tcPr>
            <w:tcW w:w="1565" w:type="dxa"/>
            <w:hideMark/>
          </w:tcPr>
          <w:p w14:paraId="08495E68"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0.68</w:t>
            </w:r>
          </w:p>
        </w:tc>
        <w:tc>
          <w:tcPr>
            <w:tcW w:w="780" w:type="dxa"/>
            <w:hideMark/>
          </w:tcPr>
          <w:p w14:paraId="01B774A8"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14.72</w:t>
            </w:r>
          </w:p>
        </w:tc>
        <w:tc>
          <w:tcPr>
            <w:tcW w:w="932" w:type="dxa"/>
            <w:hideMark/>
          </w:tcPr>
          <w:p w14:paraId="7602FF55"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1265" w:type="dxa"/>
            <w:hideMark/>
          </w:tcPr>
          <w:p w14:paraId="6C0A69D2"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Significant</w:t>
            </w:r>
          </w:p>
        </w:tc>
        <w:tc>
          <w:tcPr>
            <w:tcW w:w="1280" w:type="dxa"/>
            <w:hideMark/>
          </w:tcPr>
          <w:p w14:paraId="668A9D7D" w14:textId="77777777" w:rsidR="00E85B01" w:rsidRPr="007219D9" w:rsidRDefault="00E85B01" w:rsidP="00E85B01">
            <w:pPr>
              <w:rPr>
                <w:rFonts w:ascii="Arial" w:eastAsia="Times New Roman" w:hAnsi="Arial" w:cs="Arial"/>
                <w:sz w:val="20"/>
                <w:szCs w:val="20"/>
                <w:lang w:bidi="hi-IN"/>
              </w:rPr>
            </w:pPr>
            <w:r w:rsidRPr="007219D9">
              <w:rPr>
                <w:rFonts w:ascii="Arial" w:eastAsia="Times New Roman" w:hAnsi="Arial" w:cs="Arial"/>
                <w:sz w:val="20"/>
                <w:szCs w:val="20"/>
                <w:lang w:bidi="hi-IN"/>
              </w:rPr>
              <w:t>Strong</w:t>
            </w:r>
          </w:p>
        </w:tc>
      </w:tr>
    </w:tbl>
    <w:p w14:paraId="2463A332" w14:textId="1D788065" w:rsidR="00617CEE" w:rsidRPr="007219D9" w:rsidRDefault="00617CEE" w:rsidP="0050207A">
      <w:pPr>
        <w:jc w:val="center"/>
        <w:rPr>
          <w:rFonts w:ascii="Times New Roman" w:hAnsi="Times New Roman" w:cs="Times New Roman"/>
          <w:b/>
          <w:bCs/>
        </w:rPr>
      </w:pPr>
    </w:p>
    <w:p w14:paraId="32E26441" w14:textId="57807139" w:rsidR="00617CEE" w:rsidRPr="007219D9" w:rsidRDefault="00617CEE" w:rsidP="00617CEE">
      <w:pPr>
        <w:jc w:val="both"/>
        <w:rPr>
          <w:rFonts w:ascii="Arial" w:hAnsi="Arial" w:cs="Arial"/>
          <w:sz w:val="20"/>
          <w:szCs w:val="20"/>
        </w:rPr>
      </w:pPr>
      <w:r w:rsidRPr="007219D9">
        <w:rPr>
          <w:rFonts w:ascii="Arial" w:hAnsi="Arial" w:cs="Arial"/>
          <w:sz w:val="20"/>
          <w:szCs w:val="20"/>
        </w:rPr>
        <w:t>Table 5 presents the results of the structural model obtained through the bootstrapping procedure in the PLS-SEM framework, which evaluates the relationship between the implementation of NEP-2020 and student satisfaction. The path coefficient from NEP-2020 to student satisfaction (β = 0.68) is positive and high, indicating a strong relationship between the two. The corresponding t-value (14.72) and p-value (&lt;0.001) confirm this effect as statistically significant at the 1 percent level. The bootstrapping procedure, based on 5,000 resamples, ensures the robustness of the results. Overall, the findings indicate that the effective institutional implementation of NEP-2020 significantly enhances students' academic satisfaction in Uttarakhand and provides strong empirical support for the study's hypothesis.</w:t>
      </w:r>
    </w:p>
    <w:p w14:paraId="470D291A" w14:textId="05C652D0" w:rsidR="00E46EC3" w:rsidRPr="007219D9" w:rsidRDefault="00E46EC3" w:rsidP="0050207A">
      <w:pPr>
        <w:jc w:val="center"/>
        <w:rPr>
          <w:rFonts w:ascii="Times New Roman" w:hAnsi="Times New Roman" w:cs="Times New Roman"/>
          <w:b/>
          <w:bCs/>
        </w:rPr>
      </w:pPr>
      <w:r w:rsidRPr="007219D9">
        <w:rPr>
          <w:rFonts w:ascii="Times New Roman" w:hAnsi="Times New Roman" w:cs="Times New Roman"/>
          <w:b/>
          <w:bCs/>
        </w:rPr>
        <w:t xml:space="preserve">Table </w:t>
      </w:r>
      <w:r w:rsidR="00111856" w:rsidRPr="007219D9">
        <w:rPr>
          <w:rFonts w:ascii="Times New Roman" w:hAnsi="Times New Roman" w:cs="Times New Roman"/>
          <w:b/>
          <w:bCs/>
        </w:rPr>
        <w:t>6</w:t>
      </w:r>
      <w:r w:rsidRPr="007219D9">
        <w:rPr>
          <w:rFonts w:ascii="Times New Roman" w:hAnsi="Times New Roman" w:cs="Times New Roman"/>
          <w:b/>
          <w:bCs/>
        </w:rPr>
        <w:t>. Coefficient of Determination (R²)</w:t>
      </w:r>
    </w:p>
    <w:tbl>
      <w:tblPr>
        <w:tblStyle w:val="TableGrid"/>
        <w:tblW w:w="5000" w:type="pct"/>
        <w:tblLook w:val="04A0" w:firstRow="1" w:lastRow="0" w:firstColumn="1" w:lastColumn="0" w:noHBand="0" w:noVBand="1"/>
      </w:tblPr>
      <w:tblGrid>
        <w:gridCol w:w="4858"/>
        <w:gridCol w:w="1209"/>
        <w:gridCol w:w="4411"/>
      </w:tblGrid>
      <w:tr w:rsidR="00E46EC3" w:rsidRPr="007219D9" w14:paraId="7F3F69A1" w14:textId="77777777" w:rsidTr="00AA6F83">
        <w:tc>
          <w:tcPr>
            <w:tcW w:w="2318" w:type="pct"/>
            <w:hideMark/>
          </w:tcPr>
          <w:p w14:paraId="5EEEA482"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lastRenderedPageBreak/>
              <w:t>Endogenous Construct</w:t>
            </w:r>
          </w:p>
        </w:tc>
        <w:tc>
          <w:tcPr>
            <w:tcW w:w="577" w:type="pct"/>
            <w:hideMark/>
          </w:tcPr>
          <w:p w14:paraId="0429F5CF"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R²</w:t>
            </w:r>
          </w:p>
        </w:tc>
        <w:tc>
          <w:tcPr>
            <w:tcW w:w="2106" w:type="pct"/>
            <w:hideMark/>
          </w:tcPr>
          <w:p w14:paraId="58C7ACDC"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Interpretation</w:t>
            </w:r>
          </w:p>
        </w:tc>
      </w:tr>
      <w:tr w:rsidR="00E46EC3" w:rsidRPr="007219D9" w14:paraId="5B7208F2" w14:textId="77777777" w:rsidTr="00AA6F83">
        <w:tc>
          <w:tcPr>
            <w:tcW w:w="2318" w:type="pct"/>
            <w:hideMark/>
          </w:tcPr>
          <w:p w14:paraId="3EC45367"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77" w:type="pct"/>
            <w:hideMark/>
          </w:tcPr>
          <w:p w14:paraId="0CC07176"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0.4</w:t>
            </w:r>
            <w:r w:rsidR="004352EF" w:rsidRPr="007219D9">
              <w:rPr>
                <w:rFonts w:ascii="Arial" w:eastAsia="Times New Roman" w:hAnsi="Arial" w:cs="Arial"/>
                <w:sz w:val="20"/>
                <w:szCs w:val="20"/>
                <w:lang w:bidi="hi-IN"/>
              </w:rPr>
              <w:t>6</w:t>
            </w:r>
          </w:p>
        </w:tc>
        <w:tc>
          <w:tcPr>
            <w:tcW w:w="2106" w:type="pct"/>
            <w:hideMark/>
          </w:tcPr>
          <w:p w14:paraId="4DCD6394"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Moderate–Substantial</w:t>
            </w:r>
          </w:p>
        </w:tc>
      </w:tr>
    </w:tbl>
    <w:p w14:paraId="40CE0022" w14:textId="77777777" w:rsidR="00E46EC3" w:rsidRPr="007219D9" w:rsidRDefault="00E46EC3" w:rsidP="00E46EC3"/>
    <w:p w14:paraId="2CED7946" w14:textId="2698D2AE" w:rsidR="00617CEE" w:rsidRPr="007219D9" w:rsidRDefault="00617CEE" w:rsidP="004F1EFA">
      <w:pPr>
        <w:jc w:val="both"/>
        <w:rPr>
          <w:rFonts w:ascii="Arial" w:hAnsi="Arial" w:cs="Arial"/>
          <w:sz w:val="20"/>
          <w:szCs w:val="20"/>
        </w:rPr>
      </w:pPr>
      <w:r w:rsidRPr="007219D9">
        <w:rPr>
          <w:rFonts w:ascii="Arial" w:hAnsi="Arial" w:cs="Arial"/>
          <w:sz w:val="20"/>
          <w:szCs w:val="20"/>
        </w:rPr>
        <w:t>Table 6 presents the coefficient of determination (R²) for the endogenous construct—student satisfaction—in the PLS-SEM structural model. The R² value of 0.46 indicates that approximately 46 percent of the variance in student satisfaction in higher education institutions in Uttarakhand is explained by the extent and quality of NEP-2020 implementation. In the context of social science and education research, this indicates a moderate to high level of explanatory power. The results suggest that policy elements such as curriculum clarity, availability of academic resources, orientation programs, multidisciplinary options, and accessibility significantly shape students' academic experience. Practically, the findings indicate that improving the effective implementation of NEP-2020 can lead to a significant increase in student satisfaction, although other factors such as teaching quality, institutional culture, and individual characteristics also play a role.</w:t>
      </w:r>
    </w:p>
    <w:p w14:paraId="1334889D" w14:textId="51CFD364" w:rsidR="00E46EC3" w:rsidRPr="007219D9" w:rsidRDefault="00E46EC3" w:rsidP="0050207A">
      <w:pPr>
        <w:jc w:val="center"/>
        <w:rPr>
          <w:rFonts w:ascii="Times New Roman" w:hAnsi="Times New Roman" w:cs="Times New Roman"/>
          <w:b/>
          <w:bCs/>
        </w:rPr>
      </w:pPr>
      <w:r w:rsidRPr="007219D9">
        <w:rPr>
          <w:rFonts w:ascii="Times New Roman" w:hAnsi="Times New Roman" w:cs="Times New Roman"/>
          <w:b/>
          <w:bCs/>
        </w:rPr>
        <w:t xml:space="preserve">Table </w:t>
      </w:r>
      <w:r w:rsidR="00111856" w:rsidRPr="007219D9">
        <w:rPr>
          <w:rFonts w:ascii="Times New Roman" w:hAnsi="Times New Roman" w:cs="Times New Roman"/>
          <w:b/>
          <w:bCs/>
        </w:rPr>
        <w:t>7</w:t>
      </w:r>
      <w:r w:rsidRPr="007219D9">
        <w:rPr>
          <w:rFonts w:ascii="Times New Roman" w:hAnsi="Times New Roman" w:cs="Times New Roman"/>
          <w:b/>
          <w:bCs/>
        </w:rPr>
        <w:t>. Effect Size (f²)</w:t>
      </w:r>
    </w:p>
    <w:tbl>
      <w:tblPr>
        <w:tblStyle w:val="TableGrid"/>
        <w:tblW w:w="5000" w:type="pct"/>
        <w:tblLook w:val="04A0" w:firstRow="1" w:lastRow="0" w:firstColumn="1" w:lastColumn="0" w:noHBand="0" w:noVBand="1"/>
      </w:tblPr>
      <w:tblGrid>
        <w:gridCol w:w="3196"/>
        <w:gridCol w:w="2978"/>
        <w:gridCol w:w="1150"/>
        <w:gridCol w:w="3154"/>
      </w:tblGrid>
      <w:tr w:rsidR="004352EF" w:rsidRPr="007219D9" w14:paraId="0A858C02" w14:textId="77777777" w:rsidTr="00AA6F83">
        <w:tc>
          <w:tcPr>
            <w:tcW w:w="1525" w:type="pct"/>
            <w:hideMark/>
          </w:tcPr>
          <w:p w14:paraId="6169A129"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Exogenous Construct</w:t>
            </w:r>
          </w:p>
        </w:tc>
        <w:tc>
          <w:tcPr>
            <w:tcW w:w="1421" w:type="pct"/>
            <w:hideMark/>
          </w:tcPr>
          <w:p w14:paraId="2C588F97"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Endogenous Construct</w:t>
            </w:r>
          </w:p>
        </w:tc>
        <w:tc>
          <w:tcPr>
            <w:tcW w:w="549" w:type="pct"/>
            <w:hideMark/>
          </w:tcPr>
          <w:p w14:paraId="5C896AB2"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f² Value</w:t>
            </w:r>
          </w:p>
        </w:tc>
        <w:tc>
          <w:tcPr>
            <w:tcW w:w="1505" w:type="pct"/>
            <w:hideMark/>
          </w:tcPr>
          <w:p w14:paraId="1ECF1C83" w14:textId="77777777" w:rsidR="004352EF" w:rsidRPr="007219D9" w:rsidRDefault="004352EF" w:rsidP="004352EF">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Size Interpretation</w:t>
            </w:r>
          </w:p>
        </w:tc>
      </w:tr>
      <w:tr w:rsidR="004352EF" w:rsidRPr="007219D9" w14:paraId="7A9D1614" w14:textId="77777777" w:rsidTr="00AA6F83">
        <w:tc>
          <w:tcPr>
            <w:tcW w:w="1525" w:type="pct"/>
            <w:hideMark/>
          </w:tcPr>
          <w:p w14:paraId="4058E7F7"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w:t>
            </w:r>
          </w:p>
        </w:tc>
        <w:tc>
          <w:tcPr>
            <w:tcW w:w="1421" w:type="pct"/>
            <w:hideMark/>
          </w:tcPr>
          <w:p w14:paraId="2DC7D442"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49" w:type="pct"/>
            <w:hideMark/>
          </w:tcPr>
          <w:p w14:paraId="6626C689"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0.42</w:t>
            </w:r>
          </w:p>
        </w:tc>
        <w:tc>
          <w:tcPr>
            <w:tcW w:w="1505" w:type="pct"/>
            <w:hideMark/>
          </w:tcPr>
          <w:p w14:paraId="789B5872"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b/>
                <w:bCs/>
                <w:sz w:val="20"/>
                <w:szCs w:val="20"/>
                <w:lang w:bidi="hi-IN"/>
              </w:rPr>
              <w:t>Large Effect</w:t>
            </w:r>
          </w:p>
        </w:tc>
      </w:tr>
      <w:tr w:rsidR="004352EF" w:rsidRPr="007219D9" w14:paraId="7CDEBAAB" w14:textId="77777777" w:rsidTr="00AA6F83">
        <w:tc>
          <w:tcPr>
            <w:tcW w:w="1525" w:type="pct"/>
            <w:hideMark/>
          </w:tcPr>
          <w:p w14:paraId="77650974"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Institutional Execution</w:t>
            </w:r>
          </w:p>
        </w:tc>
        <w:tc>
          <w:tcPr>
            <w:tcW w:w="1421" w:type="pct"/>
            <w:hideMark/>
          </w:tcPr>
          <w:p w14:paraId="7A28A1A5"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Student Satisfaction</w:t>
            </w:r>
          </w:p>
        </w:tc>
        <w:tc>
          <w:tcPr>
            <w:tcW w:w="549" w:type="pct"/>
            <w:hideMark/>
          </w:tcPr>
          <w:p w14:paraId="03CE368C"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sz w:val="20"/>
                <w:szCs w:val="20"/>
                <w:lang w:bidi="hi-IN"/>
              </w:rPr>
              <w:t>0.28</w:t>
            </w:r>
          </w:p>
        </w:tc>
        <w:tc>
          <w:tcPr>
            <w:tcW w:w="1505" w:type="pct"/>
            <w:hideMark/>
          </w:tcPr>
          <w:p w14:paraId="190F593A" w14:textId="77777777" w:rsidR="004352EF" w:rsidRPr="007219D9" w:rsidRDefault="004352EF" w:rsidP="004352EF">
            <w:pPr>
              <w:rPr>
                <w:rFonts w:ascii="Arial" w:eastAsia="Times New Roman" w:hAnsi="Arial" w:cs="Arial"/>
                <w:sz w:val="20"/>
                <w:szCs w:val="20"/>
                <w:lang w:bidi="hi-IN"/>
              </w:rPr>
            </w:pPr>
            <w:r w:rsidRPr="007219D9">
              <w:rPr>
                <w:rFonts w:ascii="Arial" w:eastAsia="Times New Roman" w:hAnsi="Arial" w:cs="Arial"/>
                <w:b/>
                <w:bCs/>
                <w:sz w:val="20"/>
                <w:szCs w:val="20"/>
                <w:lang w:bidi="hi-IN"/>
              </w:rPr>
              <w:t>Moderate Effect</w:t>
            </w:r>
          </w:p>
        </w:tc>
      </w:tr>
    </w:tbl>
    <w:p w14:paraId="442FDC8A" w14:textId="1F50FC66" w:rsidR="00E46EC3" w:rsidRPr="007219D9" w:rsidRDefault="00E46EC3" w:rsidP="00E46EC3"/>
    <w:p w14:paraId="00EF8F81" w14:textId="1A4BFB88" w:rsidR="00162BD9" w:rsidRPr="007219D9" w:rsidRDefault="00162BD9" w:rsidP="004F1EFA">
      <w:pPr>
        <w:jc w:val="both"/>
        <w:rPr>
          <w:rFonts w:ascii="Arial" w:hAnsi="Arial" w:cs="Arial"/>
          <w:sz w:val="20"/>
          <w:szCs w:val="20"/>
        </w:rPr>
      </w:pPr>
      <w:r w:rsidRPr="007219D9">
        <w:rPr>
          <w:rFonts w:ascii="Arial" w:hAnsi="Arial" w:cs="Arial"/>
          <w:sz w:val="20"/>
          <w:szCs w:val="20"/>
        </w:rPr>
        <w:t>Table 7 presents the effect size (f²) results in the PLS-SEM structural model, which assesses the relative contribution of each exogenous construct to the endogenous construct—student satisfaction. The f² statistic indicates the change in R² when a predictor is removed, thereby clarifying its practical significance. According to the results, the implementation of NEP-2020 was found to have a large effect on student satisfaction (f² = 0.42), underscoring the central role of policy-related information, curriculum clarity, academic resources, and guidance mechanisms. In contrast, the effect of institutional performance was moderate (f² = 0.28), suggesting that while regular classes and administrative support are important, the overall quality of policy implementation is comparatively more impactful. Overall, the findings indicate that to maximize student satisfaction in Uttarakhand, the effective and comprehensive implementation of NEP-2020 should be prioritized, along with continuous improvements in institutional performance.</w:t>
      </w:r>
    </w:p>
    <w:p w14:paraId="7B2C613D"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8</w:t>
      </w:r>
      <w:r w:rsidRPr="007219D9">
        <w:rPr>
          <w:rFonts w:ascii="Arial" w:hAnsi="Arial" w:cs="Arial"/>
          <w:b/>
          <w:bCs/>
        </w:rPr>
        <w:t>. Predictive Relevance (Q² – Blindfolding)</w:t>
      </w:r>
    </w:p>
    <w:tbl>
      <w:tblPr>
        <w:tblStyle w:val="TableGrid"/>
        <w:tblW w:w="5000" w:type="pct"/>
        <w:jc w:val="center"/>
        <w:tblLook w:val="04A0" w:firstRow="1" w:lastRow="0" w:firstColumn="1" w:lastColumn="0" w:noHBand="0" w:noVBand="1"/>
      </w:tblPr>
      <w:tblGrid>
        <w:gridCol w:w="4435"/>
        <w:gridCol w:w="1367"/>
        <w:gridCol w:w="4676"/>
      </w:tblGrid>
      <w:tr w:rsidR="004352EF" w:rsidRPr="007219D9" w14:paraId="6CD8B99A" w14:textId="77777777" w:rsidTr="00AA6F83">
        <w:trPr>
          <w:jc w:val="center"/>
        </w:trPr>
        <w:tc>
          <w:tcPr>
            <w:tcW w:w="2116" w:type="pct"/>
            <w:hideMark/>
          </w:tcPr>
          <w:p w14:paraId="709B4975"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Endogenous Construct</w:t>
            </w:r>
          </w:p>
        </w:tc>
        <w:tc>
          <w:tcPr>
            <w:tcW w:w="652" w:type="pct"/>
            <w:hideMark/>
          </w:tcPr>
          <w:p w14:paraId="105E07B7"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Q² Value</w:t>
            </w:r>
          </w:p>
        </w:tc>
        <w:tc>
          <w:tcPr>
            <w:tcW w:w="2231" w:type="pct"/>
            <w:hideMark/>
          </w:tcPr>
          <w:p w14:paraId="025AB4DA" w14:textId="77777777" w:rsidR="004352EF" w:rsidRPr="007219D9" w:rsidRDefault="004352EF">
            <w:pPr>
              <w:jc w:val="center"/>
              <w:rPr>
                <w:rFonts w:ascii="Arial" w:hAnsi="Arial" w:cs="Arial"/>
                <w:b/>
                <w:bCs/>
                <w:sz w:val="20"/>
                <w:szCs w:val="20"/>
              </w:rPr>
            </w:pPr>
            <w:r w:rsidRPr="007219D9">
              <w:rPr>
                <w:rFonts w:ascii="Arial" w:hAnsi="Arial" w:cs="Arial"/>
                <w:b/>
                <w:bCs/>
                <w:sz w:val="20"/>
                <w:szCs w:val="20"/>
              </w:rPr>
              <w:t>Predictive Relevance Interpretation</w:t>
            </w:r>
          </w:p>
        </w:tc>
      </w:tr>
      <w:tr w:rsidR="004352EF" w:rsidRPr="007219D9" w14:paraId="1B89A1E8" w14:textId="77777777" w:rsidTr="00AA6F83">
        <w:trPr>
          <w:jc w:val="center"/>
        </w:trPr>
        <w:tc>
          <w:tcPr>
            <w:tcW w:w="2116" w:type="pct"/>
            <w:hideMark/>
          </w:tcPr>
          <w:p w14:paraId="515541CE" w14:textId="77777777" w:rsidR="004352EF" w:rsidRPr="007219D9" w:rsidRDefault="004352EF">
            <w:pPr>
              <w:rPr>
                <w:rFonts w:ascii="Arial" w:hAnsi="Arial" w:cs="Arial"/>
                <w:sz w:val="20"/>
                <w:szCs w:val="20"/>
              </w:rPr>
            </w:pPr>
            <w:r w:rsidRPr="007219D9">
              <w:rPr>
                <w:rFonts w:ascii="Arial" w:hAnsi="Arial" w:cs="Arial"/>
                <w:sz w:val="20"/>
                <w:szCs w:val="20"/>
              </w:rPr>
              <w:t>Student Satisfaction</w:t>
            </w:r>
          </w:p>
        </w:tc>
        <w:tc>
          <w:tcPr>
            <w:tcW w:w="652" w:type="pct"/>
            <w:hideMark/>
          </w:tcPr>
          <w:p w14:paraId="4ECA6C27" w14:textId="77777777" w:rsidR="004352EF" w:rsidRPr="007219D9" w:rsidRDefault="004352EF">
            <w:pPr>
              <w:rPr>
                <w:rFonts w:ascii="Arial" w:hAnsi="Arial" w:cs="Arial"/>
                <w:sz w:val="20"/>
                <w:szCs w:val="20"/>
              </w:rPr>
            </w:pPr>
            <w:r w:rsidRPr="007219D9">
              <w:rPr>
                <w:rFonts w:ascii="Arial" w:hAnsi="Arial" w:cs="Arial"/>
                <w:sz w:val="20"/>
                <w:szCs w:val="20"/>
              </w:rPr>
              <w:t>0.29</w:t>
            </w:r>
          </w:p>
        </w:tc>
        <w:tc>
          <w:tcPr>
            <w:tcW w:w="2231" w:type="pct"/>
            <w:hideMark/>
          </w:tcPr>
          <w:p w14:paraId="46A3F8B9" w14:textId="77777777" w:rsidR="004352EF" w:rsidRPr="007219D9" w:rsidRDefault="004352EF">
            <w:pPr>
              <w:rPr>
                <w:rFonts w:ascii="Arial" w:hAnsi="Arial" w:cs="Arial"/>
                <w:sz w:val="20"/>
                <w:szCs w:val="20"/>
              </w:rPr>
            </w:pPr>
            <w:r w:rsidRPr="007219D9">
              <w:rPr>
                <w:rFonts w:ascii="Arial" w:hAnsi="Arial" w:cs="Arial"/>
                <w:sz w:val="20"/>
                <w:szCs w:val="20"/>
              </w:rPr>
              <w:t>Moderate Predictive Relevance</w:t>
            </w:r>
          </w:p>
        </w:tc>
      </w:tr>
      <w:tr w:rsidR="004352EF" w:rsidRPr="007219D9" w14:paraId="5E64247A" w14:textId="77777777" w:rsidTr="00AA6F83">
        <w:trPr>
          <w:jc w:val="center"/>
        </w:trPr>
        <w:tc>
          <w:tcPr>
            <w:tcW w:w="2116" w:type="pct"/>
            <w:hideMark/>
          </w:tcPr>
          <w:p w14:paraId="0A150CD0" w14:textId="77777777" w:rsidR="004352EF" w:rsidRPr="007219D9" w:rsidRDefault="004352EF">
            <w:pPr>
              <w:rPr>
                <w:rFonts w:ascii="Arial" w:hAnsi="Arial" w:cs="Arial"/>
                <w:sz w:val="20"/>
                <w:szCs w:val="20"/>
              </w:rPr>
            </w:pPr>
            <w:r w:rsidRPr="007219D9">
              <w:rPr>
                <w:rFonts w:ascii="Arial" w:hAnsi="Arial" w:cs="Arial"/>
                <w:sz w:val="20"/>
                <w:szCs w:val="20"/>
              </w:rPr>
              <w:t>Perceived NEP–2020 Effectiveness</w:t>
            </w:r>
          </w:p>
        </w:tc>
        <w:tc>
          <w:tcPr>
            <w:tcW w:w="652" w:type="pct"/>
            <w:hideMark/>
          </w:tcPr>
          <w:p w14:paraId="64993EA2" w14:textId="77777777" w:rsidR="004352EF" w:rsidRPr="007219D9" w:rsidRDefault="004352EF">
            <w:pPr>
              <w:rPr>
                <w:rFonts w:ascii="Arial" w:hAnsi="Arial" w:cs="Arial"/>
                <w:sz w:val="20"/>
                <w:szCs w:val="20"/>
              </w:rPr>
            </w:pPr>
            <w:r w:rsidRPr="007219D9">
              <w:rPr>
                <w:rFonts w:ascii="Arial" w:hAnsi="Arial" w:cs="Arial"/>
                <w:sz w:val="20"/>
                <w:szCs w:val="20"/>
              </w:rPr>
              <w:t>0.24</w:t>
            </w:r>
          </w:p>
        </w:tc>
        <w:tc>
          <w:tcPr>
            <w:tcW w:w="2231" w:type="pct"/>
            <w:hideMark/>
          </w:tcPr>
          <w:p w14:paraId="6604BA18" w14:textId="77777777" w:rsidR="004352EF" w:rsidRPr="007219D9" w:rsidRDefault="004352EF">
            <w:pPr>
              <w:rPr>
                <w:rFonts w:ascii="Arial" w:hAnsi="Arial" w:cs="Arial"/>
                <w:sz w:val="20"/>
                <w:szCs w:val="20"/>
              </w:rPr>
            </w:pPr>
            <w:r w:rsidRPr="007219D9">
              <w:rPr>
                <w:rFonts w:ascii="Arial" w:hAnsi="Arial" w:cs="Arial"/>
                <w:sz w:val="20"/>
                <w:szCs w:val="20"/>
              </w:rPr>
              <w:t>Moderate Predictive Relevance</w:t>
            </w:r>
          </w:p>
        </w:tc>
      </w:tr>
      <w:tr w:rsidR="004352EF" w:rsidRPr="007219D9" w14:paraId="36D7F3C9" w14:textId="77777777" w:rsidTr="00AA6F83">
        <w:trPr>
          <w:jc w:val="center"/>
        </w:trPr>
        <w:tc>
          <w:tcPr>
            <w:tcW w:w="2116" w:type="pct"/>
            <w:hideMark/>
          </w:tcPr>
          <w:p w14:paraId="42D83C87" w14:textId="77777777" w:rsidR="004352EF" w:rsidRPr="007219D9" w:rsidRDefault="004352EF">
            <w:pPr>
              <w:rPr>
                <w:rFonts w:ascii="Arial" w:hAnsi="Arial" w:cs="Arial"/>
                <w:sz w:val="20"/>
                <w:szCs w:val="20"/>
              </w:rPr>
            </w:pPr>
            <w:r w:rsidRPr="007219D9">
              <w:rPr>
                <w:rFonts w:ascii="Arial" w:hAnsi="Arial" w:cs="Arial"/>
                <w:sz w:val="20"/>
                <w:szCs w:val="20"/>
              </w:rPr>
              <w:t>Overall Policy Accessibility</w:t>
            </w:r>
          </w:p>
        </w:tc>
        <w:tc>
          <w:tcPr>
            <w:tcW w:w="652" w:type="pct"/>
            <w:hideMark/>
          </w:tcPr>
          <w:p w14:paraId="7C96E992" w14:textId="77777777" w:rsidR="004352EF" w:rsidRPr="007219D9" w:rsidRDefault="004352EF">
            <w:pPr>
              <w:rPr>
                <w:rFonts w:ascii="Arial" w:hAnsi="Arial" w:cs="Arial"/>
                <w:sz w:val="20"/>
                <w:szCs w:val="20"/>
              </w:rPr>
            </w:pPr>
            <w:r w:rsidRPr="007219D9">
              <w:rPr>
                <w:rFonts w:ascii="Arial" w:hAnsi="Arial" w:cs="Arial"/>
                <w:sz w:val="20"/>
                <w:szCs w:val="20"/>
              </w:rPr>
              <w:t>0.31</w:t>
            </w:r>
          </w:p>
        </w:tc>
        <w:tc>
          <w:tcPr>
            <w:tcW w:w="2231" w:type="pct"/>
            <w:hideMark/>
          </w:tcPr>
          <w:p w14:paraId="448B80C6" w14:textId="77777777" w:rsidR="004352EF" w:rsidRPr="007219D9" w:rsidRDefault="004352EF">
            <w:pPr>
              <w:rPr>
                <w:rFonts w:ascii="Arial" w:hAnsi="Arial" w:cs="Arial"/>
                <w:sz w:val="20"/>
                <w:szCs w:val="20"/>
              </w:rPr>
            </w:pPr>
            <w:r w:rsidRPr="007219D9">
              <w:rPr>
                <w:rFonts w:ascii="Arial" w:hAnsi="Arial" w:cs="Arial"/>
                <w:sz w:val="20"/>
                <w:szCs w:val="20"/>
              </w:rPr>
              <w:t>Strong Predictive Relevance</w:t>
            </w:r>
          </w:p>
        </w:tc>
      </w:tr>
    </w:tbl>
    <w:p w14:paraId="15B04748" w14:textId="77777777" w:rsidR="00E46EC3" w:rsidRPr="007219D9" w:rsidRDefault="00E46EC3" w:rsidP="00E46EC3">
      <w:pPr>
        <w:rPr>
          <w:rStyle w:val="Strong"/>
        </w:rPr>
      </w:pPr>
    </w:p>
    <w:p w14:paraId="2D595EF9" w14:textId="45FF7FE2" w:rsidR="00E46EC3" w:rsidRPr="007219D9" w:rsidRDefault="00162BD9" w:rsidP="00A34DC8">
      <w:pPr>
        <w:jc w:val="both"/>
        <w:rPr>
          <w:rFonts w:ascii="Arial" w:hAnsi="Arial" w:cs="Arial"/>
          <w:sz w:val="20"/>
          <w:szCs w:val="20"/>
        </w:rPr>
      </w:pPr>
      <w:r w:rsidRPr="007219D9">
        <w:rPr>
          <w:rFonts w:ascii="Arial" w:hAnsi="Arial" w:cs="Arial"/>
          <w:sz w:val="20"/>
          <w:szCs w:val="20"/>
        </w:rPr>
        <w:t>Table 8 presents the results of the predictive relevance (Q²) obtained through the blindfolding procedure in the PLS-SEM analysis, which assesses the model's out-of-sample predictive power. Q² values ​​greater than zero indicate that the model possesses meaningful predictive relevance. According to the results, the Q² values ​​for all endogenous constructs were found to be positive. Specifically, student satisfaction (Q² = 0.29) and perceived NEP-2020 effectiveness (Q² = 0.24) demonstrate a moderate level of predictive power. The highest Q² value (0.31) was obtained for overall policy access, indicating that the proposed model is able to effectively predict students' perceptions regarding access to policy-related information and educational provisions. Overall, these findings confirm the model's sufficient predictive accuracy and practical relevance.</w:t>
      </w:r>
    </w:p>
    <w:p w14:paraId="589D3ED6" w14:textId="77777777" w:rsidR="00E46EC3" w:rsidRPr="007219D9" w:rsidRDefault="00E46EC3" w:rsidP="0050207A">
      <w:pPr>
        <w:jc w:val="center"/>
        <w:rPr>
          <w:rFonts w:ascii="Arial" w:hAnsi="Arial" w:cs="Arial"/>
          <w:b/>
          <w:bCs/>
        </w:rPr>
      </w:pPr>
      <w:r w:rsidRPr="007219D9">
        <w:rPr>
          <w:rFonts w:ascii="Arial" w:hAnsi="Arial" w:cs="Arial"/>
          <w:b/>
          <w:bCs/>
        </w:rPr>
        <w:t xml:space="preserve">Table </w:t>
      </w:r>
      <w:r w:rsidR="00111856" w:rsidRPr="007219D9">
        <w:rPr>
          <w:rFonts w:ascii="Arial" w:hAnsi="Arial" w:cs="Arial"/>
          <w:b/>
          <w:bCs/>
        </w:rPr>
        <w:t>9</w:t>
      </w:r>
      <w:r w:rsidRPr="007219D9">
        <w:rPr>
          <w:rFonts w:ascii="Arial" w:hAnsi="Arial" w:cs="Arial"/>
          <w:b/>
          <w:bCs/>
        </w:rPr>
        <w:t>. Model Fit Indices (PLS-SEM)</w:t>
      </w:r>
    </w:p>
    <w:tbl>
      <w:tblPr>
        <w:tblStyle w:val="TableGrid"/>
        <w:tblW w:w="0" w:type="auto"/>
        <w:tblLook w:val="04A0" w:firstRow="1" w:lastRow="0" w:firstColumn="1" w:lastColumn="0" w:noHBand="0" w:noVBand="1"/>
      </w:tblPr>
      <w:tblGrid>
        <w:gridCol w:w="3978"/>
        <w:gridCol w:w="1535"/>
        <w:gridCol w:w="2434"/>
        <w:gridCol w:w="2531"/>
      </w:tblGrid>
      <w:tr w:rsidR="00A34DC8" w:rsidRPr="007219D9" w14:paraId="688C3629" w14:textId="77777777" w:rsidTr="00A34DC8">
        <w:tc>
          <w:tcPr>
            <w:tcW w:w="0" w:type="auto"/>
            <w:hideMark/>
          </w:tcPr>
          <w:p w14:paraId="2380836B"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Fit Index</w:t>
            </w:r>
          </w:p>
        </w:tc>
        <w:tc>
          <w:tcPr>
            <w:tcW w:w="0" w:type="auto"/>
            <w:hideMark/>
          </w:tcPr>
          <w:p w14:paraId="143E5406"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Obtained Value</w:t>
            </w:r>
          </w:p>
        </w:tc>
        <w:tc>
          <w:tcPr>
            <w:tcW w:w="0" w:type="auto"/>
            <w:hideMark/>
          </w:tcPr>
          <w:p w14:paraId="362A2DD7"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Recommended Threshold</w:t>
            </w:r>
          </w:p>
        </w:tc>
        <w:tc>
          <w:tcPr>
            <w:tcW w:w="0" w:type="auto"/>
            <w:hideMark/>
          </w:tcPr>
          <w:p w14:paraId="0B2D6BC6" w14:textId="77777777" w:rsidR="00A34DC8" w:rsidRPr="007219D9" w:rsidRDefault="00A34DC8" w:rsidP="00A34DC8">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Model Assessment</w:t>
            </w:r>
          </w:p>
        </w:tc>
      </w:tr>
      <w:tr w:rsidR="00A34DC8" w:rsidRPr="007219D9" w14:paraId="5BC55B93" w14:textId="77777777" w:rsidTr="00A34DC8">
        <w:tc>
          <w:tcPr>
            <w:tcW w:w="0" w:type="auto"/>
            <w:hideMark/>
          </w:tcPr>
          <w:p w14:paraId="6606BBAD" w14:textId="363877E1"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SRMR (</w:t>
            </w:r>
            <w:proofErr w:type="spellStart"/>
            <w:r w:rsidR="00AA6F83" w:rsidRPr="007219D9">
              <w:rPr>
                <w:rFonts w:ascii="Arial" w:eastAsia="Times New Roman" w:hAnsi="Arial" w:cs="Arial"/>
                <w:sz w:val="20"/>
                <w:szCs w:val="20"/>
                <w:lang w:bidi="hi-IN"/>
              </w:rPr>
              <w:t>Standardised</w:t>
            </w:r>
            <w:proofErr w:type="spellEnd"/>
            <w:r w:rsidRPr="007219D9">
              <w:rPr>
                <w:rFonts w:ascii="Arial" w:eastAsia="Times New Roman" w:hAnsi="Arial" w:cs="Arial"/>
                <w:sz w:val="20"/>
                <w:szCs w:val="20"/>
                <w:lang w:bidi="hi-IN"/>
              </w:rPr>
              <w:t xml:space="preserve"> Root Mean Square Residual)</w:t>
            </w:r>
          </w:p>
        </w:tc>
        <w:tc>
          <w:tcPr>
            <w:tcW w:w="0" w:type="auto"/>
            <w:hideMark/>
          </w:tcPr>
          <w:p w14:paraId="2B5AD48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0.061</w:t>
            </w:r>
          </w:p>
        </w:tc>
        <w:tc>
          <w:tcPr>
            <w:tcW w:w="0" w:type="auto"/>
            <w:hideMark/>
          </w:tcPr>
          <w:p w14:paraId="56993D53"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&lt; 0.08</w:t>
            </w:r>
          </w:p>
        </w:tc>
        <w:tc>
          <w:tcPr>
            <w:tcW w:w="0" w:type="auto"/>
            <w:hideMark/>
          </w:tcPr>
          <w:p w14:paraId="4FD28F04"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Good Fit</w:t>
            </w:r>
          </w:p>
        </w:tc>
      </w:tr>
      <w:tr w:rsidR="00A34DC8" w:rsidRPr="007219D9" w14:paraId="6B155CD1" w14:textId="77777777" w:rsidTr="00A34DC8">
        <w:tc>
          <w:tcPr>
            <w:tcW w:w="0" w:type="auto"/>
            <w:hideMark/>
          </w:tcPr>
          <w:p w14:paraId="3D570F69"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NFI (Normed Fit Index)</w:t>
            </w:r>
          </w:p>
        </w:tc>
        <w:tc>
          <w:tcPr>
            <w:tcW w:w="0" w:type="auto"/>
            <w:hideMark/>
          </w:tcPr>
          <w:p w14:paraId="4FF71665"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0.91</w:t>
            </w:r>
          </w:p>
        </w:tc>
        <w:tc>
          <w:tcPr>
            <w:tcW w:w="0" w:type="auto"/>
            <w:hideMark/>
          </w:tcPr>
          <w:p w14:paraId="55230612"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&gt; 0.90</w:t>
            </w:r>
          </w:p>
        </w:tc>
        <w:tc>
          <w:tcPr>
            <w:tcW w:w="0" w:type="auto"/>
            <w:hideMark/>
          </w:tcPr>
          <w:p w14:paraId="3BACB12A"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Acceptable Fit</w:t>
            </w:r>
          </w:p>
        </w:tc>
      </w:tr>
      <w:tr w:rsidR="00A34DC8" w:rsidRPr="007219D9" w14:paraId="5B255920" w14:textId="77777777" w:rsidTr="00A34DC8">
        <w:tc>
          <w:tcPr>
            <w:tcW w:w="0" w:type="auto"/>
            <w:hideMark/>
          </w:tcPr>
          <w:p w14:paraId="2D969F7C" w14:textId="77777777" w:rsidR="00A34DC8" w:rsidRPr="007219D9" w:rsidRDefault="00A34DC8" w:rsidP="00A34DC8">
            <w:pPr>
              <w:rPr>
                <w:rFonts w:ascii="Arial" w:eastAsia="Times New Roman" w:hAnsi="Arial" w:cs="Arial"/>
                <w:sz w:val="20"/>
                <w:szCs w:val="20"/>
                <w:lang w:bidi="hi-IN"/>
              </w:rPr>
            </w:pPr>
            <w:proofErr w:type="spellStart"/>
            <w:r w:rsidRPr="007219D9">
              <w:rPr>
                <w:rFonts w:ascii="Arial" w:eastAsia="Times New Roman" w:hAnsi="Arial" w:cs="Arial"/>
                <w:sz w:val="20"/>
                <w:szCs w:val="20"/>
                <w:lang w:bidi="hi-IN"/>
              </w:rPr>
              <w:t>RMS_theta</w:t>
            </w:r>
            <w:proofErr w:type="spellEnd"/>
          </w:p>
        </w:tc>
        <w:tc>
          <w:tcPr>
            <w:tcW w:w="0" w:type="auto"/>
            <w:hideMark/>
          </w:tcPr>
          <w:p w14:paraId="06711EB5"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0.104</w:t>
            </w:r>
          </w:p>
        </w:tc>
        <w:tc>
          <w:tcPr>
            <w:tcW w:w="0" w:type="auto"/>
            <w:hideMark/>
          </w:tcPr>
          <w:p w14:paraId="3CB3C43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&lt; 0.12</w:t>
            </w:r>
          </w:p>
        </w:tc>
        <w:tc>
          <w:tcPr>
            <w:tcW w:w="0" w:type="auto"/>
            <w:hideMark/>
          </w:tcPr>
          <w:p w14:paraId="577C6B18"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Good Measurement Model Fit</w:t>
            </w:r>
          </w:p>
        </w:tc>
      </w:tr>
      <w:tr w:rsidR="00A34DC8" w:rsidRPr="007219D9" w14:paraId="7557DFF0" w14:textId="77777777" w:rsidTr="00A34DC8">
        <w:tc>
          <w:tcPr>
            <w:tcW w:w="0" w:type="auto"/>
            <w:hideMark/>
          </w:tcPr>
          <w:p w14:paraId="42D8FF8F" w14:textId="77777777" w:rsidR="00A34DC8" w:rsidRPr="007219D9" w:rsidRDefault="00A34DC8" w:rsidP="00A34DC8">
            <w:pPr>
              <w:rPr>
                <w:rFonts w:ascii="Arial" w:eastAsia="Times New Roman" w:hAnsi="Arial" w:cs="Arial"/>
                <w:sz w:val="20"/>
                <w:szCs w:val="20"/>
                <w:lang w:bidi="hi-IN"/>
              </w:rPr>
            </w:pPr>
            <w:r w:rsidRPr="007219D9">
              <w:rPr>
                <w:rFonts w:ascii="Arial" w:eastAsia="Times New Roman" w:hAnsi="Arial" w:cs="Arial"/>
                <w:sz w:val="20"/>
                <w:szCs w:val="20"/>
                <w:lang w:bidi="hi-IN"/>
              </w:rPr>
              <w:t>Chi-square (χ²)</w:t>
            </w:r>
          </w:p>
        </w:tc>
        <w:tc>
          <w:tcPr>
            <w:tcW w:w="0" w:type="auto"/>
            <w:hideMark/>
          </w:tcPr>
          <w:p w14:paraId="19D0F01C"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428.37</w:t>
            </w:r>
          </w:p>
        </w:tc>
        <w:tc>
          <w:tcPr>
            <w:tcW w:w="0" w:type="auto"/>
            <w:hideMark/>
          </w:tcPr>
          <w:p w14:paraId="7F982FDE"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0C7165B7"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r w:rsidR="00A34DC8" w:rsidRPr="007219D9" w14:paraId="4F1F3984" w14:textId="77777777" w:rsidTr="00A34DC8">
        <w:tc>
          <w:tcPr>
            <w:tcW w:w="0" w:type="auto"/>
            <w:hideMark/>
          </w:tcPr>
          <w:p w14:paraId="4736FECF" w14:textId="77777777" w:rsidR="00A34DC8" w:rsidRPr="007219D9" w:rsidRDefault="00A34DC8" w:rsidP="00A34DC8">
            <w:pPr>
              <w:rPr>
                <w:rFonts w:ascii="Arial" w:eastAsia="Times New Roman" w:hAnsi="Arial" w:cs="Arial"/>
                <w:sz w:val="20"/>
                <w:szCs w:val="20"/>
                <w:lang w:bidi="hi-IN"/>
              </w:rPr>
            </w:pPr>
            <w:proofErr w:type="spellStart"/>
            <w:r w:rsidRPr="007219D9">
              <w:rPr>
                <w:rFonts w:ascii="Arial" w:eastAsia="Times New Roman" w:hAnsi="Arial" w:cs="Arial"/>
                <w:sz w:val="20"/>
                <w:szCs w:val="20"/>
                <w:lang w:bidi="hi-IN"/>
              </w:rPr>
              <w:t>d_ULS</w:t>
            </w:r>
            <w:proofErr w:type="spellEnd"/>
          </w:p>
        </w:tc>
        <w:tc>
          <w:tcPr>
            <w:tcW w:w="0" w:type="auto"/>
            <w:hideMark/>
          </w:tcPr>
          <w:p w14:paraId="23DA3886"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1.94</w:t>
            </w:r>
          </w:p>
        </w:tc>
        <w:tc>
          <w:tcPr>
            <w:tcW w:w="0" w:type="auto"/>
            <w:hideMark/>
          </w:tcPr>
          <w:p w14:paraId="05B720AF"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5D6D8F4C"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r w:rsidR="00A34DC8" w:rsidRPr="007219D9" w14:paraId="3ADCC551" w14:textId="77777777" w:rsidTr="00A34DC8">
        <w:tc>
          <w:tcPr>
            <w:tcW w:w="0" w:type="auto"/>
            <w:hideMark/>
          </w:tcPr>
          <w:p w14:paraId="7BEE4DCC" w14:textId="77777777" w:rsidR="00A34DC8" w:rsidRPr="007219D9" w:rsidRDefault="00A34DC8" w:rsidP="00A34DC8">
            <w:pPr>
              <w:rPr>
                <w:rFonts w:ascii="Arial" w:eastAsia="Times New Roman" w:hAnsi="Arial" w:cs="Arial"/>
                <w:sz w:val="20"/>
                <w:szCs w:val="20"/>
                <w:lang w:bidi="hi-IN"/>
              </w:rPr>
            </w:pPr>
            <w:proofErr w:type="spellStart"/>
            <w:r w:rsidRPr="007219D9">
              <w:rPr>
                <w:rFonts w:ascii="Arial" w:eastAsia="Times New Roman" w:hAnsi="Arial" w:cs="Arial"/>
                <w:sz w:val="20"/>
                <w:szCs w:val="20"/>
                <w:lang w:bidi="hi-IN"/>
              </w:rPr>
              <w:t>d_G</w:t>
            </w:r>
            <w:proofErr w:type="spellEnd"/>
          </w:p>
        </w:tc>
        <w:tc>
          <w:tcPr>
            <w:tcW w:w="0" w:type="auto"/>
            <w:hideMark/>
          </w:tcPr>
          <w:p w14:paraId="002B8AF1"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0.87</w:t>
            </w:r>
          </w:p>
        </w:tc>
        <w:tc>
          <w:tcPr>
            <w:tcW w:w="0" w:type="auto"/>
            <w:hideMark/>
          </w:tcPr>
          <w:p w14:paraId="217DEE88"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w:t>
            </w:r>
          </w:p>
        </w:tc>
        <w:tc>
          <w:tcPr>
            <w:tcW w:w="0" w:type="auto"/>
            <w:hideMark/>
          </w:tcPr>
          <w:p w14:paraId="7734ACF9" w14:textId="77777777" w:rsidR="00A34DC8" w:rsidRPr="007219D9" w:rsidRDefault="00A34DC8" w:rsidP="00A34DC8">
            <w:pPr>
              <w:jc w:val="center"/>
              <w:rPr>
                <w:rFonts w:ascii="Arial" w:eastAsia="Times New Roman" w:hAnsi="Arial" w:cs="Arial"/>
                <w:sz w:val="20"/>
                <w:szCs w:val="20"/>
                <w:lang w:bidi="hi-IN"/>
              </w:rPr>
            </w:pPr>
            <w:r w:rsidRPr="007219D9">
              <w:rPr>
                <w:rFonts w:ascii="Arial" w:eastAsia="Times New Roman" w:hAnsi="Arial" w:cs="Arial"/>
                <w:sz w:val="20"/>
                <w:szCs w:val="20"/>
                <w:lang w:bidi="hi-IN"/>
              </w:rPr>
              <w:t>Informational</w:t>
            </w:r>
          </w:p>
        </w:tc>
      </w:tr>
    </w:tbl>
    <w:p w14:paraId="428A8DD1" w14:textId="1C571BE3" w:rsidR="006B204C" w:rsidRPr="007219D9" w:rsidRDefault="00162BD9" w:rsidP="00162BD9">
      <w:pPr>
        <w:pStyle w:val="NormalWeb"/>
        <w:jc w:val="both"/>
        <w:rPr>
          <w:rFonts w:ascii="Arial" w:hAnsi="Arial" w:cs="Arial"/>
          <w:sz w:val="20"/>
          <w:szCs w:val="20"/>
        </w:rPr>
      </w:pPr>
      <w:r w:rsidRPr="007219D9">
        <w:rPr>
          <w:rFonts w:ascii="Arial" w:hAnsi="Arial" w:cs="Arial"/>
          <w:sz w:val="20"/>
          <w:szCs w:val="20"/>
        </w:rPr>
        <w:lastRenderedPageBreak/>
        <w:t xml:space="preserve">The model fit indices presented in Table 9 indicate an acceptable to good overall model fit. The SRMR value was found to be below the recommended threshold, indicating minimal residual differences between the observed and model-implied correlations. An NFI value greater than 0.90 confirms a satisfactory incremental fit of the model. Specifically, the </w:t>
      </w:r>
      <w:proofErr w:type="spellStart"/>
      <w:r w:rsidRPr="007219D9">
        <w:rPr>
          <w:rFonts w:ascii="Arial" w:hAnsi="Arial" w:cs="Arial"/>
          <w:sz w:val="20"/>
          <w:szCs w:val="20"/>
        </w:rPr>
        <w:t>RMS_theta</w:t>
      </w:r>
      <w:proofErr w:type="spellEnd"/>
      <w:r w:rsidRPr="007219D9">
        <w:rPr>
          <w:rFonts w:ascii="Arial" w:hAnsi="Arial" w:cs="Arial"/>
          <w:sz w:val="20"/>
          <w:szCs w:val="20"/>
        </w:rPr>
        <w:t xml:space="preserve"> value is 0.104, which is below the critical cut-off of 0.12 and indicates a well-fitting reflective measurement model. Overall, these indices confirm that the proposed PLS-SEM model is statistically appropriate and provides a reliable basis for hypothesis testing and policy-based interpretations.</w:t>
      </w:r>
    </w:p>
    <w:p w14:paraId="54D58E5C" w14:textId="4CA87D90" w:rsidR="002F3570" w:rsidRPr="007219D9" w:rsidRDefault="002F3570" w:rsidP="002F3570">
      <w:pPr>
        <w:pStyle w:val="NormalWeb"/>
        <w:jc w:val="center"/>
        <w:rPr>
          <w:rFonts w:ascii="Arial" w:hAnsi="Arial" w:cs="Arial"/>
          <w:b/>
          <w:bCs/>
          <w:sz w:val="22"/>
          <w:szCs w:val="22"/>
        </w:rPr>
      </w:pPr>
      <w:r w:rsidRPr="007219D9">
        <w:rPr>
          <w:rFonts w:ascii="Arial" w:hAnsi="Arial" w:cs="Arial"/>
          <w:b/>
          <w:bCs/>
          <w:sz w:val="22"/>
          <w:szCs w:val="22"/>
        </w:rPr>
        <w:t>Table 10 Hypothesis testing</w:t>
      </w:r>
    </w:p>
    <w:tbl>
      <w:tblPr>
        <w:tblStyle w:val="TableGrid"/>
        <w:tblW w:w="0" w:type="auto"/>
        <w:tblLook w:val="04A0" w:firstRow="1" w:lastRow="0" w:firstColumn="1" w:lastColumn="0" w:noHBand="0" w:noVBand="1"/>
      </w:tblPr>
      <w:tblGrid>
        <w:gridCol w:w="1295"/>
        <w:gridCol w:w="2504"/>
        <w:gridCol w:w="1533"/>
        <w:gridCol w:w="767"/>
        <w:gridCol w:w="784"/>
        <w:gridCol w:w="1049"/>
        <w:gridCol w:w="1407"/>
        <w:gridCol w:w="1139"/>
      </w:tblGrid>
      <w:tr w:rsidR="00A34DC8" w:rsidRPr="007219D9" w14:paraId="7B4CAAC9" w14:textId="77777777" w:rsidTr="006B204C">
        <w:tc>
          <w:tcPr>
            <w:tcW w:w="0" w:type="auto"/>
            <w:hideMark/>
          </w:tcPr>
          <w:p w14:paraId="586F5926"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Hypothesis</w:t>
            </w:r>
          </w:p>
        </w:tc>
        <w:tc>
          <w:tcPr>
            <w:tcW w:w="0" w:type="auto"/>
            <w:hideMark/>
          </w:tcPr>
          <w:p w14:paraId="42BBF8EC"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Structural Path</w:t>
            </w:r>
          </w:p>
        </w:tc>
        <w:tc>
          <w:tcPr>
            <w:tcW w:w="0" w:type="auto"/>
            <w:hideMark/>
          </w:tcPr>
          <w:p w14:paraId="404941B6"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β (Path Coefficient)</w:t>
            </w:r>
          </w:p>
        </w:tc>
        <w:tc>
          <w:tcPr>
            <w:tcW w:w="0" w:type="auto"/>
            <w:hideMark/>
          </w:tcPr>
          <w:p w14:paraId="556AC400"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t-value</w:t>
            </w:r>
          </w:p>
        </w:tc>
        <w:tc>
          <w:tcPr>
            <w:tcW w:w="0" w:type="auto"/>
            <w:hideMark/>
          </w:tcPr>
          <w:p w14:paraId="7BEE0884"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p-value</w:t>
            </w:r>
          </w:p>
        </w:tc>
        <w:tc>
          <w:tcPr>
            <w:tcW w:w="0" w:type="auto"/>
            <w:hideMark/>
          </w:tcPr>
          <w:p w14:paraId="75C9ABF5"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f² (Effect Size)</w:t>
            </w:r>
          </w:p>
        </w:tc>
        <w:tc>
          <w:tcPr>
            <w:tcW w:w="0" w:type="auto"/>
            <w:hideMark/>
          </w:tcPr>
          <w:p w14:paraId="54D6C785"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Effect Strength</w:t>
            </w:r>
          </w:p>
        </w:tc>
        <w:tc>
          <w:tcPr>
            <w:tcW w:w="0" w:type="auto"/>
            <w:hideMark/>
          </w:tcPr>
          <w:p w14:paraId="4EB11A59" w14:textId="77777777" w:rsidR="006B204C" w:rsidRPr="007219D9" w:rsidRDefault="006B204C" w:rsidP="006B204C">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Decision</w:t>
            </w:r>
          </w:p>
        </w:tc>
      </w:tr>
      <w:tr w:rsidR="00A34DC8" w:rsidRPr="007219D9" w14:paraId="6CF52830" w14:textId="77777777" w:rsidTr="006B204C">
        <w:tc>
          <w:tcPr>
            <w:tcW w:w="0" w:type="auto"/>
            <w:hideMark/>
          </w:tcPr>
          <w:p w14:paraId="4740D4C9"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H1</w:t>
            </w:r>
          </w:p>
        </w:tc>
        <w:tc>
          <w:tcPr>
            <w:tcW w:w="0" w:type="auto"/>
            <w:hideMark/>
          </w:tcPr>
          <w:p w14:paraId="1D2FEEED"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NEP–2020 Implementation → Student Satisfaction</w:t>
            </w:r>
          </w:p>
        </w:tc>
        <w:tc>
          <w:tcPr>
            <w:tcW w:w="0" w:type="auto"/>
            <w:hideMark/>
          </w:tcPr>
          <w:p w14:paraId="52EDADA6"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0.62</w:t>
            </w:r>
          </w:p>
        </w:tc>
        <w:tc>
          <w:tcPr>
            <w:tcW w:w="0" w:type="auto"/>
            <w:hideMark/>
          </w:tcPr>
          <w:p w14:paraId="032B91F3"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12.45</w:t>
            </w:r>
          </w:p>
        </w:tc>
        <w:tc>
          <w:tcPr>
            <w:tcW w:w="0" w:type="auto"/>
            <w:hideMark/>
          </w:tcPr>
          <w:p w14:paraId="398AC62F"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0" w:type="auto"/>
            <w:hideMark/>
          </w:tcPr>
          <w:p w14:paraId="1BE1C7A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0.41</w:t>
            </w:r>
          </w:p>
        </w:tc>
        <w:tc>
          <w:tcPr>
            <w:tcW w:w="0" w:type="auto"/>
            <w:hideMark/>
          </w:tcPr>
          <w:p w14:paraId="3FB61715"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b/>
                <w:bCs/>
                <w:sz w:val="20"/>
                <w:szCs w:val="20"/>
                <w:lang w:bidi="hi-IN"/>
              </w:rPr>
              <w:t>Strong</w:t>
            </w:r>
          </w:p>
        </w:tc>
        <w:tc>
          <w:tcPr>
            <w:tcW w:w="0" w:type="auto"/>
            <w:hideMark/>
          </w:tcPr>
          <w:p w14:paraId="47A0554C"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Supported</w:t>
            </w:r>
          </w:p>
        </w:tc>
      </w:tr>
      <w:tr w:rsidR="00A34DC8" w:rsidRPr="007219D9" w14:paraId="61B7105F" w14:textId="77777777" w:rsidTr="006B204C">
        <w:tc>
          <w:tcPr>
            <w:tcW w:w="0" w:type="auto"/>
            <w:hideMark/>
          </w:tcPr>
          <w:p w14:paraId="1413A2A4"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H2</w:t>
            </w:r>
          </w:p>
        </w:tc>
        <w:tc>
          <w:tcPr>
            <w:tcW w:w="0" w:type="auto"/>
            <w:hideMark/>
          </w:tcPr>
          <w:p w14:paraId="505321F4"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Institutional Execution → Student Satisfaction</w:t>
            </w:r>
          </w:p>
        </w:tc>
        <w:tc>
          <w:tcPr>
            <w:tcW w:w="0" w:type="auto"/>
            <w:hideMark/>
          </w:tcPr>
          <w:p w14:paraId="204A6635"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0.48</w:t>
            </w:r>
          </w:p>
        </w:tc>
        <w:tc>
          <w:tcPr>
            <w:tcW w:w="0" w:type="auto"/>
            <w:hideMark/>
          </w:tcPr>
          <w:p w14:paraId="613FCD8D"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9.32</w:t>
            </w:r>
          </w:p>
        </w:tc>
        <w:tc>
          <w:tcPr>
            <w:tcW w:w="0" w:type="auto"/>
            <w:hideMark/>
          </w:tcPr>
          <w:p w14:paraId="67BD934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&lt; 0.001</w:t>
            </w:r>
          </w:p>
        </w:tc>
        <w:tc>
          <w:tcPr>
            <w:tcW w:w="0" w:type="auto"/>
            <w:hideMark/>
          </w:tcPr>
          <w:p w14:paraId="6EC9058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0.27</w:t>
            </w:r>
          </w:p>
        </w:tc>
        <w:tc>
          <w:tcPr>
            <w:tcW w:w="0" w:type="auto"/>
            <w:hideMark/>
          </w:tcPr>
          <w:p w14:paraId="30E6F9D8"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b/>
                <w:bCs/>
                <w:sz w:val="20"/>
                <w:szCs w:val="20"/>
                <w:lang w:bidi="hi-IN"/>
              </w:rPr>
              <w:t>Moderate–Strong</w:t>
            </w:r>
          </w:p>
        </w:tc>
        <w:tc>
          <w:tcPr>
            <w:tcW w:w="0" w:type="auto"/>
            <w:hideMark/>
          </w:tcPr>
          <w:p w14:paraId="280BA49E" w14:textId="77777777" w:rsidR="006B204C" w:rsidRPr="007219D9" w:rsidRDefault="006B204C" w:rsidP="006B204C">
            <w:pPr>
              <w:rPr>
                <w:rFonts w:ascii="Arial" w:eastAsia="Times New Roman" w:hAnsi="Arial" w:cs="Arial"/>
                <w:sz w:val="20"/>
                <w:szCs w:val="20"/>
                <w:lang w:bidi="hi-IN"/>
              </w:rPr>
            </w:pPr>
            <w:r w:rsidRPr="007219D9">
              <w:rPr>
                <w:rFonts w:ascii="Arial" w:eastAsia="Times New Roman" w:hAnsi="Arial" w:cs="Arial"/>
                <w:sz w:val="20"/>
                <w:szCs w:val="20"/>
                <w:lang w:bidi="hi-IN"/>
              </w:rPr>
              <w:t>Supported</w:t>
            </w:r>
          </w:p>
        </w:tc>
      </w:tr>
    </w:tbl>
    <w:p w14:paraId="46FBF796" w14:textId="77777777" w:rsidR="00E46EC3" w:rsidRPr="007219D9" w:rsidRDefault="00E46EC3" w:rsidP="00E46EC3"/>
    <w:p w14:paraId="4A6B130B" w14:textId="66C9C12C" w:rsidR="00E46EC3" w:rsidRPr="007219D9" w:rsidRDefault="00162BD9" w:rsidP="00162BD9">
      <w:pPr>
        <w:jc w:val="both"/>
        <w:rPr>
          <w:rFonts w:ascii="Arial" w:hAnsi="Arial" w:cs="Arial"/>
          <w:sz w:val="20"/>
          <w:szCs w:val="20"/>
        </w:rPr>
      </w:pPr>
      <w:r w:rsidRPr="007219D9">
        <w:rPr>
          <w:rFonts w:ascii="Arial" w:hAnsi="Arial" w:cs="Arial"/>
          <w:sz w:val="20"/>
          <w:szCs w:val="20"/>
        </w:rPr>
        <w:t>Table 10 presents the results of the hypothesis testing for the proposed structural relationships in the PLS-SEM model, including standardized path coefficients (β), statistical significance, and effect sizes (f²). The results indicate that both hypotheses are supported and statistically significant at the 1 percent level. Under the first hypothesis (H1), the impact of the implementation of NEP-2020 on student satisfaction was found to be high and robust (β = 0.62; t = 12.45; p &lt; 0.001), with a corresponding effect size (f² = 0.41) falling into the strong category. The second hypothesis (H2) also revealed a significant positive effect of institutional performance on student satisfaction (β = 0.48; p &lt; 0.001), with a medium to strong effect size (f² = 0.27). Overall, the findings clearly demonstrate that both effective policy-level implementation and institutional performance are significant determinants of student satisfaction, with the implementation of NEP-2020 emerging as a relatively more influential factor.</w:t>
      </w:r>
    </w:p>
    <w:p w14:paraId="08C66ACF" w14:textId="77777777" w:rsidR="00E46EC3" w:rsidRPr="007219D9" w:rsidRDefault="00E46EC3" w:rsidP="002F3570">
      <w:pPr>
        <w:jc w:val="center"/>
        <w:rPr>
          <w:rFonts w:ascii="Arial" w:hAnsi="Arial" w:cs="Arial"/>
          <w:b/>
          <w:bCs/>
        </w:rPr>
      </w:pPr>
      <w:r w:rsidRPr="007219D9">
        <w:rPr>
          <w:rFonts w:ascii="Arial" w:hAnsi="Arial" w:cs="Arial"/>
          <w:b/>
          <w:bCs/>
        </w:rPr>
        <w:t>Table 1</w:t>
      </w:r>
      <w:r w:rsidR="00111856" w:rsidRPr="007219D9">
        <w:rPr>
          <w:rFonts w:ascii="Arial" w:hAnsi="Arial" w:cs="Arial"/>
          <w:b/>
          <w:bCs/>
        </w:rPr>
        <w:t>1</w:t>
      </w:r>
      <w:r w:rsidRPr="007219D9">
        <w:rPr>
          <w:rFonts w:ascii="Arial" w:hAnsi="Arial" w:cs="Arial"/>
          <w:b/>
          <w:bCs/>
        </w:rPr>
        <w:t>. Statistical Power Assessment</w:t>
      </w:r>
    </w:p>
    <w:tbl>
      <w:tblPr>
        <w:tblStyle w:val="TableGrid"/>
        <w:tblW w:w="5000" w:type="pct"/>
        <w:jc w:val="center"/>
        <w:tblLook w:val="04A0" w:firstRow="1" w:lastRow="0" w:firstColumn="1" w:lastColumn="0" w:noHBand="0" w:noVBand="1"/>
      </w:tblPr>
      <w:tblGrid>
        <w:gridCol w:w="3136"/>
        <w:gridCol w:w="2324"/>
        <w:gridCol w:w="3627"/>
        <w:gridCol w:w="1391"/>
      </w:tblGrid>
      <w:tr w:rsidR="00E46EC3" w:rsidRPr="007219D9" w14:paraId="69310B1B" w14:textId="77777777" w:rsidTr="004F1EFA">
        <w:trPr>
          <w:jc w:val="center"/>
        </w:trPr>
        <w:tc>
          <w:tcPr>
            <w:tcW w:w="1496" w:type="pct"/>
            <w:hideMark/>
          </w:tcPr>
          <w:p w14:paraId="3EFC4A8F"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Construct</w:t>
            </w:r>
          </w:p>
        </w:tc>
        <w:tc>
          <w:tcPr>
            <w:tcW w:w="1109" w:type="pct"/>
            <w:hideMark/>
          </w:tcPr>
          <w:p w14:paraId="6FC5351A"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Sample Size</w:t>
            </w:r>
          </w:p>
        </w:tc>
        <w:tc>
          <w:tcPr>
            <w:tcW w:w="1731" w:type="pct"/>
            <w:hideMark/>
          </w:tcPr>
          <w:p w14:paraId="7B930886"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Minimum Required</w:t>
            </w:r>
          </w:p>
        </w:tc>
        <w:tc>
          <w:tcPr>
            <w:tcW w:w="665" w:type="pct"/>
            <w:hideMark/>
          </w:tcPr>
          <w:p w14:paraId="52BAF40A" w14:textId="77777777" w:rsidR="00E46EC3" w:rsidRPr="007219D9" w:rsidRDefault="00E46EC3" w:rsidP="00E46EC3">
            <w:pPr>
              <w:jc w:val="center"/>
              <w:rPr>
                <w:rFonts w:ascii="Arial" w:eastAsia="Times New Roman" w:hAnsi="Arial" w:cs="Arial"/>
                <w:b/>
                <w:bCs/>
                <w:sz w:val="20"/>
                <w:szCs w:val="20"/>
                <w:lang w:bidi="hi-IN"/>
              </w:rPr>
            </w:pPr>
            <w:r w:rsidRPr="007219D9">
              <w:rPr>
                <w:rFonts w:ascii="Arial" w:eastAsia="Times New Roman" w:hAnsi="Arial" w:cs="Arial"/>
                <w:b/>
                <w:bCs/>
                <w:sz w:val="20"/>
                <w:szCs w:val="20"/>
                <w:lang w:bidi="hi-IN"/>
              </w:rPr>
              <w:t>Power</w:t>
            </w:r>
          </w:p>
        </w:tc>
      </w:tr>
      <w:tr w:rsidR="00E46EC3" w:rsidRPr="007219D9" w14:paraId="33D2CABD" w14:textId="77777777" w:rsidTr="004F1EFA">
        <w:trPr>
          <w:jc w:val="center"/>
        </w:trPr>
        <w:tc>
          <w:tcPr>
            <w:tcW w:w="1496" w:type="pct"/>
            <w:hideMark/>
          </w:tcPr>
          <w:p w14:paraId="19840518"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NEP–2020 Model</w:t>
            </w:r>
          </w:p>
        </w:tc>
        <w:tc>
          <w:tcPr>
            <w:tcW w:w="1109" w:type="pct"/>
            <w:hideMark/>
          </w:tcPr>
          <w:p w14:paraId="78C42DFA"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350</w:t>
            </w:r>
          </w:p>
        </w:tc>
        <w:tc>
          <w:tcPr>
            <w:tcW w:w="1731" w:type="pct"/>
            <w:hideMark/>
          </w:tcPr>
          <w:p w14:paraId="1924BBDF"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150</w:t>
            </w:r>
          </w:p>
        </w:tc>
        <w:tc>
          <w:tcPr>
            <w:tcW w:w="665" w:type="pct"/>
            <w:hideMark/>
          </w:tcPr>
          <w:p w14:paraId="31480ACB" w14:textId="77777777" w:rsidR="00E46EC3" w:rsidRPr="007219D9" w:rsidRDefault="00E46EC3" w:rsidP="00E46EC3">
            <w:pPr>
              <w:rPr>
                <w:rFonts w:ascii="Arial" w:eastAsia="Times New Roman" w:hAnsi="Arial" w:cs="Arial"/>
                <w:sz w:val="20"/>
                <w:szCs w:val="20"/>
                <w:lang w:bidi="hi-IN"/>
              </w:rPr>
            </w:pPr>
            <w:r w:rsidRPr="007219D9">
              <w:rPr>
                <w:rFonts w:ascii="Arial" w:eastAsia="Times New Roman" w:hAnsi="Arial" w:cs="Arial"/>
                <w:sz w:val="20"/>
                <w:szCs w:val="20"/>
                <w:lang w:bidi="hi-IN"/>
              </w:rPr>
              <w:t>&gt; 0.95</w:t>
            </w:r>
          </w:p>
        </w:tc>
      </w:tr>
    </w:tbl>
    <w:p w14:paraId="38B888F5" w14:textId="77777777" w:rsidR="00E46EC3" w:rsidRPr="007219D9" w:rsidRDefault="00E46EC3" w:rsidP="00E46EC3"/>
    <w:p w14:paraId="0E20C762" w14:textId="1F119367" w:rsidR="00162BD9"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Table 11 presents the results of the statistical power analysis used to assess the adequacy of the sample size in the PLS-SEM analysis. Statistical power indicates the probability of correctly rejecting a false null hypothesis, with a level of 0.80 considered the minimum acceptable. The power values ​​for all endogenous constructs in the study were found to exceed this threshold, indicating that the sample size is sufficiently sensitive to detect small to medium effect sizes. This result minimizes the risk of Type II errors and confirms the appropriateness of the research design. Overall, the satisfactory statistical power strengthens the robustness and reliability of the findings and provides a trustworthy basis for evidence-based decision-making in policy formulation and institutional planning.</w:t>
      </w:r>
    </w:p>
    <w:p w14:paraId="592FF73F" w14:textId="79E2A682" w:rsidR="00162BD9"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 xml:space="preserve">This study </w:t>
      </w:r>
      <w:proofErr w:type="gramStart"/>
      <w:r w:rsidRPr="007219D9">
        <w:rPr>
          <w:rFonts w:ascii="Arial" w:eastAsia="Times New Roman" w:hAnsi="Arial" w:cs="Arial"/>
          <w:sz w:val="20"/>
          <w:szCs w:val="20"/>
          <w:lang w:bidi="hi-IN"/>
        </w:rPr>
        <w:t>provide</w:t>
      </w:r>
      <w:proofErr w:type="gramEnd"/>
      <w:r w:rsidRPr="007219D9">
        <w:rPr>
          <w:rFonts w:ascii="Arial" w:eastAsia="Times New Roman" w:hAnsi="Arial" w:cs="Arial"/>
          <w:sz w:val="20"/>
          <w:szCs w:val="20"/>
          <w:lang w:bidi="hi-IN"/>
        </w:rPr>
        <w:t xml:space="preserve"> strong empirical support for the proposed conceptual framework to assess the effectiveness of the National Education Policy (NEP)-2020 implementation in higher education institutions of Uttarakhand. The results of the revised measurement model confirm high indicator reliability, internal consistency, convergent validity, and discriminant validity across all latent constructs. The outer loadings, Cronbach's alpha, composite reliability, and Average Variance Extracted (AVE) values ​​were found to be consistent with established PLS-SEM standards, indicating that the indicators used accurately measure the dimensions of NEP-2020 implementation and student satisfaction.</w:t>
      </w:r>
    </w:p>
    <w:p w14:paraId="3794E037" w14:textId="4F5AFAE1" w:rsidR="00302600" w:rsidRPr="007219D9" w:rsidRDefault="00162BD9" w:rsidP="004F1EFA">
      <w:pPr>
        <w:spacing w:before="100" w:beforeAutospacing="1" w:after="100" w:afterAutospacing="1" w:line="240" w:lineRule="auto"/>
        <w:jc w:val="both"/>
        <w:rPr>
          <w:rFonts w:ascii="Arial" w:eastAsia="Times New Roman" w:hAnsi="Arial" w:cs="Arial"/>
          <w:sz w:val="20"/>
          <w:szCs w:val="20"/>
          <w:lang w:bidi="hi-IN"/>
        </w:rPr>
      </w:pPr>
      <w:r w:rsidRPr="007219D9">
        <w:rPr>
          <w:rFonts w:ascii="Arial" w:eastAsia="Times New Roman" w:hAnsi="Arial" w:cs="Arial"/>
          <w:sz w:val="20"/>
          <w:szCs w:val="20"/>
          <w:lang w:bidi="hi-IN"/>
        </w:rPr>
        <w:t>The structural model analysis reveals statistically significant and theoretically consistent relationships between NEP-2020 implementation and student satisfaction. Institutional service quality—such as the availability of policy-related information, clarity of curriculum, adequacy of academic resources, timely course delivery, and guidance mechanisms—positively influences students' perceptions and satisfaction. The coefficient of determination demonstrates moderate to substantial explanatory power, while the effect size estimates highlight the practical significance of several dimensions. The predictive relevance (Q²) results confirm the model's strong predictive capability. Overall, the findings suggest that the success of NEP-2020 depends more on effective and consistent institutional performance than on formal policy adoption, which is particularly crucial for regionally diverse states like Uttarakhand.</w:t>
      </w:r>
    </w:p>
    <w:p w14:paraId="14E1DEF3" w14:textId="77777777" w:rsidR="00AA6F83" w:rsidRPr="007219D9" w:rsidRDefault="00B15EA7" w:rsidP="00AA6F83">
      <w:pPr>
        <w:spacing w:before="100" w:beforeAutospacing="1" w:after="100" w:afterAutospacing="1" w:line="240" w:lineRule="auto"/>
        <w:rPr>
          <w:rFonts w:ascii="Arial" w:eastAsia="Times New Roman" w:hAnsi="Arial" w:cs="Arial"/>
          <w:b/>
          <w:bCs/>
          <w:lang w:bidi="hi-IN"/>
        </w:rPr>
      </w:pPr>
      <w:r w:rsidRPr="007219D9">
        <w:rPr>
          <w:rFonts w:ascii="Arial" w:eastAsia="Times New Roman" w:hAnsi="Arial" w:cs="Arial"/>
          <w:b/>
          <w:bCs/>
          <w:lang w:bidi="hi-IN"/>
        </w:rPr>
        <w:t>Conclusion</w:t>
      </w:r>
    </w:p>
    <w:p w14:paraId="38D4F250" w14:textId="2C8C13D7" w:rsidR="00162BD9" w:rsidRPr="007219D9" w:rsidRDefault="00162BD9" w:rsidP="00AA6F83">
      <w:pPr>
        <w:spacing w:before="100" w:beforeAutospacing="1" w:after="100" w:afterAutospacing="1" w:line="240" w:lineRule="auto"/>
        <w:ind w:firstLine="720"/>
        <w:jc w:val="both"/>
        <w:rPr>
          <w:rFonts w:ascii="Arial" w:eastAsia="Times New Roman" w:hAnsi="Arial" w:cs="Arial"/>
          <w:sz w:val="20"/>
          <w:szCs w:val="20"/>
          <w:lang w:bidi="hi-IN"/>
        </w:rPr>
      </w:pPr>
      <w:r w:rsidRPr="007219D9">
        <w:rPr>
          <w:rFonts w:ascii="Arial" w:eastAsia="Times New Roman" w:hAnsi="Arial" w:cs="Arial"/>
          <w:sz w:val="20"/>
          <w:szCs w:val="20"/>
          <w:lang w:bidi="hi-IN"/>
        </w:rPr>
        <w:t xml:space="preserve">This study concludes that the effectiveness of the National Education Policy (NEP)-2020 in higher education institutions of Uttarakhand depends not only on the policy objectives but primarily on the quality of institutional </w:t>
      </w:r>
      <w:r w:rsidRPr="007219D9">
        <w:rPr>
          <w:rFonts w:ascii="Arial" w:eastAsia="Times New Roman" w:hAnsi="Arial" w:cs="Arial"/>
          <w:sz w:val="20"/>
          <w:szCs w:val="20"/>
          <w:lang w:bidi="hi-IN"/>
        </w:rPr>
        <w:lastRenderedPageBreak/>
        <w:t>implementation. PLS-SEM-based empirical evidence demonstrates that dimensions of institutional service quality—such as the clear availability of NEP-related information, adequacy of academic and learning resources, transparent curriculum structure, and well-</w:t>
      </w:r>
      <w:proofErr w:type="spellStart"/>
      <w:r w:rsidRPr="007219D9">
        <w:rPr>
          <w:rFonts w:ascii="Arial" w:eastAsia="Times New Roman" w:hAnsi="Arial" w:cs="Arial"/>
          <w:sz w:val="20"/>
          <w:szCs w:val="20"/>
          <w:lang w:bidi="hi-IN"/>
        </w:rPr>
        <w:t>organised</w:t>
      </w:r>
      <w:proofErr w:type="spellEnd"/>
      <w:r w:rsidRPr="007219D9">
        <w:rPr>
          <w:rFonts w:ascii="Arial" w:eastAsia="Times New Roman" w:hAnsi="Arial" w:cs="Arial"/>
          <w:sz w:val="20"/>
          <w:szCs w:val="20"/>
          <w:lang w:bidi="hi-IN"/>
        </w:rPr>
        <w:t xml:space="preserve"> guidance and support mechanisms—significantly influence student access, policy effectiveness, and overall satisfaction. The model's robust explanatory and predictive power confirms that students' academic experiences are systematically shaped by how consistently institutions implement policy provisions in their daily academic processes. From a policy and managerial perspective, the findings underscore the need to </w:t>
      </w:r>
      <w:proofErr w:type="spellStart"/>
      <w:r w:rsidRPr="007219D9">
        <w:rPr>
          <w:rFonts w:ascii="Arial" w:eastAsia="Times New Roman" w:hAnsi="Arial" w:cs="Arial"/>
          <w:sz w:val="20"/>
          <w:szCs w:val="20"/>
          <w:lang w:bidi="hi-IN"/>
        </w:rPr>
        <w:t>prioritise</w:t>
      </w:r>
      <w:proofErr w:type="spellEnd"/>
      <w:r w:rsidRPr="007219D9">
        <w:rPr>
          <w:rFonts w:ascii="Arial" w:eastAsia="Times New Roman" w:hAnsi="Arial" w:cs="Arial"/>
          <w:sz w:val="20"/>
          <w:szCs w:val="20"/>
          <w:lang w:bidi="hi-IN"/>
        </w:rPr>
        <w:t xml:space="preserve"> institutional capacity building, effective communication, timely curriculum delivery, and adequate academic resources. Overall, this study provides a robust, student-</w:t>
      </w:r>
      <w:proofErr w:type="spellStart"/>
      <w:r w:rsidRPr="007219D9">
        <w:rPr>
          <w:rFonts w:ascii="Arial" w:eastAsia="Times New Roman" w:hAnsi="Arial" w:cs="Arial"/>
          <w:sz w:val="20"/>
          <w:szCs w:val="20"/>
          <w:lang w:bidi="hi-IN"/>
        </w:rPr>
        <w:t>centred</w:t>
      </w:r>
      <w:proofErr w:type="spellEnd"/>
      <w:r w:rsidRPr="007219D9">
        <w:rPr>
          <w:rFonts w:ascii="Arial" w:eastAsia="Times New Roman" w:hAnsi="Arial" w:cs="Arial"/>
          <w:sz w:val="20"/>
          <w:szCs w:val="20"/>
          <w:lang w:bidi="hi-IN"/>
        </w:rPr>
        <w:t>, and evidence-based framework for evaluating higher education policy.</w:t>
      </w:r>
    </w:p>
    <w:p w14:paraId="40B84E4F" w14:textId="77777777" w:rsidR="00904BCD" w:rsidRPr="007219D9" w:rsidRDefault="00904BCD" w:rsidP="00AA6F83">
      <w:pPr>
        <w:spacing w:before="100" w:beforeAutospacing="1" w:after="100" w:afterAutospacing="1" w:line="240" w:lineRule="auto"/>
        <w:ind w:firstLine="720"/>
        <w:jc w:val="both"/>
        <w:rPr>
          <w:rFonts w:ascii="Arial" w:eastAsia="Times New Roman" w:hAnsi="Arial" w:cs="Arial"/>
          <w:sz w:val="20"/>
          <w:szCs w:val="20"/>
          <w:lang w:bidi="hi-IN"/>
        </w:rPr>
      </w:pPr>
    </w:p>
    <w:p w14:paraId="2FF7FFA7" w14:textId="77777777" w:rsidR="00904BCD" w:rsidRPr="007219D9" w:rsidRDefault="00904BCD" w:rsidP="00AA6F83">
      <w:pPr>
        <w:spacing w:before="100" w:beforeAutospacing="1" w:after="100" w:afterAutospacing="1" w:line="240" w:lineRule="auto"/>
        <w:ind w:firstLine="720"/>
        <w:jc w:val="both"/>
        <w:rPr>
          <w:rFonts w:ascii="Arial" w:eastAsia="Times New Roman" w:hAnsi="Arial" w:cs="Arial"/>
          <w:b/>
          <w:bCs/>
          <w:lang w:bidi="hi-IN"/>
        </w:rPr>
      </w:pPr>
      <w:bookmarkStart w:id="0" w:name="_GoBack"/>
      <w:bookmarkEnd w:id="0"/>
    </w:p>
    <w:p w14:paraId="16C199E3" w14:textId="77777777" w:rsidR="003B3E0D" w:rsidRPr="007219D9" w:rsidRDefault="003B3E0D" w:rsidP="003B3E0D">
      <w:pPr>
        <w:spacing w:before="100" w:beforeAutospacing="1" w:after="100" w:afterAutospacing="1" w:line="240" w:lineRule="auto"/>
        <w:outlineLvl w:val="2"/>
        <w:rPr>
          <w:rFonts w:ascii="Arial" w:eastAsia="Times New Roman" w:hAnsi="Arial" w:cs="Arial"/>
          <w:b/>
          <w:bCs/>
          <w:lang w:bidi="hi-IN"/>
        </w:rPr>
      </w:pPr>
      <w:r w:rsidRPr="007219D9">
        <w:rPr>
          <w:rFonts w:ascii="Arial" w:eastAsia="Times New Roman" w:hAnsi="Arial" w:cs="Arial"/>
          <w:b/>
          <w:bCs/>
          <w:lang w:bidi="hi-IN"/>
        </w:rPr>
        <w:t>References</w:t>
      </w:r>
      <w:r w:rsidR="00546864" w:rsidRPr="007219D9">
        <w:rPr>
          <w:rFonts w:ascii="Arial" w:eastAsia="Times New Roman" w:hAnsi="Arial" w:cs="Arial"/>
          <w:b/>
          <w:bCs/>
          <w:lang w:bidi="hi-IN"/>
        </w:rPr>
        <w:t>-</w:t>
      </w:r>
    </w:p>
    <w:p w14:paraId="1C3962AC"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Agarwal, P. (2021). Indian higher education: Envisioning the future. Sage Publications.</w:t>
      </w:r>
    </w:p>
    <w:p w14:paraId="608B25B7"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Aithal, P. S., &amp; Aithal, S. (2020). Analysis of the Indian National Education Policy 2020 towards achieving its objectives. </w:t>
      </w:r>
      <w:r w:rsidRPr="007219D9">
        <w:rPr>
          <w:rFonts w:ascii="Arial" w:eastAsia="Times New Roman" w:hAnsi="Arial" w:cs="Arial"/>
          <w:i/>
          <w:iCs/>
          <w:lang w:bidi="hi-IN"/>
        </w:rPr>
        <w:t>International Journal of Management, Technology, and Social Sciences, 5</w:t>
      </w:r>
      <w:r w:rsidRPr="007219D9">
        <w:rPr>
          <w:rFonts w:ascii="Arial" w:eastAsia="Times New Roman" w:hAnsi="Arial" w:cs="Arial"/>
          <w:lang w:bidi="hi-IN"/>
        </w:rPr>
        <w:t>(2), 19–41.</w:t>
      </w:r>
    </w:p>
    <w:p w14:paraId="5532D763"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Chin, W. W. (1998). The partial least squares approach to structural equation modeling. In G. A. </w:t>
      </w:r>
      <w:proofErr w:type="spellStart"/>
      <w:r w:rsidRPr="007219D9">
        <w:rPr>
          <w:rFonts w:ascii="Arial" w:eastAsia="Times New Roman" w:hAnsi="Arial" w:cs="Arial"/>
          <w:lang w:bidi="hi-IN"/>
        </w:rPr>
        <w:t>Marcoulides</w:t>
      </w:r>
      <w:proofErr w:type="spellEnd"/>
      <w:r w:rsidRPr="007219D9">
        <w:rPr>
          <w:rFonts w:ascii="Arial" w:eastAsia="Times New Roman" w:hAnsi="Arial" w:cs="Arial"/>
          <w:lang w:bidi="hi-IN"/>
        </w:rPr>
        <w:t xml:space="preserve"> (Ed.), </w:t>
      </w:r>
      <w:r w:rsidRPr="007219D9">
        <w:rPr>
          <w:rFonts w:ascii="Arial" w:eastAsia="Times New Roman" w:hAnsi="Arial" w:cs="Arial"/>
          <w:i/>
          <w:iCs/>
          <w:lang w:bidi="hi-IN"/>
        </w:rPr>
        <w:t>Modern methods for business research</w:t>
      </w:r>
      <w:r w:rsidRPr="007219D9">
        <w:rPr>
          <w:rFonts w:ascii="Arial" w:eastAsia="Times New Roman" w:hAnsi="Arial" w:cs="Arial"/>
          <w:lang w:bidi="hi-IN"/>
        </w:rPr>
        <w:t xml:space="preserve"> (pp. 295–336). Lawrence Erlbaum Associates.</w:t>
      </w:r>
    </w:p>
    <w:p w14:paraId="1A7DDF1D" w14:textId="77777777" w:rsidR="00546864" w:rsidRPr="007219D9" w:rsidRDefault="00546864" w:rsidP="00302600">
      <w:pPr>
        <w:pStyle w:val="NormalWeb"/>
        <w:spacing w:before="0" w:beforeAutospacing="0" w:after="0" w:afterAutospacing="0" w:line="276" w:lineRule="auto"/>
        <w:jc w:val="both"/>
        <w:rPr>
          <w:rFonts w:ascii="Arial" w:hAnsi="Arial" w:cs="Arial"/>
          <w:sz w:val="22"/>
          <w:szCs w:val="22"/>
        </w:rPr>
      </w:pPr>
      <w:r w:rsidRPr="007219D9">
        <w:rPr>
          <w:rFonts w:ascii="Arial" w:hAnsi="Arial" w:cs="Arial"/>
          <w:sz w:val="22"/>
          <w:szCs w:val="22"/>
        </w:rPr>
        <w:t xml:space="preserve">Cohen, J. (1988). </w:t>
      </w:r>
      <w:r w:rsidRPr="007219D9">
        <w:rPr>
          <w:rStyle w:val="Emphasis"/>
          <w:rFonts w:ascii="Arial" w:eastAsiaTheme="majorEastAsia" w:hAnsi="Arial" w:cs="Arial"/>
          <w:i w:val="0"/>
          <w:iCs w:val="0"/>
          <w:sz w:val="22"/>
          <w:szCs w:val="22"/>
        </w:rPr>
        <w:t>Statistical power analysis for the behavioral sciences</w:t>
      </w:r>
      <w:r w:rsidRPr="007219D9">
        <w:rPr>
          <w:rFonts w:ascii="Arial" w:hAnsi="Arial" w:cs="Arial"/>
          <w:sz w:val="22"/>
          <w:szCs w:val="22"/>
        </w:rPr>
        <w:t xml:space="preserve"> (2nd ed.). Lawrence Erlbaum Associates.</w:t>
      </w:r>
    </w:p>
    <w:p w14:paraId="69E50F75" w14:textId="77777777" w:rsidR="00546864" w:rsidRPr="007219D9" w:rsidRDefault="00546864" w:rsidP="00302600">
      <w:pPr>
        <w:pStyle w:val="NormalWeb"/>
        <w:spacing w:before="0" w:beforeAutospacing="0" w:after="0" w:afterAutospacing="0" w:line="276" w:lineRule="auto"/>
        <w:jc w:val="both"/>
        <w:rPr>
          <w:rFonts w:ascii="Arial" w:hAnsi="Arial" w:cs="Arial"/>
          <w:sz w:val="22"/>
          <w:szCs w:val="22"/>
        </w:rPr>
      </w:pPr>
      <w:r w:rsidRPr="007219D9">
        <w:rPr>
          <w:rFonts w:ascii="Arial" w:hAnsi="Arial" w:cs="Arial"/>
          <w:sz w:val="22"/>
          <w:szCs w:val="22"/>
        </w:rPr>
        <w:t xml:space="preserve">Government of India. (2020). </w:t>
      </w:r>
      <w:r w:rsidRPr="007219D9">
        <w:rPr>
          <w:rStyle w:val="Emphasis"/>
          <w:rFonts w:ascii="Arial" w:eastAsiaTheme="majorEastAsia" w:hAnsi="Arial" w:cs="Arial"/>
          <w:sz w:val="22"/>
          <w:szCs w:val="22"/>
        </w:rPr>
        <w:t>National Education Policy 2020</w:t>
      </w:r>
      <w:r w:rsidRPr="007219D9">
        <w:rPr>
          <w:rFonts w:ascii="Arial" w:hAnsi="Arial" w:cs="Arial"/>
          <w:sz w:val="22"/>
          <w:szCs w:val="22"/>
        </w:rPr>
        <w:t>. Ministry of Human Resource Development.</w:t>
      </w:r>
    </w:p>
    <w:p w14:paraId="138EF6FD"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Hair, J. F., Hult, G. T. M., Ringle, C. M., &amp; Sarstedt, M. (2019). </w:t>
      </w:r>
      <w:r w:rsidRPr="007219D9">
        <w:rPr>
          <w:rFonts w:ascii="Arial" w:eastAsia="Times New Roman" w:hAnsi="Arial" w:cs="Arial"/>
          <w:i/>
          <w:iCs/>
          <w:lang w:bidi="hi-IN"/>
        </w:rPr>
        <w:t>A primer on partial least squares structural equation modeling (PLS-SEM)</w:t>
      </w:r>
      <w:r w:rsidRPr="007219D9">
        <w:rPr>
          <w:rFonts w:ascii="Arial" w:eastAsia="Times New Roman" w:hAnsi="Arial" w:cs="Arial"/>
          <w:lang w:bidi="hi-IN"/>
        </w:rPr>
        <w:t xml:space="preserve"> (2nd ed.). Sage Publications.</w:t>
      </w:r>
    </w:p>
    <w:p w14:paraId="6EA60892" w14:textId="77777777" w:rsidR="00336E89" w:rsidRPr="007219D9" w:rsidRDefault="00336E89" w:rsidP="00302600">
      <w:pPr>
        <w:pStyle w:val="NormalWeb"/>
        <w:spacing w:before="0" w:beforeAutospacing="0" w:after="0" w:afterAutospacing="0" w:line="276" w:lineRule="auto"/>
        <w:jc w:val="both"/>
        <w:rPr>
          <w:rFonts w:ascii="Arial" w:hAnsi="Arial" w:cs="Arial"/>
          <w:sz w:val="22"/>
          <w:szCs w:val="22"/>
        </w:rPr>
      </w:pPr>
    </w:p>
    <w:p w14:paraId="72A3BFDF" w14:textId="77777777" w:rsidR="00546864" w:rsidRPr="007219D9" w:rsidRDefault="00546864" w:rsidP="00302600">
      <w:pPr>
        <w:pStyle w:val="NormalWeb"/>
        <w:spacing w:before="0" w:beforeAutospacing="0" w:after="0" w:afterAutospacing="0" w:line="276" w:lineRule="auto"/>
        <w:jc w:val="both"/>
        <w:rPr>
          <w:rFonts w:ascii="Arial" w:hAnsi="Arial" w:cs="Arial"/>
          <w:sz w:val="22"/>
          <w:szCs w:val="22"/>
        </w:rPr>
      </w:pPr>
      <w:r w:rsidRPr="007219D9">
        <w:rPr>
          <w:rFonts w:ascii="Arial" w:hAnsi="Arial" w:cs="Arial"/>
          <w:sz w:val="22"/>
          <w:szCs w:val="22"/>
        </w:rPr>
        <w:t xml:space="preserve">Henseler, J., Ringle, C. M., &amp; Sarstedt, M. (2015). A new criterion for assessing discriminant validity in variance-based structural equation modeling. </w:t>
      </w:r>
      <w:r w:rsidRPr="007219D9">
        <w:rPr>
          <w:rStyle w:val="Emphasis"/>
          <w:rFonts w:ascii="Arial" w:eastAsiaTheme="majorEastAsia" w:hAnsi="Arial" w:cs="Arial"/>
          <w:sz w:val="22"/>
          <w:szCs w:val="22"/>
        </w:rPr>
        <w:t>Journal of the Academy of Marketing Science, 43</w:t>
      </w:r>
      <w:r w:rsidRPr="007219D9">
        <w:rPr>
          <w:rFonts w:ascii="Arial" w:hAnsi="Arial" w:cs="Arial"/>
          <w:sz w:val="22"/>
          <w:szCs w:val="22"/>
        </w:rPr>
        <w:t xml:space="preserve">(1), 115–135. </w:t>
      </w:r>
      <w:hyperlink r:id="rId7" w:tgtFrame="_new" w:history="1">
        <w:r w:rsidRPr="007219D9">
          <w:rPr>
            <w:rStyle w:val="Hyperlink"/>
            <w:rFonts w:ascii="Arial" w:hAnsi="Arial" w:cs="Arial"/>
            <w:sz w:val="22"/>
            <w:szCs w:val="22"/>
          </w:rPr>
          <w:t>https://doi.org/10.1007/s11747-014-0403-8</w:t>
        </w:r>
      </w:hyperlink>
    </w:p>
    <w:p w14:paraId="0F04D184"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Joshi, S., &amp; </w:t>
      </w:r>
      <w:proofErr w:type="spellStart"/>
      <w:r w:rsidRPr="007219D9">
        <w:rPr>
          <w:rFonts w:ascii="Arial" w:eastAsia="Times New Roman" w:hAnsi="Arial" w:cs="Arial"/>
          <w:lang w:bidi="hi-IN"/>
        </w:rPr>
        <w:t>Dangwal</w:t>
      </w:r>
      <w:proofErr w:type="spellEnd"/>
      <w:r w:rsidRPr="007219D9">
        <w:rPr>
          <w:rFonts w:ascii="Arial" w:eastAsia="Times New Roman" w:hAnsi="Arial" w:cs="Arial"/>
          <w:lang w:bidi="hi-IN"/>
        </w:rPr>
        <w:t xml:space="preserve">, R. (2022). Higher education in hill states of India: Issues, challenges and policy perspectives. </w:t>
      </w:r>
      <w:r w:rsidRPr="007219D9">
        <w:rPr>
          <w:rFonts w:ascii="Arial" w:eastAsia="Times New Roman" w:hAnsi="Arial" w:cs="Arial"/>
          <w:i/>
          <w:iCs/>
          <w:lang w:bidi="hi-IN"/>
        </w:rPr>
        <w:t>Journal of Higher Education Policy and Leadership Studies, 3</w:t>
      </w:r>
      <w:r w:rsidRPr="007219D9">
        <w:rPr>
          <w:rFonts w:ascii="Arial" w:eastAsia="Times New Roman" w:hAnsi="Arial" w:cs="Arial"/>
          <w:lang w:bidi="hi-IN"/>
        </w:rPr>
        <w:t>(2), 45–59.</w:t>
      </w:r>
    </w:p>
    <w:p w14:paraId="46E66009"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Kumar, K. (2021). Quality, equity and access in higher education: Reflections on NEP 2020. </w:t>
      </w:r>
      <w:r w:rsidRPr="007219D9">
        <w:rPr>
          <w:rFonts w:ascii="Arial" w:eastAsia="Times New Roman" w:hAnsi="Arial" w:cs="Arial"/>
          <w:i/>
          <w:iCs/>
          <w:lang w:bidi="hi-IN"/>
        </w:rPr>
        <w:t>Economic and Political Weekly, 56</w:t>
      </w:r>
      <w:r w:rsidRPr="007219D9">
        <w:rPr>
          <w:rFonts w:ascii="Arial" w:eastAsia="Times New Roman" w:hAnsi="Arial" w:cs="Arial"/>
          <w:lang w:bidi="hi-IN"/>
        </w:rPr>
        <w:t>(33), 12–15.</w:t>
      </w:r>
    </w:p>
    <w:p w14:paraId="0EFF241F"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Kumar, R., &amp; Sharma, P. (2022). Institutional preparedness for implementing National Education Policy 2020 in Indian universities. </w:t>
      </w:r>
      <w:r w:rsidRPr="007219D9">
        <w:rPr>
          <w:rFonts w:ascii="Arial" w:eastAsia="Times New Roman" w:hAnsi="Arial" w:cs="Arial"/>
          <w:i/>
          <w:iCs/>
          <w:lang w:bidi="hi-IN"/>
        </w:rPr>
        <w:t>Journal of Educational Planning and Administration, 36</w:t>
      </w:r>
      <w:r w:rsidRPr="007219D9">
        <w:rPr>
          <w:rFonts w:ascii="Arial" w:eastAsia="Times New Roman" w:hAnsi="Arial" w:cs="Arial"/>
          <w:lang w:bidi="hi-IN"/>
        </w:rPr>
        <w:t>(1), 23–38.</w:t>
      </w:r>
    </w:p>
    <w:p w14:paraId="6D196D7C"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Mishra, S. (2021). Competency-based education and curriculum reforms under NEP 2020. </w:t>
      </w:r>
      <w:r w:rsidRPr="007219D9">
        <w:rPr>
          <w:rFonts w:ascii="Arial" w:eastAsia="Times New Roman" w:hAnsi="Arial" w:cs="Arial"/>
          <w:i/>
          <w:iCs/>
          <w:lang w:bidi="hi-IN"/>
        </w:rPr>
        <w:t>University News, 59</w:t>
      </w:r>
      <w:r w:rsidRPr="007219D9">
        <w:rPr>
          <w:rFonts w:ascii="Arial" w:eastAsia="Times New Roman" w:hAnsi="Arial" w:cs="Arial"/>
          <w:lang w:bidi="hi-IN"/>
        </w:rPr>
        <w:t>(45), 6–12.</w:t>
      </w:r>
    </w:p>
    <w:p w14:paraId="038A1F0B"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OECD. (2020). Education policy outlook: India. OECD Publishing.</w:t>
      </w:r>
    </w:p>
    <w:p w14:paraId="64D5992C" w14:textId="77777777" w:rsidR="00546864" w:rsidRPr="007219D9" w:rsidRDefault="00546864" w:rsidP="00302600">
      <w:pPr>
        <w:spacing w:after="0" w:line="276" w:lineRule="auto"/>
        <w:jc w:val="both"/>
        <w:rPr>
          <w:rFonts w:ascii="Arial" w:hAnsi="Arial" w:cs="Arial"/>
          <w:color w:val="222222"/>
          <w:shd w:val="clear" w:color="auto" w:fill="FFFFFF"/>
        </w:rPr>
      </w:pPr>
      <w:r w:rsidRPr="007219D9">
        <w:rPr>
          <w:rFonts w:ascii="Arial" w:hAnsi="Arial" w:cs="Arial"/>
          <w:color w:val="222222"/>
          <w:shd w:val="clear" w:color="auto" w:fill="FFFFFF"/>
        </w:rPr>
        <w:t xml:space="preserve">Pandey, R., &amp; Singh, S. K. (2016). </w:t>
      </w:r>
      <w:r w:rsidR="00DE6C4A" w:rsidRPr="007219D9">
        <w:rPr>
          <w:rFonts w:ascii="Arial" w:hAnsi="Arial" w:cs="Arial"/>
          <w:color w:val="222222"/>
          <w:shd w:val="clear" w:color="auto" w:fill="FFFFFF"/>
        </w:rPr>
        <w:t xml:space="preserve">A study on participation behavior of student in higher education in </w:t>
      </w:r>
      <w:proofErr w:type="spellStart"/>
      <w:r w:rsidR="00DE6C4A" w:rsidRPr="007219D9">
        <w:rPr>
          <w:rFonts w:ascii="Arial" w:hAnsi="Arial" w:cs="Arial"/>
          <w:color w:val="222222"/>
          <w:shd w:val="clear" w:color="auto" w:fill="FFFFFF"/>
        </w:rPr>
        <w:t>uttarakhand</w:t>
      </w:r>
      <w:proofErr w:type="spellEnd"/>
      <w:r w:rsidRPr="007219D9">
        <w:rPr>
          <w:rFonts w:ascii="Arial" w:hAnsi="Arial" w:cs="Arial"/>
          <w:color w:val="222222"/>
          <w:shd w:val="clear" w:color="auto" w:fill="FFFFFF"/>
        </w:rPr>
        <w:t>. </w:t>
      </w:r>
      <w:r w:rsidRPr="007219D9">
        <w:rPr>
          <w:rFonts w:ascii="Arial" w:hAnsi="Arial" w:cs="Arial"/>
          <w:i/>
          <w:iCs/>
          <w:color w:val="222222"/>
          <w:shd w:val="clear" w:color="auto" w:fill="FFFFFF"/>
        </w:rPr>
        <w:t>International Journal of Innovative Social Science and Humanities research</w:t>
      </w:r>
      <w:r w:rsidRPr="007219D9">
        <w:rPr>
          <w:rFonts w:ascii="Arial" w:hAnsi="Arial" w:cs="Arial"/>
          <w:color w:val="222222"/>
          <w:shd w:val="clear" w:color="auto" w:fill="FFFFFF"/>
        </w:rPr>
        <w:t>, </w:t>
      </w:r>
      <w:r w:rsidRPr="007219D9">
        <w:rPr>
          <w:rFonts w:ascii="Arial" w:hAnsi="Arial" w:cs="Arial"/>
          <w:i/>
          <w:iCs/>
          <w:color w:val="222222"/>
          <w:shd w:val="clear" w:color="auto" w:fill="FFFFFF"/>
        </w:rPr>
        <w:t>2</w:t>
      </w:r>
      <w:r w:rsidR="00DE6C4A" w:rsidRPr="007219D9">
        <w:rPr>
          <w:rFonts w:ascii="Arial" w:hAnsi="Arial" w:cs="Arial"/>
          <w:i/>
          <w:iCs/>
          <w:color w:val="222222"/>
          <w:shd w:val="clear" w:color="auto" w:fill="FFFFFF"/>
        </w:rPr>
        <w:t xml:space="preserve"> (2)</w:t>
      </w:r>
      <w:r w:rsidR="00DE6C4A" w:rsidRPr="007219D9">
        <w:rPr>
          <w:rFonts w:ascii="Arial" w:hAnsi="Arial" w:cs="Arial"/>
          <w:color w:val="222222"/>
          <w:shd w:val="clear" w:color="auto" w:fill="FFFFFF"/>
        </w:rPr>
        <w:t>, 63-74.</w:t>
      </w:r>
    </w:p>
    <w:p w14:paraId="71622551"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Singh, A., &amp; Srivastava, S. (2021). Awareness and perception of National Education Policy 2020 among university students. </w:t>
      </w:r>
      <w:r w:rsidRPr="007219D9">
        <w:rPr>
          <w:rFonts w:ascii="Arial" w:eastAsia="Times New Roman" w:hAnsi="Arial" w:cs="Arial"/>
          <w:i/>
          <w:iCs/>
          <w:lang w:bidi="hi-IN"/>
        </w:rPr>
        <w:t>International Journal of Educational Research, 10</w:t>
      </w:r>
      <w:r w:rsidRPr="007219D9">
        <w:rPr>
          <w:rFonts w:ascii="Arial" w:eastAsia="Times New Roman" w:hAnsi="Arial" w:cs="Arial"/>
          <w:lang w:bidi="hi-IN"/>
        </w:rPr>
        <w:t>(2), 85–96.</w:t>
      </w:r>
    </w:p>
    <w:p w14:paraId="5D3E89B0"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Tilak, J. B. G. (2021). National Education Policy 2020: A critical appraisal. </w:t>
      </w:r>
      <w:r w:rsidRPr="007219D9">
        <w:rPr>
          <w:rFonts w:ascii="Arial" w:eastAsia="Times New Roman" w:hAnsi="Arial" w:cs="Arial"/>
          <w:i/>
          <w:iCs/>
          <w:lang w:bidi="hi-IN"/>
        </w:rPr>
        <w:t>Social Change, 51</w:t>
      </w:r>
      <w:r w:rsidRPr="007219D9">
        <w:rPr>
          <w:rFonts w:ascii="Arial" w:eastAsia="Times New Roman" w:hAnsi="Arial" w:cs="Arial"/>
          <w:lang w:bidi="hi-IN"/>
        </w:rPr>
        <w:t>(3), 349–357.</w:t>
      </w:r>
    </w:p>
    <w:p w14:paraId="4335091E" w14:textId="77777777" w:rsidR="00546864" w:rsidRPr="007219D9" w:rsidRDefault="00546864" w:rsidP="00302600">
      <w:pPr>
        <w:spacing w:after="0" w:line="276" w:lineRule="auto"/>
        <w:jc w:val="both"/>
        <w:rPr>
          <w:rFonts w:ascii="Arial" w:eastAsia="Times New Roman" w:hAnsi="Arial" w:cs="Arial"/>
          <w:lang w:bidi="hi-IN"/>
        </w:rPr>
      </w:pPr>
      <w:r w:rsidRPr="007219D9">
        <w:rPr>
          <w:rFonts w:ascii="Arial" w:eastAsia="Times New Roman" w:hAnsi="Arial" w:cs="Arial"/>
          <w:lang w:bidi="hi-IN"/>
        </w:rPr>
        <w:t xml:space="preserve">Tilak, J. B. G., &amp; Varghese, N. V. (2020). Financing higher education in India: Trends and challenges. </w:t>
      </w:r>
      <w:r w:rsidRPr="007219D9">
        <w:rPr>
          <w:rFonts w:ascii="Arial" w:eastAsia="Times New Roman" w:hAnsi="Arial" w:cs="Arial"/>
          <w:i/>
          <w:iCs/>
          <w:lang w:bidi="hi-IN"/>
        </w:rPr>
        <w:t>International Journal of Educational Development, 78</w:t>
      </w:r>
      <w:r w:rsidRPr="007219D9">
        <w:rPr>
          <w:rFonts w:ascii="Arial" w:eastAsia="Times New Roman" w:hAnsi="Arial" w:cs="Arial"/>
          <w:lang w:bidi="hi-IN"/>
        </w:rPr>
        <w:t>, 102262.</w:t>
      </w:r>
    </w:p>
    <w:p w14:paraId="64AB981E" w14:textId="77777777" w:rsidR="00546864" w:rsidRPr="007219D9" w:rsidRDefault="00546864" w:rsidP="002F3570">
      <w:pPr>
        <w:spacing w:after="0" w:line="276" w:lineRule="auto"/>
        <w:rPr>
          <w:rFonts w:ascii="Arial" w:eastAsia="Times New Roman" w:hAnsi="Arial" w:cs="Arial"/>
          <w:lang w:bidi="hi-IN"/>
        </w:rPr>
      </w:pPr>
      <w:r w:rsidRPr="007219D9">
        <w:rPr>
          <w:rFonts w:ascii="Arial" w:eastAsia="Times New Roman" w:hAnsi="Arial" w:cs="Arial"/>
          <w:lang w:bidi="hi-IN"/>
        </w:rPr>
        <w:t>UNESCO. (2021). Reimagining our futures together: A new social contract for education. UNESCO Publishing.</w:t>
      </w:r>
    </w:p>
    <w:p w14:paraId="25F79709" w14:textId="77777777" w:rsidR="00E46EC3" w:rsidRPr="007219D9" w:rsidRDefault="00E46EC3" w:rsidP="002F3570">
      <w:pPr>
        <w:spacing w:after="0" w:line="276" w:lineRule="auto"/>
        <w:rPr>
          <w:rFonts w:ascii="Times New Roman" w:hAnsi="Times New Roman" w:cs="Times New Roman"/>
          <w:sz w:val="24"/>
          <w:szCs w:val="24"/>
        </w:rPr>
      </w:pPr>
    </w:p>
    <w:sectPr w:rsidR="00E46EC3" w:rsidRPr="007219D9" w:rsidSect="008D4F38">
      <w:headerReference w:type="even" r:id="rId8"/>
      <w:headerReference w:type="default" r:id="rId9"/>
      <w:footerReference w:type="even" r:id="rId10"/>
      <w:footerReference w:type="default" r:id="rId11"/>
      <w:headerReference w:type="first" r:id="rId12"/>
      <w:footerReference w:type="first" r:id="rId13"/>
      <w:pgSz w:w="11906" w:h="16838" w:code="9"/>
      <w:pgMar w:top="624" w:right="567"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10C9" w14:textId="77777777" w:rsidR="00411579" w:rsidRDefault="00411579" w:rsidP="008916A6">
      <w:pPr>
        <w:spacing w:after="0" w:line="240" w:lineRule="auto"/>
      </w:pPr>
      <w:r>
        <w:separator/>
      </w:r>
    </w:p>
  </w:endnote>
  <w:endnote w:type="continuationSeparator" w:id="0">
    <w:p w14:paraId="774ADC45" w14:textId="77777777" w:rsidR="00411579" w:rsidRDefault="00411579" w:rsidP="00891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97ABB" w14:textId="77777777" w:rsidR="008916A6" w:rsidRDefault="00891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1F78E" w14:textId="77777777" w:rsidR="008916A6" w:rsidRDefault="00891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EFFA" w14:textId="77777777" w:rsidR="008916A6" w:rsidRDefault="00891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22A0E" w14:textId="77777777" w:rsidR="00411579" w:rsidRDefault="00411579" w:rsidP="008916A6">
      <w:pPr>
        <w:spacing w:after="0" w:line="240" w:lineRule="auto"/>
      </w:pPr>
      <w:r>
        <w:separator/>
      </w:r>
    </w:p>
  </w:footnote>
  <w:footnote w:type="continuationSeparator" w:id="0">
    <w:p w14:paraId="239DE3D8" w14:textId="77777777" w:rsidR="00411579" w:rsidRDefault="00411579" w:rsidP="00891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44D84" w14:textId="728B79CC" w:rsidR="008916A6" w:rsidRDefault="008916A6">
    <w:pPr>
      <w:pStyle w:val="Header"/>
    </w:pPr>
    <w:r>
      <w:rPr>
        <w:noProof/>
      </w:rPr>
      <w:pict w14:anchorId="49A5A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6" o:spid="_x0000_s2050" type="#_x0000_t136" style="position:absolute;margin-left:0;margin-top:0;width:621.95pt;height:11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2D4C" w14:textId="727ADC04" w:rsidR="008916A6" w:rsidRDefault="008916A6">
    <w:pPr>
      <w:pStyle w:val="Header"/>
    </w:pPr>
    <w:r>
      <w:rPr>
        <w:noProof/>
      </w:rPr>
      <w:pict w14:anchorId="39399E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7" o:spid="_x0000_s2051" type="#_x0000_t136" style="position:absolute;margin-left:0;margin-top:0;width:621.95pt;height:11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27BD2" w14:textId="5344D352" w:rsidR="008916A6" w:rsidRDefault="008916A6">
    <w:pPr>
      <w:pStyle w:val="Header"/>
    </w:pPr>
    <w:r>
      <w:rPr>
        <w:noProof/>
      </w:rPr>
      <w:pict w14:anchorId="67C38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951765" o:spid="_x0000_s2049" type="#_x0000_t136" style="position:absolute;margin-left:0;margin-top:0;width:621.95pt;height:11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95441"/>
    <w:multiLevelType w:val="multilevel"/>
    <w:tmpl w:val="F820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350DB"/>
    <w:multiLevelType w:val="multilevel"/>
    <w:tmpl w:val="29E8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8281B"/>
    <w:multiLevelType w:val="multilevel"/>
    <w:tmpl w:val="9EDC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F21A6"/>
    <w:multiLevelType w:val="multilevel"/>
    <w:tmpl w:val="2974C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B2201"/>
    <w:multiLevelType w:val="multilevel"/>
    <w:tmpl w:val="5A34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F7FCC"/>
    <w:multiLevelType w:val="multilevel"/>
    <w:tmpl w:val="2034D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526886"/>
    <w:multiLevelType w:val="multilevel"/>
    <w:tmpl w:val="6DC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228E"/>
    <w:multiLevelType w:val="multilevel"/>
    <w:tmpl w:val="C9C6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35475"/>
    <w:multiLevelType w:val="multilevel"/>
    <w:tmpl w:val="B722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620EA1"/>
    <w:multiLevelType w:val="multilevel"/>
    <w:tmpl w:val="F6CC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9A3C17"/>
    <w:multiLevelType w:val="hybridMultilevel"/>
    <w:tmpl w:val="90709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824D1"/>
    <w:multiLevelType w:val="multilevel"/>
    <w:tmpl w:val="3350E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11"/>
  </w:num>
  <w:num w:numId="4">
    <w:abstractNumId w:val="0"/>
  </w:num>
  <w:num w:numId="5">
    <w:abstractNumId w:val="7"/>
  </w:num>
  <w:num w:numId="6">
    <w:abstractNumId w:val="9"/>
  </w:num>
  <w:num w:numId="7">
    <w:abstractNumId w:val="1"/>
  </w:num>
  <w:num w:numId="8">
    <w:abstractNumId w:val="2"/>
  </w:num>
  <w:num w:numId="9">
    <w:abstractNumId w:val="4"/>
  </w:num>
  <w:num w:numId="10">
    <w:abstractNumId w:val="3"/>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0D"/>
    <w:rsid w:val="000C6C36"/>
    <w:rsid w:val="00111856"/>
    <w:rsid w:val="00162BD9"/>
    <w:rsid w:val="001872F1"/>
    <w:rsid w:val="002F3570"/>
    <w:rsid w:val="002F4F7D"/>
    <w:rsid w:val="00302600"/>
    <w:rsid w:val="00336E89"/>
    <w:rsid w:val="003B3E0D"/>
    <w:rsid w:val="003E124D"/>
    <w:rsid w:val="00411579"/>
    <w:rsid w:val="004352EF"/>
    <w:rsid w:val="004F1D97"/>
    <w:rsid w:val="004F1EFA"/>
    <w:rsid w:val="0050207A"/>
    <w:rsid w:val="00512E92"/>
    <w:rsid w:val="00546864"/>
    <w:rsid w:val="00587023"/>
    <w:rsid w:val="00617CEE"/>
    <w:rsid w:val="00686886"/>
    <w:rsid w:val="006B204C"/>
    <w:rsid w:val="00710571"/>
    <w:rsid w:val="007219D9"/>
    <w:rsid w:val="007721DB"/>
    <w:rsid w:val="00881416"/>
    <w:rsid w:val="00882388"/>
    <w:rsid w:val="008916A6"/>
    <w:rsid w:val="008B5E56"/>
    <w:rsid w:val="008D4F38"/>
    <w:rsid w:val="00904BCD"/>
    <w:rsid w:val="009B6738"/>
    <w:rsid w:val="00A34DC8"/>
    <w:rsid w:val="00A41E97"/>
    <w:rsid w:val="00AA6F83"/>
    <w:rsid w:val="00B15EA7"/>
    <w:rsid w:val="00B31AFB"/>
    <w:rsid w:val="00C26C64"/>
    <w:rsid w:val="00C32C12"/>
    <w:rsid w:val="00CA1824"/>
    <w:rsid w:val="00CE7380"/>
    <w:rsid w:val="00CE78BB"/>
    <w:rsid w:val="00D07383"/>
    <w:rsid w:val="00DE6C4A"/>
    <w:rsid w:val="00E00E94"/>
    <w:rsid w:val="00E46EC3"/>
    <w:rsid w:val="00E85B01"/>
    <w:rsid w:val="00EB53AE"/>
    <w:rsid w:val="00EB584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80853"/>
  <w15:chartTrackingRefBased/>
  <w15:docId w15:val="{99EBDA0F-FC5C-4260-8125-63E1C8EC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B3E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B3E0D"/>
    <w:pPr>
      <w:spacing w:before="100" w:beforeAutospacing="1" w:after="100" w:afterAutospacing="1" w:line="240" w:lineRule="auto"/>
      <w:outlineLvl w:val="2"/>
    </w:pPr>
    <w:rPr>
      <w:rFonts w:ascii="Times New Roman" w:eastAsia="Times New Roman" w:hAnsi="Times New Roman" w:cs="Times New Roman"/>
      <w:b/>
      <w:bCs/>
      <w:sz w:val="27"/>
      <w:szCs w:val="27"/>
      <w:lang w:bidi="hi-IN"/>
    </w:rPr>
  </w:style>
  <w:style w:type="paragraph" w:styleId="Heading4">
    <w:name w:val="heading 4"/>
    <w:basedOn w:val="Normal"/>
    <w:next w:val="Normal"/>
    <w:link w:val="Heading4Char"/>
    <w:uiPriority w:val="9"/>
    <w:semiHidden/>
    <w:unhideWhenUsed/>
    <w:qFormat/>
    <w:rsid w:val="00C26C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3E0D"/>
    <w:rPr>
      <w:rFonts w:ascii="Times New Roman" w:eastAsia="Times New Roman" w:hAnsi="Times New Roman" w:cs="Times New Roman"/>
      <w:b/>
      <w:bCs/>
      <w:sz w:val="27"/>
      <w:szCs w:val="27"/>
      <w:lang w:bidi="hi-IN"/>
    </w:rPr>
  </w:style>
  <w:style w:type="paragraph" w:styleId="NormalWeb">
    <w:name w:val="Normal (Web)"/>
    <w:basedOn w:val="Normal"/>
    <w:uiPriority w:val="99"/>
    <w:unhideWhenUsed/>
    <w:rsid w:val="003B3E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Emphasis">
    <w:name w:val="Emphasis"/>
    <w:basedOn w:val="DefaultParagraphFont"/>
    <w:uiPriority w:val="20"/>
    <w:qFormat/>
    <w:rsid w:val="003B3E0D"/>
    <w:rPr>
      <w:i/>
      <w:iCs/>
    </w:rPr>
  </w:style>
  <w:style w:type="character" w:customStyle="1" w:styleId="Heading2Char">
    <w:name w:val="Heading 2 Char"/>
    <w:basedOn w:val="DefaultParagraphFont"/>
    <w:link w:val="Heading2"/>
    <w:uiPriority w:val="9"/>
    <w:semiHidden/>
    <w:rsid w:val="003B3E0D"/>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B3E0D"/>
    <w:rPr>
      <w:b/>
      <w:bCs/>
    </w:rPr>
  </w:style>
  <w:style w:type="table" w:styleId="TableGrid">
    <w:name w:val="Table Grid"/>
    <w:basedOn w:val="TableNormal"/>
    <w:uiPriority w:val="39"/>
    <w:rsid w:val="00CE7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CE7380"/>
  </w:style>
  <w:style w:type="character" w:customStyle="1" w:styleId="vlist-s">
    <w:name w:val="vlist-s"/>
    <w:basedOn w:val="DefaultParagraphFont"/>
    <w:rsid w:val="00CE7380"/>
  </w:style>
  <w:style w:type="character" w:customStyle="1" w:styleId="mrel">
    <w:name w:val="mrel"/>
    <w:basedOn w:val="DefaultParagraphFont"/>
    <w:rsid w:val="00CE7380"/>
  </w:style>
  <w:style w:type="character" w:customStyle="1" w:styleId="mbin">
    <w:name w:val="mbin"/>
    <w:basedOn w:val="DefaultParagraphFont"/>
    <w:rsid w:val="00CE7380"/>
  </w:style>
  <w:style w:type="character" w:customStyle="1" w:styleId="katex-mathml">
    <w:name w:val="katex-mathml"/>
    <w:basedOn w:val="DefaultParagraphFont"/>
    <w:rsid w:val="00CE7380"/>
  </w:style>
  <w:style w:type="character" w:styleId="Hyperlink">
    <w:name w:val="Hyperlink"/>
    <w:basedOn w:val="DefaultParagraphFont"/>
    <w:uiPriority w:val="99"/>
    <w:unhideWhenUsed/>
    <w:rsid w:val="00E46EC3"/>
    <w:rPr>
      <w:color w:val="0000FF"/>
      <w:u w:val="single"/>
    </w:rPr>
  </w:style>
  <w:style w:type="paragraph" w:styleId="NoSpacing">
    <w:name w:val="No Spacing"/>
    <w:uiPriority w:val="1"/>
    <w:qFormat/>
    <w:rsid w:val="00E46EC3"/>
    <w:pPr>
      <w:spacing w:after="0" w:line="240" w:lineRule="auto"/>
    </w:pPr>
  </w:style>
  <w:style w:type="character" w:customStyle="1" w:styleId="Heading4Char">
    <w:name w:val="Heading 4 Char"/>
    <w:basedOn w:val="DefaultParagraphFont"/>
    <w:link w:val="Heading4"/>
    <w:uiPriority w:val="9"/>
    <w:semiHidden/>
    <w:rsid w:val="00C26C64"/>
    <w:rPr>
      <w:rFonts w:asciiTheme="majorHAnsi" w:eastAsiaTheme="majorEastAsia" w:hAnsiTheme="majorHAnsi" w:cstheme="majorBidi"/>
      <w:i/>
      <w:iCs/>
      <w:color w:val="2F5496" w:themeColor="accent1" w:themeShade="BF"/>
    </w:rPr>
  </w:style>
  <w:style w:type="character" w:customStyle="1" w:styleId="mopen">
    <w:name w:val="mopen"/>
    <w:basedOn w:val="DefaultParagraphFont"/>
    <w:rsid w:val="00C26C64"/>
  </w:style>
  <w:style w:type="character" w:customStyle="1" w:styleId="mclose">
    <w:name w:val="mclose"/>
    <w:basedOn w:val="DefaultParagraphFont"/>
    <w:rsid w:val="00C26C64"/>
  </w:style>
  <w:style w:type="character" w:customStyle="1" w:styleId="mpunct">
    <w:name w:val="mpunct"/>
    <w:basedOn w:val="DefaultParagraphFont"/>
    <w:rsid w:val="00C26C64"/>
  </w:style>
  <w:style w:type="character" w:customStyle="1" w:styleId="minner">
    <w:name w:val="minner"/>
    <w:basedOn w:val="DefaultParagraphFont"/>
    <w:rsid w:val="00C26C64"/>
  </w:style>
  <w:style w:type="character" w:styleId="UnresolvedMention">
    <w:name w:val="Unresolved Mention"/>
    <w:basedOn w:val="DefaultParagraphFont"/>
    <w:uiPriority w:val="99"/>
    <w:semiHidden/>
    <w:unhideWhenUsed/>
    <w:rsid w:val="00C32C12"/>
    <w:rPr>
      <w:color w:val="605E5C"/>
      <w:shd w:val="clear" w:color="auto" w:fill="E1DFDD"/>
    </w:rPr>
  </w:style>
  <w:style w:type="paragraph" w:styleId="Header">
    <w:name w:val="header"/>
    <w:basedOn w:val="Normal"/>
    <w:link w:val="HeaderChar"/>
    <w:uiPriority w:val="99"/>
    <w:unhideWhenUsed/>
    <w:rsid w:val="00891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A6"/>
  </w:style>
  <w:style w:type="paragraph" w:styleId="Footer">
    <w:name w:val="footer"/>
    <w:basedOn w:val="Normal"/>
    <w:link w:val="FooterChar"/>
    <w:uiPriority w:val="99"/>
    <w:unhideWhenUsed/>
    <w:rsid w:val="00891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6592">
      <w:bodyDiv w:val="1"/>
      <w:marLeft w:val="0"/>
      <w:marRight w:val="0"/>
      <w:marTop w:val="0"/>
      <w:marBottom w:val="0"/>
      <w:divBdr>
        <w:top w:val="none" w:sz="0" w:space="0" w:color="auto"/>
        <w:left w:val="none" w:sz="0" w:space="0" w:color="auto"/>
        <w:bottom w:val="none" w:sz="0" w:space="0" w:color="auto"/>
        <w:right w:val="none" w:sz="0" w:space="0" w:color="auto"/>
      </w:divBdr>
    </w:div>
    <w:div w:id="37971385">
      <w:bodyDiv w:val="1"/>
      <w:marLeft w:val="0"/>
      <w:marRight w:val="0"/>
      <w:marTop w:val="0"/>
      <w:marBottom w:val="0"/>
      <w:divBdr>
        <w:top w:val="none" w:sz="0" w:space="0" w:color="auto"/>
        <w:left w:val="none" w:sz="0" w:space="0" w:color="auto"/>
        <w:bottom w:val="none" w:sz="0" w:space="0" w:color="auto"/>
        <w:right w:val="none" w:sz="0" w:space="0" w:color="auto"/>
      </w:divBdr>
    </w:div>
    <w:div w:id="47729515">
      <w:bodyDiv w:val="1"/>
      <w:marLeft w:val="0"/>
      <w:marRight w:val="0"/>
      <w:marTop w:val="0"/>
      <w:marBottom w:val="0"/>
      <w:divBdr>
        <w:top w:val="none" w:sz="0" w:space="0" w:color="auto"/>
        <w:left w:val="none" w:sz="0" w:space="0" w:color="auto"/>
        <w:bottom w:val="none" w:sz="0" w:space="0" w:color="auto"/>
        <w:right w:val="none" w:sz="0" w:space="0" w:color="auto"/>
      </w:divBdr>
      <w:divsChild>
        <w:div w:id="175966535">
          <w:marLeft w:val="0"/>
          <w:marRight w:val="0"/>
          <w:marTop w:val="0"/>
          <w:marBottom w:val="0"/>
          <w:divBdr>
            <w:top w:val="none" w:sz="0" w:space="0" w:color="auto"/>
            <w:left w:val="none" w:sz="0" w:space="0" w:color="auto"/>
            <w:bottom w:val="none" w:sz="0" w:space="0" w:color="auto"/>
            <w:right w:val="none" w:sz="0" w:space="0" w:color="auto"/>
          </w:divBdr>
          <w:divsChild>
            <w:div w:id="177235735">
              <w:marLeft w:val="0"/>
              <w:marRight w:val="0"/>
              <w:marTop w:val="0"/>
              <w:marBottom w:val="0"/>
              <w:divBdr>
                <w:top w:val="none" w:sz="0" w:space="0" w:color="auto"/>
                <w:left w:val="none" w:sz="0" w:space="0" w:color="auto"/>
                <w:bottom w:val="none" w:sz="0" w:space="0" w:color="auto"/>
                <w:right w:val="none" w:sz="0" w:space="0" w:color="auto"/>
              </w:divBdr>
              <w:divsChild>
                <w:div w:id="1320302362">
                  <w:marLeft w:val="0"/>
                  <w:marRight w:val="0"/>
                  <w:marTop w:val="0"/>
                  <w:marBottom w:val="0"/>
                  <w:divBdr>
                    <w:top w:val="none" w:sz="0" w:space="0" w:color="auto"/>
                    <w:left w:val="none" w:sz="0" w:space="0" w:color="auto"/>
                    <w:bottom w:val="none" w:sz="0" w:space="0" w:color="auto"/>
                    <w:right w:val="none" w:sz="0" w:space="0" w:color="auto"/>
                  </w:divBdr>
                  <w:divsChild>
                    <w:div w:id="1214732773">
                      <w:marLeft w:val="0"/>
                      <w:marRight w:val="0"/>
                      <w:marTop w:val="0"/>
                      <w:marBottom w:val="0"/>
                      <w:divBdr>
                        <w:top w:val="none" w:sz="0" w:space="0" w:color="auto"/>
                        <w:left w:val="none" w:sz="0" w:space="0" w:color="auto"/>
                        <w:bottom w:val="none" w:sz="0" w:space="0" w:color="auto"/>
                        <w:right w:val="none" w:sz="0" w:space="0" w:color="auto"/>
                      </w:divBdr>
                      <w:divsChild>
                        <w:div w:id="1977681662">
                          <w:marLeft w:val="0"/>
                          <w:marRight w:val="0"/>
                          <w:marTop w:val="0"/>
                          <w:marBottom w:val="0"/>
                          <w:divBdr>
                            <w:top w:val="none" w:sz="0" w:space="0" w:color="auto"/>
                            <w:left w:val="none" w:sz="0" w:space="0" w:color="auto"/>
                            <w:bottom w:val="none" w:sz="0" w:space="0" w:color="auto"/>
                            <w:right w:val="none" w:sz="0" w:space="0" w:color="auto"/>
                          </w:divBdr>
                          <w:divsChild>
                            <w:div w:id="539778668">
                              <w:marLeft w:val="0"/>
                              <w:marRight w:val="0"/>
                              <w:marTop w:val="0"/>
                              <w:marBottom w:val="0"/>
                              <w:divBdr>
                                <w:top w:val="none" w:sz="0" w:space="0" w:color="auto"/>
                                <w:left w:val="none" w:sz="0" w:space="0" w:color="auto"/>
                                <w:bottom w:val="none" w:sz="0" w:space="0" w:color="auto"/>
                                <w:right w:val="none" w:sz="0" w:space="0" w:color="auto"/>
                              </w:divBdr>
                              <w:divsChild>
                                <w:div w:id="11330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256610">
      <w:bodyDiv w:val="1"/>
      <w:marLeft w:val="0"/>
      <w:marRight w:val="0"/>
      <w:marTop w:val="0"/>
      <w:marBottom w:val="0"/>
      <w:divBdr>
        <w:top w:val="none" w:sz="0" w:space="0" w:color="auto"/>
        <w:left w:val="none" w:sz="0" w:space="0" w:color="auto"/>
        <w:bottom w:val="none" w:sz="0" w:space="0" w:color="auto"/>
        <w:right w:val="none" w:sz="0" w:space="0" w:color="auto"/>
      </w:divBdr>
    </w:div>
    <w:div w:id="237521066">
      <w:bodyDiv w:val="1"/>
      <w:marLeft w:val="0"/>
      <w:marRight w:val="0"/>
      <w:marTop w:val="0"/>
      <w:marBottom w:val="0"/>
      <w:divBdr>
        <w:top w:val="none" w:sz="0" w:space="0" w:color="auto"/>
        <w:left w:val="none" w:sz="0" w:space="0" w:color="auto"/>
        <w:bottom w:val="none" w:sz="0" w:space="0" w:color="auto"/>
        <w:right w:val="none" w:sz="0" w:space="0" w:color="auto"/>
      </w:divBdr>
    </w:div>
    <w:div w:id="262500345">
      <w:bodyDiv w:val="1"/>
      <w:marLeft w:val="0"/>
      <w:marRight w:val="0"/>
      <w:marTop w:val="0"/>
      <w:marBottom w:val="0"/>
      <w:divBdr>
        <w:top w:val="none" w:sz="0" w:space="0" w:color="auto"/>
        <w:left w:val="none" w:sz="0" w:space="0" w:color="auto"/>
        <w:bottom w:val="none" w:sz="0" w:space="0" w:color="auto"/>
        <w:right w:val="none" w:sz="0" w:space="0" w:color="auto"/>
      </w:divBdr>
    </w:div>
    <w:div w:id="306251028">
      <w:bodyDiv w:val="1"/>
      <w:marLeft w:val="0"/>
      <w:marRight w:val="0"/>
      <w:marTop w:val="0"/>
      <w:marBottom w:val="0"/>
      <w:divBdr>
        <w:top w:val="none" w:sz="0" w:space="0" w:color="auto"/>
        <w:left w:val="none" w:sz="0" w:space="0" w:color="auto"/>
        <w:bottom w:val="none" w:sz="0" w:space="0" w:color="auto"/>
        <w:right w:val="none" w:sz="0" w:space="0" w:color="auto"/>
      </w:divBdr>
    </w:div>
    <w:div w:id="309673057">
      <w:bodyDiv w:val="1"/>
      <w:marLeft w:val="0"/>
      <w:marRight w:val="0"/>
      <w:marTop w:val="0"/>
      <w:marBottom w:val="0"/>
      <w:divBdr>
        <w:top w:val="none" w:sz="0" w:space="0" w:color="auto"/>
        <w:left w:val="none" w:sz="0" w:space="0" w:color="auto"/>
        <w:bottom w:val="none" w:sz="0" w:space="0" w:color="auto"/>
        <w:right w:val="none" w:sz="0" w:space="0" w:color="auto"/>
      </w:divBdr>
    </w:div>
    <w:div w:id="366371469">
      <w:bodyDiv w:val="1"/>
      <w:marLeft w:val="0"/>
      <w:marRight w:val="0"/>
      <w:marTop w:val="0"/>
      <w:marBottom w:val="0"/>
      <w:divBdr>
        <w:top w:val="none" w:sz="0" w:space="0" w:color="auto"/>
        <w:left w:val="none" w:sz="0" w:space="0" w:color="auto"/>
        <w:bottom w:val="none" w:sz="0" w:space="0" w:color="auto"/>
        <w:right w:val="none" w:sz="0" w:space="0" w:color="auto"/>
      </w:divBdr>
    </w:div>
    <w:div w:id="373697439">
      <w:bodyDiv w:val="1"/>
      <w:marLeft w:val="0"/>
      <w:marRight w:val="0"/>
      <w:marTop w:val="0"/>
      <w:marBottom w:val="0"/>
      <w:divBdr>
        <w:top w:val="none" w:sz="0" w:space="0" w:color="auto"/>
        <w:left w:val="none" w:sz="0" w:space="0" w:color="auto"/>
        <w:bottom w:val="none" w:sz="0" w:space="0" w:color="auto"/>
        <w:right w:val="none" w:sz="0" w:space="0" w:color="auto"/>
      </w:divBdr>
    </w:div>
    <w:div w:id="393040926">
      <w:bodyDiv w:val="1"/>
      <w:marLeft w:val="0"/>
      <w:marRight w:val="0"/>
      <w:marTop w:val="0"/>
      <w:marBottom w:val="0"/>
      <w:divBdr>
        <w:top w:val="none" w:sz="0" w:space="0" w:color="auto"/>
        <w:left w:val="none" w:sz="0" w:space="0" w:color="auto"/>
        <w:bottom w:val="none" w:sz="0" w:space="0" w:color="auto"/>
        <w:right w:val="none" w:sz="0" w:space="0" w:color="auto"/>
      </w:divBdr>
    </w:div>
    <w:div w:id="429206892">
      <w:bodyDiv w:val="1"/>
      <w:marLeft w:val="0"/>
      <w:marRight w:val="0"/>
      <w:marTop w:val="0"/>
      <w:marBottom w:val="0"/>
      <w:divBdr>
        <w:top w:val="none" w:sz="0" w:space="0" w:color="auto"/>
        <w:left w:val="none" w:sz="0" w:space="0" w:color="auto"/>
        <w:bottom w:val="none" w:sz="0" w:space="0" w:color="auto"/>
        <w:right w:val="none" w:sz="0" w:space="0" w:color="auto"/>
      </w:divBdr>
    </w:div>
    <w:div w:id="449277111">
      <w:bodyDiv w:val="1"/>
      <w:marLeft w:val="0"/>
      <w:marRight w:val="0"/>
      <w:marTop w:val="0"/>
      <w:marBottom w:val="0"/>
      <w:divBdr>
        <w:top w:val="none" w:sz="0" w:space="0" w:color="auto"/>
        <w:left w:val="none" w:sz="0" w:space="0" w:color="auto"/>
        <w:bottom w:val="none" w:sz="0" w:space="0" w:color="auto"/>
        <w:right w:val="none" w:sz="0" w:space="0" w:color="auto"/>
      </w:divBdr>
    </w:div>
    <w:div w:id="540484713">
      <w:bodyDiv w:val="1"/>
      <w:marLeft w:val="0"/>
      <w:marRight w:val="0"/>
      <w:marTop w:val="0"/>
      <w:marBottom w:val="0"/>
      <w:divBdr>
        <w:top w:val="none" w:sz="0" w:space="0" w:color="auto"/>
        <w:left w:val="none" w:sz="0" w:space="0" w:color="auto"/>
        <w:bottom w:val="none" w:sz="0" w:space="0" w:color="auto"/>
        <w:right w:val="none" w:sz="0" w:space="0" w:color="auto"/>
      </w:divBdr>
    </w:div>
    <w:div w:id="556283157">
      <w:bodyDiv w:val="1"/>
      <w:marLeft w:val="0"/>
      <w:marRight w:val="0"/>
      <w:marTop w:val="0"/>
      <w:marBottom w:val="0"/>
      <w:divBdr>
        <w:top w:val="none" w:sz="0" w:space="0" w:color="auto"/>
        <w:left w:val="none" w:sz="0" w:space="0" w:color="auto"/>
        <w:bottom w:val="none" w:sz="0" w:space="0" w:color="auto"/>
        <w:right w:val="none" w:sz="0" w:space="0" w:color="auto"/>
      </w:divBdr>
    </w:div>
    <w:div w:id="617638197">
      <w:bodyDiv w:val="1"/>
      <w:marLeft w:val="0"/>
      <w:marRight w:val="0"/>
      <w:marTop w:val="0"/>
      <w:marBottom w:val="0"/>
      <w:divBdr>
        <w:top w:val="none" w:sz="0" w:space="0" w:color="auto"/>
        <w:left w:val="none" w:sz="0" w:space="0" w:color="auto"/>
        <w:bottom w:val="none" w:sz="0" w:space="0" w:color="auto"/>
        <w:right w:val="none" w:sz="0" w:space="0" w:color="auto"/>
      </w:divBdr>
    </w:div>
    <w:div w:id="730273879">
      <w:bodyDiv w:val="1"/>
      <w:marLeft w:val="0"/>
      <w:marRight w:val="0"/>
      <w:marTop w:val="0"/>
      <w:marBottom w:val="0"/>
      <w:divBdr>
        <w:top w:val="none" w:sz="0" w:space="0" w:color="auto"/>
        <w:left w:val="none" w:sz="0" w:space="0" w:color="auto"/>
        <w:bottom w:val="none" w:sz="0" w:space="0" w:color="auto"/>
        <w:right w:val="none" w:sz="0" w:space="0" w:color="auto"/>
      </w:divBdr>
      <w:divsChild>
        <w:div w:id="647711113">
          <w:marLeft w:val="0"/>
          <w:marRight w:val="0"/>
          <w:marTop w:val="0"/>
          <w:marBottom w:val="0"/>
          <w:divBdr>
            <w:top w:val="none" w:sz="0" w:space="0" w:color="auto"/>
            <w:left w:val="none" w:sz="0" w:space="0" w:color="auto"/>
            <w:bottom w:val="none" w:sz="0" w:space="0" w:color="auto"/>
            <w:right w:val="none" w:sz="0" w:space="0" w:color="auto"/>
          </w:divBdr>
          <w:divsChild>
            <w:div w:id="805852881">
              <w:marLeft w:val="0"/>
              <w:marRight w:val="0"/>
              <w:marTop w:val="0"/>
              <w:marBottom w:val="0"/>
              <w:divBdr>
                <w:top w:val="none" w:sz="0" w:space="0" w:color="auto"/>
                <w:left w:val="none" w:sz="0" w:space="0" w:color="auto"/>
                <w:bottom w:val="none" w:sz="0" w:space="0" w:color="auto"/>
                <w:right w:val="none" w:sz="0" w:space="0" w:color="auto"/>
              </w:divBdr>
              <w:divsChild>
                <w:div w:id="717357387">
                  <w:marLeft w:val="0"/>
                  <w:marRight w:val="0"/>
                  <w:marTop w:val="0"/>
                  <w:marBottom w:val="0"/>
                  <w:divBdr>
                    <w:top w:val="none" w:sz="0" w:space="0" w:color="auto"/>
                    <w:left w:val="none" w:sz="0" w:space="0" w:color="auto"/>
                    <w:bottom w:val="none" w:sz="0" w:space="0" w:color="auto"/>
                    <w:right w:val="none" w:sz="0" w:space="0" w:color="auto"/>
                  </w:divBdr>
                  <w:divsChild>
                    <w:div w:id="1317800261">
                      <w:marLeft w:val="0"/>
                      <w:marRight w:val="0"/>
                      <w:marTop w:val="0"/>
                      <w:marBottom w:val="0"/>
                      <w:divBdr>
                        <w:top w:val="none" w:sz="0" w:space="0" w:color="auto"/>
                        <w:left w:val="none" w:sz="0" w:space="0" w:color="auto"/>
                        <w:bottom w:val="none" w:sz="0" w:space="0" w:color="auto"/>
                        <w:right w:val="none" w:sz="0" w:space="0" w:color="auto"/>
                      </w:divBdr>
                      <w:divsChild>
                        <w:div w:id="834034086">
                          <w:marLeft w:val="0"/>
                          <w:marRight w:val="0"/>
                          <w:marTop w:val="0"/>
                          <w:marBottom w:val="0"/>
                          <w:divBdr>
                            <w:top w:val="none" w:sz="0" w:space="0" w:color="auto"/>
                            <w:left w:val="none" w:sz="0" w:space="0" w:color="auto"/>
                            <w:bottom w:val="none" w:sz="0" w:space="0" w:color="auto"/>
                            <w:right w:val="none" w:sz="0" w:space="0" w:color="auto"/>
                          </w:divBdr>
                          <w:divsChild>
                            <w:div w:id="1499271417">
                              <w:marLeft w:val="0"/>
                              <w:marRight w:val="0"/>
                              <w:marTop w:val="0"/>
                              <w:marBottom w:val="0"/>
                              <w:divBdr>
                                <w:top w:val="none" w:sz="0" w:space="0" w:color="auto"/>
                                <w:left w:val="none" w:sz="0" w:space="0" w:color="auto"/>
                                <w:bottom w:val="none" w:sz="0" w:space="0" w:color="auto"/>
                                <w:right w:val="none" w:sz="0" w:space="0" w:color="auto"/>
                              </w:divBdr>
                              <w:divsChild>
                                <w:div w:id="16593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120173">
      <w:bodyDiv w:val="1"/>
      <w:marLeft w:val="0"/>
      <w:marRight w:val="0"/>
      <w:marTop w:val="0"/>
      <w:marBottom w:val="0"/>
      <w:divBdr>
        <w:top w:val="none" w:sz="0" w:space="0" w:color="auto"/>
        <w:left w:val="none" w:sz="0" w:space="0" w:color="auto"/>
        <w:bottom w:val="none" w:sz="0" w:space="0" w:color="auto"/>
        <w:right w:val="none" w:sz="0" w:space="0" w:color="auto"/>
      </w:divBdr>
    </w:div>
    <w:div w:id="764616975">
      <w:bodyDiv w:val="1"/>
      <w:marLeft w:val="0"/>
      <w:marRight w:val="0"/>
      <w:marTop w:val="0"/>
      <w:marBottom w:val="0"/>
      <w:divBdr>
        <w:top w:val="none" w:sz="0" w:space="0" w:color="auto"/>
        <w:left w:val="none" w:sz="0" w:space="0" w:color="auto"/>
        <w:bottom w:val="none" w:sz="0" w:space="0" w:color="auto"/>
        <w:right w:val="none" w:sz="0" w:space="0" w:color="auto"/>
      </w:divBdr>
    </w:div>
    <w:div w:id="856041461">
      <w:bodyDiv w:val="1"/>
      <w:marLeft w:val="0"/>
      <w:marRight w:val="0"/>
      <w:marTop w:val="0"/>
      <w:marBottom w:val="0"/>
      <w:divBdr>
        <w:top w:val="none" w:sz="0" w:space="0" w:color="auto"/>
        <w:left w:val="none" w:sz="0" w:space="0" w:color="auto"/>
        <w:bottom w:val="none" w:sz="0" w:space="0" w:color="auto"/>
        <w:right w:val="none" w:sz="0" w:space="0" w:color="auto"/>
      </w:divBdr>
    </w:div>
    <w:div w:id="899486960">
      <w:bodyDiv w:val="1"/>
      <w:marLeft w:val="0"/>
      <w:marRight w:val="0"/>
      <w:marTop w:val="0"/>
      <w:marBottom w:val="0"/>
      <w:divBdr>
        <w:top w:val="none" w:sz="0" w:space="0" w:color="auto"/>
        <w:left w:val="none" w:sz="0" w:space="0" w:color="auto"/>
        <w:bottom w:val="none" w:sz="0" w:space="0" w:color="auto"/>
        <w:right w:val="none" w:sz="0" w:space="0" w:color="auto"/>
      </w:divBdr>
    </w:div>
    <w:div w:id="918565946">
      <w:bodyDiv w:val="1"/>
      <w:marLeft w:val="0"/>
      <w:marRight w:val="0"/>
      <w:marTop w:val="0"/>
      <w:marBottom w:val="0"/>
      <w:divBdr>
        <w:top w:val="none" w:sz="0" w:space="0" w:color="auto"/>
        <w:left w:val="none" w:sz="0" w:space="0" w:color="auto"/>
        <w:bottom w:val="none" w:sz="0" w:space="0" w:color="auto"/>
        <w:right w:val="none" w:sz="0" w:space="0" w:color="auto"/>
      </w:divBdr>
    </w:div>
    <w:div w:id="932319881">
      <w:bodyDiv w:val="1"/>
      <w:marLeft w:val="0"/>
      <w:marRight w:val="0"/>
      <w:marTop w:val="0"/>
      <w:marBottom w:val="0"/>
      <w:divBdr>
        <w:top w:val="none" w:sz="0" w:space="0" w:color="auto"/>
        <w:left w:val="none" w:sz="0" w:space="0" w:color="auto"/>
        <w:bottom w:val="none" w:sz="0" w:space="0" w:color="auto"/>
        <w:right w:val="none" w:sz="0" w:space="0" w:color="auto"/>
      </w:divBdr>
    </w:div>
    <w:div w:id="954674477">
      <w:bodyDiv w:val="1"/>
      <w:marLeft w:val="0"/>
      <w:marRight w:val="0"/>
      <w:marTop w:val="0"/>
      <w:marBottom w:val="0"/>
      <w:divBdr>
        <w:top w:val="none" w:sz="0" w:space="0" w:color="auto"/>
        <w:left w:val="none" w:sz="0" w:space="0" w:color="auto"/>
        <w:bottom w:val="none" w:sz="0" w:space="0" w:color="auto"/>
        <w:right w:val="none" w:sz="0" w:space="0" w:color="auto"/>
      </w:divBdr>
    </w:div>
    <w:div w:id="957220768">
      <w:bodyDiv w:val="1"/>
      <w:marLeft w:val="0"/>
      <w:marRight w:val="0"/>
      <w:marTop w:val="0"/>
      <w:marBottom w:val="0"/>
      <w:divBdr>
        <w:top w:val="none" w:sz="0" w:space="0" w:color="auto"/>
        <w:left w:val="none" w:sz="0" w:space="0" w:color="auto"/>
        <w:bottom w:val="none" w:sz="0" w:space="0" w:color="auto"/>
        <w:right w:val="none" w:sz="0" w:space="0" w:color="auto"/>
      </w:divBdr>
    </w:div>
    <w:div w:id="983043567">
      <w:bodyDiv w:val="1"/>
      <w:marLeft w:val="0"/>
      <w:marRight w:val="0"/>
      <w:marTop w:val="0"/>
      <w:marBottom w:val="0"/>
      <w:divBdr>
        <w:top w:val="none" w:sz="0" w:space="0" w:color="auto"/>
        <w:left w:val="none" w:sz="0" w:space="0" w:color="auto"/>
        <w:bottom w:val="none" w:sz="0" w:space="0" w:color="auto"/>
        <w:right w:val="none" w:sz="0" w:space="0" w:color="auto"/>
      </w:divBdr>
    </w:div>
    <w:div w:id="986595331">
      <w:bodyDiv w:val="1"/>
      <w:marLeft w:val="0"/>
      <w:marRight w:val="0"/>
      <w:marTop w:val="0"/>
      <w:marBottom w:val="0"/>
      <w:divBdr>
        <w:top w:val="none" w:sz="0" w:space="0" w:color="auto"/>
        <w:left w:val="none" w:sz="0" w:space="0" w:color="auto"/>
        <w:bottom w:val="none" w:sz="0" w:space="0" w:color="auto"/>
        <w:right w:val="none" w:sz="0" w:space="0" w:color="auto"/>
      </w:divBdr>
    </w:div>
    <w:div w:id="1015113074">
      <w:bodyDiv w:val="1"/>
      <w:marLeft w:val="0"/>
      <w:marRight w:val="0"/>
      <w:marTop w:val="0"/>
      <w:marBottom w:val="0"/>
      <w:divBdr>
        <w:top w:val="none" w:sz="0" w:space="0" w:color="auto"/>
        <w:left w:val="none" w:sz="0" w:space="0" w:color="auto"/>
        <w:bottom w:val="none" w:sz="0" w:space="0" w:color="auto"/>
        <w:right w:val="none" w:sz="0" w:space="0" w:color="auto"/>
      </w:divBdr>
    </w:div>
    <w:div w:id="1158349176">
      <w:bodyDiv w:val="1"/>
      <w:marLeft w:val="0"/>
      <w:marRight w:val="0"/>
      <w:marTop w:val="0"/>
      <w:marBottom w:val="0"/>
      <w:divBdr>
        <w:top w:val="none" w:sz="0" w:space="0" w:color="auto"/>
        <w:left w:val="none" w:sz="0" w:space="0" w:color="auto"/>
        <w:bottom w:val="none" w:sz="0" w:space="0" w:color="auto"/>
        <w:right w:val="none" w:sz="0" w:space="0" w:color="auto"/>
      </w:divBdr>
    </w:div>
    <w:div w:id="1221286863">
      <w:bodyDiv w:val="1"/>
      <w:marLeft w:val="0"/>
      <w:marRight w:val="0"/>
      <w:marTop w:val="0"/>
      <w:marBottom w:val="0"/>
      <w:divBdr>
        <w:top w:val="none" w:sz="0" w:space="0" w:color="auto"/>
        <w:left w:val="none" w:sz="0" w:space="0" w:color="auto"/>
        <w:bottom w:val="none" w:sz="0" w:space="0" w:color="auto"/>
        <w:right w:val="none" w:sz="0" w:space="0" w:color="auto"/>
      </w:divBdr>
    </w:div>
    <w:div w:id="1249535225">
      <w:bodyDiv w:val="1"/>
      <w:marLeft w:val="0"/>
      <w:marRight w:val="0"/>
      <w:marTop w:val="0"/>
      <w:marBottom w:val="0"/>
      <w:divBdr>
        <w:top w:val="none" w:sz="0" w:space="0" w:color="auto"/>
        <w:left w:val="none" w:sz="0" w:space="0" w:color="auto"/>
        <w:bottom w:val="none" w:sz="0" w:space="0" w:color="auto"/>
        <w:right w:val="none" w:sz="0" w:space="0" w:color="auto"/>
      </w:divBdr>
    </w:div>
    <w:div w:id="1301885614">
      <w:bodyDiv w:val="1"/>
      <w:marLeft w:val="0"/>
      <w:marRight w:val="0"/>
      <w:marTop w:val="0"/>
      <w:marBottom w:val="0"/>
      <w:divBdr>
        <w:top w:val="none" w:sz="0" w:space="0" w:color="auto"/>
        <w:left w:val="none" w:sz="0" w:space="0" w:color="auto"/>
        <w:bottom w:val="none" w:sz="0" w:space="0" w:color="auto"/>
        <w:right w:val="none" w:sz="0" w:space="0" w:color="auto"/>
      </w:divBdr>
    </w:div>
    <w:div w:id="1326514816">
      <w:bodyDiv w:val="1"/>
      <w:marLeft w:val="0"/>
      <w:marRight w:val="0"/>
      <w:marTop w:val="0"/>
      <w:marBottom w:val="0"/>
      <w:divBdr>
        <w:top w:val="none" w:sz="0" w:space="0" w:color="auto"/>
        <w:left w:val="none" w:sz="0" w:space="0" w:color="auto"/>
        <w:bottom w:val="none" w:sz="0" w:space="0" w:color="auto"/>
        <w:right w:val="none" w:sz="0" w:space="0" w:color="auto"/>
      </w:divBdr>
    </w:div>
    <w:div w:id="1423258986">
      <w:bodyDiv w:val="1"/>
      <w:marLeft w:val="0"/>
      <w:marRight w:val="0"/>
      <w:marTop w:val="0"/>
      <w:marBottom w:val="0"/>
      <w:divBdr>
        <w:top w:val="none" w:sz="0" w:space="0" w:color="auto"/>
        <w:left w:val="none" w:sz="0" w:space="0" w:color="auto"/>
        <w:bottom w:val="none" w:sz="0" w:space="0" w:color="auto"/>
        <w:right w:val="none" w:sz="0" w:space="0" w:color="auto"/>
      </w:divBdr>
    </w:div>
    <w:div w:id="1499426114">
      <w:bodyDiv w:val="1"/>
      <w:marLeft w:val="0"/>
      <w:marRight w:val="0"/>
      <w:marTop w:val="0"/>
      <w:marBottom w:val="0"/>
      <w:divBdr>
        <w:top w:val="none" w:sz="0" w:space="0" w:color="auto"/>
        <w:left w:val="none" w:sz="0" w:space="0" w:color="auto"/>
        <w:bottom w:val="none" w:sz="0" w:space="0" w:color="auto"/>
        <w:right w:val="none" w:sz="0" w:space="0" w:color="auto"/>
      </w:divBdr>
    </w:div>
    <w:div w:id="1502046856">
      <w:bodyDiv w:val="1"/>
      <w:marLeft w:val="0"/>
      <w:marRight w:val="0"/>
      <w:marTop w:val="0"/>
      <w:marBottom w:val="0"/>
      <w:divBdr>
        <w:top w:val="none" w:sz="0" w:space="0" w:color="auto"/>
        <w:left w:val="none" w:sz="0" w:space="0" w:color="auto"/>
        <w:bottom w:val="none" w:sz="0" w:space="0" w:color="auto"/>
        <w:right w:val="none" w:sz="0" w:space="0" w:color="auto"/>
      </w:divBdr>
    </w:div>
    <w:div w:id="1514759913">
      <w:bodyDiv w:val="1"/>
      <w:marLeft w:val="0"/>
      <w:marRight w:val="0"/>
      <w:marTop w:val="0"/>
      <w:marBottom w:val="0"/>
      <w:divBdr>
        <w:top w:val="none" w:sz="0" w:space="0" w:color="auto"/>
        <w:left w:val="none" w:sz="0" w:space="0" w:color="auto"/>
        <w:bottom w:val="none" w:sz="0" w:space="0" w:color="auto"/>
        <w:right w:val="none" w:sz="0" w:space="0" w:color="auto"/>
      </w:divBdr>
    </w:div>
    <w:div w:id="1557664392">
      <w:bodyDiv w:val="1"/>
      <w:marLeft w:val="0"/>
      <w:marRight w:val="0"/>
      <w:marTop w:val="0"/>
      <w:marBottom w:val="0"/>
      <w:divBdr>
        <w:top w:val="none" w:sz="0" w:space="0" w:color="auto"/>
        <w:left w:val="none" w:sz="0" w:space="0" w:color="auto"/>
        <w:bottom w:val="none" w:sz="0" w:space="0" w:color="auto"/>
        <w:right w:val="none" w:sz="0" w:space="0" w:color="auto"/>
      </w:divBdr>
    </w:div>
    <w:div w:id="1571234060">
      <w:bodyDiv w:val="1"/>
      <w:marLeft w:val="0"/>
      <w:marRight w:val="0"/>
      <w:marTop w:val="0"/>
      <w:marBottom w:val="0"/>
      <w:divBdr>
        <w:top w:val="none" w:sz="0" w:space="0" w:color="auto"/>
        <w:left w:val="none" w:sz="0" w:space="0" w:color="auto"/>
        <w:bottom w:val="none" w:sz="0" w:space="0" w:color="auto"/>
        <w:right w:val="none" w:sz="0" w:space="0" w:color="auto"/>
      </w:divBdr>
    </w:div>
    <w:div w:id="1583490826">
      <w:bodyDiv w:val="1"/>
      <w:marLeft w:val="0"/>
      <w:marRight w:val="0"/>
      <w:marTop w:val="0"/>
      <w:marBottom w:val="0"/>
      <w:divBdr>
        <w:top w:val="none" w:sz="0" w:space="0" w:color="auto"/>
        <w:left w:val="none" w:sz="0" w:space="0" w:color="auto"/>
        <w:bottom w:val="none" w:sz="0" w:space="0" w:color="auto"/>
        <w:right w:val="none" w:sz="0" w:space="0" w:color="auto"/>
      </w:divBdr>
    </w:div>
    <w:div w:id="1593247179">
      <w:bodyDiv w:val="1"/>
      <w:marLeft w:val="0"/>
      <w:marRight w:val="0"/>
      <w:marTop w:val="0"/>
      <w:marBottom w:val="0"/>
      <w:divBdr>
        <w:top w:val="none" w:sz="0" w:space="0" w:color="auto"/>
        <w:left w:val="none" w:sz="0" w:space="0" w:color="auto"/>
        <w:bottom w:val="none" w:sz="0" w:space="0" w:color="auto"/>
        <w:right w:val="none" w:sz="0" w:space="0" w:color="auto"/>
      </w:divBdr>
    </w:div>
    <w:div w:id="1619095756">
      <w:bodyDiv w:val="1"/>
      <w:marLeft w:val="0"/>
      <w:marRight w:val="0"/>
      <w:marTop w:val="0"/>
      <w:marBottom w:val="0"/>
      <w:divBdr>
        <w:top w:val="none" w:sz="0" w:space="0" w:color="auto"/>
        <w:left w:val="none" w:sz="0" w:space="0" w:color="auto"/>
        <w:bottom w:val="none" w:sz="0" w:space="0" w:color="auto"/>
        <w:right w:val="none" w:sz="0" w:space="0" w:color="auto"/>
      </w:divBdr>
    </w:div>
    <w:div w:id="1966428297">
      <w:bodyDiv w:val="1"/>
      <w:marLeft w:val="0"/>
      <w:marRight w:val="0"/>
      <w:marTop w:val="0"/>
      <w:marBottom w:val="0"/>
      <w:divBdr>
        <w:top w:val="none" w:sz="0" w:space="0" w:color="auto"/>
        <w:left w:val="none" w:sz="0" w:space="0" w:color="auto"/>
        <w:bottom w:val="none" w:sz="0" w:space="0" w:color="auto"/>
        <w:right w:val="none" w:sz="0" w:space="0" w:color="auto"/>
      </w:divBdr>
    </w:div>
    <w:div w:id="1978873340">
      <w:bodyDiv w:val="1"/>
      <w:marLeft w:val="0"/>
      <w:marRight w:val="0"/>
      <w:marTop w:val="0"/>
      <w:marBottom w:val="0"/>
      <w:divBdr>
        <w:top w:val="none" w:sz="0" w:space="0" w:color="auto"/>
        <w:left w:val="none" w:sz="0" w:space="0" w:color="auto"/>
        <w:bottom w:val="none" w:sz="0" w:space="0" w:color="auto"/>
        <w:right w:val="none" w:sz="0" w:space="0" w:color="auto"/>
      </w:divBdr>
    </w:div>
    <w:div w:id="2123760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11747-014-0403-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676</TotalTime>
  <Pages>9</Pages>
  <Words>5554</Words>
  <Characters>31660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Shailendra Kumar Singh</dc:creator>
  <cp:keywords/>
  <dc:description/>
  <cp:lastModifiedBy>SDI 1084</cp:lastModifiedBy>
  <cp:revision>18</cp:revision>
  <dcterms:created xsi:type="dcterms:W3CDTF">2026-01-17T08:02:00Z</dcterms:created>
  <dcterms:modified xsi:type="dcterms:W3CDTF">2026-01-20T09:48:00Z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a6d98b40-1738-49dd-8912-99051e984ed6</vt:lpwstr>
  </property>
</Properties>
</file>