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A55AB1" w14:textId="408C3D2F" w:rsidR="003701F9" w:rsidRDefault="003701F9" w:rsidP="00980F80">
      <w:pPr>
        <w:spacing w:line="276" w:lineRule="auto"/>
        <w:jc w:val="both"/>
        <w:rPr>
          <w:rFonts w:ascii="Times New Roman" w:hAnsi="Times New Roman" w:cs="Times New Roman"/>
          <w:b/>
          <w:bCs/>
          <w:sz w:val="32"/>
          <w:szCs w:val="32"/>
        </w:rPr>
      </w:pPr>
      <w:r w:rsidRPr="003701F9">
        <w:rPr>
          <w:rFonts w:ascii="Times New Roman" w:hAnsi="Times New Roman" w:cs="Times New Roman"/>
          <w:b/>
          <w:bCs/>
          <w:sz w:val="32"/>
          <w:szCs w:val="32"/>
        </w:rPr>
        <w:t xml:space="preserve">Review Article                    </w:t>
      </w:r>
    </w:p>
    <w:p w14:paraId="5FE3B31B" w14:textId="3A8E92DF" w:rsidR="00980F80" w:rsidRPr="00EC1F3D" w:rsidRDefault="00980F80" w:rsidP="00980F80">
      <w:pPr>
        <w:spacing w:line="276" w:lineRule="auto"/>
        <w:jc w:val="both"/>
        <w:rPr>
          <w:rFonts w:ascii="Times New Roman" w:hAnsi="Times New Roman" w:cs="Times New Roman"/>
          <w:b/>
          <w:bCs/>
          <w:sz w:val="32"/>
          <w:szCs w:val="32"/>
        </w:rPr>
      </w:pPr>
      <w:r w:rsidRPr="00EC1F3D">
        <w:rPr>
          <w:rFonts w:ascii="Times New Roman" w:hAnsi="Times New Roman" w:cs="Times New Roman"/>
          <w:b/>
          <w:bCs/>
          <w:sz w:val="32"/>
          <w:szCs w:val="32"/>
        </w:rPr>
        <w:t>Regional Integration and Sustainable Development in Africa: Comparing ECOWAS and the East African Community</w:t>
      </w:r>
    </w:p>
    <w:p w14:paraId="4DDBC73B" w14:textId="2751C282" w:rsidR="00EC1F3D" w:rsidRDefault="00EC1F3D" w:rsidP="00980F80">
      <w:pPr>
        <w:spacing w:line="276" w:lineRule="auto"/>
        <w:jc w:val="both"/>
        <w:rPr>
          <w:rFonts w:ascii="Times New Roman" w:hAnsi="Times New Roman" w:cs="Times New Roman"/>
        </w:rPr>
      </w:pPr>
    </w:p>
    <w:p w14:paraId="069FCFE5" w14:textId="77777777" w:rsidR="00095E28" w:rsidRPr="00EC1F3D" w:rsidRDefault="00095E28" w:rsidP="00980F80">
      <w:pPr>
        <w:spacing w:line="276" w:lineRule="auto"/>
        <w:jc w:val="both"/>
        <w:rPr>
          <w:rFonts w:ascii="Times New Roman" w:hAnsi="Times New Roman" w:cs="Times New Roman"/>
        </w:rPr>
      </w:pPr>
      <w:bookmarkStart w:id="0" w:name="_GoBack"/>
      <w:bookmarkEnd w:id="0"/>
    </w:p>
    <w:p w14:paraId="33080F28" w14:textId="77777777" w:rsidR="00E8677A" w:rsidRPr="00E8677A" w:rsidRDefault="00E8677A" w:rsidP="00E8677A">
      <w:pPr>
        <w:spacing w:after="0" w:line="276" w:lineRule="auto"/>
        <w:jc w:val="center"/>
        <w:rPr>
          <w:rFonts w:ascii="Times New Roman" w:hAnsi="Times New Roman" w:cs="Times New Roman"/>
          <w:b/>
          <w:bCs/>
        </w:rPr>
      </w:pPr>
      <w:r w:rsidRPr="00E8677A">
        <w:rPr>
          <w:rFonts w:ascii="Times New Roman" w:hAnsi="Times New Roman" w:cs="Times New Roman"/>
          <w:b/>
          <w:bCs/>
        </w:rPr>
        <w:t>Abstract</w:t>
      </w:r>
    </w:p>
    <w:p w14:paraId="6EAFF81E" w14:textId="0D23BEC4" w:rsidR="00E8677A" w:rsidRDefault="00E8677A" w:rsidP="00E8677A">
      <w:pPr>
        <w:spacing w:line="360" w:lineRule="auto"/>
        <w:jc w:val="both"/>
        <w:rPr>
          <w:rFonts w:ascii="Times New Roman" w:hAnsi="Times New Roman" w:cs="Times New Roman"/>
        </w:rPr>
      </w:pPr>
      <w:r w:rsidRPr="00E8677A">
        <w:rPr>
          <w:rFonts w:ascii="Times New Roman" w:hAnsi="Times New Roman" w:cs="Times New Roman"/>
        </w:rPr>
        <w:t>This study examines how regional integration in Africa contributes to sustainable development, comparing the Economic Community of West African States (ECOWAS) and the East African Community (EAC). It argues that while both regional blocs aim to enhance market access, institutional cooperation, and political coordination, they differ significantly in structure, implementation capacity, and sectoral priorities. The analysis draws on a qualitative synthesis of peer-reviewed literature, policy reports and institutional documents, selected through Boolean search techniques applied to databases</w:t>
      </w:r>
      <w:r>
        <w:rPr>
          <w:rFonts w:ascii="Times New Roman" w:hAnsi="Times New Roman" w:cs="Times New Roman"/>
        </w:rPr>
        <w:t xml:space="preserve">. </w:t>
      </w:r>
      <w:r w:rsidRPr="00E8677A">
        <w:rPr>
          <w:rFonts w:ascii="Times New Roman" w:hAnsi="Times New Roman" w:cs="Times New Roman"/>
        </w:rPr>
        <w:t>The evidence is grouped thematically to assess how integration affects trade performance, border governance, sectoral coordination, and institutional credibility.</w:t>
      </w:r>
      <w:r>
        <w:rPr>
          <w:rFonts w:ascii="Times New Roman" w:hAnsi="Times New Roman" w:cs="Times New Roman"/>
        </w:rPr>
        <w:t xml:space="preserve"> </w:t>
      </w:r>
      <w:r w:rsidRPr="00E8677A">
        <w:rPr>
          <w:rFonts w:ascii="Times New Roman" w:hAnsi="Times New Roman" w:cs="Times New Roman"/>
        </w:rPr>
        <w:t>Findings suggest that the EAC demonstrates greater progress in trade facilitation and value chain integration, while ECOWAS shows stronger institutional coordination in energy and political stability. However, both regions face constraints including weak infrastructure, governance gaps, and multi-membership complications. The study emphasizes that integration outcomes depend not just on formal agreements but on implementation, institutional legitimacy, and policy coherence across sectors. Sustainable development pathways emerge more clearly where integration supports sector coordination, value addition, and inclusive governance frameworks. The paper concludes that meaningful regional development requires both structural reforms and credible institutions to translate regional aspirations into tangible benefits.</w:t>
      </w:r>
    </w:p>
    <w:p w14:paraId="38E93C72" w14:textId="60153919" w:rsidR="00E8677A" w:rsidRPr="00E8677A" w:rsidRDefault="00E8677A" w:rsidP="00E8677A">
      <w:pPr>
        <w:jc w:val="both"/>
        <w:rPr>
          <w:rFonts w:ascii="Times New Roman" w:hAnsi="Times New Roman" w:cs="Times New Roman"/>
        </w:rPr>
      </w:pPr>
      <w:r w:rsidRPr="00E8677A">
        <w:rPr>
          <w:rFonts w:ascii="Times New Roman" w:hAnsi="Times New Roman" w:cs="Times New Roman"/>
          <w:b/>
          <w:bCs/>
        </w:rPr>
        <w:t>Keywords:</w:t>
      </w:r>
      <w:r w:rsidRPr="00E8677A">
        <w:rPr>
          <w:rFonts w:ascii="Times New Roman" w:hAnsi="Times New Roman" w:cs="Times New Roman"/>
        </w:rPr>
        <w:t xml:space="preserve"> Regional </w:t>
      </w:r>
      <w:r>
        <w:rPr>
          <w:rFonts w:ascii="Times New Roman" w:hAnsi="Times New Roman" w:cs="Times New Roman"/>
        </w:rPr>
        <w:t>i</w:t>
      </w:r>
      <w:r w:rsidRPr="00E8677A">
        <w:rPr>
          <w:rFonts w:ascii="Times New Roman" w:hAnsi="Times New Roman" w:cs="Times New Roman"/>
        </w:rPr>
        <w:t xml:space="preserve">ntegration, </w:t>
      </w:r>
      <w:r>
        <w:rPr>
          <w:rFonts w:ascii="Times New Roman" w:hAnsi="Times New Roman" w:cs="Times New Roman"/>
        </w:rPr>
        <w:t>s</w:t>
      </w:r>
      <w:r w:rsidRPr="00E8677A">
        <w:rPr>
          <w:rFonts w:ascii="Times New Roman" w:hAnsi="Times New Roman" w:cs="Times New Roman"/>
        </w:rPr>
        <w:t xml:space="preserve">ustainable </w:t>
      </w:r>
      <w:r>
        <w:rPr>
          <w:rFonts w:ascii="Times New Roman" w:hAnsi="Times New Roman" w:cs="Times New Roman"/>
        </w:rPr>
        <w:t>d</w:t>
      </w:r>
      <w:r w:rsidRPr="00E8677A">
        <w:rPr>
          <w:rFonts w:ascii="Times New Roman" w:hAnsi="Times New Roman" w:cs="Times New Roman"/>
        </w:rPr>
        <w:t xml:space="preserve">evelopment, ECOWAS, East African Community (EAC), Trade </w:t>
      </w:r>
      <w:r>
        <w:rPr>
          <w:rFonts w:ascii="Times New Roman" w:hAnsi="Times New Roman" w:cs="Times New Roman"/>
        </w:rPr>
        <w:t>f</w:t>
      </w:r>
      <w:r w:rsidRPr="00E8677A">
        <w:rPr>
          <w:rFonts w:ascii="Times New Roman" w:hAnsi="Times New Roman" w:cs="Times New Roman"/>
        </w:rPr>
        <w:t>acilitation</w:t>
      </w:r>
    </w:p>
    <w:p w14:paraId="0FD55C63" w14:textId="175BE3DA" w:rsidR="00980F80" w:rsidRPr="00980F80" w:rsidRDefault="00C22A27" w:rsidP="008B6F74">
      <w:pPr>
        <w:spacing w:line="240" w:lineRule="auto"/>
        <w:jc w:val="both"/>
        <w:rPr>
          <w:rFonts w:ascii="Times New Roman" w:hAnsi="Times New Roman" w:cs="Times New Roman"/>
          <w:b/>
          <w:bCs/>
        </w:rPr>
      </w:pPr>
      <w:r>
        <w:rPr>
          <w:rFonts w:ascii="Times New Roman" w:hAnsi="Times New Roman" w:cs="Times New Roman"/>
          <w:b/>
          <w:bCs/>
        </w:rPr>
        <w:t xml:space="preserve">1 </w:t>
      </w:r>
      <w:r w:rsidR="00980F80" w:rsidRPr="00980F80">
        <w:rPr>
          <w:rFonts w:ascii="Times New Roman" w:hAnsi="Times New Roman" w:cs="Times New Roman"/>
          <w:b/>
          <w:bCs/>
        </w:rPr>
        <w:t>Introduction</w:t>
      </w:r>
    </w:p>
    <w:p w14:paraId="0745FB24" w14:textId="77777777" w:rsidR="00980F80" w:rsidRPr="00980F80" w:rsidRDefault="00980F80" w:rsidP="00980F80">
      <w:pPr>
        <w:spacing w:line="360" w:lineRule="auto"/>
        <w:jc w:val="both"/>
        <w:rPr>
          <w:rFonts w:ascii="Times New Roman" w:hAnsi="Times New Roman" w:cs="Times New Roman"/>
        </w:rPr>
      </w:pPr>
      <w:r w:rsidRPr="00980F80">
        <w:rPr>
          <w:rFonts w:ascii="Times New Roman" w:hAnsi="Times New Roman" w:cs="Times New Roman"/>
        </w:rPr>
        <w:t xml:space="preserve">Regional integration remains one of the most persistent strategies African states use to expand markets, reduce vulnerability to external shocks, and build collective capacity for development. Yet integration is not only about lowering tariffs or signing protocols. It also shapes whether countries can coordinate infrastructure, manage shared natural resources, attract investment into </w:t>
      </w:r>
      <w:r w:rsidRPr="00980F80">
        <w:rPr>
          <w:rFonts w:ascii="Times New Roman" w:hAnsi="Times New Roman" w:cs="Times New Roman"/>
        </w:rPr>
        <w:lastRenderedPageBreak/>
        <w:t>productive sectors, and build regional rules that support social inclusion and environmental protection. In this sense, the integration agenda increasingly overlaps with sustainable development, because the real test is whether regional blocs generate livelihoods, strengthen resilience, and reduce structural constraints that keep member states dependent on primary commodities and fragmented markets (</w:t>
      </w:r>
      <w:proofErr w:type="spellStart"/>
      <w:r w:rsidRPr="00980F80">
        <w:rPr>
          <w:rFonts w:ascii="Times New Roman" w:hAnsi="Times New Roman" w:cs="Times New Roman"/>
        </w:rPr>
        <w:t>Djeghar</w:t>
      </w:r>
      <w:proofErr w:type="spellEnd"/>
      <w:r w:rsidRPr="00980F80">
        <w:rPr>
          <w:rFonts w:ascii="Times New Roman" w:hAnsi="Times New Roman" w:cs="Times New Roman"/>
        </w:rPr>
        <w:t>, 2023; Kidane, 2018; Habeenzu, 2023).</w:t>
      </w:r>
    </w:p>
    <w:p w14:paraId="22C037E5" w14:textId="77777777" w:rsidR="00980F80" w:rsidRPr="00980F80" w:rsidRDefault="00980F80" w:rsidP="00980F80">
      <w:pPr>
        <w:spacing w:line="360" w:lineRule="auto"/>
        <w:jc w:val="both"/>
        <w:rPr>
          <w:rFonts w:ascii="Times New Roman" w:hAnsi="Times New Roman" w:cs="Times New Roman"/>
        </w:rPr>
      </w:pPr>
      <w:r w:rsidRPr="00980F80">
        <w:rPr>
          <w:rFonts w:ascii="Times New Roman" w:hAnsi="Times New Roman" w:cs="Times New Roman"/>
        </w:rPr>
        <w:t xml:space="preserve">This paper compares ECOWAS and the East African Community because the two blocs illustrate different paths and tempos of integration, and they face different political economy constraints. The EAC is often discussed as a relatively deeper integration project with ambitious institutional development and a strong focus on trade logistics and regional value chains, even while internal asymmetries remain significant (Krantz, 2025; </w:t>
      </w:r>
      <w:proofErr w:type="spellStart"/>
      <w:r w:rsidRPr="00980F80">
        <w:rPr>
          <w:rFonts w:ascii="Times New Roman" w:hAnsi="Times New Roman" w:cs="Times New Roman"/>
        </w:rPr>
        <w:t>Kansaye</w:t>
      </w:r>
      <w:proofErr w:type="spellEnd"/>
      <w:r w:rsidRPr="00980F80">
        <w:rPr>
          <w:rFonts w:ascii="Times New Roman" w:hAnsi="Times New Roman" w:cs="Times New Roman"/>
        </w:rPr>
        <w:t xml:space="preserve">, 2025; </w:t>
      </w:r>
      <w:proofErr w:type="spellStart"/>
      <w:r w:rsidRPr="00980F80">
        <w:rPr>
          <w:rFonts w:ascii="Times New Roman" w:hAnsi="Times New Roman" w:cs="Times New Roman"/>
        </w:rPr>
        <w:t>Shinyekwa</w:t>
      </w:r>
      <w:proofErr w:type="spellEnd"/>
      <w:r w:rsidRPr="00980F80">
        <w:rPr>
          <w:rFonts w:ascii="Times New Roman" w:hAnsi="Times New Roman" w:cs="Times New Roman"/>
        </w:rPr>
        <w:t xml:space="preserve">, 2015). ECOWAS, by contrast, combines economic integration aims with a heavy security and political coordination mandate, but it struggles with implementation gaps, overlapping memberships, and uneven institutional effectiveness across member states (Deme, 1995; </w:t>
      </w:r>
      <w:proofErr w:type="spellStart"/>
      <w:r w:rsidRPr="00980F80">
        <w:rPr>
          <w:rFonts w:ascii="Times New Roman" w:hAnsi="Times New Roman" w:cs="Times New Roman"/>
        </w:rPr>
        <w:t>Oshota</w:t>
      </w:r>
      <w:proofErr w:type="spellEnd"/>
      <w:r w:rsidRPr="00980F80">
        <w:rPr>
          <w:rFonts w:ascii="Times New Roman" w:hAnsi="Times New Roman" w:cs="Times New Roman"/>
        </w:rPr>
        <w:t xml:space="preserve"> and Wahab, 2022; </w:t>
      </w:r>
      <w:proofErr w:type="spellStart"/>
      <w:r w:rsidRPr="00980F80">
        <w:rPr>
          <w:rFonts w:ascii="Times New Roman" w:hAnsi="Times New Roman" w:cs="Times New Roman"/>
        </w:rPr>
        <w:t>Afesorgbor</w:t>
      </w:r>
      <w:proofErr w:type="spellEnd"/>
      <w:r w:rsidRPr="00980F80">
        <w:rPr>
          <w:rFonts w:ascii="Times New Roman" w:hAnsi="Times New Roman" w:cs="Times New Roman"/>
        </w:rPr>
        <w:t xml:space="preserve"> and van </w:t>
      </w:r>
      <w:proofErr w:type="spellStart"/>
      <w:r w:rsidRPr="00980F80">
        <w:rPr>
          <w:rFonts w:ascii="Times New Roman" w:hAnsi="Times New Roman" w:cs="Times New Roman"/>
        </w:rPr>
        <w:t>Bergeijk</w:t>
      </w:r>
      <w:proofErr w:type="spellEnd"/>
      <w:r w:rsidRPr="00980F80">
        <w:rPr>
          <w:rFonts w:ascii="Times New Roman" w:hAnsi="Times New Roman" w:cs="Times New Roman"/>
        </w:rPr>
        <w:t>, 2011). Understanding how these differences translate into sustainable development outcomes requires moving beyond formal commitments to what is actually implemented and experienced across borders.</w:t>
      </w:r>
    </w:p>
    <w:p w14:paraId="432D1F49" w14:textId="73F239A3" w:rsidR="00980F80" w:rsidRPr="00980F80" w:rsidRDefault="00980F80" w:rsidP="00980F80">
      <w:pPr>
        <w:spacing w:line="360" w:lineRule="auto"/>
        <w:jc w:val="both"/>
        <w:rPr>
          <w:rFonts w:ascii="Times New Roman" w:hAnsi="Times New Roman" w:cs="Times New Roman"/>
        </w:rPr>
      </w:pPr>
      <w:r w:rsidRPr="00980F80">
        <w:rPr>
          <w:rFonts w:ascii="Times New Roman" w:hAnsi="Times New Roman" w:cs="Times New Roman"/>
        </w:rPr>
        <w:t xml:space="preserve">The comparative focus also matters because integration outcomes are shaped by transaction costs, border governance, and the credibility of common rules. Evidence from the EAC shows that customs unions and trade agreements can create trade, but effects vary by period, product composition, and the extent to which </w:t>
      </w:r>
      <w:r w:rsidR="00B15E94" w:rsidRPr="00980F80">
        <w:rPr>
          <w:rFonts w:ascii="Times New Roman" w:hAnsi="Times New Roman" w:cs="Times New Roman"/>
        </w:rPr>
        <w:t>non-tariff</w:t>
      </w:r>
      <w:r w:rsidRPr="00980F80">
        <w:rPr>
          <w:rFonts w:ascii="Times New Roman" w:hAnsi="Times New Roman" w:cs="Times New Roman"/>
        </w:rPr>
        <w:t xml:space="preserve"> barriers and trade costs are reduced in practice (</w:t>
      </w:r>
      <w:proofErr w:type="spellStart"/>
      <w:r w:rsidRPr="00980F80">
        <w:rPr>
          <w:rFonts w:ascii="Times New Roman" w:hAnsi="Times New Roman" w:cs="Times New Roman"/>
        </w:rPr>
        <w:t>Buigut</w:t>
      </w:r>
      <w:proofErr w:type="spellEnd"/>
      <w:r w:rsidRPr="00980F80">
        <w:rPr>
          <w:rFonts w:ascii="Times New Roman" w:hAnsi="Times New Roman" w:cs="Times New Roman"/>
        </w:rPr>
        <w:t xml:space="preserve">, 2012; </w:t>
      </w:r>
      <w:proofErr w:type="spellStart"/>
      <w:r w:rsidRPr="00980F80">
        <w:rPr>
          <w:rFonts w:ascii="Times New Roman" w:hAnsi="Times New Roman" w:cs="Times New Roman"/>
        </w:rPr>
        <w:t>Shinyekwa</w:t>
      </w:r>
      <w:proofErr w:type="spellEnd"/>
      <w:r w:rsidRPr="00980F80">
        <w:rPr>
          <w:rFonts w:ascii="Times New Roman" w:hAnsi="Times New Roman" w:cs="Times New Roman"/>
        </w:rPr>
        <w:t xml:space="preserve">, 2015; </w:t>
      </w:r>
      <w:proofErr w:type="spellStart"/>
      <w:r w:rsidRPr="00980F80">
        <w:rPr>
          <w:rFonts w:ascii="Times New Roman" w:hAnsi="Times New Roman" w:cs="Times New Roman"/>
        </w:rPr>
        <w:t>Umulisa</w:t>
      </w:r>
      <w:proofErr w:type="spellEnd"/>
      <w:r w:rsidRPr="00980F80">
        <w:rPr>
          <w:rFonts w:ascii="Times New Roman" w:hAnsi="Times New Roman" w:cs="Times New Roman"/>
        </w:rPr>
        <w:t xml:space="preserve">, 2020). More recent work suggests that trade performance in the EAC cannot be understood only through tariffs, since value chain integration, rules of origin, and logistics infrastructure strongly determine whether firms can compete regionally and globally (Krantz, 2025; </w:t>
      </w:r>
      <w:proofErr w:type="spellStart"/>
      <w:r w:rsidRPr="00980F80">
        <w:rPr>
          <w:rFonts w:ascii="Times New Roman" w:hAnsi="Times New Roman" w:cs="Times New Roman"/>
        </w:rPr>
        <w:t>Olyanga</w:t>
      </w:r>
      <w:proofErr w:type="spellEnd"/>
      <w:r w:rsidRPr="00980F80">
        <w:rPr>
          <w:rFonts w:ascii="Times New Roman" w:hAnsi="Times New Roman" w:cs="Times New Roman"/>
        </w:rPr>
        <w:t xml:space="preserve"> et al., 2022</w:t>
      </w:r>
      <w:r w:rsidR="00804DF4">
        <w:rPr>
          <w:rFonts w:ascii="Times New Roman" w:hAnsi="Times New Roman" w:cs="Times New Roman"/>
        </w:rPr>
        <w:t>a</w:t>
      </w:r>
      <w:r w:rsidRPr="00980F80">
        <w:rPr>
          <w:rFonts w:ascii="Times New Roman" w:hAnsi="Times New Roman" w:cs="Times New Roman"/>
        </w:rPr>
        <w:t xml:space="preserve">; </w:t>
      </w:r>
      <w:proofErr w:type="spellStart"/>
      <w:r w:rsidRPr="00980F80">
        <w:rPr>
          <w:rFonts w:ascii="Times New Roman" w:hAnsi="Times New Roman" w:cs="Times New Roman"/>
        </w:rPr>
        <w:t>Ticku</w:t>
      </w:r>
      <w:proofErr w:type="spellEnd"/>
      <w:r w:rsidRPr="00980F80">
        <w:rPr>
          <w:rFonts w:ascii="Times New Roman" w:hAnsi="Times New Roman" w:cs="Times New Roman"/>
        </w:rPr>
        <w:t xml:space="preserve"> et al., 2025). For ECOWAS, long run evidence points to persistent structural barriers to intraregional trade, with institutional quality and facilitation policies emerging as key constraints and levers (Deme, 1995; </w:t>
      </w:r>
      <w:proofErr w:type="spellStart"/>
      <w:r w:rsidRPr="00980F80">
        <w:rPr>
          <w:rFonts w:ascii="Times New Roman" w:hAnsi="Times New Roman" w:cs="Times New Roman"/>
        </w:rPr>
        <w:t>Oshota</w:t>
      </w:r>
      <w:proofErr w:type="spellEnd"/>
      <w:r w:rsidRPr="00980F80">
        <w:rPr>
          <w:rFonts w:ascii="Times New Roman" w:hAnsi="Times New Roman" w:cs="Times New Roman"/>
        </w:rPr>
        <w:t xml:space="preserve"> and Wahab, 2022; Shuaibu and Mamman, 2025).</w:t>
      </w:r>
    </w:p>
    <w:p w14:paraId="35161E38" w14:textId="569B1620" w:rsidR="00980F80" w:rsidRDefault="00980F80" w:rsidP="00980F80">
      <w:pPr>
        <w:spacing w:line="360" w:lineRule="auto"/>
        <w:jc w:val="both"/>
        <w:rPr>
          <w:rFonts w:ascii="Times New Roman" w:hAnsi="Times New Roman" w:cs="Times New Roman"/>
        </w:rPr>
      </w:pPr>
      <w:r w:rsidRPr="00980F80">
        <w:rPr>
          <w:rFonts w:ascii="Times New Roman" w:hAnsi="Times New Roman" w:cs="Times New Roman"/>
        </w:rPr>
        <w:t xml:space="preserve">Finally, the sustainable development lens forces attention to the broader regional governance architecture, including parliaments, courts, and sectoral policy coordination. Regional institutions can help balance economic growth with social and environmental objectives, but they also face </w:t>
      </w:r>
      <w:r w:rsidRPr="00980F80">
        <w:rPr>
          <w:rFonts w:ascii="Times New Roman" w:hAnsi="Times New Roman" w:cs="Times New Roman"/>
        </w:rPr>
        <w:lastRenderedPageBreak/>
        <w:t>legitimacy, compliance, and enforcement problems. Comparative scholarship highlights that regional legal and parliamentary bodies can shape integration quality, policy continuity, and development outcomes, even when economic integration is incomplete (</w:t>
      </w:r>
      <w:proofErr w:type="spellStart"/>
      <w:r w:rsidRPr="00980F80">
        <w:rPr>
          <w:rFonts w:ascii="Times New Roman" w:hAnsi="Times New Roman" w:cs="Times New Roman"/>
        </w:rPr>
        <w:t>Jancic</w:t>
      </w:r>
      <w:proofErr w:type="spellEnd"/>
      <w:r w:rsidRPr="00980F80">
        <w:rPr>
          <w:rFonts w:ascii="Times New Roman" w:hAnsi="Times New Roman" w:cs="Times New Roman"/>
        </w:rPr>
        <w:t xml:space="preserve">, 2019; </w:t>
      </w:r>
      <w:proofErr w:type="spellStart"/>
      <w:r w:rsidRPr="00980F80">
        <w:rPr>
          <w:rFonts w:ascii="Times New Roman" w:hAnsi="Times New Roman" w:cs="Times New Roman"/>
        </w:rPr>
        <w:t>Gonza</w:t>
      </w:r>
      <w:proofErr w:type="spellEnd"/>
      <w:r w:rsidRPr="00980F80">
        <w:rPr>
          <w:rFonts w:ascii="Times New Roman" w:hAnsi="Times New Roman" w:cs="Times New Roman"/>
        </w:rPr>
        <w:t>, 2025). In the African context, integration is further complicated by multi membership patterns and competing regional commitments that dilute policy focus and administrative capacity (</w:t>
      </w:r>
      <w:proofErr w:type="spellStart"/>
      <w:r w:rsidRPr="00980F80">
        <w:rPr>
          <w:rFonts w:ascii="Times New Roman" w:hAnsi="Times New Roman" w:cs="Times New Roman"/>
        </w:rPr>
        <w:t>Afesorgbor</w:t>
      </w:r>
      <w:proofErr w:type="spellEnd"/>
      <w:r w:rsidRPr="00980F80">
        <w:rPr>
          <w:rFonts w:ascii="Times New Roman" w:hAnsi="Times New Roman" w:cs="Times New Roman"/>
        </w:rPr>
        <w:t xml:space="preserve"> and van </w:t>
      </w:r>
      <w:proofErr w:type="spellStart"/>
      <w:r w:rsidRPr="00980F80">
        <w:rPr>
          <w:rFonts w:ascii="Times New Roman" w:hAnsi="Times New Roman" w:cs="Times New Roman"/>
        </w:rPr>
        <w:t>Bergeijk</w:t>
      </w:r>
      <w:proofErr w:type="spellEnd"/>
      <w:r w:rsidRPr="00980F80">
        <w:rPr>
          <w:rFonts w:ascii="Times New Roman" w:hAnsi="Times New Roman" w:cs="Times New Roman"/>
        </w:rPr>
        <w:t>, 2011; Kidane, 2018). This paper therefore examines how ECOWAS and the EAC differ in institutional depth, trade integration performance and sectoral pathways that link integration to sustainable development.</w:t>
      </w:r>
    </w:p>
    <w:p w14:paraId="040E9F04" w14:textId="6D6EB20B" w:rsidR="00C22A27" w:rsidRPr="00C22A27" w:rsidRDefault="00C22A27" w:rsidP="00C22A27">
      <w:pPr>
        <w:spacing w:after="0" w:line="360" w:lineRule="auto"/>
        <w:jc w:val="both"/>
        <w:rPr>
          <w:rFonts w:ascii="Times New Roman" w:hAnsi="Times New Roman" w:cs="Times New Roman"/>
          <w:b/>
          <w:bCs/>
        </w:rPr>
      </w:pPr>
      <w:r>
        <w:rPr>
          <w:rFonts w:ascii="Times New Roman" w:hAnsi="Times New Roman" w:cs="Times New Roman"/>
          <w:b/>
          <w:bCs/>
        </w:rPr>
        <w:t xml:space="preserve">2 </w:t>
      </w:r>
      <w:r w:rsidRPr="00C22A27">
        <w:rPr>
          <w:rFonts w:ascii="Times New Roman" w:hAnsi="Times New Roman" w:cs="Times New Roman"/>
          <w:b/>
          <w:bCs/>
        </w:rPr>
        <w:t>Methodology</w:t>
      </w:r>
    </w:p>
    <w:p w14:paraId="01E36964" w14:textId="30A3B747" w:rsidR="00C22A27" w:rsidRPr="00C22A27" w:rsidRDefault="00C22A27" w:rsidP="00C22A27">
      <w:pPr>
        <w:spacing w:line="360" w:lineRule="auto"/>
        <w:jc w:val="both"/>
        <w:rPr>
          <w:rFonts w:ascii="Times New Roman" w:hAnsi="Times New Roman" w:cs="Times New Roman"/>
        </w:rPr>
      </w:pPr>
      <w:r w:rsidRPr="00C22A27">
        <w:rPr>
          <w:rFonts w:ascii="Times New Roman" w:hAnsi="Times New Roman" w:cs="Times New Roman"/>
        </w:rPr>
        <w:t>This paper adopts a qualitative comparative approach grounded in a structured review of peer-reviewed literature, policy documents, and regional institutional reports related to ECOWAS and the East African Community (EAC). To ensure comprehensive and targeted coverage, Boolean search techniques were applied across major academic databases, including JSTOR, Scopus, ScienceDirect, and Google Scholar. Search strings combined terms such as "ECOWAS" and "regional integration" and "sustainable development," as well as "EAC" or "East African Community" and "trade facilitation" or "value chains." Additional queries included combinations like "institutional quality" and "ECOWAS or EAC" and "economic growth," and "African regional blocs" and "governance or implementation challenges."</w:t>
      </w:r>
      <w:r>
        <w:rPr>
          <w:rFonts w:ascii="Times New Roman" w:hAnsi="Times New Roman" w:cs="Times New Roman"/>
        </w:rPr>
        <w:t xml:space="preserve"> </w:t>
      </w:r>
      <w:r w:rsidRPr="00C22A27">
        <w:rPr>
          <w:rFonts w:ascii="Times New Roman" w:hAnsi="Times New Roman" w:cs="Times New Roman"/>
        </w:rPr>
        <w:t>The search was restricted to literature published between 2000 and 2025 to reflect contemporary trends under the Sustainable Development Goals (SDGs) framework. Sources were selected based on thematic relevance, geographic focus, and the presence of comparative or empirical content. Cross-referencing techniques were used to identify additional sector-specific insights related to energy, land use, trade logistics, migration, and institutional mechanisms. This study does not involve new fieldwork but instead synthesizes existing empirical findings and institutional evaluations to draw comparative insights on integration effectiveness and sustainable development impact. A narrative synthesis strategy was used to group evidence by thematic areas and to assess structural, institutional, and policy variations across the two blocs.</w:t>
      </w:r>
    </w:p>
    <w:p w14:paraId="2C9216FF" w14:textId="68A83431" w:rsidR="00980F80" w:rsidRPr="00980F80" w:rsidRDefault="00C22A27" w:rsidP="008B6F74">
      <w:pPr>
        <w:spacing w:after="0" w:line="360" w:lineRule="auto"/>
        <w:jc w:val="both"/>
        <w:rPr>
          <w:rFonts w:ascii="Times New Roman" w:hAnsi="Times New Roman" w:cs="Times New Roman"/>
          <w:b/>
          <w:bCs/>
        </w:rPr>
      </w:pPr>
      <w:r>
        <w:rPr>
          <w:rFonts w:ascii="Times New Roman" w:hAnsi="Times New Roman" w:cs="Times New Roman"/>
          <w:b/>
          <w:bCs/>
        </w:rPr>
        <w:t>3</w:t>
      </w:r>
      <w:r w:rsidR="00980F80" w:rsidRPr="00980F80">
        <w:rPr>
          <w:rFonts w:ascii="Times New Roman" w:hAnsi="Times New Roman" w:cs="Times New Roman"/>
          <w:b/>
          <w:bCs/>
        </w:rPr>
        <w:t xml:space="preserve"> Regional integration and sustainable development</w:t>
      </w:r>
    </w:p>
    <w:p w14:paraId="1F5479F4" w14:textId="77777777" w:rsidR="00C0337F" w:rsidRDefault="00980F80" w:rsidP="00980F80">
      <w:pPr>
        <w:spacing w:line="360" w:lineRule="auto"/>
        <w:jc w:val="both"/>
        <w:rPr>
          <w:rFonts w:ascii="Times New Roman" w:hAnsi="Times New Roman" w:cs="Times New Roman"/>
        </w:rPr>
      </w:pPr>
      <w:r w:rsidRPr="00980F80">
        <w:rPr>
          <w:rFonts w:ascii="Times New Roman" w:hAnsi="Times New Roman" w:cs="Times New Roman"/>
        </w:rPr>
        <w:t xml:space="preserve">Regional integration influences sustainable development through at least three connected channels. The first is market integration, which affects production incentives, firm entry, and the </w:t>
      </w:r>
      <w:r w:rsidRPr="00980F80">
        <w:rPr>
          <w:rFonts w:ascii="Times New Roman" w:hAnsi="Times New Roman" w:cs="Times New Roman"/>
        </w:rPr>
        <w:lastRenderedPageBreak/>
        <w:t>ability to move goods and services across borders at lower cost. The second is governance integration, which shapes whether shared rules, courts, and regional parliaments can reduce uncertainty and strengthen compliance. The third is policy coordination in sectors central to sustainability, including energy, land use, migration governance, and trade related infrastructure. In practical terms, integration becomes development relevant when it changes the everyday costs and risks faced by producers, traders, and households, not just when protocols are signed (</w:t>
      </w:r>
      <w:proofErr w:type="spellStart"/>
      <w:r w:rsidRPr="00980F80">
        <w:rPr>
          <w:rFonts w:ascii="Times New Roman" w:hAnsi="Times New Roman" w:cs="Times New Roman"/>
        </w:rPr>
        <w:t>Djeghar</w:t>
      </w:r>
      <w:proofErr w:type="spellEnd"/>
      <w:r w:rsidRPr="00980F80">
        <w:rPr>
          <w:rFonts w:ascii="Times New Roman" w:hAnsi="Times New Roman" w:cs="Times New Roman"/>
        </w:rPr>
        <w:t xml:space="preserve">, 2023; </w:t>
      </w:r>
      <w:proofErr w:type="spellStart"/>
      <w:r w:rsidRPr="00980F80">
        <w:rPr>
          <w:rFonts w:ascii="Times New Roman" w:hAnsi="Times New Roman" w:cs="Times New Roman"/>
        </w:rPr>
        <w:t>Jancic</w:t>
      </w:r>
      <w:proofErr w:type="spellEnd"/>
      <w:r w:rsidRPr="00980F80">
        <w:rPr>
          <w:rFonts w:ascii="Times New Roman" w:hAnsi="Times New Roman" w:cs="Times New Roman"/>
        </w:rPr>
        <w:t>, 2019; Gonza, 2025; Shuaibu and Mamman, 2025).</w:t>
      </w:r>
    </w:p>
    <w:p w14:paraId="52F1DC05" w14:textId="4EFB7215" w:rsidR="00980F80" w:rsidRPr="00980F80" w:rsidRDefault="00980F80" w:rsidP="00980F80">
      <w:pPr>
        <w:spacing w:line="360" w:lineRule="auto"/>
        <w:jc w:val="both"/>
        <w:rPr>
          <w:rFonts w:ascii="Times New Roman" w:hAnsi="Times New Roman" w:cs="Times New Roman"/>
        </w:rPr>
      </w:pPr>
      <w:r w:rsidRPr="00980F80">
        <w:rPr>
          <w:rFonts w:ascii="Times New Roman" w:hAnsi="Times New Roman" w:cs="Times New Roman"/>
        </w:rPr>
        <w:t xml:space="preserve">A comparative approach is useful because integration is not a single model. It is a political process shaped by power asymmetries, state capacity, and the distribution of perceived gains. Structural constraints such as weak transport corridors, fragmented border governance, narrow export bases, and limited fiscal space can slow integration even when political commitment exists (Kidane, 2018; Habeenzu, 2023). For the EAC, research points to more visible progress in trade and value chain integration, while also emphasizing that uneven industrial bases and differing national priorities complicate the pursuit of a truly common market (Krantz, 2025; </w:t>
      </w:r>
      <w:proofErr w:type="spellStart"/>
      <w:r w:rsidRPr="00980F80">
        <w:rPr>
          <w:rFonts w:ascii="Times New Roman" w:hAnsi="Times New Roman" w:cs="Times New Roman"/>
        </w:rPr>
        <w:t>Kansaye</w:t>
      </w:r>
      <w:proofErr w:type="spellEnd"/>
      <w:r w:rsidRPr="00980F80">
        <w:rPr>
          <w:rFonts w:ascii="Times New Roman" w:hAnsi="Times New Roman" w:cs="Times New Roman"/>
        </w:rPr>
        <w:t xml:space="preserve">, 2025). For ECOWAS, the persistence of high trade costs and weak enforcement capacity often undermines the practical benefits of integration, even where frameworks exist (Deme, 1995; </w:t>
      </w:r>
      <w:proofErr w:type="spellStart"/>
      <w:r w:rsidRPr="00980F80">
        <w:rPr>
          <w:rFonts w:ascii="Times New Roman" w:hAnsi="Times New Roman" w:cs="Times New Roman"/>
        </w:rPr>
        <w:t>Oshota</w:t>
      </w:r>
      <w:proofErr w:type="spellEnd"/>
      <w:r w:rsidRPr="00980F80">
        <w:rPr>
          <w:rFonts w:ascii="Times New Roman" w:hAnsi="Times New Roman" w:cs="Times New Roman"/>
        </w:rPr>
        <w:t xml:space="preserve"> and Wahab, 2022).</w:t>
      </w:r>
    </w:p>
    <w:p w14:paraId="239284E9" w14:textId="058C7907" w:rsidR="00980F80" w:rsidRPr="00980F80" w:rsidRDefault="00C22A27" w:rsidP="00980F80">
      <w:pPr>
        <w:spacing w:line="360" w:lineRule="auto"/>
        <w:jc w:val="both"/>
        <w:rPr>
          <w:rFonts w:ascii="Times New Roman" w:hAnsi="Times New Roman" w:cs="Times New Roman"/>
        </w:rPr>
      </w:pPr>
      <w:r>
        <w:rPr>
          <w:rFonts w:ascii="Times New Roman" w:hAnsi="Times New Roman" w:cs="Times New Roman"/>
        </w:rPr>
        <w:t>The findings</w:t>
      </w:r>
      <w:r w:rsidR="00980F80" w:rsidRPr="00980F80">
        <w:rPr>
          <w:rFonts w:ascii="Times New Roman" w:hAnsi="Times New Roman" w:cs="Times New Roman"/>
        </w:rPr>
        <w:t xml:space="preserve"> </w:t>
      </w:r>
      <w:r w:rsidRPr="00980F80">
        <w:rPr>
          <w:rFonts w:ascii="Times New Roman" w:hAnsi="Times New Roman" w:cs="Times New Roman"/>
        </w:rPr>
        <w:t>use</w:t>
      </w:r>
      <w:r w:rsidR="00980F80" w:rsidRPr="00980F80">
        <w:rPr>
          <w:rFonts w:ascii="Times New Roman" w:hAnsi="Times New Roman" w:cs="Times New Roman"/>
        </w:rPr>
        <w:t xml:space="preserve"> literature</w:t>
      </w:r>
      <w:r>
        <w:rPr>
          <w:rFonts w:ascii="Times New Roman" w:hAnsi="Times New Roman" w:cs="Times New Roman"/>
        </w:rPr>
        <w:t xml:space="preserve"> </w:t>
      </w:r>
      <w:r w:rsidR="00980F80" w:rsidRPr="00980F80">
        <w:rPr>
          <w:rFonts w:ascii="Times New Roman" w:hAnsi="Times New Roman" w:cs="Times New Roman"/>
        </w:rPr>
        <w:t xml:space="preserve">to assess integration outcomes and sustainability pathways rather than to rank one bloc as inherently superior. The guiding logic is that sustainable development requires both economic dynamism and institutional credibility. It also requires that integration reduces vulnerability, for example by strengthening energy security, facilitating resilient food systems, and enabling productive employment. These priorities are visible in sector focused studies on energy sustainability in ECOWAS and on trade, migration, land use, and sustainability in the EAC, which help move the discussion from integration as aspiration to integration as lived outcome (Akinyemi et al., 2019; </w:t>
      </w:r>
      <w:proofErr w:type="spellStart"/>
      <w:r w:rsidR="00980F80" w:rsidRPr="00980F80">
        <w:rPr>
          <w:rFonts w:ascii="Times New Roman" w:hAnsi="Times New Roman" w:cs="Times New Roman"/>
        </w:rPr>
        <w:t>Ename</w:t>
      </w:r>
      <w:proofErr w:type="spellEnd"/>
      <w:r w:rsidR="00980F80" w:rsidRPr="00980F80">
        <w:rPr>
          <w:rFonts w:ascii="Times New Roman" w:hAnsi="Times New Roman" w:cs="Times New Roman"/>
        </w:rPr>
        <w:t xml:space="preserve"> </w:t>
      </w:r>
      <w:proofErr w:type="spellStart"/>
      <w:r w:rsidR="00980F80" w:rsidRPr="00980F80">
        <w:rPr>
          <w:rFonts w:ascii="Times New Roman" w:hAnsi="Times New Roman" w:cs="Times New Roman"/>
        </w:rPr>
        <w:t>Minko</w:t>
      </w:r>
      <w:proofErr w:type="spellEnd"/>
      <w:r w:rsidR="00980F80" w:rsidRPr="00980F80">
        <w:rPr>
          <w:rFonts w:ascii="Times New Roman" w:hAnsi="Times New Roman" w:cs="Times New Roman"/>
        </w:rPr>
        <w:t xml:space="preserve">, 2024; </w:t>
      </w:r>
      <w:proofErr w:type="spellStart"/>
      <w:r w:rsidR="00980F80" w:rsidRPr="00980F80">
        <w:rPr>
          <w:rFonts w:ascii="Times New Roman" w:hAnsi="Times New Roman" w:cs="Times New Roman"/>
        </w:rPr>
        <w:t>Tinta</w:t>
      </w:r>
      <w:proofErr w:type="spellEnd"/>
      <w:r w:rsidR="00980F80" w:rsidRPr="00980F80">
        <w:rPr>
          <w:rFonts w:ascii="Times New Roman" w:hAnsi="Times New Roman" w:cs="Times New Roman"/>
        </w:rPr>
        <w:t xml:space="preserve"> et al., 2018).</w:t>
      </w:r>
    </w:p>
    <w:p w14:paraId="470190FF" w14:textId="645418BA" w:rsidR="00980F80" w:rsidRPr="00980F80" w:rsidRDefault="00C22A27" w:rsidP="008B6F74">
      <w:pPr>
        <w:spacing w:after="0" w:line="360" w:lineRule="auto"/>
        <w:jc w:val="both"/>
        <w:rPr>
          <w:rFonts w:ascii="Times New Roman" w:hAnsi="Times New Roman" w:cs="Times New Roman"/>
          <w:b/>
          <w:bCs/>
        </w:rPr>
      </w:pPr>
      <w:r>
        <w:rPr>
          <w:rFonts w:ascii="Times New Roman" w:hAnsi="Times New Roman" w:cs="Times New Roman"/>
          <w:b/>
          <w:bCs/>
        </w:rPr>
        <w:t>4</w:t>
      </w:r>
      <w:r w:rsidR="00980F80" w:rsidRPr="00980F80">
        <w:rPr>
          <w:rFonts w:ascii="Times New Roman" w:hAnsi="Times New Roman" w:cs="Times New Roman"/>
          <w:b/>
          <w:bCs/>
        </w:rPr>
        <w:t xml:space="preserve"> Structural impediments and political economy constraints in ECOWAS and the EAC</w:t>
      </w:r>
    </w:p>
    <w:p w14:paraId="222462E0" w14:textId="77777777" w:rsidR="00980F80" w:rsidRPr="00980F80" w:rsidRDefault="00980F80" w:rsidP="00980F80">
      <w:pPr>
        <w:spacing w:line="360" w:lineRule="auto"/>
        <w:jc w:val="both"/>
        <w:rPr>
          <w:rFonts w:ascii="Times New Roman" w:hAnsi="Times New Roman" w:cs="Times New Roman"/>
        </w:rPr>
      </w:pPr>
      <w:r w:rsidRPr="00980F80">
        <w:rPr>
          <w:rFonts w:ascii="Times New Roman" w:hAnsi="Times New Roman" w:cs="Times New Roman"/>
        </w:rPr>
        <w:t xml:space="preserve">Both ECOWAS and the EAC operate within structural realities that limit the speed of reintegration across African economies. Key constraints include infrastructure deficits, dependence on a narrow set of commodity exports, and institutional weaknesses that reduce policy continuity. A central point from comparative analysis is that reintegration is not blocked mainly by the idea of </w:t>
      </w:r>
      <w:r w:rsidRPr="00980F80">
        <w:rPr>
          <w:rFonts w:ascii="Times New Roman" w:hAnsi="Times New Roman" w:cs="Times New Roman"/>
        </w:rPr>
        <w:lastRenderedPageBreak/>
        <w:t xml:space="preserve">integration, but by the everyday institutional and logistical frictions that make cross border exchange expensive and uncertain (Kidane, 2018; </w:t>
      </w:r>
      <w:proofErr w:type="spellStart"/>
      <w:r w:rsidRPr="00980F80">
        <w:rPr>
          <w:rFonts w:ascii="Times New Roman" w:hAnsi="Times New Roman" w:cs="Times New Roman"/>
        </w:rPr>
        <w:t>Djeghar</w:t>
      </w:r>
      <w:proofErr w:type="spellEnd"/>
      <w:r w:rsidRPr="00980F80">
        <w:rPr>
          <w:rFonts w:ascii="Times New Roman" w:hAnsi="Times New Roman" w:cs="Times New Roman"/>
        </w:rPr>
        <w:t xml:space="preserve">, 2023; </w:t>
      </w:r>
      <w:proofErr w:type="spellStart"/>
      <w:r w:rsidRPr="00980F80">
        <w:rPr>
          <w:rFonts w:ascii="Times New Roman" w:hAnsi="Times New Roman" w:cs="Times New Roman"/>
        </w:rPr>
        <w:t>Habeenzu</w:t>
      </w:r>
      <w:proofErr w:type="spellEnd"/>
      <w:r w:rsidRPr="00980F80">
        <w:rPr>
          <w:rFonts w:ascii="Times New Roman" w:hAnsi="Times New Roman" w:cs="Times New Roman"/>
        </w:rPr>
        <w:t>, 2023). These frictions are intensified when states face domestic political instability, limited administrative capacity, and fiscal constraints that reduce their ability to implement regional commitments.</w:t>
      </w:r>
    </w:p>
    <w:p w14:paraId="68F1F5DA" w14:textId="77777777" w:rsidR="00980F80" w:rsidRPr="00980F80" w:rsidRDefault="00980F80" w:rsidP="00980F80">
      <w:pPr>
        <w:spacing w:line="360" w:lineRule="auto"/>
        <w:jc w:val="both"/>
        <w:rPr>
          <w:rFonts w:ascii="Times New Roman" w:hAnsi="Times New Roman" w:cs="Times New Roman"/>
        </w:rPr>
      </w:pPr>
      <w:r w:rsidRPr="00980F80">
        <w:rPr>
          <w:rFonts w:ascii="Times New Roman" w:hAnsi="Times New Roman" w:cs="Times New Roman"/>
        </w:rPr>
        <w:t>In ECOWAS, structural constraints are compounded by heterogeneity in economic size and state capacity, and by the fact that the region must balance economic integration with strong political and security pressures. This balance can dilute implementation focus, because urgent political crises often crowd out long horizon economic reforms. Empirical evidence also suggests that institutional quality is not a background variable but a primary determinant of intraregional trade flows, implying that weak governance and inconsistent rule enforcement directly reduce integration benefits (</w:t>
      </w:r>
      <w:proofErr w:type="spellStart"/>
      <w:r w:rsidRPr="00980F80">
        <w:rPr>
          <w:rFonts w:ascii="Times New Roman" w:hAnsi="Times New Roman" w:cs="Times New Roman"/>
        </w:rPr>
        <w:t>Oshota</w:t>
      </w:r>
      <w:proofErr w:type="spellEnd"/>
      <w:r w:rsidRPr="00980F80">
        <w:rPr>
          <w:rFonts w:ascii="Times New Roman" w:hAnsi="Times New Roman" w:cs="Times New Roman"/>
        </w:rPr>
        <w:t xml:space="preserve"> and Wahab, 2022; Shuaibu and Mamman, 2025; Deme, 1995). Multi membership patterns further complicate the picture by spreading limited administrative capacity across multiple regional commitments, weakening effectiveness and creating overlapping rules that can confuse traders and policymakers (</w:t>
      </w:r>
      <w:proofErr w:type="spellStart"/>
      <w:r w:rsidRPr="00980F80">
        <w:rPr>
          <w:rFonts w:ascii="Times New Roman" w:hAnsi="Times New Roman" w:cs="Times New Roman"/>
        </w:rPr>
        <w:t>Afesorgbor</w:t>
      </w:r>
      <w:proofErr w:type="spellEnd"/>
      <w:r w:rsidRPr="00980F80">
        <w:rPr>
          <w:rFonts w:ascii="Times New Roman" w:hAnsi="Times New Roman" w:cs="Times New Roman"/>
        </w:rPr>
        <w:t xml:space="preserve"> and van </w:t>
      </w:r>
      <w:proofErr w:type="spellStart"/>
      <w:r w:rsidRPr="00980F80">
        <w:rPr>
          <w:rFonts w:ascii="Times New Roman" w:hAnsi="Times New Roman" w:cs="Times New Roman"/>
        </w:rPr>
        <w:t>Bergeijk</w:t>
      </w:r>
      <w:proofErr w:type="spellEnd"/>
      <w:r w:rsidRPr="00980F80">
        <w:rPr>
          <w:rFonts w:ascii="Times New Roman" w:hAnsi="Times New Roman" w:cs="Times New Roman"/>
        </w:rPr>
        <w:t>, 2011; Kidane, 2018).</w:t>
      </w:r>
    </w:p>
    <w:p w14:paraId="25719B2B" w14:textId="1D4A9282" w:rsidR="00980F80" w:rsidRPr="00980F80" w:rsidRDefault="00980F80" w:rsidP="00980F80">
      <w:pPr>
        <w:spacing w:line="360" w:lineRule="auto"/>
        <w:jc w:val="both"/>
        <w:rPr>
          <w:rFonts w:ascii="Times New Roman" w:hAnsi="Times New Roman" w:cs="Times New Roman"/>
        </w:rPr>
      </w:pPr>
      <w:r w:rsidRPr="00980F80">
        <w:rPr>
          <w:rFonts w:ascii="Times New Roman" w:hAnsi="Times New Roman" w:cs="Times New Roman"/>
        </w:rPr>
        <w:t>In the EAC, structural impediments appear differently. The bloc shows stronger momentum in trade logistics reforms and value chain-oriented integration, but it still faces uneven industrial structures, distributional tensions, and persistent non-tariff barriers that undermine the promise of a seamless market. Studies of the EAC highlight that formal integration measures do not automatically reduce trade costs, because costs are shaped by infrastructure quality, border management, compliance burdens, and the credibility of common rules (</w:t>
      </w:r>
      <w:proofErr w:type="spellStart"/>
      <w:r w:rsidRPr="00980F80">
        <w:rPr>
          <w:rFonts w:ascii="Times New Roman" w:hAnsi="Times New Roman" w:cs="Times New Roman"/>
        </w:rPr>
        <w:t>Kaminchia</w:t>
      </w:r>
      <w:proofErr w:type="spellEnd"/>
      <w:r w:rsidRPr="00980F80">
        <w:rPr>
          <w:rFonts w:ascii="Times New Roman" w:hAnsi="Times New Roman" w:cs="Times New Roman"/>
        </w:rPr>
        <w:t xml:space="preserve">, 2019; </w:t>
      </w:r>
      <w:proofErr w:type="spellStart"/>
      <w:r w:rsidRPr="00980F80">
        <w:rPr>
          <w:rFonts w:ascii="Times New Roman" w:hAnsi="Times New Roman" w:cs="Times New Roman"/>
        </w:rPr>
        <w:t>Kafeero</w:t>
      </w:r>
      <w:proofErr w:type="spellEnd"/>
      <w:r w:rsidRPr="00980F80">
        <w:rPr>
          <w:rFonts w:ascii="Times New Roman" w:hAnsi="Times New Roman" w:cs="Times New Roman"/>
        </w:rPr>
        <w:t xml:space="preserve">, 2008; Nugent, 2020). The deeper point is that regional integration can advance quickly in legal form while moving slowly in the spaces that matter most for producers and consumers, such as transport corridors, customs practices, and dispute resolution (Ndonga, 2024; </w:t>
      </w:r>
      <w:proofErr w:type="spellStart"/>
      <w:r w:rsidRPr="00980F80">
        <w:rPr>
          <w:rFonts w:ascii="Times New Roman" w:hAnsi="Times New Roman" w:cs="Times New Roman"/>
        </w:rPr>
        <w:t>Kansaye</w:t>
      </w:r>
      <w:proofErr w:type="spellEnd"/>
      <w:r w:rsidRPr="00980F80">
        <w:rPr>
          <w:rFonts w:ascii="Times New Roman" w:hAnsi="Times New Roman" w:cs="Times New Roman"/>
        </w:rPr>
        <w:t xml:space="preserve">, 2025; </w:t>
      </w:r>
      <w:proofErr w:type="spellStart"/>
      <w:r w:rsidRPr="00980F80">
        <w:rPr>
          <w:rFonts w:ascii="Times New Roman" w:hAnsi="Times New Roman" w:cs="Times New Roman"/>
        </w:rPr>
        <w:t>Bünder</w:t>
      </w:r>
      <w:proofErr w:type="spellEnd"/>
      <w:r w:rsidRPr="00980F80">
        <w:rPr>
          <w:rFonts w:ascii="Times New Roman" w:hAnsi="Times New Roman" w:cs="Times New Roman"/>
        </w:rPr>
        <w:t>, 2018).</w:t>
      </w:r>
    </w:p>
    <w:p w14:paraId="125A7479" w14:textId="334FBA58" w:rsidR="00980F80" w:rsidRPr="00980F80" w:rsidRDefault="00C22A27" w:rsidP="008B6F74">
      <w:pPr>
        <w:spacing w:after="0" w:line="360" w:lineRule="auto"/>
        <w:jc w:val="both"/>
        <w:rPr>
          <w:rFonts w:ascii="Times New Roman" w:hAnsi="Times New Roman" w:cs="Times New Roman"/>
          <w:b/>
          <w:bCs/>
        </w:rPr>
      </w:pPr>
      <w:r>
        <w:rPr>
          <w:rFonts w:ascii="Times New Roman" w:hAnsi="Times New Roman" w:cs="Times New Roman"/>
          <w:b/>
          <w:bCs/>
        </w:rPr>
        <w:t>5</w:t>
      </w:r>
      <w:r w:rsidR="00980F80" w:rsidRPr="00980F80">
        <w:rPr>
          <w:rFonts w:ascii="Times New Roman" w:hAnsi="Times New Roman" w:cs="Times New Roman"/>
          <w:b/>
          <w:bCs/>
        </w:rPr>
        <w:t xml:space="preserve"> Trade integration outcomes and market deepening: evidence from the EAC and ECOWAS</w:t>
      </w:r>
    </w:p>
    <w:p w14:paraId="3333141C" w14:textId="77777777" w:rsidR="00980F80" w:rsidRPr="00980F80" w:rsidRDefault="00980F80" w:rsidP="00980F80">
      <w:pPr>
        <w:spacing w:line="360" w:lineRule="auto"/>
        <w:jc w:val="both"/>
        <w:rPr>
          <w:rFonts w:ascii="Times New Roman" w:hAnsi="Times New Roman" w:cs="Times New Roman"/>
        </w:rPr>
      </w:pPr>
      <w:r w:rsidRPr="00980F80">
        <w:rPr>
          <w:rFonts w:ascii="Times New Roman" w:hAnsi="Times New Roman" w:cs="Times New Roman"/>
        </w:rPr>
        <w:t>The EAC has a long record of empirical studies testing whether integration has created trade or diverted it. Gravity model evidence indicates that the EAC regional trade agreement and customs union have supported trade creation effects, although outcomes vary across time and member states and depend on how effectively trade costs and barriers are reduced (</w:t>
      </w:r>
      <w:proofErr w:type="spellStart"/>
      <w:r w:rsidRPr="00980F80">
        <w:rPr>
          <w:rFonts w:ascii="Times New Roman" w:hAnsi="Times New Roman" w:cs="Times New Roman"/>
        </w:rPr>
        <w:t>Shinyekwa</w:t>
      </w:r>
      <w:proofErr w:type="spellEnd"/>
      <w:r w:rsidRPr="00980F80">
        <w:rPr>
          <w:rFonts w:ascii="Times New Roman" w:hAnsi="Times New Roman" w:cs="Times New Roman"/>
        </w:rPr>
        <w:t xml:space="preserve">, 2015; </w:t>
      </w:r>
      <w:proofErr w:type="spellStart"/>
      <w:r w:rsidRPr="00980F80">
        <w:rPr>
          <w:rFonts w:ascii="Times New Roman" w:hAnsi="Times New Roman" w:cs="Times New Roman"/>
        </w:rPr>
        <w:t>Buigut</w:t>
      </w:r>
      <w:proofErr w:type="spellEnd"/>
      <w:r w:rsidRPr="00980F80">
        <w:rPr>
          <w:rFonts w:ascii="Times New Roman" w:hAnsi="Times New Roman" w:cs="Times New Roman"/>
        </w:rPr>
        <w:t xml:space="preserve">, 2012; </w:t>
      </w:r>
      <w:proofErr w:type="spellStart"/>
      <w:r w:rsidRPr="00980F80">
        <w:rPr>
          <w:rFonts w:ascii="Times New Roman" w:hAnsi="Times New Roman" w:cs="Times New Roman"/>
        </w:rPr>
        <w:t>Umulisa</w:t>
      </w:r>
      <w:proofErr w:type="spellEnd"/>
      <w:r w:rsidRPr="00980F80">
        <w:rPr>
          <w:rFonts w:ascii="Times New Roman" w:hAnsi="Times New Roman" w:cs="Times New Roman"/>
        </w:rPr>
        <w:t xml:space="preserve">, 2020). Recent studies revisit EAC performance and continue to find evidence of </w:t>
      </w:r>
      <w:r w:rsidRPr="00980F80">
        <w:rPr>
          <w:rFonts w:ascii="Times New Roman" w:hAnsi="Times New Roman" w:cs="Times New Roman"/>
        </w:rPr>
        <w:lastRenderedPageBreak/>
        <w:t>positive trade effects while emphasizing that policy design and implementation quality matter for sustaining gains (</w:t>
      </w:r>
      <w:proofErr w:type="spellStart"/>
      <w:r w:rsidRPr="00980F80">
        <w:rPr>
          <w:rFonts w:ascii="Times New Roman" w:hAnsi="Times New Roman" w:cs="Times New Roman"/>
        </w:rPr>
        <w:t>Magai</w:t>
      </w:r>
      <w:proofErr w:type="spellEnd"/>
      <w:r w:rsidRPr="00980F80">
        <w:rPr>
          <w:rFonts w:ascii="Times New Roman" w:hAnsi="Times New Roman" w:cs="Times New Roman"/>
        </w:rPr>
        <w:t xml:space="preserve">, 2024; </w:t>
      </w:r>
      <w:proofErr w:type="spellStart"/>
      <w:r w:rsidRPr="00980F80">
        <w:rPr>
          <w:rFonts w:ascii="Times New Roman" w:hAnsi="Times New Roman" w:cs="Times New Roman"/>
        </w:rPr>
        <w:t>Hersi</w:t>
      </w:r>
      <w:proofErr w:type="spellEnd"/>
      <w:r w:rsidRPr="00980F80">
        <w:rPr>
          <w:rFonts w:ascii="Times New Roman" w:hAnsi="Times New Roman" w:cs="Times New Roman"/>
        </w:rPr>
        <w:t>, 2025). This line of evidence supports a practical conclusion: the EAC’s integration efforts have generated measurable market integration, but these benefits remain vulnerable to persistent frictions, uneven competitiveness, and policy inconsistency.</w:t>
      </w:r>
    </w:p>
    <w:p w14:paraId="49973AF5" w14:textId="3A53486C" w:rsidR="00980F80" w:rsidRPr="00980F80" w:rsidRDefault="00980F80" w:rsidP="00980F80">
      <w:pPr>
        <w:spacing w:line="360" w:lineRule="auto"/>
        <w:jc w:val="both"/>
        <w:rPr>
          <w:rFonts w:ascii="Times New Roman" w:hAnsi="Times New Roman" w:cs="Times New Roman"/>
        </w:rPr>
      </w:pPr>
      <w:r w:rsidRPr="00980F80">
        <w:rPr>
          <w:rFonts w:ascii="Times New Roman" w:hAnsi="Times New Roman" w:cs="Times New Roman"/>
        </w:rPr>
        <w:t>Trade outcomes also depend on how common external policies work in practice. Evidence on the EAC common external tariff shows that tariff structures can shape domestic price dynamics and distributional outcomes, which becomes relevant for sustainable development because households and firms experience integration through prices, employment, and access to inputs (</w:t>
      </w:r>
      <w:proofErr w:type="spellStart"/>
      <w:r w:rsidRPr="00980F80">
        <w:rPr>
          <w:rFonts w:ascii="Times New Roman" w:hAnsi="Times New Roman" w:cs="Times New Roman"/>
        </w:rPr>
        <w:t>Mogendi</w:t>
      </w:r>
      <w:proofErr w:type="spellEnd"/>
      <w:r w:rsidRPr="00980F80">
        <w:rPr>
          <w:rFonts w:ascii="Times New Roman" w:hAnsi="Times New Roman" w:cs="Times New Roman"/>
        </w:rPr>
        <w:t xml:space="preserve"> et al., 2023; </w:t>
      </w:r>
      <w:proofErr w:type="spellStart"/>
      <w:r w:rsidRPr="00980F80">
        <w:rPr>
          <w:rFonts w:ascii="Times New Roman" w:hAnsi="Times New Roman" w:cs="Times New Roman"/>
        </w:rPr>
        <w:t>Bünder</w:t>
      </w:r>
      <w:proofErr w:type="spellEnd"/>
      <w:r w:rsidRPr="00980F80">
        <w:rPr>
          <w:rFonts w:ascii="Times New Roman" w:hAnsi="Times New Roman" w:cs="Times New Roman"/>
        </w:rPr>
        <w:t>, 2018). Where sensitive product lists and tariff exceptions persist, the effective common market can become fragmented, and benefits can tilt toward actors with greater administrative or political leverage (</w:t>
      </w:r>
      <w:proofErr w:type="spellStart"/>
      <w:r w:rsidRPr="00980F80">
        <w:rPr>
          <w:rFonts w:ascii="Times New Roman" w:hAnsi="Times New Roman" w:cs="Times New Roman"/>
        </w:rPr>
        <w:t>Shinyekwa</w:t>
      </w:r>
      <w:proofErr w:type="spellEnd"/>
      <w:r w:rsidRPr="00980F80">
        <w:rPr>
          <w:rFonts w:ascii="Times New Roman" w:hAnsi="Times New Roman" w:cs="Times New Roman"/>
        </w:rPr>
        <w:t xml:space="preserve"> and </w:t>
      </w:r>
      <w:proofErr w:type="spellStart"/>
      <w:r w:rsidRPr="00980F80">
        <w:rPr>
          <w:rFonts w:ascii="Times New Roman" w:hAnsi="Times New Roman" w:cs="Times New Roman"/>
        </w:rPr>
        <w:t>Katunze</w:t>
      </w:r>
      <w:proofErr w:type="spellEnd"/>
      <w:r w:rsidRPr="00980F80">
        <w:rPr>
          <w:rFonts w:ascii="Times New Roman" w:hAnsi="Times New Roman" w:cs="Times New Roman"/>
        </w:rPr>
        <w:t xml:space="preserve">, 2016; </w:t>
      </w:r>
      <w:proofErr w:type="spellStart"/>
      <w:r w:rsidRPr="00980F80">
        <w:rPr>
          <w:rFonts w:ascii="Times New Roman" w:hAnsi="Times New Roman" w:cs="Times New Roman"/>
        </w:rPr>
        <w:t>Bünder</w:t>
      </w:r>
      <w:proofErr w:type="spellEnd"/>
      <w:r w:rsidRPr="00980F80">
        <w:rPr>
          <w:rFonts w:ascii="Times New Roman" w:hAnsi="Times New Roman" w:cs="Times New Roman"/>
        </w:rPr>
        <w:t>, 2018). The result is that trade integration performance cannot be evaluated only through aggregate trade volumes, because the composition of trade and the distribution of costs and gains matter for welfare and long-term development.</w:t>
      </w:r>
    </w:p>
    <w:p w14:paraId="49BD991A" w14:textId="77777777" w:rsidR="00980F80" w:rsidRPr="00980F80" w:rsidRDefault="00980F80" w:rsidP="00980F80">
      <w:pPr>
        <w:spacing w:line="360" w:lineRule="auto"/>
        <w:jc w:val="both"/>
        <w:rPr>
          <w:rFonts w:ascii="Times New Roman" w:hAnsi="Times New Roman" w:cs="Times New Roman"/>
        </w:rPr>
      </w:pPr>
      <w:r w:rsidRPr="00980F80">
        <w:rPr>
          <w:rFonts w:ascii="Times New Roman" w:hAnsi="Times New Roman" w:cs="Times New Roman"/>
        </w:rPr>
        <w:t xml:space="preserve">For ECOWAS, the empirical record highlights both aspiration and constraint. Early evidence suggests that ECOWAS has had measurable effects on intraregional trade flows, yet the magnitude and durability of these effects are constrained by persistent trade costs, weak infrastructure, and governance limitations (Deme, 1995; </w:t>
      </w:r>
      <w:proofErr w:type="spellStart"/>
      <w:r w:rsidRPr="00980F80">
        <w:rPr>
          <w:rFonts w:ascii="Times New Roman" w:hAnsi="Times New Roman" w:cs="Times New Roman"/>
        </w:rPr>
        <w:t>Oshota</w:t>
      </w:r>
      <w:proofErr w:type="spellEnd"/>
      <w:r w:rsidRPr="00980F80">
        <w:rPr>
          <w:rFonts w:ascii="Times New Roman" w:hAnsi="Times New Roman" w:cs="Times New Roman"/>
        </w:rPr>
        <w:t xml:space="preserve"> and Wahab, 2022). More recent research strengthens the argument that institutional quality and trade facilitation policies are critical for unlocking integration benefits, implying that ECOWAS’s performance is less about the absence of agreements and more about implementation capacity and credibility (</w:t>
      </w:r>
      <w:proofErr w:type="spellStart"/>
      <w:r w:rsidRPr="00980F80">
        <w:rPr>
          <w:rFonts w:ascii="Times New Roman" w:hAnsi="Times New Roman" w:cs="Times New Roman"/>
        </w:rPr>
        <w:t>Oshota</w:t>
      </w:r>
      <w:proofErr w:type="spellEnd"/>
      <w:r w:rsidRPr="00980F80">
        <w:rPr>
          <w:rFonts w:ascii="Times New Roman" w:hAnsi="Times New Roman" w:cs="Times New Roman"/>
        </w:rPr>
        <w:t xml:space="preserve"> and Wahab, 2022; Shuaibu and Mamman, 2025). The IMF analysis focused on WAEMU also reinforces the idea that intraregional integration gains remain underexploited, suggesting substantial unrealized potential where policies reduce barriers and improve regional connectivity (Hakobyan et al., 2025).</w:t>
      </w:r>
    </w:p>
    <w:p w14:paraId="09A75AF5" w14:textId="7FC8546D" w:rsidR="00980F80" w:rsidRPr="00980F80" w:rsidRDefault="00C22A27" w:rsidP="008B6F74">
      <w:pPr>
        <w:spacing w:line="240" w:lineRule="auto"/>
        <w:jc w:val="both"/>
        <w:rPr>
          <w:rFonts w:ascii="Times New Roman" w:hAnsi="Times New Roman" w:cs="Times New Roman"/>
          <w:b/>
          <w:bCs/>
        </w:rPr>
      </w:pPr>
      <w:r>
        <w:rPr>
          <w:rFonts w:ascii="Times New Roman" w:hAnsi="Times New Roman" w:cs="Times New Roman"/>
          <w:b/>
          <w:bCs/>
        </w:rPr>
        <w:t>6</w:t>
      </w:r>
      <w:r w:rsidR="00980F80" w:rsidRPr="00980F80">
        <w:rPr>
          <w:rFonts w:ascii="Times New Roman" w:hAnsi="Times New Roman" w:cs="Times New Roman"/>
          <w:b/>
          <w:bCs/>
        </w:rPr>
        <w:t xml:space="preserve"> Trade costs, border governance and facilitation: why implementation matters more than declarations</w:t>
      </w:r>
    </w:p>
    <w:p w14:paraId="74591AAE" w14:textId="77777777" w:rsidR="00980F80" w:rsidRPr="00980F80" w:rsidRDefault="00980F80" w:rsidP="00980F80">
      <w:pPr>
        <w:spacing w:line="360" w:lineRule="auto"/>
        <w:jc w:val="both"/>
        <w:rPr>
          <w:rFonts w:ascii="Times New Roman" w:hAnsi="Times New Roman" w:cs="Times New Roman"/>
        </w:rPr>
      </w:pPr>
      <w:r w:rsidRPr="00980F80">
        <w:rPr>
          <w:rFonts w:ascii="Times New Roman" w:hAnsi="Times New Roman" w:cs="Times New Roman"/>
        </w:rPr>
        <w:t>Trade costs are often the silent factor that decides whether integration produces development gains. In the EAC, detailed evidence indicates that trade costs are driven by border procedures, transport infrastructure, regulatory burdens, and administrative inefficiencies, not simply by tariff levels (</w:t>
      </w:r>
      <w:proofErr w:type="spellStart"/>
      <w:r w:rsidRPr="00980F80">
        <w:rPr>
          <w:rFonts w:ascii="Times New Roman" w:hAnsi="Times New Roman" w:cs="Times New Roman"/>
        </w:rPr>
        <w:t>Kaminchia</w:t>
      </w:r>
      <w:proofErr w:type="spellEnd"/>
      <w:r w:rsidRPr="00980F80">
        <w:rPr>
          <w:rFonts w:ascii="Times New Roman" w:hAnsi="Times New Roman" w:cs="Times New Roman"/>
        </w:rPr>
        <w:t xml:space="preserve">, 2019; </w:t>
      </w:r>
      <w:proofErr w:type="spellStart"/>
      <w:r w:rsidRPr="00980F80">
        <w:rPr>
          <w:rFonts w:ascii="Times New Roman" w:hAnsi="Times New Roman" w:cs="Times New Roman"/>
        </w:rPr>
        <w:t>Kafeero</w:t>
      </w:r>
      <w:proofErr w:type="spellEnd"/>
      <w:r w:rsidRPr="00980F80">
        <w:rPr>
          <w:rFonts w:ascii="Times New Roman" w:hAnsi="Times New Roman" w:cs="Times New Roman"/>
        </w:rPr>
        <w:t xml:space="preserve">, 2008). Customs and trade facilitation reforms matter because they </w:t>
      </w:r>
      <w:r w:rsidRPr="00980F80">
        <w:rPr>
          <w:rFonts w:ascii="Times New Roman" w:hAnsi="Times New Roman" w:cs="Times New Roman"/>
        </w:rPr>
        <w:lastRenderedPageBreak/>
        <w:t>determine how quickly goods move, how predictable clearance is, and how costly compliance becomes for small and medium traders. Where facilitation improves, integration shifts from paper to practice, and firms can begin to treat the region as a real production and sales space rather than a set of segmented national markets (</w:t>
      </w:r>
      <w:proofErr w:type="spellStart"/>
      <w:r w:rsidRPr="00980F80">
        <w:rPr>
          <w:rFonts w:ascii="Times New Roman" w:hAnsi="Times New Roman" w:cs="Times New Roman"/>
        </w:rPr>
        <w:t>Kafeero</w:t>
      </w:r>
      <w:proofErr w:type="spellEnd"/>
      <w:r w:rsidRPr="00980F80">
        <w:rPr>
          <w:rFonts w:ascii="Times New Roman" w:hAnsi="Times New Roman" w:cs="Times New Roman"/>
        </w:rPr>
        <w:t xml:space="preserve">, 2008; </w:t>
      </w:r>
      <w:proofErr w:type="spellStart"/>
      <w:r w:rsidRPr="00980F80">
        <w:rPr>
          <w:rFonts w:ascii="Times New Roman" w:hAnsi="Times New Roman" w:cs="Times New Roman"/>
        </w:rPr>
        <w:t>Olyanga</w:t>
      </w:r>
      <w:proofErr w:type="spellEnd"/>
      <w:r w:rsidRPr="00980F80">
        <w:rPr>
          <w:rFonts w:ascii="Times New Roman" w:hAnsi="Times New Roman" w:cs="Times New Roman"/>
        </w:rPr>
        <w:t xml:space="preserve"> et al., 2022).</w:t>
      </w:r>
    </w:p>
    <w:p w14:paraId="19616F76" w14:textId="204C71A5" w:rsidR="00980F80" w:rsidRPr="00980F80" w:rsidRDefault="00980F80" w:rsidP="00980F80">
      <w:pPr>
        <w:spacing w:line="360" w:lineRule="auto"/>
        <w:jc w:val="both"/>
        <w:rPr>
          <w:rFonts w:ascii="Times New Roman" w:hAnsi="Times New Roman" w:cs="Times New Roman"/>
        </w:rPr>
      </w:pPr>
      <w:r w:rsidRPr="00980F80">
        <w:rPr>
          <w:rFonts w:ascii="Times New Roman" w:hAnsi="Times New Roman" w:cs="Times New Roman"/>
        </w:rPr>
        <w:t>One stop border post illustrates both the promise and complexity of facilitation. They are designed to reduce duplication and time costs, but they also become sites of state power, bargaining, and everyday negotiation that can either enable or frustrate trade. The political and institutional character of border spaces matters because reforms require coordination among agencies that may have conflicting incentives and accountability structures (Nugent, 2020; Ndonga, 2024). In this context, the EAC’s facilitation agenda is not only a technical project but a governance project, and success depends on the ability of regional institutions and member states to align incentives, standardize procedures, and sustain compliance over time (</w:t>
      </w:r>
      <w:proofErr w:type="spellStart"/>
      <w:r w:rsidRPr="00980F80">
        <w:rPr>
          <w:rFonts w:ascii="Times New Roman" w:hAnsi="Times New Roman" w:cs="Times New Roman"/>
        </w:rPr>
        <w:t>Kansaye</w:t>
      </w:r>
      <w:proofErr w:type="spellEnd"/>
      <w:r w:rsidRPr="00980F80">
        <w:rPr>
          <w:rFonts w:ascii="Times New Roman" w:hAnsi="Times New Roman" w:cs="Times New Roman"/>
        </w:rPr>
        <w:t xml:space="preserve">, 2025; </w:t>
      </w:r>
      <w:proofErr w:type="spellStart"/>
      <w:r w:rsidRPr="00980F80">
        <w:rPr>
          <w:rFonts w:ascii="Times New Roman" w:hAnsi="Times New Roman" w:cs="Times New Roman"/>
        </w:rPr>
        <w:t>Kafeero</w:t>
      </w:r>
      <w:proofErr w:type="spellEnd"/>
      <w:r w:rsidRPr="00980F80">
        <w:rPr>
          <w:rFonts w:ascii="Times New Roman" w:hAnsi="Times New Roman" w:cs="Times New Roman"/>
        </w:rPr>
        <w:t>, 2008).</w:t>
      </w:r>
    </w:p>
    <w:p w14:paraId="49FDCB39" w14:textId="77777777" w:rsidR="00980F80" w:rsidRPr="00980F80" w:rsidRDefault="00980F80" w:rsidP="00980F80">
      <w:pPr>
        <w:spacing w:line="360" w:lineRule="auto"/>
        <w:jc w:val="both"/>
        <w:rPr>
          <w:rFonts w:ascii="Times New Roman" w:hAnsi="Times New Roman" w:cs="Times New Roman"/>
        </w:rPr>
      </w:pPr>
      <w:r w:rsidRPr="00980F80">
        <w:rPr>
          <w:rFonts w:ascii="Times New Roman" w:hAnsi="Times New Roman" w:cs="Times New Roman"/>
        </w:rPr>
        <w:t xml:space="preserve">For ECOWAS, comparable evidence emphasizes that facilitation is central to growth and integration outcomes, and that government size and institutional effectiveness can condition whether facilitation reforms translate into economic gains (Shuaibu and Mamman, 2025). The ECOWAS context also underscores how institutional quality affects trade flows, implying that improvements in border governance, transparency, and regulatory predictability are not optional add </w:t>
      </w:r>
      <w:proofErr w:type="spellStart"/>
      <w:r w:rsidRPr="00980F80">
        <w:rPr>
          <w:rFonts w:ascii="Times New Roman" w:hAnsi="Times New Roman" w:cs="Times New Roman"/>
        </w:rPr>
        <w:t>ons</w:t>
      </w:r>
      <w:proofErr w:type="spellEnd"/>
      <w:r w:rsidRPr="00980F80">
        <w:rPr>
          <w:rFonts w:ascii="Times New Roman" w:hAnsi="Times New Roman" w:cs="Times New Roman"/>
        </w:rPr>
        <w:t xml:space="preserve"> but core integration mechanisms (</w:t>
      </w:r>
      <w:proofErr w:type="spellStart"/>
      <w:r w:rsidRPr="00980F80">
        <w:rPr>
          <w:rFonts w:ascii="Times New Roman" w:hAnsi="Times New Roman" w:cs="Times New Roman"/>
        </w:rPr>
        <w:t>Oshota</w:t>
      </w:r>
      <w:proofErr w:type="spellEnd"/>
      <w:r w:rsidRPr="00980F80">
        <w:rPr>
          <w:rFonts w:ascii="Times New Roman" w:hAnsi="Times New Roman" w:cs="Times New Roman"/>
        </w:rPr>
        <w:t xml:space="preserve"> and Wahab, 2022). The lesson across both blocs is consistent. Without credible facilitation and enforcement, the legal architecture of integration produces limited welfare gains, and sustainable development objectives remain rhetorically attached to integration rather than operationally embedded in it (</w:t>
      </w:r>
      <w:proofErr w:type="spellStart"/>
      <w:r w:rsidRPr="00980F80">
        <w:rPr>
          <w:rFonts w:ascii="Times New Roman" w:hAnsi="Times New Roman" w:cs="Times New Roman"/>
        </w:rPr>
        <w:t>Djeghar</w:t>
      </w:r>
      <w:proofErr w:type="spellEnd"/>
      <w:r w:rsidRPr="00980F80">
        <w:rPr>
          <w:rFonts w:ascii="Times New Roman" w:hAnsi="Times New Roman" w:cs="Times New Roman"/>
        </w:rPr>
        <w:t>, 2023; Kidane, 2018).</w:t>
      </w:r>
    </w:p>
    <w:p w14:paraId="286A1CE1" w14:textId="7C822FCD" w:rsidR="00980F80" w:rsidRPr="00980F80" w:rsidRDefault="00C22A27" w:rsidP="008B6F74">
      <w:pPr>
        <w:spacing w:after="0" w:line="360" w:lineRule="auto"/>
        <w:jc w:val="both"/>
        <w:rPr>
          <w:rFonts w:ascii="Times New Roman" w:hAnsi="Times New Roman" w:cs="Times New Roman"/>
          <w:b/>
          <w:bCs/>
        </w:rPr>
      </w:pPr>
      <w:r>
        <w:rPr>
          <w:rFonts w:ascii="Times New Roman" w:hAnsi="Times New Roman" w:cs="Times New Roman"/>
          <w:b/>
          <w:bCs/>
        </w:rPr>
        <w:t>7</w:t>
      </w:r>
      <w:r w:rsidR="00980F80" w:rsidRPr="00980F80">
        <w:rPr>
          <w:rFonts w:ascii="Times New Roman" w:hAnsi="Times New Roman" w:cs="Times New Roman"/>
          <w:b/>
          <w:bCs/>
        </w:rPr>
        <w:t xml:space="preserve"> Value chains, rules of origin, and the struggle to move beyond commodity dependence</w:t>
      </w:r>
    </w:p>
    <w:p w14:paraId="3E8314F0" w14:textId="27C4FE95" w:rsidR="00C0337F" w:rsidRDefault="00980F80" w:rsidP="00C0337F">
      <w:pPr>
        <w:spacing w:line="360" w:lineRule="auto"/>
        <w:jc w:val="both"/>
        <w:rPr>
          <w:rFonts w:ascii="Times New Roman" w:hAnsi="Times New Roman" w:cs="Times New Roman"/>
        </w:rPr>
      </w:pPr>
      <w:r w:rsidRPr="00980F80">
        <w:rPr>
          <w:rFonts w:ascii="Times New Roman" w:hAnsi="Times New Roman" w:cs="Times New Roman"/>
        </w:rPr>
        <w:t xml:space="preserve">A major development question is whether regional integration supports structural transformation, meaning the shift into higher value production, learning, and competitive diversification. In the EAC, evidence on trade and value chains suggests that integration increasingly operates through regional production networks and logistics systems, not only through final goods trade. Patterns of global and regional integration show that the EAC’s trade ties are shaped by participation in value chains, the role of key corridors, and the ability to connect local firms to regional and global markets (Krantz, 2025). Sector specific evidence, such as horticulture value chains linking Kenya and Tanzania, illustrates that regional trade can support upgrading when standards, logistics, and </w:t>
      </w:r>
      <w:r w:rsidRPr="00980F80">
        <w:rPr>
          <w:rFonts w:ascii="Times New Roman" w:hAnsi="Times New Roman" w:cs="Times New Roman"/>
        </w:rPr>
        <w:lastRenderedPageBreak/>
        <w:t>cross border coordination are reliable (CABI, 2011).</w:t>
      </w:r>
      <w:r w:rsidR="00C0337F">
        <w:rPr>
          <w:rFonts w:ascii="Times New Roman" w:hAnsi="Times New Roman" w:cs="Times New Roman"/>
        </w:rPr>
        <w:t xml:space="preserve"> </w:t>
      </w:r>
      <w:r w:rsidRPr="00980F80">
        <w:rPr>
          <w:rFonts w:ascii="Times New Roman" w:hAnsi="Times New Roman" w:cs="Times New Roman"/>
        </w:rPr>
        <w:t>Rules of origin are a decisive factor because they determine which goods qualify for preferential treatment and how easily firms can organize regional sourcing. Comparative work on rules of origin across African regional trade agreements shows that design complexity can become a barrier, especially for smaller firms with limited compliance capacity (Gourdon et al., 2021). Recent analysis on value added in African exports reinforces the idea that rules of origin shape whether exports reflect deeper domestic and regional production or remain shallow, import dependent assembly and transit trade (</w:t>
      </w:r>
      <w:proofErr w:type="spellStart"/>
      <w:r w:rsidRPr="00980F80">
        <w:rPr>
          <w:rFonts w:ascii="Times New Roman" w:hAnsi="Times New Roman" w:cs="Times New Roman"/>
        </w:rPr>
        <w:t>Ticku</w:t>
      </w:r>
      <w:proofErr w:type="spellEnd"/>
      <w:r w:rsidRPr="00980F80">
        <w:rPr>
          <w:rFonts w:ascii="Times New Roman" w:hAnsi="Times New Roman" w:cs="Times New Roman"/>
        </w:rPr>
        <w:t xml:space="preserve"> et al., 2025). For sustainable development, this matters because deeper value addition is linked to employment, tax capacity, learning, and resilience.</w:t>
      </w:r>
      <w:r w:rsidR="00C0337F">
        <w:rPr>
          <w:rFonts w:ascii="Times New Roman" w:hAnsi="Times New Roman" w:cs="Times New Roman"/>
        </w:rPr>
        <w:t xml:space="preserve"> </w:t>
      </w:r>
      <w:r w:rsidR="00C0337F" w:rsidRPr="008B6F74">
        <w:rPr>
          <w:rFonts w:ascii="Times New Roman" w:hAnsi="Times New Roman" w:cs="Times New Roman"/>
          <w:b/>
          <w:bCs/>
        </w:rPr>
        <w:t>Table 1</w:t>
      </w:r>
      <w:r w:rsidR="00C0337F" w:rsidRPr="008B6F74">
        <w:rPr>
          <w:rFonts w:ascii="Times New Roman" w:hAnsi="Times New Roman" w:cs="Times New Roman"/>
        </w:rPr>
        <w:t xml:space="preserve"> summarizes key institutional differences between ECOWAS and the EAC. While both blocs have parliaments and courts, the EAC shows moderately stronger legislative and judicial authority, whereas ECOWAS operates with more political overlap and weaker enforcement. These variations help explain why integration outcomes differ, despite similar formal structures</w:t>
      </w:r>
      <w:r w:rsidR="00C0337F">
        <w:rPr>
          <w:rFonts w:ascii="Times New Roman" w:hAnsi="Times New Roman" w:cs="Times New Roman"/>
        </w:rPr>
        <w:t>.</w:t>
      </w:r>
    </w:p>
    <w:p w14:paraId="45C70FDB" w14:textId="77777777" w:rsidR="00C0337F" w:rsidRPr="008B6F74" w:rsidRDefault="00C0337F" w:rsidP="00C0337F">
      <w:pPr>
        <w:spacing w:after="0" w:line="240" w:lineRule="auto"/>
        <w:jc w:val="both"/>
        <w:rPr>
          <w:rFonts w:ascii="Times New Roman" w:hAnsi="Times New Roman" w:cs="Times New Roman"/>
        </w:rPr>
      </w:pPr>
      <w:r w:rsidRPr="008B6F74">
        <w:rPr>
          <w:rFonts w:ascii="Times New Roman" w:hAnsi="Times New Roman" w:cs="Times New Roman"/>
          <w:b/>
          <w:bCs/>
        </w:rPr>
        <w:t>Table 1</w:t>
      </w:r>
      <w:r>
        <w:rPr>
          <w:rFonts w:ascii="Times New Roman" w:hAnsi="Times New Roman" w:cs="Times New Roman"/>
          <w:b/>
          <w:bCs/>
        </w:rPr>
        <w:t xml:space="preserve">: </w:t>
      </w:r>
      <w:r w:rsidRPr="008B6F74">
        <w:rPr>
          <w:rFonts w:ascii="Times New Roman" w:hAnsi="Times New Roman" w:cs="Times New Roman"/>
        </w:rPr>
        <w:t>Comparative Institutional Architecture of ECOWAS and the East African Community</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839"/>
        <w:gridCol w:w="2621"/>
        <w:gridCol w:w="2754"/>
        <w:gridCol w:w="2146"/>
      </w:tblGrid>
      <w:tr w:rsidR="00C0337F" w:rsidRPr="00D43815" w14:paraId="3A06C417" w14:textId="77777777" w:rsidTr="00B4760D">
        <w:trPr>
          <w:tblHeader/>
          <w:tblCellSpacing w:w="15" w:type="dxa"/>
        </w:trPr>
        <w:tc>
          <w:tcPr>
            <w:tcW w:w="0" w:type="auto"/>
            <w:tcBorders>
              <w:top w:val="nil"/>
              <w:bottom w:val="single" w:sz="4" w:space="0" w:color="auto"/>
            </w:tcBorders>
            <w:vAlign w:val="center"/>
            <w:hideMark/>
          </w:tcPr>
          <w:p w14:paraId="00B82824" w14:textId="77777777" w:rsidR="00C0337F" w:rsidRPr="00D43815" w:rsidRDefault="00C0337F" w:rsidP="00B4760D">
            <w:pPr>
              <w:spacing w:after="0" w:line="240" w:lineRule="auto"/>
              <w:rPr>
                <w:rFonts w:ascii="Times New Roman" w:hAnsi="Times New Roman" w:cs="Times New Roman"/>
                <w:b/>
                <w:bCs/>
              </w:rPr>
            </w:pPr>
            <w:r w:rsidRPr="00D43815">
              <w:rPr>
                <w:rFonts w:ascii="Times New Roman" w:hAnsi="Times New Roman" w:cs="Times New Roman"/>
                <w:b/>
                <w:bCs/>
              </w:rPr>
              <w:t>Dimension</w:t>
            </w:r>
          </w:p>
        </w:tc>
        <w:tc>
          <w:tcPr>
            <w:tcW w:w="0" w:type="auto"/>
            <w:tcBorders>
              <w:top w:val="nil"/>
              <w:bottom w:val="single" w:sz="4" w:space="0" w:color="auto"/>
            </w:tcBorders>
            <w:vAlign w:val="center"/>
            <w:hideMark/>
          </w:tcPr>
          <w:p w14:paraId="33E8AFEA" w14:textId="77777777" w:rsidR="00C0337F" w:rsidRPr="00D43815" w:rsidRDefault="00C0337F" w:rsidP="00B4760D">
            <w:pPr>
              <w:spacing w:after="0" w:line="240" w:lineRule="auto"/>
              <w:rPr>
                <w:rFonts w:ascii="Times New Roman" w:hAnsi="Times New Roman" w:cs="Times New Roman"/>
                <w:b/>
                <w:bCs/>
              </w:rPr>
            </w:pPr>
            <w:r w:rsidRPr="00D43815">
              <w:rPr>
                <w:rFonts w:ascii="Times New Roman" w:hAnsi="Times New Roman" w:cs="Times New Roman"/>
                <w:b/>
                <w:bCs/>
              </w:rPr>
              <w:t>ECOWAS</w:t>
            </w:r>
          </w:p>
        </w:tc>
        <w:tc>
          <w:tcPr>
            <w:tcW w:w="0" w:type="auto"/>
            <w:tcBorders>
              <w:top w:val="nil"/>
              <w:bottom w:val="single" w:sz="4" w:space="0" w:color="auto"/>
            </w:tcBorders>
            <w:vAlign w:val="center"/>
            <w:hideMark/>
          </w:tcPr>
          <w:p w14:paraId="00B17EC0" w14:textId="77777777" w:rsidR="00C0337F" w:rsidRPr="00D43815" w:rsidRDefault="00C0337F" w:rsidP="00B4760D">
            <w:pPr>
              <w:spacing w:after="0" w:line="240" w:lineRule="auto"/>
              <w:rPr>
                <w:rFonts w:ascii="Times New Roman" w:hAnsi="Times New Roman" w:cs="Times New Roman"/>
                <w:b/>
                <w:bCs/>
              </w:rPr>
            </w:pPr>
            <w:r w:rsidRPr="00D43815">
              <w:rPr>
                <w:rFonts w:ascii="Times New Roman" w:hAnsi="Times New Roman" w:cs="Times New Roman"/>
                <w:b/>
                <w:bCs/>
              </w:rPr>
              <w:t>East African Community</w:t>
            </w:r>
          </w:p>
        </w:tc>
        <w:tc>
          <w:tcPr>
            <w:tcW w:w="0" w:type="auto"/>
            <w:tcBorders>
              <w:top w:val="nil"/>
              <w:bottom w:val="single" w:sz="4" w:space="0" w:color="auto"/>
            </w:tcBorders>
            <w:vAlign w:val="center"/>
            <w:hideMark/>
          </w:tcPr>
          <w:p w14:paraId="34584974" w14:textId="77777777" w:rsidR="00C0337F" w:rsidRPr="00D43815" w:rsidRDefault="00C0337F" w:rsidP="00B4760D">
            <w:pPr>
              <w:spacing w:after="0" w:line="240" w:lineRule="auto"/>
              <w:rPr>
                <w:rFonts w:ascii="Times New Roman" w:hAnsi="Times New Roman" w:cs="Times New Roman"/>
                <w:b/>
                <w:bCs/>
              </w:rPr>
            </w:pPr>
            <w:r w:rsidRPr="00D43815">
              <w:rPr>
                <w:rFonts w:ascii="Times New Roman" w:hAnsi="Times New Roman" w:cs="Times New Roman"/>
                <w:b/>
                <w:bCs/>
              </w:rPr>
              <w:t>Key references</w:t>
            </w:r>
          </w:p>
        </w:tc>
      </w:tr>
      <w:tr w:rsidR="00C0337F" w:rsidRPr="00D43815" w14:paraId="26F3ED23" w14:textId="77777777" w:rsidTr="00B4760D">
        <w:trPr>
          <w:tblCellSpacing w:w="15" w:type="dxa"/>
        </w:trPr>
        <w:tc>
          <w:tcPr>
            <w:tcW w:w="0" w:type="auto"/>
            <w:vAlign w:val="center"/>
            <w:hideMark/>
          </w:tcPr>
          <w:p w14:paraId="309D84FE" w14:textId="77777777" w:rsidR="00C0337F" w:rsidRPr="00D43815" w:rsidRDefault="00C0337F" w:rsidP="00B4760D">
            <w:pPr>
              <w:spacing w:after="0" w:line="240" w:lineRule="auto"/>
              <w:rPr>
                <w:rFonts w:ascii="Times New Roman" w:hAnsi="Times New Roman" w:cs="Times New Roman"/>
              </w:rPr>
            </w:pPr>
            <w:r w:rsidRPr="00D43815">
              <w:rPr>
                <w:rFonts w:ascii="Times New Roman" w:hAnsi="Times New Roman" w:cs="Times New Roman"/>
              </w:rPr>
              <w:t>Year of establishment</w:t>
            </w:r>
          </w:p>
        </w:tc>
        <w:tc>
          <w:tcPr>
            <w:tcW w:w="0" w:type="auto"/>
            <w:vAlign w:val="center"/>
            <w:hideMark/>
          </w:tcPr>
          <w:p w14:paraId="2603C790" w14:textId="77777777" w:rsidR="00C0337F" w:rsidRPr="00D43815" w:rsidRDefault="00C0337F" w:rsidP="00B4760D">
            <w:pPr>
              <w:spacing w:after="0" w:line="240" w:lineRule="auto"/>
              <w:rPr>
                <w:rFonts w:ascii="Times New Roman" w:hAnsi="Times New Roman" w:cs="Times New Roman"/>
              </w:rPr>
            </w:pPr>
            <w:r w:rsidRPr="00D43815">
              <w:rPr>
                <w:rFonts w:ascii="Times New Roman" w:hAnsi="Times New Roman" w:cs="Times New Roman"/>
              </w:rPr>
              <w:t>Established in 1975 with a strong political and security mandate</w:t>
            </w:r>
          </w:p>
        </w:tc>
        <w:tc>
          <w:tcPr>
            <w:tcW w:w="0" w:type="auto"/>
            <w:vAlign w:val="center"/>
            <w:hideMark/>
          </w:tcPr>
          <w:p w14:paraId="7A0B9722" w14:textId="77777777" w:rsidR="00C0337F" w:rsidRPr="00D43815" w:rsidRDefault="00C0337F" w:rsidP="00B4760D">
            <w:pPr>
              <w:spacing w:after="0" w:line="240" w:lineRule="auto"/>
              <w:rPr>
                <w:rFonts w:ascii="Times New Roman" w:hAnsi="Times New Roman" w:cs="Times New Roman"/>
              </w:rPr>
            </w:pPr>
            <w:r w:rsidRPr="00D43815">
              <w:rPr>
                <w:rFonts w:ascii="Times New Roman" w:hAnsi="Times New Roman" w:cs="Times New Roman"/>
              </w:rPr>
              <w:t>Re-established in 1999 with a focus on economic integration</w:t>
            </w:r>
          </w:p>
        </w:tc>
        <w:tc>
          <w:tcPr>
            <w:tcW w:w="0" w:type="auto"/>
            <w:vAlign w:val="center"/>
            <w:hideMark/>
          </w:tcPr>
          <w:p w14:paraId="29B1D98E" w14:textId="77777777" w:rsidR="00C0337F" w:rsidRPr="00D43815" w:rsidRDefault="00C0337F" w:rsidP="00B4760D">
            <w:pPr>
              <w:spacing w:after="0" w:line="240" w:lineRule="auto"/>
              <w:rPr>
                <w:rFonts w:ascii="Times New Roman" w:hAnsi="Times New Roman" w:cs="Times New Roman"/>
              </w:rPr>
            </w:pPr>
            <w:r w:rsidRPr="00D43815">
              <w:rPr>
                <w:rFonts w:ascii="Times New Roman" w:hAnsi="Times New Roman" w:cs="Times New Roman"/>
              </w:rPr>
              <w:t>Kidane 2018; Habeenzu 2023</w:t>
            </w:r>
          </w:p>
        </w:tc>
      </w:tr>
      <w:tr w:rsidR="00C0337F" w:rsidRPr="00D43815" w14:paraId="1E032569" w14:textId="77777777" w:rsidTr="00B4760D">
        <w:trPr>
          <w:tblCellSpacing w:w="15" w:type="dxa"/>
        </w:trPr>
        <w:tc>
          <w:tcPr>
            <w:tcW w:w="0" w:type="auto"/>
            <w:tcBorders>
              <w:top w:val="single" w:sz="4" w:space="0" w:color="auto"/>
              <w:bottom w:val="nil"/>
            </w:tcBorders>
            <w:vAlign w:val="center"/>
            <w:hideMark/>
          </w:tcPr>
          <w:p w14:paraId="76DD154E" w14:textId="77777777" w:rsidR="00C0337F" w:rsidRPr="00D43815" w:rsidRDefault="00C0337F" w:rsidP="00B4760D">
            <w:pPr>
              <w:spacing w:after="0" w:line="240" w:lineRule="auto"/>
              <w:rPr>
                <w:rFonts w:ascii="Times New Roman" w:hAnsi="Times New Roman" w:cs="Times New Roman"/>
              </w:rPr>
            </w:pPr>
            <w:r w:rsidRPr="00D43815">
              <w:rPr>
                <w:rFonts w:ascii="Times New Roman" w:hAnsi="Times New Roman" w:cs="Times New Roman"/>
              </w:rPr>
              <w:t>Regional parliament</w:t>
            </w:r>
          </w:p>
        </w:tc>
        <w:tc>
          <w:tcPr>
            <w:tcW w:w="0" w:type="auto"/>
            <w:tcBorders>
              <w:top w:val="single" w:sz="4" w:space="0" w:color="auto"/>
              <w:bottom w:val="nil"/>
            </w:tcBorders>
            <w:vAlign w:val="center"/>
            <w:hideMark/>
          </w:tcPr>
          <w:p w14:paraId="1A873704" w14:textId="77777777" w:rsidR="00C0337F" w:rsidRPr="00D43815" w:rsidRDefault="00C0337F" w:rsidP="00B4760D">
            <w:pPr>
              <w:spacing w:after="0" w:line="240" w:lineRule="auto"/>
              <w:rPr>
                <w:rFonts w:ascii="Times New Roman" w:hAnsi="Times New Roman" w:cs="Times New Roman"/>
              </w:rPr>
            </w:pPr>
            <w:r w:rsidRPr="00D43815">
              <w:rPr>
                <w:rFonts w:ascii="Times New Roman" w:hAnsi="Times New Roman" w:cs="Times New Roman"/>
              </w:rPr>
              <w:t>ECOWAS Parliament</w:t>
            </w:r>
          </w:p>
        </w:tc>
        <w:tc>
          <w:tcPr>
            <w:tcW w:w="0" w:type="auto"/>
            <w:tcBorders>
              <w:top w:val="single" w:sz="4" w:space="0" w:color="auto"/>
              <w:bottom w:val="nil"/>
            </w:tcBorders>
            <w:vAlign w:val="center"/>
            <w:hideMark/>
          </w:tcPr>
          <w:p w14:paraId="50565AA9" w14:textId="77777777" w:rsidR="00C0337F" w:rsidRPr="00D43815" w:rsidRDefault="00C0337F" w:rsidP="00B4760D">
            <w:pPr>
              <w:spacing w:after="0" w:line="240" w:lineRule="auto"/>
              <w:rPr>
                <w:rFonts w:ascii="Times New Roman" w:hAnsi="Times New Roman" w:cs="Times New Roman"/>
              </w:rPr>
            </w:pPr>
            <w:r w:rsidRPr="00D43815">
              <w:rPr>
                <w:rFonts w:ascii="Times New Roman" w:hAnsi="Times New Roman" w:cs="Times New Roman"/>
              </w:rPr>
              <w:t>East African Legislative Assembly</w:t>
            </w:r>
          </w:p>
        </w:tc>
        <w:tc>
          <w:tcPr>
            <w:tcW w:w="0" w:type="auto"/>
            <w:tcBorders>
              <w:top w:val="single" w:sz="4" w:space="0" w:color="auto"/>
              <w:bottom w:val="nil"/>
            </w:tcBorders>
            <w:vAlign w:val="center"/>
            <w:hideMark/>
          </w:tcPr>
          <w:p w14:paraId="1BE0E6CE" w14:textId="77777777" w:rsidR="00C0337F" w:rsidRPr="00D43815" w:rsidRDefault="00C0337F" w:rsidP="00B4760D">
            <w:pPr>
              <w:spacing w:after="0" w:line="240" w:lineRule="auto"/>
              <w:rPr>
                <w:rFonts w:ascii="Times New Roman" w:hAnsi="Times New Roman" w:cs="Times New Roman"/>
              </w:rPr>
            </w:pPr>
            <w:proofErr w:type="spellStart"/>
            <w:r w:rsidRPr="00D43815">
              <w:rPr>
                <w:rFonts w:ascii="Times New Roman" w:hAnsi="Times New Roman" w:cs="Times New Roman"/>
              </w:rPr>
              <w:t>Jancic</w:t>
            </w:r>
            <w:proofErr w:type="spellEnd"/>
            <w:r w:rsidRPr="00D43815">
              <w:rPr>
                <w:rFonts w:ascii="Times New Roman" w:hAnsi="Times New Roman" w:cs="Times New Roman"/>
              </w:rPr>
              <w:t xml:space="preserve"> 2019</w:t>
            </w:r>
          </w:p>
        </w:tc>
      </w:tr>
      <w:tr w:rsidR="00C0337F" w:rsidRPr="00D43815" w14:paraId="61CBCE98" w14:textId="77777777" w:rsidTr="00B4760D">
        <w:trPr>
          <w:tblCellSpacing w:w="15" w:type="dxa"/>
        </w:trPr>
        <w:tc>
          <w:tcPr>
            <w:tcW w:w="0" w:type="auto"/>
            <w:tcBorders>
              <w:top w:val="single" w:sz="4" w:space="0" w:color="auto"/>
              <w:bottom w:val="nil"/>
            </w:tcBorders>
            <w:vAlign w:val="center"/>
            <w:hideMark/>
          </w:tcPr>
          <w:p w14:paraId="79BEE5F0" w14:textId="77777777" w:rsidR="00C0337F" w:rsidRPr="00D43815" w:rsidRDefault="00C0337F" w:rsidP="00B4760D">
            <w:pPr>
              <w:spacing w:after="0" w:line="240" w:lineRule="auto"/>
              <w:rPr>
                <w:rFonts w:ascii="Times New Roman" w:hAnsi="Times New Roman" w:cs="Times New Roman"/>
              </w:rPr>
            </w:pPr>
            <w:r w:rsidRPr="00D43815">
              <w:rPr>
                <w:rFonts w:ascii="Times New Roman" w:hAnsi="Times New Roman" w:cs="Times New Roman"/>
              </w:rPr>
              <w:t>Legislative authority</w:t>
            </w:r>
          </w:p>
        </w:tc>
        <w:tc>
          <w:tcPr>
            <w:tcW w:w="0" w:type="auto"/>
            <w:tcBorders>
              <w:top w:val="single" w:sz="4" w:space="0" w:color="auto"/>
              <w:bottom w:val="nil"/>
            </w:tcBorders>
            <w:vAlign w:val="center"/>
            <w:hideMark/>
          </w:tcPr>
          <w:p w14:paraId="2B881C41" w14:textId="77777777" w:rsidR="00C0337F" w:rsidRPr="00D43815" w:rsidRDefault="00C0337F" w:rsidP="00B4760D">
            <w:pPr>
              <w:spacing w:after="0" w:line="240" w:lineRule="auto"/>
              <w:rPr>
                <w:rFonts w:ascii="Times New Roman" w:hAnsi="Times New Roman" w:cs="Times New Roman"/>
              </w:rPr>
            </w:pPr>
            <w:r w:rsidRPr="00D43815">
              <w:rPr>
                <w:rFonts w:ascii="Times New Roman" w:hAnsi="Times New Roman" w:cs="Times New Roman"/>
              </w:rPr>
              <w:t>Largely advisory with limited binding powers</w:t>
            </w:r>
          </w:p>
        </w:tc>
        <w:tc>
          <w:tcPr>
            <w:tcW w:w="0" w:type="auto"/>
            <w:tcBorders>
              <w:top w:val="single" w:sz="4" w:space="0" w:color="auto"/>
              <w:bottom w:val="nil"/>
            </w:tcBorders>
            <w:vAlign w:val="center"/>
            <w:hideMark/>
          </w:tcPr>
          <w:p w14:paraId="1FB0AB07" w14:textId="77777777" w:rsidR="00C0337F" w:rsidRPr="00D43815" w:rsidRDefault="00C0337F" w:rsidP="00B4760D">
            <w:pPr>
              <w:spacing w:after="0" w:line="240" w:lineRule="auto"/>
              <w:rPr>
                <w:rFonts w:ascii="Times New Roman" w:hAnsi="Times New Roman" w:cs="Times New Roman"/>
              </w:rPr>
            </w:pPr>
            <w:r w:rsidRPr="00D43815">
              <w:rPr>
                <w:rFonts w:ascii="Times New Roman" w:hAnsi="Times New Roman" w:cs="Times New Roman"/>
              </w:rPr>
              <w:t>Partial legislative authority on regional integration matters</w:t>
            </w:r>
          </w:p>
        </w:tc>
        <w:tc>
          <w:tcPr>
            <w:tcW w:w="0" w:type="auto"/>
            <w:tcBorders>
              <w:top w:val="single" w:sz="4" w:space="0" w:color="auto"/>
              <w:bottom w:val="nil"/>
            </w:tcBorders>
            <w:vAlign w:val="center"/>
            <w:hideMark/>
          </w:tcPr>
          <w:p w14:paraId="579DF4F9" w14:textId="77777777" w:rsidR="00C0337F" w:rsidRPr="00D43815" w:rsidRDefault="00C0337F" w:rsidP="00B4760D">
            <w:pPr>
              <w:spacing w:after="0" w:line="240" w:lineRule="auto"/>
              <w:rPr>
                <w:rFonts w:ascii="Times New Roman" w:hAnsi="Times New Roman" w:cs="Times New Roman"/>
              </w:rPr>
            </w:pPr>
            <w:proofErr w:type="spellStart"/>
            <w:r w:rsidRPr="00D43815">
              <w:rPr>
                <w:rFonts w:ascii="Times New Roman" w:hAnsi="Times New Roman" w:cs="Times New Roman"/>
              </w:rPr>
              <w:t>Jancic</w:t>
            </w:r>
            <w:proofErr w:type="spellEnd"/>
            <w:r w:rsidRPr="00D43815">
              <w:rPr>
                <w:rFonts w:ascii="Times New Roman" w:hAnsi="Times New Roman" w:cs="Times New Roman"/>
              </w:rPr>
              <w:t xml:space="preserve"> 2019; </w:t>
            </w:r>
            <w:proofErr w:type="spellStart"/>
            <w:r w:rsidRPr="00D43815">
              <w:rPr>
                <w:rFonts w:ascii="Times New Roman" w:hAnsi="Times New Roman" w:cs="Times New Roman"/>
              </w:rPr>
              <w:t>Kansaye</w:t>
            </w:r>
            <w:proofErr w:type="spellEnd"/>
            <w:r w:rsidRPr="00D43815">
              <w:rPr>
                <w:rFonts w:ascii="Times New Roman" w:hAnsi="Times New Roman" w:cs="Times New Roman"/>
              </w:rPr>
              <w:t xml:space="preserve"> 2025</w:t>
            </w:r>
          </w:p>
        </w:tc>
      </w:tr>
      <w:tr w:rsidR="00C0337F" w:rsidRPr="00D43815" w14:paraId="37CACCFE" w14:textId="77777777" w:rsidTr="00B4760D">
        <w:trPr>
          <w:tblCellSpacing w:w="15" w:type="dxa"/>
        </w:trPr>
        <w:tc>
          <w:tcPr>
            <w:tcW w:w="0" w:type="auto"/>
            <w:tcBorders>
              <w:top w:val="single" w:sz="4" w:space="0" w:color="auto"/>
              <w:bottom w:val="nil"/>
            </w:tcBorders>
            <w:vAlign w:val="center"/>
            <w:hideMark/>
          </w:tcPr>
          <w:p w14:paraId="62C18AC3" w14:textId="77777777" w:rsidR="00C0337F" w:rsidRPr="00D43815" w:rsidRDefault="00C0337F" w:rsidP="00B4760D">
            <w:pPr>
              <w:spacing w:after="0" w:line="240" w:lineRule="auto"/>
              <w:rPr>
                <w:rFonts w:ascii="Times New Roman" w:hAnsi="Times New Roman" w:cs="Times New Roman"/>
              </w:rPr>
            </w:pPr>
            <w:r w:rsidRPr="00D43815">
              <w:rPr>
                <w:rFonts w:ascii="Times New Roman" w:hAnsi="Times New Roman" w:cs="Times New Roman"/>
              </w:rPr>
              <w:t>Regional court</w:t>
            </w:r>
          </w:p>
        </w:tc>
        <w:tc>
          <w:tcPr>
            <w:tcW w:w="0" w:type="auto"/>
            <w:tcBorders>
              <w:top w:val="single" w:sz="4" w:space="0" w:color="auto"/>
              <w:bottom w:val="nil"/>
            </w:tcBorders>
            <w:vAlign w:val="center"/>
            <w:hideMark/>
          </w:tcPr>
          <w:p w14:paraId="35F54A1C" w14:textId="77777777" w:rsidR="00C0337F" w:rsidRPr="00D43815" w:rsidRDefault="00C0337F" w:rsidP="00B4760D">
            <w:pPr>
              <w:spacing w:after="0" w:line="240" w:lineRule="auto"/>
              <w:rPr>
                <w:rFonts w:ascii="Times New Roman" w:hAnsi="Times New Roman" w:cs="Times New Roman"/>
              </w:rPr>
            </w:pPr>
            <w:r w:rsidRPr="00D43815">
              <w:rPr>
                <w:rFonts w:ascii="Times New Roman" w:hAnsi="Times New Roman" w:cs="Times New Roman"/>
              </w:rPr>
              <w:t>ECOWAS Court of Justice</w:t>
            </w:r>
          </w:p>
        </w:tc>
        <w:tc>
          <w:tcPr>
            <w:tcW w:w="0" w:type="auto"/>
            <w:tcBorders>
              <w:top w:val="single" w:sz="4" w:space="0" w:color="auto"/>
              <w:bottom w:val="nil"/>
            </w:tcBorders>
            <w:vAlign w:val="center"/>
            <w:hideMark/>
          </w:tcPr>
          <w:p w14:paraId="1E28E3E6" w14:textId="77777777" w:rsidR="00C0337F" w:rsidRPr="00D43815" w:rsidRDefault="00C0337F" w:rsidP="00B4760D">
            <w:pPr>
              <w:spacing w:after="0" w:line="240" w:lineRule="auto"/>
              <w:rPr>
                <w:rFonts w:ascii="Times New Roman" w:hAnsi="Times New Roman" w:cs="Times New Roman"/>
              </w:rPr>
            </w:pPr>
            <w:r w:rsidRPr="00D43815">
              <w:rPr>
                <w:rFonts w:ascii="Times New Roman" w:hAnsi="Times New Roman" w:cs="Times New Roman"/>
              </w:rPr>
              <w:t>East African Court of Justice</w:t>
            </w:r>
          </w:p>
        </w:tc>
        <w:tc>
          <w:tcPr>
            <w:tcW w:w="0" w:type="auto"/>
            <w:tcBorders>
              <w:top w:val="single" w:sz="4" w:space="0" w:color="auto"/>
              <w:bottom w:val="nil"/>
            </w:tcBorders>
            <w:vAlign w:val="center"/>
            <w:hideMark/>
          </w:tcPr>
          <w:p w14:paraId="21BBAC39" w14:textId="77777777" w:rsidR="00C0337F" w:rsidRPr="00D43815" w:rsidRDefault="00C0337F" w:rsidP="00B4760D">
            <w:pPr>
              <w:spacing w:after="0" w:line="240" w:lineRule="auto"/>
              <w:rPr>
                <w:rFonts w:ascii="Times New Roman" w:hAnsi="Times New Roman" w:cs="Times New Roman"/>
              </w:rPr>
            </w:pPr>
            <w:r w:rsidRPr="00D43815">
              <w:rPr>
                <w:rFonts w:ascii="Times New Roman" w:hAnsi="Times New Roman" w:cs="Times New Roman"/>
              </w:rPr>
              <w:t>Gonza 2025</w:t>
            </w:r>
          </w:p>
        </w:tc>
      </w:tr>
      <w:tr w:rsidR="00C0337F" w:rsidRPr="00D43815" w14:paraId="5BFA7008" w14:textId="77777777" w:rsidTr="00B4760D">
        <w:trPr>
          <w:tblCellSpacing w:w="15" w:type="dxa"/>
        </w:trPr>
        <w:tc>
          <w:tcPr>
            <w:tcW w:w="0" w:type="auto"/>
            <w:tcBorders>
              <w:top w:val="single" w:sz="4" w:space="0" w:color="auto"/>
              <w:bottom w:val="nil"/>
            </w:tcBorders>
            <w:vAlign w:val="center"/>
            <w:hideMark/>
          </w:tcPr>
          <w:p w14:paraId="7A26EE48" w14:textId="77777777" w:rsidR="00C0337F" w:rsidRPr="00D43815" w:rsidRDefault="00C0337F" w:rsidP="00B4760D">
            <w:pPr>
              <w:spacing w:after="0" w:line="240" w:lineRule="auto"/>
              <w:rPr>
                <w:rFonts w:ascii="Times New Roman" w:hAnsi="Times New Roman" w:cs="Times New Roman"/>
              </w:rPr>
            </w:pPr>
            <w:r w:rsidRPr="00D43815">
              <w:rPr>
                <w:rFonts w:ascii="Times New Roman" w:hAnsi="Times New Roman" w:cs="Times New Roman"/>
              </w:rPr>
              <w:t>Jurisdictional scope</w:t>
            </w:r>
          </w:p>
        </w:tc>
        <w:tc>
          <w:tcPr>
            <w:tcW w:w="0" w:type="auto"/>
            <w:tcBorders>
              <w:top w:val="single" w:sz="4" w:space="0" w:color="auto"/>
              <w:bottom w:val="nil"/>
            </w:tcBorders>
            <w:vAlign w:val="center"/>
            <w:hideMark/>
          </w:tcPr>
          <w:p w14:paraId="42904155" w14:textId="77777777" w:rsidR="00C0337F" w:rsidRPr="00D43815" w:rsidRDefault="00C0337F" w:rsidP="00B4760D">
            <w:pPr>
              <w:spacing w:after="0" w:line="240" w:lineRule="auto"/>
              <w:rPr>
                <w:rFonts w:ascii="Times New Roman" w:hAnsi="Times New Roman" w:cs="Times New Roman"/>
              </w:rPr>
            </w:pPr>
            <w:r w:rsidRPr="00D43815">
              <w:rPr>
                <w:rFonts w:ascii="Times New Roman" w:hAnsi="Times New Roman" w:cs="Times New Roman"/>
              </w:rPr>
              <w:t>Human rights and community law with weak enforcement</w:t>
            </w:r>
          </w:p>
        </w:tc>
        <w:tc>
          <w:tcPr>
            <w:tcW w:w="0" w:type="auto"/>
            <w:tcBorders>
              <w:top w:val="single" w:sz="4" w:space="0" w:color="auto"/>
              <w:bottom w:val="nil"/>
            </w:tcBorders>
            <w:vAlign w:val="center"/>
            <w:hideMark/>
          </w:tcPr>
          <w:p w14:paraId="3327396A" w14:textId="77777777" w:rsidR="00C0337F" w:rsidRPr="00D43815" w:rsidRDefault="00C0337F" w:rsidP="00B4760D">
            <w:pPr>
              <w:spacing w:after="0" w:line="240" w:lineRule="auto"/>
              <w:rPr>
                <w:rFonts w:ascii="Times New Roman" w:hAnsi="Times New Roman" w:cs="Times New Roman"/>
              </w:rPr>
            </w:pPr>
            <w:r w:rsidRPr="00D43815">
              <w:rPr>
                <w:rFonts w:ascii="Times New Roman" w:hAnsi="Times New Roman" w:cs="Times New Roman"/>
              </w:rPr>
              <w:t>Community law with expanding but contested scope</w:t>
            </w:r>
          </w:p>
        </w:tc>
        <w:tc>
          <w:tcPr>
            <w:tcW w:w="0" w:type="auto"/>
            <w:tcBorders>
              <w:top w:val="single" w:sz="4" w:space="0" w:color="auto"/>
              <w:bottom w:val="nil"/>
            </w:tcBorders>
            <w:vAlign w:val="center"/>
            <w:hideMark/>
          </w:tcPr>
          <w:p w14:paraId="02D261B1" w14:textId="77777777" w:rsidR="00C0337F" w:rsidRPr="00D43815" w:rsidRDefault="00C0337F" w:rsidP="00B4760D">
            <w:pPr>
              <w:spacing w:after="0" w:line="240" w:lineRule="auto"/>
              <w:rPr>
                <w:rFonts w:ascii="Times New Roman" w:hAnsi="Times New Roman" w:cs="Times New Roman"/>
              </w:rPr>
            </w:pPr>
            <w:proofErr w:type="spellStart"/>
            <w:r w:rsidRPr="00D43815">
              <w:rPr>
                <w:rFonts w:ascii="Times New Roman" w:hAnsi="Times New Roman" w:cs="Times New Roman"/>
              </w:rPr>
              <w:t>Gonza</w:t>
            </w:r>
            <w:proofErr w:type="spellEnd"/>
            <w:r w:rsidRPr="00D43815">
              <w:rPr>
                <w:rFonts w:ascii="Times New Roman" w:hAnsi="Times New Roman" w:cs="Times New Roman"/>
              </w:rPr>
              <w:t xml:space="preserve"> 2025; </w:t>
            </w:r>
            <w:proofErr w:type="spellStart"/>
            <w:r w:rsidRPr="00D43815">
              <w:rPr>
                <w:rFonts w:ascii="Times New Roman" w:hAnsi="Times New Roman" w:cs="Times New Roman"/>
              </w:rPr>
              <w:t>Bünder</w:t>
            </w:r>
            <w:proofErr w:type="spellEnd"/>
            <w:r w:rsidRPr="00D43815">
              <w:rPr>
                <w:rFonts w:ascii="Times New Roman" w:hAnsi="Times New Roman" w:cs="Times New Roman"/>
              </w:rPr>
              <w:t xml:space="preserve"> 2018</w:t>
            </w:r>
          </w:p>
        </w:tc>
      </w:tr>
      <w:tr w:rsidR="00C0337F" w:rsidRPr="00D43815" w14:paraId="3648B7E8" w14:textId="77777777" w:rsidTr="00B4760D">
        <w:trPr>
          <w:tblCellSpacing w:w="15" w:type="dxa"/>
        </w:trPr>
        <w:tc>
          <w:tcPr>
            <w:tcW w:w="0" w:type="auto"/>
            <w:tcBorders>
              <w:top w:val="single" w:sz="4" w:space="0" w:color="auto"/>
              <w:bottom w:val="nil"/>
            </w:tcBorders>
            <w:vAlign w:val="center"/>
            <w:hideMark/>
          </w:tcPr>
          <w:p w14:paraId="31A8CD9C" w14:textId="77777777" w:rsidR="00C0337F" w:rsidRPr="00D43815" w:rsidRDefault="00C0337F" w:rsidP="00B4760D">
            <w:pPr>
              <w:spacing w:after="0" w:line="240" w:lineRule="auto"/>
              <w:rPr>
                <w:rFonts w:ascii="Times New Roman" w:hAnsi="Times New Roman" w:cs="Times New Roman"/>
              </w:rPr>
            </w:pPr>
            <w:r w:rsidRPr="00D43815">
              <w:rPr>
                <w:rFonts w:ascii="Times New Roman" w:hAnsi="Times New Roman" w:cs="Times New Roman"/>
              </w:rPr>
              <w:t>Enforcement capacity</w:t>
            </w:r>
          </w:p>
        </w:tc>
        <w:tc>
          <w:tcPr>
            <w:tcW w:w="0" w:type="auto"/>
            <w:tcBorders>
              <w:top w:val="single" w:sz="4" w:space="0" w:color="auto"/>
              <w:bottom w:val="nil"/>
            </w:tcBorders>
            <w:vAlign w:val="center"/>
            <w:hideMark/>
          </w:tcPr>
          <w:p w14:paraId="33E496F7" w14:textId="77777777" w:rsidR="00C0337F" w:rsidRPr="00D43815" w:rsidRDefault="00C0337F" w:rsidP="00B4760D">
            <w:pPr>
              <w:spacing w:after="0" w:line="240" w:lineRule="auto"/>
              <w:rPr>
                <w:rFonts w:ascii="Times New Roman" w:hAnsi="Times New Roman" w:cs="Times New Roman"/>
              </w:rPr>
            </w:pPr>
            <w:r w:rsidRPr="00D43815">
              <w:rPr>
                <w:rFonts w:ascii="Times New Roman" w:hAnsi="Times New Roman" w:cs="Times New Roman"/>
              </w:rPr>
              <w:t>Low due to political constraints and limited compliance</w:t>
            </w:r>
          </w:p>
        </w:tc>
        <w:tc>
          <w:tcPr>
            <w:tcW w:w="0" w:type="auto"/>
            <w:tcBorders>
              <w:top w:val="single" w:sz="4" w:space="0" w:color="auto"/>
              <w:bottom w:val="nil"/>
            </w:tcBorders>
            <w:vAlign w:val="center"/>
            <w:hideMark/>
          </w:tcPr>
          <w:p w14:paraId="63804B88" w14:textId="77777777" w:rsidR="00C0337F" w:rsidRPr="00D43815" w:rsidRDefault="00C0337F" w:rsidP="00B4760D">
            <w:pPr>
              <w:spacing w:after="0" w:line="240" w:lineRule="auto"/>
              <w:rPr>
                <w:rFonts w:ascii="Times New Roman" w:hAnsi="Times New Roman" w:cs="Times New Roman"/>
              </w:rPr>
            </w:pPr>
            <w:r w:rsidRPr="00D43815">
              <w:rPr>
                <w:rFonts w:ascii="Times New Roman" w:hAnsi="Times New Roman" w:cs="Times New Roman"/>
              </w:rPr>
              <w:t>Moderate with uneven national implementation</w:t>
            </w:r>
          </w:p>
        </w:tc>
        <w:tc>
          <w:tcPr>
            <w:tcW w:w="0" w:type="auto"/>
            <w:tcBorders>
              <w:top w:val="single" w:sz="4" w:space="0" w:color="auto"/>
              <w:bottom w:val="nil"/>
            </w:tcBorders>
            <w:vAlign w:val="center"/>
            <w:hideMark/>
          </w:tcPr>
          <w:p w14:paraId="4BDE9D63" w14:textId="77777777" w:rsidR="00C0337F" w:rsidRPr="00D43815" w:rsidRDefault="00C0337F" w:rsidP="00B4760D">
            <w:pPr>
              <w:spacing w:after="0" w:line="240" w:lineRule="auto"/>
              <w:rPr>
                <w:rFonts w:ascii="Times New Roman" w:hAnsi="Times New Roman" w:cs="Times New Roman"/>
              </w:rPr>
            </w:pPr>
            <w:proofErr w:type="spellStart"/>
            <w:r w:rsidRPr="00D43815">
              <w:rPr>
                <w:rFonts w:ascii="Times New Roman" w:hAnsi="Times New Roman" w:cs="Times New Roman"/>
              </w:rPr>
              <w:t>Oshota</w:t>
            </w:r>
            <w:proofErr w:type="spellEnd"/>
            <w:r w:rsidRPr="00D43815">
              <w:rPr>
                <w:rFonts w:ascii="Times New Roman" w:hAnsi="Times New Roman" w:cs="Times New Roman"/>
              </w:rPr>
              <w:t xml:space="preserve"> and Wahab 2022; </w:t>
            </w:r>
            <w:proofErr w:type="spellStart"/>
            <w:r w:rsidRPr="00D43815">
              <w:rPr>
                <w:rFonts w:ascii="Times New Roman" w:hAnsi="Times New Roman" w:cs="Times New Roman"/>
              </w:rPr>
              <w:t>Kansaye</w:t>
            </w:r>
            <w:proofErr w:type="spellEnd"/>
            <w:r w:rsidRPr="00D43815">
              <w:rPr>
                <w:rFonts w:ascii="Times New Roman" w:hAnsi="Times New Roman" w:cs="Times New Roman"/>
              </w:rPr>
              <w:t xml:space="preserve"> 2025</w:t>
            </w:r>
          </w:p>
        </w:tc>
      </w:tr>
      <w:tr w:rsidR="00C0337F" w:rsidRPr="00D43815" w14:paraId="0B9F30D8" w14:textId="77777777" w:rsidTr="00B4760D">
        <w:trPr>
          <w:tblCellSpacing w:w="15" w:type="dxa"/>
        </w:trPr>
        <w:tc>
          <w:tcPr>
            <w:tcW w:w="0" w:type="auto"/>
            <w:tcBorders>
              <w:top w:val="single" w:sz="4" w:space="0" w:color="auto"/>
              <w:bottom w:val="nil"/>
            </w:tcBorders>
            <w:vAlign w:val="center"/>
            <w:hideMark/>
          </w:tcPr>
          <w:p w14:paraId="1EC40A10" w14:textId="77777777" w:rsidR="00C0337F" w:rsidRPr="00D43815" w:rsidRDefault="00C0337F" w:rsidP="00B4760D">
            <w:pPr>
              <w:spacing w:after="0" w:line="240" w:lineRule="auto"/>
              <w:rPr>
                <w:rFonts w:ascii="Times New Roman" w:hAnsi="Times New Roman" w:cs="Times New Roman"/>
              </w:rPr>
            </w:pPr>
            <w:r w:rsidRPr="00D43815">
              <w:rPr>
                <w:rFonts w:ascii="Times New Roman" w:hAnsi="Times New Roman" w:cs="Times New Roman"/>
              </w:rPr>
              <w:t>Degree of authority delegation</w:t>
            </w:r>
          </w:p>
        </w:tc>
        <w:tc>
          <w:tcPr>
            <w:tcW w:w="0" w:type="auto"/>
            <w:tcBorders>
              <w:top w:val="single" w:sz="4" w:space="0" w:color="auto"/>
              <w:bottom w:val="nil"/>
            </w:tcBorders>
            <w:vAlign w:val="center"/>
            <w:hideMark/>
          </w:tcPr>
          <w:p w14:paraId="61C2C5ED" w14:textId="77777777" w:rsidR="00C0337F" w:rsidRPr="00D43815" w:rsidRDefault="00C0337F" w:rsidP="00B4760D">
            <w:pPr>
              <w:spacing w:after="0" w:line="240" w:lineRule="auto"/>
              <w:rPr>
                <w:rFonts w:ascii="Times New Roman" w:hAnsi="Times New Roman" w:cs="Times New Roman"/>
              </w:rPr>
            </w:pPr>
            <w:r w:rsidRPr="00D43815">
              <w:rPr>
                <w:rFonts w:ascii="Times New Roman" w:hAnsi="Times New Roman" w:cs="Times New Roman"/>
              </w:rPr>
              <w:t>Low to moderate</w:t>
            </w:r>
          </w:p>
        </w:tc>
        <w:tc>
          <w:tcPr>
            <w:tcW w:w="0" w:type="auto"/>
            <w:tcBorders>
              <w:top w:val="single" w:sz="4" w:space="0" w:color="auto"/>
              <w:bottom w:val="nil"/>
            </w:tcBorders>
            <w:vAlign w:val="center"/>
            <w:hideMark/>
          </w:tcPr>
          <w:p w14:paraId="08300532" w14:textId="77777777" w:rsidR="00C0337F" w:rsidRPr="00D43815" w:rsidRDefault="00C0337F" w:rsidP="00B4760D">
            <w:pPr>
              <w:spacing w:after="0" w:line="240" w:lineRule="auto"/>
              <w:rPr>
                <w:rFonts w:ascii="Times New Roman" w:hAnsi="Times New Roman" w:cs="Times New Roman"/>
              </w:rPr>
            </w:pPr>
            <w:r w:rsidRPr="00D43815">
              <w:rPr>
                <w:rFonts w:ascii="Times New Roman" w:hAnsi="Times New Roman" w:cs="Times New Roman"/>
              </w:rPr>
              <w:t>Moderate</w:t>
            </w:r>
          </w:p>
        </w:tc>
        <w:tc>
          <w:tcPr>
            <w:tcW w:w="0" w:type="auto"/>
            <w:tcBorders>
              <w:top w:val="single" w:sz="4" w:space="0" w:color="auto"/>
              <w:bottom w:val="nil"/>
            </w:tcBorders>
            <w:vAlign w:val="center"/>
            <w:hideMark/>
          </w:tcPr>
          <w:p w14:paraId="3543F873" w14:textId="77777777" w:rsidR="00C0337F" w:rsidRPr="00D43815" w:rsidRDefault="00C0337F" w:rsidP="00B4760D">
            <w:pPr>
              <w:spacing w:after="0" w:line="240" w:lineRule="auto"/>
              <w:rPr>
                <w:rFonts w:ascii="Times New Roman" w:hAnsi="Times New Roman" w:cs="Times New Roman"/>
              </w:rPr>
            </w:pPr>
            <w:r w:rsidRPr="00D43815">
              <w:rPr>
                <w:rFonts w:ascii="Times New Roman" w:hAnsi="Times New Roman" w:cs="Times New Roman"/>
              </w:rPr>
              <w:t xml:space="preserve">Kidane 2018; </w:t>
            </w:r>
            <w:proofErr w:type="spellStart"/>
            <w:r w:rsidRPr="00D43815">
              <w:rPr>
                <w:rFonts w:ascii="Times New Roman" w:hAnsi="Times New Roman" w:cs="Times New Roman"/>
              </w:rPr>
              <w:t>Afesorgbor</w:t>
            </w:r>
            <w:proofErr w:type="spellEnd"/>
            <w:r w:rsidRPr="00D43815">
              <w:rPr>
                <w:rFonts w:ascii="Times New Roman" w:hAnsi="Times New Roman" w:cs="Times New Roman"/>
              </w:rPr>
              <w:t xml:space="preserve"> and van </w:t>
            </w:r>
            <w:proofErr w:type="spellStart"/>
            <w:r w:rsidRPr="00D43815">
              <w:rPr>
                <w:rFonts w:ascii="Times New Roman" w:hAnsi="Times New Roman" w:cs="Times New Roman"/>
              </w:rPr>
              <w:t>Bergeijk</w:t>
            </w:r>
            <w:proofErr w:type="spellEnd"/>
            <w:r w:rsidRPr="00D43815">
              <w:rPr>
                <w:rFonts w:ascii="Times New Roman" w:hAnsi="Times New Roman" w:cs="Times New Roman"/>
              </w:rPr>
              <w:t xml:space="preserve"> 2011</w:t>
            </w:r>
          </w:p>
        </w:tc>
      </w:tr>
      <w:tr w:rsidR="00C0337F" w:rsidRPr="00D43815" w14:paraId="4DCA7568" w14:textId="77777777" w:rsidTr="00B4760D">
        <w:trPr>
          <w:tblCellSpacing w:w="15" w:type="dxa"/>
        </w:trPr>
        <w:tc>
          <w:tcPr>
            <w:tcW w:w="0" w:type="auto"/>
            <w:tcBorders>
              <w:top w:val="single" w:sz="4" w:space="0" w:color="auto"/>
              <w:bottom w:val="nil"/>
            </w:tcBorders>
            <w:vAlign w:val="center"/>
            <w:hideMark/>
          </w:tcPr>
          <w:p w14:paraId="75217282" w14:textId="77777777" w:rsidR="00C0337F" w:rsidRPr="00D43815" w:rsidRDefault="00C0337F" w:rsidP="00B4760D">
            <w:pPr>
              <w:spacing w:after="0" w:line="240" w:lineRule="auto"/>
              <w:rPr>
                <w:rFonts w:ascii="Times New Roman" w:hAnsi="Times New Roman" w:cs="Times New Roman"/>
              </w:rPr>
            </w:pPr>
            <w:r w:rsidRPr="00D43815">
              <w:rPr>
                <w:rFonts w:ascii="Times New Roman" w:hAnsi="Times New Roman" w:cs="Times New Roman"/>
              </w:rPr>
              <w:t>Multi membership prevalence</w:t>
            </w:r>
          </w:p>
        </w:tc>
        <w:tc>
          <w:tcPr>
            <w:tcW w:w="0" w:type="auto"/>
            <w:tcBorders>
              <w:top w:val="single" w:sz="4" w:space="0" w:color="auto"/>
              <w:bottom w:val="nil"/>
            </w:tcBorders>
            <w:vAlign w:val="center"/>
            <w:hideMark/>
          </w:tcPr>
          <w:p w14:paraId="1F32CD3B" w14:textId="77777777" w:rsidR="00C0337F" w:rsidRPr="00D43815" w:rsidRDefault="00C0337F" w:rsidP="00B4760D">
            <w:pPr>
              <w:spacing w:after="0" w:line="240" w:lineRule="auto"/>
              <w:rPr>
                <w:rFonts w:ascii="Times New Roman" w:hAnsi="Times New Roman" w:cs="Times New Roman"/>
              </w:rPr>
            </w:pPr>
            <w:r w:rsidRPr="00D43815">
              <w:rPr>
                <w:rFonts w:ascii="Times New Roman" w:hAnsi="Times New Roman" w:cs="Times New Roman"/>
              </w:rPr>
              <w:t>High overlap with other regional blocs</w:t>
            </w:r>
          </w:p>
        </w:tc>
        <w:tc>
          <w:tcPr>
            <w:tcW w:w="0" w:type="auto"/>
            <w:tcBorders>
              <w:top w:val="single" w:sz="4" w:space="0" w:color="auto"/>
              <w:bottom w:val="nil"/>
            </w:tcBorders>
            <w:vAlign w:val="center"/>
            <w:hideMark/>
          </w:tcPr>
          <w:p w14:paraId="7AF80867" w14:textId="77777777" w:rsidR="00C0337F" w:rsidRPr="00D43815" w:rsidRDefault="00C0337F" w:rsidP="00B4760D">
            <w:pPr>
              <w:spacing w:after="0" w:line="240" w:lineRule="auto"/>
              <w:rPr>
                <w:rFonts w:ascii="Times New Roman" w:hAnsi="Times New Roman" w:cs="Times New Roman"/>
              </w:rPr>
            </w:pPr>
            <w:r w:rsidRPr="00D43815">
              <w:rPr>
                <w:rFonts w:ascii="Times New Roman" w:hAnsi="Times New Roman" w:cs="Times New Roman"/>
              </w:rPr>
              <w:t>Relatively lower overlap</w:t>
            </w:r>
          </w:p>
        </w:tc>
        <w:tc>
          <w:tcPr>
            <w:tcW w:w="0" w:type="auto"/>
            <w:tcBorders>
              <w:top w:val="single" w:sz="4" w:space="0" w:color="auto"/>
              <w:bottom w:val="nil"/>
            </w:tcBorders>
            <w:vAlign w:val="center"/>
            <w:hideMark/>
          </w:tcPr>
          <w:p w14:paraId="18674B8F" w14:textId="77777777" w:rsidR="00C0337F" w:rsidRPr="00D43815" w:rsidRDefault="00C0337F" w:rsidP="00B4760D">
            <w:pPr>
              <w:spacing w:after="0" w:line="240" w:lineRule="auto"/>
              <w:rPr>
                <w:rFonts w:ascii="Times New Roman" w:hAnsi="Times New Roman" w:cs="Times New Roman"/>
              </w:rPr>
            </w:pPr>
            <w:proofErr w:type="spellStart"/>
            <w:r w:rsidRPr="00D43815">
              <w:rPr>
                <w:rFonts w:ascii="Times New Roman" w:hAnsi="Times New Roman" w:cs="Times New Roman"/>
              </w:rPr>
              <w:t>Afesorgbor</w:t>
            </w:r>
            <w:proofErr w:type="spellEnd"/>
            <w:r w:rsidRPr="00D43815">
              <w:rPr>
                <w:rFonts w:ascii="Times New Roman" w:hAnsi="Times New Roman" w:cs="Times New Roman"/>
              </w:rPr>
              <w:t xml:space="preserve"> and van </w:t>
            </w:r>
            <w:proofErr w:type="spellStart"/>
            <w:r w:rsidRPr="00D43815">
              <w:rPr>
                <w:rFonts w:ascii="Times New Roman" w:hAnsi="Times New Roman" w:cs="Times New Roman"/>
              </w:rPr>
              <w:t>Bergeijk</w:t>
            </w:r>
            <w:proofErr w:type="spellEnd"/>
            <w:r w:rsidRPr="00D43815">
              <w:rPr>
                <w:rFonts w:ascii="Times New Roman" w:hAnsi="Times New Roman" w:cs="Times New Roman"/>
              </w:rPr>
              <w:t xml:space="preserve"> 2011</w:t>
            </w:r>
          </w:p>
        </w:tc>
      </w:tr>
    </w:tbl>
    <w:p w14:paraId="6B06E30E" w14:textId="77777777" w:rsidR="00C0337F" w:rsidRPr="00980F80" w:rsidRDefault="00C0337F" w:rsidP="00C0337F">
      <w:pPr>
        <w:spacing w:line="360" w:lineRule="auto"/>
        <w:jc w:val="both"/>
        <w:rPr>
          <w:rFonts w:ascii="Times New Roman" w:hAnsi="Times New Roman" w:cs="Times New Roman"/>
          <w:sz w:val="8"/>
          <w:szCs w:val="8"/>
        </w:rPr>
      </w:pPr>
    </w:p>
    <w:p w14:paraId="78CA56BA" w14:textId="67AC2B1B" w:rsidR="008B6F74" w:rsidRPr="00980F80" w:rsidRDefault="00980F80" w:rsidP="00C0337F">
      <w:pPr>
        <w:spacing w:line="360" w:lineRule="auto"/>
        <w:jc w:val="both"/>
        <w:rPr>
          <w:rFonts w:ascii="Times New Roman" w:hAnsi="Times New Roman" w:cs="Times New Roman"/>
          <w:sz w:val="8"/>
          <w:szCs w:val="8"/>
        </w:rPr>
      </w:pPr>
      <w:r w:rsidRPr="00980F80">
        <w:rPr>
          <w:rFonts w:ascii="Times New Roman" w:hAnsi="Times New Roman" w:cs="Times New Roman"/>
        </w:rPr>
        <w:lastRenderedPageBreak/>
        <w:t xml:space="preserve">ECOWAS faces similar structural transformation challenges, but with additional constraints related to fragmentation and uneven industrial bases. Research connecting integration, global value chains, and food security in ECOWAS suggests that trade and value chain integration can support growth and food system outcomes, but only where enabling conditions exist, including infrastructure, policy coherence, and trade facilitation (Tinta et al., 2018; Shuaibu and Mamman, 2025). The IMF focused work on WAEMU also points toward significant potential gains from deeper intraregional integration, implying that the binding constraints are not demand for integration but the costs and rules that shape whether firms can actually build regional supply chains (Hakobyan et al., 2025). Across both blocs, value chain integration becomes the bridge between trade policy and sustainable development because it links markets to jobs, productivity, and social outcomes (Krantz, 2025; </w:t>
      </w:r>
      <w:proofErr w:type="spellStart"/>
      <w:r w:rsidRPr="00980F80">
        <w:rPr>
          <w:rFonts w:ascii="Times New Roman" w:hAnsi="Times New Roman" w:cs="Times New Roman"/>
        </w:rPr>
        <w:t>Ticku</w:t>
      </w:r>
      <w:proofErr w:type="spellEnd"/>
      <w:r w:rsidRPr="00980F80">
        <w:rPr>
          <w:rFonts w:ascii="Times New Roman" w:hAnsi="Times New Roman" w:cs="Times New Roman"/>
        </w:rPr>
        <w:t xml:space="preserve"> et al., 2025).</w:t>
      </w:r>
      <w:r w:rsidR="008B6F74">
        <w:rPr>
          <w:rFonts w:ascii="Times New Roman" w:hAnsi="Times New Roman" w:cs="Times New Roman"/>
        </w:rPr>
        <w:t xml:space="preserve"> </w:t>
      </w:r>
    </w:p>
    <w:p w14:paraId="1A0439D9" w14:textId="26138A9D" w:rsidR="00980F80" w:rsidRPr="00980F80" w:rsidRDefault="00C22A27" w:rsidP="008B6F74">
      <w:pPr>
        <w:spacing w:line="240" w:lineRule="auto"/>
        <w:jc w:val="both"/>
        <w:rPr>
          <w:rFonts w:ascii="Times New Roman" w:hAnsi="Times New Roman" w:cs="Times New Roman"/>
          <w:b/>
          <w:bCs/>
        </w:rPr>
      </w:pPr>
      <w:r>
        <w:rPr>
          <w:rFonts w:ascii="Times New Roman" w:hAnsi="Times New Roman" w:cs="Times New Roman"/>
          <w:b/>
          <w:bCs/>
        </w:rPr>
        <w:t>8</w:t>
      </w:r>
      <w:r w:rsidR="00980F80" w:rsidRPr="00980F80">
        <w:rPr>
          <w:rFonts w:ascii="Times New Roman" w:hAnsi="Times New Roman" w:cs="Times New Roman"/>
          <w:b/>
          <w:bCs/>
        </w:rPr>
        <w:t xml:space="preserve"> Institutions, law, and accountability: courts, parliaments, and the credibility of regional commitments</w:t>
      </w:r>
    </w:p>
    <w:p w14:paraId="3B673884" w14:textId="77777777" w:rsidR="00C0337F" w:rsidRDefault="00980F80" w:rsidP="00C22A27">
      <w:pPr>
        <w:spacing w:line="360" w:lineRule="auto"/>
        <w:jc w:val="both"/>
        <w:rPr>
          <w:rFonts w:ascii="Times New Roman" w:hAnsi="Times New Roman" w:cs="Times New Roman"/>
        </w:rPr>
      </w:pPr>
      <w:r w:rsidRPr="00980F80">
        <w:rPr>
          <w:rFonts w:ascii="Times New Roman" w:hAnsi="Times New Roman" w:cs="Times New Roman"/>
        </w:rPr>
        <w:t>Economic integration relies on credible institutions that can coordinate policy, reduce uncertainty, and resolve disputes. Regional parliaments can contribute by supporting oversight, transparency, and the political anchoring of integration commitments across electoral cycles. Evidence on regional parliaments and African economic integration highlights that legislative bodies matter because integration is political, and the legitimacy and continuity of rules shape whether private actors invest in regional markets (</w:t>
      </w:r>
      <w:proofErr w:type="spellStart"/>
      <w:r w:rsidRPr="00980F80">
        <w:rPr>
          <w:rFonts w:ascii="Times New Roman" w:hAnsi="Times New Roman" w:cs="Times New Roman"/>
        </w:rPr>
        <w:t>Jancic</w:t>
      </w:r>
      <w:proofErr w:type="spellEnd"/>
      <w:r w:rsidRPr="00980F80">
        <w:rPr>
          <w:rFonts w:ascii="Times New Roman" w:hAnsi="Times New Roman" w:cs="Times New Roman"/>
        </w:rPr>
        <w:t>, 2019). In both ECOWAS and the EAC, formal institutions exist, but their influence depends on how much authority member states actually delegate, how rules are enforced, and whether citizens and firms can realistically use regional mechanisms.</w:t>
      </w:r>
      <w:r w:rsidR="00C0337F">
        <w:rPr>
          <w:rFonts w:ascii="Times New Roman" w:hAnsi="Times New Roman" w:cs="Times New Roman"/>
        </w:rPr>
        <w:t xml:space="preserve"> </w:t>
      </w:r>
      <w:r w:rsidRPr="00980F80">
        <w:rPr>
          <w:rFonts w:ascii="Times New Roman" w:hAnsi="Times New Roman" w:cs="Times New Roman"/>
        </w:rPr>
        <w:t>Regional courts are also increasingly relevant to sustainable development because they help define how economic, social, and environmental pillars are balanced when disputes arise. Analysis of African regional courts argues that these bodies can shape sustainable development jurisprudence by clarifying obligations and contributing to broader legal norms, but their impact depends on access, compliance, and political support from member states (Gonza, 2025).</w:t>
      </w:r>
    </w:p>
    <w:p w14:paraId="24BEC2BC" w14:textId="6DE17754" w:rsidR="00B02BAC" w:rsidRPr="00C22A27" w:rsidRDefault="00980F80" w:rsidP="00C22A27">
      <w:pPr>
        <w:spacing w:line="360" w:lineRule="auto"/>
        <w:jc w:val="both"/>
        <w:rPr>
          <w:rFonts w:ascii="Times New Roman" w:hAnsi="Times New Roman" w:cs="Times New Roman"/>
        </w:rPr>
      </w:pPr>
      <w:r w:rsidRPr="00980F80">
        <w:rPr>
          <w:rFonts w:ascii="Times New Roman" w:hAnsi="Times New Roman" w:cs="Times New Roman"/>
        </w:rPr>
        <w:t>The comparative literature also suggests that institutional effectiveness is undermined when regional commitments overlap and when states belong to multiple blocs with different rules and priorities, since multi membership can weaken implementation focus, dilute technical capacity, and create conflicting incentives that reduce the effectiveness of regional trade agreements (</w:t>
      </w:r>
      <w:proofErr w:type="spellStart"/>
      <w:r w:rsidRPr="00980F80">
        <w:rPr>
          <w:rFonts w:ascii="Times New Roman" w:hAnsi="Times New Roman" w:cs="Times New Roman"/>
        </w:rPr>
        <w:t>Afesorgbor</w:t>
      </w:r>
      <w:proofErr w:type="spellEnd"/>
      <w:r w:rsidRPr="00980F80">
        <w:rPr>
          <w:rFonts w:ascii="Times New Roman" w:hAnsi="Times New Roman" w:cs="Times New Roman"/>
        </w:rPr>
        <w:t xml:space="preserve"> and van </w:t>
      </w:r>
      <w:proofErr w:type="spellStart"/>
      <w:r w:rsidRPr="00980F80">
        <w:rPr>
          <w:rFonts w:ascii="Times New Roman" w:hAnsi="Times New Roman" w:cs="Times New Roman"/>
        </w:rPr>
        <w:t>Bergeijk</w:t>
      </w:r>
      <w:proofErr w:type="spellEnd"/>
      <w:r w:rsidRPr="00980F80">
        <w:rPr>
          <w:rFonts w:ascii="Times New Roman" w:hAnsi="Times New Roman" w:cs="Times New Roman"/>
        </w:rPr>
        <w:t>, 2011).</w:t>
      </w:r>
      <w:r w:rsidR="00C0337F">
        <w:rPr>
          <w:rFonts w:ascii="Times New Roman" w:hAnsi="Times New Roman" w:cs="Times New Roman"/>
        </w:rPr>
        <w:t xml:space="preserve"> </w:t>
      </w:r>
      <w:r w:rsidRPr="00980F80">
        <w:rPr>
          <w:rFonts w:ascii="Times New Roman" w:hAnsi="Times New Roman" w:cs="Times New Roman"/>
        </w:rPr>
        <w:t xml:space="preserve">In West Africa, empirical evidence linking institutional </w:t>
      </w:r>
      <w:r w:rsidRPr="00980F80">
        <w:rPr>
          <w:rFonts w:ascii="Times New Roman" w:hAnsi="Times New Roman" w:cs="Times New Roman"/>
        </w:rPr>
        <w:lastRenderedPageBreak/>
        <w:t>quality to trade flows reinforces the same point from a different angle, because when governance is weak, predictable trade expansion is harder, and integration becomes less attractive for long term investment (</w:t>
      </w:r>
      <w:proofErr w:type="spellStart"/>
      <w:r w:rsidRPr="00980F80">
        <w:rPr>
          <w:rFonts w:ascii="Times New Roman" w:hAnsi="Times New Roman" w:cs="Times New Roman"/>
        </w:rPr>
        <w:t>Oshota</w:t>
      </w:r>
      <w:proofErr w:type="spellEnd"/>
      <w:r w:rsidRPr="00980F80">
        <w:rPr>
          <w:rFonts w:ascii="Times New Roman" w:hAnsi="Times New Roman" w:cs="Times New Roman"/>
        </w:rPr>
        <w:t xml:space="preserve"> and Wahab, 2022; Deme, 1995). In East Africa, institutional developments are often presented as relatively stronger, but policy challenges persist, especially where common policies interact with domestic political pressures and uneven economic structures (</w:t>
      </w:r>
      <w:proofErr w:type="spellStart"/>
      <w:r w:rsidRPr="00980F80">
        <w:rPr>
          <w:rFonts w:ascii="Times New Roman" w:hAnsi="Times New Roman" w:cs="Times New Roman"/>
        </w:rPr>
        <w:t>Kansaye</w:t>
      </w:r>
      <w:proofErr w:type="spellEnd"/>
      <w:r w:rsidRPr="00980F80">
        <w:rPr>
          <w:rFonts w:ascii="Times New Roman" w:hAnsi="Times New Roman" w:cs="Times New Roman"/>
        </w:rPr>
        <w:t xml:space="preserve">, 2025; </w:t>
      </w:r>
      <w:proofErr w:type="spellStart"/>
      <w:r w:rsidRPr="00980F80">
        <w:rPr>
          <w:rFonts w:ascii="Times New Roman" w:hAnsi="Times New Roman" w:cs="Times New Roman"/>
        </w:rPr>
        <w:t>Bünder</w:t>
      </w:r>
      <w:proofErr w:type="spellEnd"/>
      <w:r w:rsidRPr="00980F80">
        <w:rPr>
          <w:rFonts w:ascii="Times New Roman" w:hAnsi="Times New Roman" w:cs="Times New Roman"/>
        </w:rPr>
        <w:t>, 2018).</w:t>
      </w:r>
      <w:r w:rsidR="00B02BAC">
        <w:rPr>
          <w:rFonts w:ascii="Times New Roman" w:hAnsi="Times New Roman" w:cs="Times New Roman"/>
        </w:rPr>
        <w:t xml:space="preserve"> </w:t>
      </w:r>
      <w:r w:rsidR="00B02BAC" w:rsidRPr="00B02BAC">
        <w:rPr>
          <w:rFonts w:ascii="Times New Roman" w:hAnsi="Times New Roman" w:cs="Times New Roman"/>
          <w:b/>
          <w:bCs/>
        </w:rPr>
        <w:t>Figure 1</w:t>
      </w:r>
      <w:r w:rsidR="00B02BAC" w:rsidRPr="00B02BAC">
        <w:rPr>
          <w:rFonts w:ascii="Times New Roman" w:hAnsi="Times New Roman" w:cs="Times New Roman"/>
        </w:rPr>
        <w:t xml:space="preserve"> presents the integration pathways of ECOWAS and the EAC side by side. It visualizes how trade, coordination, and governance reforms lead to outcomes like food security, resilience and diversification. The two blocs follow different routes, reflecting their structural and policy priorities</w:t>
      </w:r>
      <w:r w:rsidR="00B02BAC">
        <w:rPr>
          <w:rFonts w:ascii="Times New Roman" w:hAnsi="Times New Roman" w:cs="Times New Roman"/>
        </w:rPr>
        <w:t>.</w:t>
      </w:r>
    </w:p>
    <w:p w14:paraId="3B293C37" w14:textId="6DB6283A" w:rsidR="00980F80" w:rsidRPr="00980F80" w:rsidRDefault="00C22A27" w:rsidP="008B6F74">
      <w:pPr>
        <w:spacing w:line="240" w:lineRule="auto"/>
        <w:jc w:val="both"/>
        <w:rPr>
          <w:rFonts w:ascii="Times New Roman" w:hAnsi="Times New Roman" w:cs="Times New Roman"/>
          <w:b/>
          <w:bCs/>
        </w:rPr>
      </w:pPr>
      <w:r>
        <w:rPr>
          <w:rFonts w:ascii="Times New Roman" w:hAnsi="Times New Roman" w:cs="Times New Roman"/>
          <w:b/>
          <w:bCs/>
        </w:rPr>
        <w:t>9</w:t>
      </w:r>
      <w:r w:rsidR="00980F80" w:rsidRPr="00980F80">
        <w:rPr>
          <w:rFonts w:ascii="Times New Roman" w:hAnsi="Times New Roman" w:cs="Times New Roman"/>
          <w:b/>
          <w:bCs/>
        </w:rPr>
        <w:t xml:space="preserve"> Sectoral pathways to sustainable development: energy, land use, migration, and regional resilience</w:t>
      </w:r>
    </w:p>
    <w:p w14:paraId="37F7D3B6" w14:textId="542BE40B" w:rsidR="00980F80" w:rsidRDefault="00980F80" w:rsidP="00980F80">
      <w:pPr>
        <w:spacing w:line="360" w:lineRule="auto"/>
        <w:jc w:val="both"/>
        <w:rPr>
          <w:rFonts w:ascii="Times New Roman" w:hAnsi="Times New Roman" w:cs="Times New Roman"/>
        </w:rPr>
      </w:pPr>
      <w:r w:rsidRPr="00980F80">
        <w:rPr>
          <w:rFonts w:ascii="Times New Roman" w:hAnsi="Times New Roman" w:cs="Times New Roman"/>
        </w:rPr>
        <w:t>Sustainable development is where integration is most tested, because it requires policy coordination beyond trade.</w:t>
      </w:r>
      <w:r w:rsidR="00C57342">
        <w:rPr>
          <w:rFonts w:ascii="Times New Roman" w:hAnsi="Times New Roman" w:cs="Times New Roman"/>
        </w:rPr>
        <w:t xml:space="preserve"> </w:t>
      </w:r>
      <w:r w:rsidRPr="00980F80">
        <w:rPr>
          <w:rFonts w:ascii="Times New Roman" w:hAnsi="Times New Roman" w:cs="Times New Roman"/>
        </w:rPr>
        <w:t>In ECOWAS, energy sustainability has been explicitly examined as an integration challenge and opportunity. Evidence indicates that regional integration can support energy sustainability through shared planning, cross border infrastructure, and coordinated policies, but constraints include weak implementation, financing limits, and differences in national energy structures (Akinyemi et al., 2019). The presence of both a journal article and a working paper version of the same study is useful for deepening the discussion because it underscores the robustness of the core argument, while also providing additional contextual detail for policy analysis (Akinyemi et al., 2019).</w:t>
      </w:r>
    </w:p>
    <w:p w14:paraId="20027615" w14:textId="77777777" w:rsidR="00C22A27" w:rsidRDefault="00C22A27" w:rsidP="00C22A27">
      <w:pPr>
        <w:spacing w:after="0" w:line="240" w:lineRule="auto"/>
        <w:jc w:val="center"/>
        <w:rPr>
          <w:rFonts w:ascii="Times New Roman" w:hAnsi="Times New Roman" w:cs="Times New Roman"/>
          <w:b/>
          <w:bCs/>
        </w:rPr>
      </w:pPr>
      <w:r>
        <w:rPr>
          <w:rFonts w:ascii="Times New Roman" w:hAnsi="Times New Roman" w:cs="Times New Roman"/>
          <w:b/>
          <w:bCs/>
          <w:noProof/>
        </w:rPr>
        <w:drawing>
          <wp:inline distT="0" distB="0" distL="0" distR="0" wp14:anchorId="48124D19" wp14:editId="0B72FBB1">
            <wp:extent cx="5173584" cy="2679700"/>
            <wp:effectExtent l="0" t="0" r="8255" b="6350"/>
            <wp:docPr id="113536152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361525" name="Picture 1135361525"/>
                    <pic:cNvPicPr/>
                  </pic:nvPicPr>
                  <pic:blipFill>
                    <a:blip r:embed="rId6" cstate="print">
                      <a:extLst>
                        <a:ext uri="{28A0092B-C50C-407E-A947-70E740481C1C}">
                          <a14:useLocalDpi xmlns:a14="http://schemas.microsoft.com/office/drawing/2010/main" val="0"/>
                        </a:ext>
                      </a:extLst>
                    </a:blip>
                    <a:stretch>
                      <a:fillRect/>
                    </a:stretch>
                  </pic:blipFill>
                  <pic:spPr>
                    <a:xfrm>
                      <a:off x="0" y="0"/>
                      <a:ext cx="5189095" cy="2687734"/>
                    </a:xfrm>
                    <a:prstGeom prst="rect">
                      <a:avLst/>
                    </a:prstGeom>
                  </pic:spPr>
                </pic:pic>
              </a:graphicData>
            </a:graphic>
          </wp:inline>
        </w:drawing>
      </w:r>
    </w:p>
    <w:p w14:paraId="1978BDB3" w14:textId="77777777" w:rsidR="00C22A27" w:rsidRPr="00C57342" w:rsidRDefault="00C22A27" w:rsidP="00C22A27">
      <w:pPr>
        <w:spacing w:after="0" w:line="240" w:lineRule="auto"/>
        <w:jc w:val="center"/>
        <w:rPr>
          <w:rFonts w:ascii="Times New Roman" w:hAnsi="Times New Roman" w:cs="Times New Roman"/>
          <w:sz w:val="6"/>
          <w:szCs w:val="6"/>
        </w:rPr>
      </w:pPr>
      <w:r w:rsidRPr="00C57342">
        <w:rPr>
          <w:rFonts w:ascii="Times New Roman" w:hAnsi="Times New Roman" w:cs="Times New Roman"/>
          <w:b/>
          <w:bCs/>
          <w:sz w:val="20"/>
          <w:szCs w:val="20"/>
        </w:rPr>
        <w:t xml:space="preserve">Figure 1: </w:t>
      </w:r>
      <w:r w:rsidRPr="00C57342">
        <w:rPr>
          <w:rFonts w:ascii="Times New Roman" w:hAnsi="Times New Roman" w:cs="Times New Roman"/>
          <w:sz w:val="20"/>
          <w:szCs w:val="20"/>
        </w:rPr>
        <w:t>Pathways from Regional Integration to Sustainable Development Outcomes in ECOWAS and the EAC</w:t>
      </w:r>
    </w:p>
    <w:p w14:paraId="7C4A40AD" w14:textId="77777777" w:rsidR="00C22A27" w:rsidRPr="00C22A27" w:rsidRDefault="00C22A27" w:rsidP="00980F80">
      <w:pPr>
        <w:spacing w:line="360" w:lineRule="auto"/>
        <w:jc w:val="both"/>
        <w:rPr>
          <w:rFonts w:ascii="Times New Roman" w:hAnsi="Times New Roman" w:cs="Times New Roman"/>
          <w:sz w:val="2"/>
          <w:szCs w:val="2"/>
        </w:rPr>
      </w:pPr>
    </w:p>
    <w:p w14:paraId="3981BCC4" w14:textId="4D00F6A3" w:rsidR="00980F80" w:rsidRDefault="00980F80" w:rsidP="00980F80">
      <w:pPr>
        <w:spacing w:line="360" w:lineRule="auto"/>
        <w:jc w:val="both"/>
        <w:rPr>
          <w:rFonts w:ascii="Times New Roman" w:hAnsi="Times New Roman" w:cs="Times New Roman"/>
        </w:rPr>
      </w:pPr>
      <w:r w:rsidRPr="00980F80">
        <w:rPr>
          <w:rFonts w:ascii="Times New Roman" w:hAnsi="Times New Roman" w:cs="Times New Roman"/>
        </w:rPr>
        <w:t>In the EAC, sectoral analysis broadens beyond trade into migration patterns, land use, and sustainability outcomes. Evidence from a case study approach suggests that integration affects intra Africa trade, mobility, and land use dynamics, with implications for sustainability that depend on governance quality and policy alignment across member states (</w:t>
      </w:r>
      <w:proofErr w:type="spellStart"/>
      <w:r w:rsidRPr="00980F80">
        <w:rPr>
          <w:rFonts w:ascii="Times New Roman" w:hAnsi="Times New Roman" w:cs="Times New Roman"/>
        </w:rPr>
        <w:t>Ename</w:t>
      </w:r>
      <w:proofErr w:type="spellEnd"/>
      <w:r w:rsidRPr="00980F80">
        <w:rPr>
          <w:rFonts w:ascii="Times New Roman" w:hAnsi="Times New Roman" w:cs="Times New Roman"/>
        </w:rPr>
        <w:t xml:space="preserve"> </w:t>
      </w:r>
      <w:proofErr w:type="spellStart"/>
      <w:r w:rsidRPr="00980F80">
        <w:rPr>
          <w:rFonts w:ascii="Times New Roman" w:hAnsi="Times New Roman" w:cs="Times New Roman"/>
        </w:rPr>
        <w:t>Minko</w:t>
      </w:r>
      <w:proofErr w:type="spellEnd"/>
      <w:r w:rsidRPr="00980F80">
        <w:rPr>
          <w:rFonts w:ascii="Times New Roman" w:hAnsi="Times New Roman" w:cs="Times New Roman"/>
        </w:rPr>
        <w:t>, 2024). A practical comparison shows that ECOWAS has a clearer history of linking regional coordination to political stability and security concerns, while the EAC literature emphasizes trade logistics, value chain integration, and institutional development challenges. Both pathways are connected to sustainable development, but through different mechanisms and risk profiles. The EAC’s progress in facilitation and trade competitiveness, including logistics infrastructure and innovation related competitiveness, suggests potential for jobs and productivity gains where policy coherence is sustained (</w:t>
      </w:r>
      <w:proofErr w:type="spellStart"/>
      <w:r w:rsidRPr="00980F80">
        <w:rPr>
          <w:rFonts w:ascii="Times New Roman" w:hAnsi="Times New Roman" w:cs="Times New Roman"/>
        </w:rPr>
        <w:t>Olyanga</w:t>
      </w:r>
      <w:proofErr w:type="spellEnd"/>
      <w:r w:rsidRPr="00980F80">
        <w:rPr>
          <w:rFonts w:ascii="Times New Roman" w:hAnsi="Times New Roman" w:cs="Times New Roman"/>
        </w:rPr>
        <w:t xml:space="preserve"> et al., 2022</w:t>
      </w:r>
      <w:r w:rsidR="00C0337F">
        <w:rPr>
          <w:rFonts w:ascii="Times New Roman" w:hAnsi="Times New Roman" w:cs="Times New Roman"/>
        </w:rPr>
        <w:t>a, b</w:t>
      </w:r>
      <w:r w:rsidRPr="00980F80">
        <w:rPr>
          <w:rFonts w:ascii="Times New Roman" w:hAnsi="Times New Roman" w:cs="Times New Roman"/>
        </w:rPr>
        <w:t xml:space="preserve">; Hersi, 2025). ECOWAS’s energy integration agenda suggests potential for regional public goods that directly support inclusive development, but only where institutions can implement and sustain cross border commitments (Akinyemi et al., 2019; </w:t>
      </w:r>
      <w:proofErr w:type="spellStart"/>
      <w:r w:rsidRPr="00980F80">
        <w:rPr>
          <w:rFonts w:ascii="Times New Roman" w:hAnsi="Times New Roman" w:cs="Times New Roman"/>
        </w:rPr>
        <w:t>Oshota</w:t>
      </w:r>
      <w:proofErr w:type="spellEnd"/>
      <w:r w:rsidRPr="00980F80">
        <w:rPr>
          <w:rFonts w:ascii="Times New Roman" w:hAnsi="Times New Roman" w:cs="Times New Roman"/>
        </w:rPr>
        <w:t xml:space="preserve"> and Wahab, 2022; Shuaibu and Mamman, 2025).</w:t>
      </w:r>
      <w:r w:rsidR="008B6F74">
        <w:rPr>
          <w:rFonts w:ascii="Times New Roman" w:hAnsi="Times New Roman" w:cs="Times New Roman"/>
        </w:rPr>
        <w:t xml:space="preserve"> </w:t>
      </w:r>
      <w:r w:rsidR="008B6F74" w:rsidRPr="008B6F74">
        <w:rPr>
          <w:rFonts w:ascii="Times New Roman" w:hAnsi="Times New Roman" w:cs="Times New Roman"/>
          <w:b/>
          <w:bCs/>
        </w:rPr>
        <w:t>Table 2</w:t>
      </w:r>
      <w:r w:rsidR="008B6F74" w:rsidRPr="008B6F74">
        <w:rPr>
          <w:rFonts w:ascii="Times New Roman" w:hAnsi="Times New Roman" w:cs="Times New Roman"/>
        </w:rPr>
        <w:t xml:space="preserve"> outlines how integration connects to sustainability across key sectors. ECOWAS emphasizes energy and political coordination, while the EAC focuses on trade logistics, value chains, and resilience. These sectoral pathways shape how each bloc translates integration into real development outcomes</w:t>
      </w:r>
      <w:r w:rsidR="008B6F74">
        <w:rPr>
          <w:rFonts w:ascii="Times New Roman" w:hAnsi="Times New Roman" w:cs="Times New Roman"/>
        </w:rPr>
        <w:t>.</w:t>
      </w:r>
    </w:p>
    <w:p w14:paraId="4CD97747" w14:textId="18F1A7B3" w:rsidR="00B15E94" w:rsidRPr="00980F80" w:rsidRDefault="00B15E94" w:rsidP="00B15E94">
      <w:pPr>
        <w:spacing w:after="0" w:line="240" w:lineRule="auto"/>
        <w:jc w:val="both"/>
        <w:rPr>
          <w:rFonts w:ascii="Times New Roman" w:hAnsi="Times New Roman" w:cs="Times New Roman"/>
          <w:b/>
          <w:bCs/>
        </w:rPr>
      </w:pPr>
      <w:r w:rsidRPr="008B6F74">
        <w:rPr>
          <w:rFonts w:ascii="Times New Roman" w:hAnsi="Times New Roman" w:cs="Times New Roman"/>
          <w:b/>
          <w:bCs/>
        </w:rPr>
        <w:t xml:space="preserve">Table 2: </w:t>
      </w:r>
      <w:r w:rsidRPr="008B6F74">
        <w:rPr>
          <w:rFonts w:ascii="Times New Roman" w:hAnsi="Times New Roman" w:cs="Times New Roman"/>
        </w:rPr>
        <w:t>Sectoral Pathways Linking Regional Integration to Sustainable Development Outcomes</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596"/>
        <w:gridCol w:w="2247"/>
        <w:gridCol w:w="1848"/>
        <w:gridCol w:w="2118"/>
        <w:gridCol w:w="1551"/>
      </w:tblGrid>
      <w:tr w:rsidR="00B15E94" w:rsidRPr="000760AA" w14:paraId="32C21ACB" w14:textId="77777777" w:rsidTr="008E4976">
        <w:trPr>
          <w:trHeight w:val="665"/>
          <w:tblHeader/>
          <w:tblCellSpacing w:w="15" w:type="dxa"/>
        </w:trPr>
        <w:tc>
          <w:tcPr>
            <w:tcW w:w="0" w:type="auto"/>
            <w:tcBorders>
              <w:top w:val="nil"/>
              <w:bottom w:val="single" w:sz="4" w:space="0" w:color="auto"/>
            </w:tcBorders>
            <w:vAlign w:val="center"/>
            <w:hideMark/>
          </w:tcPr>
          <w:p w14:paraId="3E04C4E2" w14:textId="77777777" w:rsidR="00B15E94" w:rsidRPr="000760AA" w:rsidRDefault="00B15E94" w:rsidP="008E4976">
            <w:pPr>
              <w:spacing w:after="0" w:line="240" w:lineRule="auto"/>
              <w:rPr>
                <w:rFonts w:ascii="Times New Roman" w:hAnsi="Times New Roman" w:cs="Times New Roman"/>
                <w:b/>
                <w:bCs/>
                <w:sz w:val="22"/>
                <w:szCs w:val="22"/>
              </w:rPr>
            </w:pPr>
            <w:r w:rsidRPr="000760AA">
              <w:rPr>
                <w:rFonts w:ascii="Times New Roman" w:hAnsi="Times New Roman" w:cs="Times New Roman"/>
                <w:b/>
                <w:bCs/>
                <w:sz w:val="22"/>
                <w:szCs w:val="22"/>
              </w:rPr>
              <w:t>Sector</w:t>
            </w:r>
          </w:p>
        </w:tc>
        <w:tc>
          <w:tcPr>
            <w:tcW w:w="0" w:type="auto"/>
            <w:tcBorders>
              <w:top w:val="nil"/>
              <w:bottom w:val="single" w:sz="4" w:space="0" w:color="auto"/>
            </w:tcBorders>
            <w:vAlign w:val="center"/>
            <w:hideMark/>
          </w:tcPr>
          <w:p w14:paraId="5801F5C1" w14:textId="77777777" w:rsidR="00B15E94" w:rsidRPr="000760AA" w:rsidRDefault="00B15E94" w:rsidP="008E4976">
            <w:pPr>
              <w:spacing w:after="0" w:line="240" w:lineRule="auto"/>
              <w:rPr>
                <w:rFonts w:ascii="Times New Roman" w:hAnsi="Times New Roman" w:cs="Times New Roman"/>
                <w:b/>
                <w:bCs/>
                <w:sz w:val="22"/>
                <w:szCs w:val="22"/>
              </w:rPr>
            </w:pPr>
            <w:r w:rsidRPr="000760AA">
              <w:rPr>
                <w:rFonts w:ascii="Times New Roman" w:hAnsi="Times New Roman" w:cs="Times New Roman"/>
                <w:b/>
                <w:bCs/>
                <w:sz w:val="22"/>
                <w:szCs w:val="22"/>
              </w:rPr>
              <w:t>ECOWAS integration pathway</w:t>
            </w:r>
          </w:p>
        </w:tc>
        <w:tc>
          <w:tcPr>
            <w:tcW w:w="0" w:type="auto"/>
            <w:tcBorders>
              <w:top w:val="nil"/>
              <w:bottom w:val="single" w:sz="4" w:space="0" w:color="auto"/>
            </w:tcBorders>
            <w:vAlign w:val="center"/>
            <w:hideMark/>
          </w:tcPr>
          <w:p w14:paraId="5E3DDD48" w14:textId="77777777" w:rsidR="00B15E94" w:rsidRPr="000760AA" w:rsidRDefault="00B15E94" w:rsidP="008E4976">
            <w:pPr>
              <w:spacing w:after="0" w:line="240" w:lineRule="auto"/>
              <w:rPr>
                <w:rFonts w:ascii="Times New Roman" w:hAnsi="Times New Roman" w:cs="Times New Roman"/>
                <w:b/>
                <w:bCs/>
                <w:sz w:val="22"/>
                <w:szCs w:val="22"/>
              </w:rPr>
            </w:pPr>
            <w:r w:rsidRPr="000760AA">
              <w:rPr>
                <w:rFonts w:ascii="Times New Roman" w:hAnsi="Times New Roman" w:cs="Times New Roman"/>
                <w:b/>
                <w:bCs/>
                <w:sz w:val="22"/>
                <w:szCs w:val="22"/>
              </w:rPr>
              <w:t>EAC integration pathway</w:t>
            </w:r>
          </w:p>
        </w:tc>
        <w:tc>
          <w:tcPr>
            <w:tcW w:w="0" w:type="auto"/>
            <w:tcBorders>
              <w:top w:val="nil"/>
              <w:bottom w:val="single" w:sz="4" w:space="0" w:color="auto"/>
            </w:tcBorders>
            <w:vAlign w:val="center"/>
            <w:hideMark/>
          </w:tcPr>
          <w:p w14:paraId="065EE9C7" w14:textId="77777777" w:rsidR="00B15E94" w:rsidRPr="000760AA" w:rsidRDefault="00B15E94" w:rsidP="008E4976">
            <w:pPr>
              <w:spacing w:after="0" w:line="240" w:lineRule="auto"/>
              <w:rPr>
                <w:rFonts w:ascii="Times New Roman" w:hAnsi="Times New Roman" w:cs="Times New Roman"/>
                <w:b/>
                <w:bCs/>
                <w:sz w:val="22"/>
                <w:szCs w:val="22"/>
              </w:rPr>
            </w:pPr>
            <w:r w:rsidRPr="000760AA">
              <w:rPr>
                <w:rFonts w:ascii="Times New Roman" w:hAnsi="Times New Roman" w:cs="Times New Roman"/>
                <w:b/>
                <w:bCs/>
                <w:sz w:val="22"/>
                <w:szCs w:val="22"/>
              </w:rPr>
              <w:t>Sustainable development relevance</w:t>
            </w:r>
          </w:p>
        </w:tc>
        <w:tc>
          <w:tcPr>
            <w:tcW w:w="0" w:type="auto"/>
            <w:tcBorders>
              <w:top w:val="nil"/>
              <w:bottom w:val="single" w:sz="4" w:space="0" w:color="auto"/>
            </w:tcBorders>
            <w:vAlign w:val="center"/>
            <w:hideMark/>
          </w:tcPr>
          <w:p w14:paraId="023B29E0" w14:textId="77777777" w:rsidR="00B15E94" w:rsidRPr="000760AA" w:rsidRDefault="00B15E94" w:rsidP="008E4976">
            <w:pPr>
              <w:spacing w:after="0" w:line="240" w:lineRule="auto"/>
              <w:rPr>
                <w:rFonts w:ascii="Times New Roman" w:hAnsi="Times New Roman" w:cs="Times New Roman"/>
                <w:b/>
                <w:bCs/>
                <w:sz w:val="22"/>
                <w:szCs w:val="22"/>
              </w:rPr>
            </w:pPr>
            <w:r w:rsidRPr="000760AA">
              <w:rPr>
                <w:rFonts w:ascii="Times New Roman" w:hAnsi="Times New Roman" w:cs="Times New Roman"/>
                <w:b/>
                <w:bCs/>
                <w:sz w:val="22"/>
                <w:szCs w:val="22"/>
              </w:rPr>
              <w:t>Key references</w:t>
            </w:r>
          </w:p>
        </w:tc>
      </w:tr>
      <w:tr w:rsidR="00B15E94" w:rsidRPr="000760AA" w14:paraId="0530798E" w14:textId="77777777" w:rsidTr="008E4976">
        <w:trPr>
          <w:trHeight w:val="924"/>
          <w:tblCellSpacing w:w="15" w:type="dxa"/>
        </w:trPr>
        <w:tc>
          <w:tcPr>
            <w:tcW w:w="0" w:type="auto"/>
            <w:vAlign w:val="center"/>
            <w:hideMark/>
          </w:tcPr>
          <w:p w14:paraId="5B8A9BDD" w14:textId="77777777" w:rsidR="00B15E94" w:rsidRPr="000760AA" w:rsidRDefault="00B15E94" w:rsidP="008E4976">
            <w:pPr>
              <w:spacing w:after="0" w:line="240" w:lineRule="auto"/>
              <w:rPr>
                <w:rFonts w:ascii="Times New Roman" w:hAnsi="Times New Roman" w:cs="Times New Roman"/>
                <w:sz w:val="22"/>
                <w:szCs w:val="22"/>
              </w:rPr>
            </w:pPr>
            <w:r w:rsidRPr="000760AA">
              <w:rPr>
                <w:rFonts w:ascii="Times New Roman" w:hAnsi="Times New Roman" w:cs="Times New Roman"/>
                <w:sz w:val="22"/>
                <w:szCs w:val="22"/>
              </w:rPr>
              <w:t>Energy</w:t>
            </w:r>
          </w:p>
        </w:tc>
        <w:tc>
          <w:tcPr>
            <w:tcW w:w="0" w:type="auto"/>
            <w:vAlign w:val="center"/>
            <w:hideMark/>
          </w:tcPr>
          <w:p w14:paraId="6F8A4E04" w14:textId="77777777" w:rsidR="00B15E94" w:rsidRPr="000760AA" w:rsidRDefault="00B15E94" w:rsidP="008E4976">
            <w:pPr>
              <w:spacing w:after="0" w:line="240" w:lineRule="auto"/>
              <w:rPr>
                <w:rFonts w:ascii="Times New Roman" w:hAnsi="Times New Roman" w:cs="Times New Roman"/>
                <w:sz w:val="22"/>
                <w:szCs w:val="22"/>
              </w:rPr>
            </w:pPr>
            <w:r w:rsidRPr="000760AA">
              <w:rPr>
                <w:rFonts w:ascii="Times New Roman" w:hAnsi="Times New Roman" w:cs="Times New Roman"/>
                <w:sz w:val="22"/>
                <w:szCs w:val="22"/>
              </w:rPr>
              <w:t>Regional policy coordination and cross border infrastructure initiatives</w:t>
            </w:r>
          </w:p>
        </w:tc>
        <w:tc>
          <w:tcPr>
            <w:tcW w:w="0" w:type="auto"/>
            <w:vAlign w:val="center"/>
            <w:hideMark/>
          </w:tcPr>
          <w:p w14:paraId="27DFDC67" w14:textId="77777777" w:rsidR="00B15E94" w:rsidRPr="000760AA" w:rsidRDefault="00B15E94" w:rsidP="008E4976">
            <w:pPr>
              <w:spacing w:after="0" w:line="240" w:lineRule="auto"/>
              <w:rPr>
                <w:rFonts w:ascii="Times New Roman" w:hAnsi="Times New Roman" w:cs="Times New Roman"/>
                <w:sz w:val="22"/>
                <w:szCs w:val="22"/>
              </w:rPr>
            </w:pPr>
            <w:r w:rsidRPr="000760AA">
              <w:rPr>
                <w:rFonts w:ascii="Times New Roman" w:hAnsi="Times New Roman" w:cs="Times New Roman"/>
                <w:sz w:val="22"/>
                <w:szCs w:val="22"/>
              </w:rPr>
              <w:t>Limited formal regional energy coordination</w:t>
            </w:r>
          </w:p>
        </w:tc>
        <w:tc>
          <w:tcPr>
            <w:tcW w:w="0" w:type="auto"/>
            <w:vAlign w:val="center"/>
            <w:hideMark/>
          </w:tcPr>
          <w:p w14:paraId="52171317" w14:textId="77777777" w:rsidR="00B15E94" w:rsidRPr="000760AA" w:rsidRDefault="00B15E94" w:rsidP="008E4976">
            <w:pPr>
              <w:spacing w:after="0" w:line="240" w:lineRule="auto"/>
              <w:rPr>
                <w:rFonts w:ascii="Times New Roman" w:hAnsi="Times New Roman" w:cs="Times New Roman"/>
                <w:sz w:val="22"/>
                <w:szCs w:val="22"/>
              </w:rPr>
            </w:pPr>
            <w:r w:rsidRPr="000760AA">
              <w:rPr>
                <w:rFonts w:ascii="Times New Roman" w:hAnsi="Times New Roman" w:cs="Times New Roman"/>
                <w:sz w:val="22"/>
                <w:szCs w:val="22"/>
              </w:rPr>
              <w:t>Energy security and inclusive growth</w:t>
            </w:r>
          </w:p>
        </w:tc>
        <w:tc>
          <w:tcPr>
            <w:tcW w:w="0" w:type="auto"/>
            <w:vAlign w:val="center"/>
            <w:hideMark/>
          </w:tcPr>
          <w:p w14:paraId="5A44319F" w14:textId="77777777" w:rsidR="00B15E94" w:rsidRPr="000760AA" w:rsidRDefault="00B15E94" w:rsidP="008E4976">
            <w:pPr>
              <w:spacing w:after="0" w:line="240" w:lineRule="auto"/>
              <w:rPr>
                <w:rFonts w:ascii="Times New Roman" w:hAnsi="Times New Roman" w:cs="Times New Roman"/>
                <w:sz w:val="22"/>
                <w:szCs w:val="22"/>
              </w:rPr>
            </w:pPr>
            <w:r w:rsidRPr="000760AA">
              <w:rPr>
                <w:rFonts w:ascii="Times New Roman" w:hAnsi="Times New Roman" w:cs="Times New Roman"/>
                <w:sz w:val="22"/>
                <w:szCs w:val="22"/>
              </w:rPr>
              <w:t>Akinyemi et al. 2019</w:t>
            </w:r>
          </w:p>
        </w:tc>
      </w:tr>
      <w:tr w:rsidR="00B15E94" w:rsidRPr="000760AA" w14:paraId="400B9F1F" w14:textId="77777777" w:rsidTr="008E4976">
        <w:trPr>
          <w:tblCellSpacing w:w="15" w:type="dxa"/>
        </w:trPr>
        <w:tc>
          <w:tcPr>
            <w:tcW w:w="0" w:type="auto"/>
            <w:tcBorders>
              <w:top w:val="single" w:sz="4" w:space="0" w:color="auto"/>
              <w:bottom w:val="nil"/>
            </w:tcBorders>
            <w:vAlign w:val="center"/>
            <w:hideMark/>
          </w:tcPr>
          <w:p w14:paraId="2FB3F96E" w14:textId="77777777" w:rsidR="00B15E94" w:rsidRPr="000760AA" w:rsidRDefault="00B15E94" w:rsidP="008E4976">
            <w:pPr>
              <w:spacing w:after="0" w:line="240" w:lineRule="auto"/>
              <w:rPr>
                <w:rFonts w:ascii="Times New Roman" w:hAnsi="Times New Roman" w:cs="Times New Roman"/>
                <w:sz w:val="22"/>
                <w:szCs w:val="22"/>
              </w:rPr>
            </w:pPr>
            <w:r w:rsidRPr="000760AA">
              <w:rPr>
                <w:rFonts w:ascii="Times New Roman" w:hAnsi="Times New Roman" w:cs="Times New Roman"/>
                <w:sz w:val="22"/>
                <w:szCs w:val="22"/>
              </w:rPr>
              <w:t>Trade logistics</w:t>
            </w:r>
          </w:p>
        </w:tc>
        <w:tc>
          <w:tcPr>
            <w:tcW w:w="0" w:type="auto"/>
            <w:tcBorders>
              <w:top w:val="single" w:sz="4" w:space="0" w:color="auto"/>
              <w:bottom w:val="nil"/>
            </w:tcBorders>
            <w:vAlign w:val="center"/>
            <w:hideMark/>
          </w:tcPr>
          <w:p w14:paraId="2674B752" w14:textId="77777777" w:rsidR="00B15E94" w:rsidRPr="000760AA" w:rsidRDefault="00B15E94" w:rsidP="008E4976">
            <w:pPr>
              <w:spacing w:after="0" w:line="240" w:lineRule="auto"/>
              <w:rPr>
                <w:rFonts w:ascii="Times New Roman" w:hAnsi="Times New Roman" w:cs="Times New Roman"/>
                <w:sz w:val="22"/>
                <w:szCs w:val="22"/>
              </w:rPr>
            </w:pPr>
            <w:r w:rsidRPr="000760AA">
              <w:rPr>
                <w:rFonts w:ascii="Times New Roman" w:hAnsi="Times New Roman" w:cs="Times New Roman"/>
                <w:sz w:val="22"/>
                <w:szCs w:val="22"/>
              </w:rPr>
              <w:t>Slow progress in trade facilitation and border reforms</w:t>
            </w:r>
          </w:p>
        </w:tc>
        <w:tc>
          <w:tcPr>
            <w:tcW w:w="0" w:type="auto"/>
            <w:tcBorders>
              <w:top w:val="single" w:sz="4" w:space="0" w:color="auto"/>
              <w:bottom w:val="nil"/>
            </w:tcBorders>
            <w:vAlign w:val="center"/>
            <w:hideMark/>
          </w:tcPr>
          <w:p w14:paraId="66A98DC4" w14:textId="77777777" w:rsidR="00B15E94" w:rsidRPr="000760AA" w:rsidRDefault="00B15E94" w:rsidP="008E4976">
            <w:pPr>
              <w:spacing w:after="0" w:line="240" w:lineRule="auto"/>
              <w:rPr>
                <w:rFonts w:ascii="Times New Roman" w:hAnsi="Times New Roman" w:cs="Times New Roman"/>
                <w:sz w:val="22"/>
                <w:szCs w:val="22"/>
              </w:rPr>
            </w:pPr>
            <w:r w:rsidRPr="000760AA">
              <w:rPr>
                <w:rFonts w:ascii="Times New Roman" w:hAnsi="Times New Roman" w:cs="Times New Roman"/>
                <w:sz w:val="22"/>
                <w:szCs w:val="22"/>
              </w:rPr>
              <w:t>Advanced corridor and border post reforms</w:t>
            </w:r>
          </w:p>
        </w:tc>
        <w:tc>
          <w:tcPr>
            <w:tcW w:w="0" w:type="auto"/>
            <w:tcBorders>
              <w:top w:val="single" w:sz="4" w:space="0" w:color="auto"/>
              <w:bottom w:val="nil"/>
            </w:tcBorders>
            <w:vAlign w:val="center"/>
            <w:hideMark/>
          </w:tcPr>
          <w:p w14:paraId="11B09543" w14:textId="77777777" w:rsidR="00B15E94" w:rsidRPr="000760AA" w:rsidRDefault="00B15E94" w:rsidP="008E4976">
            <w:pPr>
              <w:spacing w:after="0" w:line="240" w:lineRule="auto"/>
              <w:rPr>
                <w:rFonts w:ascii="Times New Roman" w:hAnsi="Times New Roman" w:cs="Times New Roman"/>
                <w:sz w:val="22"/>
                <w:szCs w:val="22"/>
              </w:rPr>
            </w:pPr>
            <w:r w:rsidRPr="000760AA">
              <w:rPr>
                <w:rFonts w:ascii="Times New Roman" w:hAnsi="Times New Roman" w:cs="Times New Roman"/>
                <w:sz w:val="22"/>
                <w:szCs w:val="22"/>
              </w:rPr>
              <w:t>Reduced trade costs and competitiveness</w:t>
            </w:r>
          </w:p>
        </w:tc>
        <w:tc>
          <w:tcPr>
            <w:tcW w:w="0" w:type="auto"/>
            <w:tcBorders>
              <w:top w:val="single" w:sz="4" w:space="0" w:color="auto"/>
              <w:bottom w:val="nil"/>
            </w:tcBorders>
            <w:vAlign w:val="center"/>
            <w:hideMark/>
          </w:tcPr>
          <w:p w14:paraId="3E5AE4E3" w14:textId="77777777" w:rsidR="00B15E94" w:rsidRPr="000760AA" w:rsidRDefault="00B15E94" w:rsidP="008E4976">
            <w:pPr>
              <w:spacing w:after="0" w:line="240" w:lineRule="auto"/>
              <w:rPr>
                <w:rFonts w:ascii="Times New Roman" w:hAnsi="Times New Roman" w:cs="Times New Roman"/>
                <w:sz w:val="22"/>
                <w:szCs w:val="22"/>
              </w:rPr>
            </w:pPr>
            <w:r w:rsidRPr="000760AA">
              <w:rPr>
                <w:rFonts w:ascii="Times New Roman" w:hAnsi="Times New Roman" w:cs="Times New Roman"/>
                <w:sz w:val="22"/>
                <w:szCs w:val="22"/>
              </w:rPr>
              <w:t>Kafeero 2008; Nugent 2020; Ndonga 2024</w:t>
            </w:r>
          </w:p>
        </w:tc>
      </w:tr>
      <w:tr w:rsidR="00B15E94" w:rsidRPr="000760AA" w14:paraId="239CAA53" w14:textId="77777777" w:rsidTr="008E4976">
        <w:trPr>
          <w:tblCellSpacing w:w="15" w:type="dxa"/>
        </w:trPr>
        <w:tc>
          <w:tcPr>
            <w:tcW w:w="0" w:type="auto"/>
            <w:tcBorders>
              <w:top w:val="single" w:sz="4" w:space="0" w:color="auto"/>
              <w:bottom w:val="nil"/>
            </w:tcBorders>
            <w:vAlign w:val="center"/>
            <w:hideMark/>
          </w:tcPr>
          <w:p w14:paraId="18E44D1E" w14:textId="77777777" w:rsidR="00B15E94" w:rsidRPr="000760AA" w:rsidRDefault="00B15E94" w:rsidP="008E4976">
            <w:pPr>
              <w:spacing w:after="0" w:line="240" w:lineRule="auto"/>
              <w:rPr>
                <w:rFonts w:ascii="Times New Roman" w:hAnsi="Times New Roman" w:cs="Times New Roman"/>
                <w:sz w:val="22"/>
                <w:szCs w:val="22"/>
              </w:rPr>
            </w:pPr>
            <w:r w:rsidRPr="000760AA">
              <w:rPr>
                <w:rFonts w:ascii="Times New Roman" w:hAnsi="Times New Roman" w:cs="Times New Roman"/>
                <w:sz w:val="22"/>
                <w:szCs w:val="22"/>
              </w:rPr>
              <w:t>Migration</w:t>
            </w:r>
          </w:p>
        </w:tc>
        <w:tc>
          <w:tcPr>
            <w:tcW w:w="0" w:type="auto"/>
            <w:tcBorders>
              <w:top w:val="single" w:sz="4" w:space="0" w:color="auto"/>
              <w:bottom w:val="nil"/>
            </w:tcBorders>
            <w:vAlign w:val="center"/>
            <w:hideMark/>
          </w:tcPr>
          <w:p w14:paraId="096F3E1C" w14:textId="77777777" w:rsidR="00B15E94" w:rsidRPr="000760AA" w:rsidRDefault="00B15E94" w:rsidP="008E4976">
            <w:pPr>
              <w:spacing w:after="0" w:line="240" w:lineRule="auto"/>
              <w:rPr>
                <w:rFonts w:ascii="Times New Roman" w:hAnsi="Times New Roman" w:cs="Times New Roman"/>
                <w:sz w:val="22"/>
                <w:szCs w:val="22"/>
              </w:rPr>
            </w:pPr>
            <w:r w:rsidRPr="000760AA">
              <w:rPr>
                <w:rFonts w:ascii="Times New Roman" w:hAnsi="Times New Roman" w:cs="Times New Roman"/>
                <w:sz w:val="22"/>
                <w:szCs w:val="22"/>
              </w:rPr>
              <w:t>Security driven regional coordination</w:t>
            </w:r>
          </w:p>
        </w:tc>
        <w:tc>
          <w:tcPr>
            <w:tcW w:w="0" w:type="auto"/>
            <w:tcBorders>
              <w:top w:val="single" w:sz="4" w:space="0" w:color="auto"/>
              <w:bottom w:val="nil"/>
            </w:tcBorders>
            <w:vAlign w:val="center"/>
            <w:hideMark/>
          </w:tcPr>
          <w:p w14:paraId="0BAE7338" w14:textId="77777777" w:rsidR="00B15E94" w:rsidRPr="000760AA" w:rsidRDefault="00B15E94" w:rsidP="008E4976">
            <w:pPr>
              <w:spacing w:after="0" w:line="240" w:lineRule="auto"/>
              <w:rPr>
                <w:rFonts w:ascii="Times New Roman" w:hAnsi="Times New Roman" w:cs="Times New Roman"/>
                <w:sz w:val="22"/>
                <w:szCs w:val="22"/>
              </w:rPr>
            </w:pPr>
            <w:r w:rsidRPr="000760AA">
              <w:rPr>
                <w:rFonts w:ascii="Times New Roman" w:hAnsi="Times New Roman" w:cs="Times New Roman"/>
                <w:sz w:val="22"/>
                <w:szCs w:val="22"/>
              </w:rPr>
              <w:t>Economic and labor mobility-oriented integration</w:t>
            </w:r>
          </w:p>
        </w:tc>
        <w:tc>
          <w:tcPr>
            <w:tcW w:w="0" w:type="auto"/>
            <w:tcBorders>
              <w:top w:val="single" w:sz="4" w:space="0" w:color="auto"/>
              <w:bottom w:val="nil"/>
            </w:tcBorders>
            <w:vAlign w:val="center"/>
            <w:hideMark/>
          </w:tcPr>
          <w:p w14:paraId="3E86E3EA" w14:textId="77777777" w:rsidR="00B15E94" w:rsidRPr="000760AA" w:rsidRDefault="00B15E94" w:rsidP="008E4976">
            <w:pPr>
              <w:spacing w:after="0" w:line="240" w:lineRule="auto"/>
              <w:rPr>
                <w:rFonts w:ascii="Times New Roman" w:hAnsi="Times New Roman" w:cs="Times New Roman"/>
                <w:sz w:val="22"/>
                <w:szCs w:val="22"/>
              </w:rPr>
            </w:pPr>
            <w:r w:rsidRPr="000760AA">
              <w:rPr>
                <w:rFonts w:ascii="Times New Roman" w:hAnsi="Times New Roman" w:cs="Times New Roman"/>
                <w:sz w:val="22"/>
                <w:szCs w:val="22"/>
              </w:rPr>
              <w:t>Labor market resilience and adaptation</w:t>
            </w:r>
          </w:p>
        </w:tc>
        <w:tc>
          <w:tcPr>
            <w:tcW w:w="0" w:type="auto"/>
            <w:tcBorders>
              <w:top w:val="single" w:sz="4" w:space="0" w:color="auto"/>
              <w:bottom w:val="nil"/>
            </w:tcBorders>
            <w:vAlign w:val="center"/>
            <w:hideMark/>
          </w:tcPr>
          <w:p w14:paraId="57E2672A" w14:textId="77777777" w:rsidR="00B15E94" w:rsidRPr="000760AA" w:rsidRDefault="00B15E94" w:rsidP="008E4976">
            <w:pPr>
              <w:spacing w:after="0" w:line="240" w:lineRule="auto"/>
              <w:rPr>
                <w:rFonts w:ascii="Times New Roman" w:hAnsi="Times New Roman" w:cs="Times New Roman"/>
                <w:sz w:val="22"/>
                <w:szCs w:val="22"/>
              </w:rPr>
            </w:pPr>
            <w:proofErr w:type="spellStart"/>
            <w:r w:rsidRPr="000760AA">
              <w:rPr>
                <w:rFonts w:ascii="Times New Roman" w:hAnsi="Times New Roman" w:cs="Times New Roman"/>
                <w:sz w:val="22"/>
                <w:szCs w:val="22"/>
              </w:rPr>
              <w:t>Ename</w:t>
            </w:r>
            <w:proofErr w:type="spellEnd"/>
            <w:r w:rsidRPr="000760AA">
              <w:rPr>
                <w:rFonts w:ascii="Times New Roman" w:hAnsi="Times New Roman" w:cs="Times New Roman"/>
                <w:sz w:val="22"/>
                <w:szCs w:val="22"/>
              </w:rPr>
              <w:t xml:space="preserve"> </w:t>
            </w:r>
            <w:proofErr w:type="spellStart"/>
            <w:r w:rsidRPr="000760AA">
              <w:rPr>
                <w:rFonts w:ascii="Times New Roman" w:hAnsi="Times New Roman" w:cs="Times New Roman"/>
                <w:sz w:val="22"/>
                <w:szCs w:val="22"/>
              </w:rPr>
              <w:t>Minko</w:t>
            </w:r>
            <w:proofErr w:type="spellEnd"/>
            <w:r w:rsidRPr="000760AA">
              <w:rPr>
                <w:rFonts w:ascii="Times New Roman" w:hAnsi="Times New Roman" w:cs="Times New Roman"/>
                <w:sz w:val="22"/>
                <w:szCs w:val="22"/>
              </w:rPr>
              <w:t xml:space="preserve"> 2024</w:t>
            </w:r>
          </w:p>
        </w:tc>
      </w:tr>
      <w:tr w:rsidR="00B15E94" w:rsidRPr="000760AA" w14:paraId="6A8D20BF" w14:textId="77777777" w:rsidTr="008E4976">
        <w:trPr>
          <w:tblCellSpacing w:w="15" w:type="dxa"/>
        </w:trPr>
        <w:tc>
          <w:tcPr>
            <w:tcW w:w="0" w:type="auto"/>
            <w:tcBorders>
              <w:top w:val="single" w:sz="4" w:space="0" w:color="auto"/>
              <w:bottom w:val="nil"/>
            </w:tcBorders>
            <w:vAlign w:val="center"/>
            <w:hideMark/>
          </w:tcPr>
          <w:p w14:paraId="4C3EF37D" w14:textId="77777777" w:rsidR="00B15E94" w:rsidRPr="000760AA" w:rsidRDefault="00B15E94" w:rsidP="008E4976">
            <w:pPr>
              <w:spacing w:after="0" w:line="240" w:lineRule="auto"/>
              <w:rPr>
                <w:rFonts w:ascii="Times New Roman" w:hAnsi="Times New Roman" w:cs="Times New Roman"/>
                <w:sz w:val="22"/>
                <w:szCs w:val="22"/>
              </w:rPr>
            </w:pPr>
            <w:r w:rsidRPr="000760AA">
              <w:rPr>
                <w:rFonts w:ascii="Times New Roman" w:hAnsi="Times New Roman" w:cs="Times New Roman"/>
                <w:sz w:val="22"/>
                <w:szCs w:val="22"/>
              </w:rPr>
              <w:t>Land use</w:t>
            </w:r>
          </w:p>
        </w:tc>
        <w:tc>
          <w:tcPr>
            <w:tcW w:w="0" w:type="auto"/>
            <w:tcBorders>
              <w:top w:val="single" w:sz="4" w:space="0" w:color="auto"/>
              <w:bottom w:val="nil"/>
            </w:tcBorders>
            <w:vAlign w:val="center"/>
            <w:hideMark/>
          </w:tcPr>
          <w:p w14:paraId="260FEB3D" w14:textId="77777777" w:rsidR="00B15E94" w:rsidRPr="000760AA" w:rsidRDefault="00B15E94" w:rsidP="008E4976">
            <w:pPr>
              <w:spacing w:after="0" w:line="240" w:lineRule="auto"/>
              <w:rPr>
                <w:rFonts w:ascii="Times New Roman" w:hAnsi="Times New Roman" w:cs="Times New Roman"/>
                <w:sz w:val="22"/>
                <w:szCs w:val="22"/>
              </w:rPr>
            </w:pPr>
            <w:r w:rsidRPr="000760AA">
              <w:rPr>
                <w:rFonts w:ascii="Times New Roman" w:hAnsi="Times New Roman" w:cs="Times New Roman"/>
                <w:sz w:val="22"/>
                <w:szCs w:val="22"/>
              </w:rPr>
              <w:t>Weak regional harmonization and governance</w:t>
            </w:r>
          </w:p>
        </w:tc>
        <w:tc>
          <w:tcPr>
            <w:tcW w:w="0" w:type="auto"/>
            <w:tcBorders>
              <w:top w:val="single" w:sz="4" w:space="0" w:color="auto"/>
              <w:bottom w:val="nil"/>
            </w:tcBorders>
            <w:vAlign w:val="center"/>
            <w:hideMark/>
          </w:tcPr>
          <w:p w14:paraId="4BC03B0E" w14:textId="77777777" w:rsidR="00B15E94" w:rsidRPr="000760AA" w:rsidRDefault="00B15E94" w:rsidP="008E4976">
            <w:pPr>
              <w:spacing w:after="0" w:line="240" w:lineRule="auto"/>
              <w:rPr>
                <w:rFonts w:ascii="Times New Roman" w:hAnsi="Times New Roman" w:cs="Times New Roman"/>
                <w:sz w:val="22"/>
                <w:szCs w:val="22"/>
              </w:rPr>
            </w:pPr>
            <w:r w:rsidRPr="000760AA">
              <w:rPr>
                <w:rFonts w:ascii="Times New Roman" w:hAnsi="Times New Roman" w:cs="Times New Roman"/>
                <w:sz w:val="22"/>
                <w:szCs w:val="22"/>
              </w:rPr>
              <w:t>Emerging coordination pressures linked to integration</w:t>
            </w:r>
          </w:p>
        </w:tc>
        <w:tc>
          <w:tcPr>
            <w:tcW w:w="0" w:type="auto"/>
            <w:tcBorders>
              <w:top w:val="single" w:sz="4" w:space="0" w:color="auto"/>
              <w:bottom w:val="nil"/>
            </w:tcBorders>
            <w:vAlign w:val="center"/>
            <w:hideMark/>
          </w:tcPr>
          <w:p w14:paraId="28A67542" w14:textId="77777777" w:rsidR="00B15E94" w:rsidRPr="000760AA" w:rsidRDefault="00B15E94" w:rsidP="008E4976">
            <w:pPr>
              <w:spacing w:after="0" w:line="240" w:lineRule="auto"/>
              <w:rPr>
                <w:rFonts w:ascii="Times New Roman" w:hAnsi="Times New Roman" w:cs="Times New Roman"/>
                <w:sz w:val="22"/>
                <w:szCs w:val="22"/>
              </w:rPr>
            </w:pPr>
            <w:r w:rsidRPr="000760AA">
              <w:rPr>
                <w:rFonts w:ascii="Times New Roman" w:hAnsi="Times New Roman" w:cs="Times New Roman"/>
                <w:sz w:val="22"/>
                <w:szCs w:val="22"/>
              </w:rPr>
              <w:t>Environmental sustainability and resource management</w:t>
            </w:r>
          </w:p>
        </w:tc>
        <w:tc>
          <w:tcPr>
            <w:tcW w:w="0" w:type="auto"/>
            <w:tcBorders>
              <w:top w:val="single" w:sz="4" w:space="0" w:color="auto"/>
              <w:bottom w:val="nil"/>
            </w:tcBorders>
            <w:vAlign w:val="center"/>
            <w:hideMark/>
          </w:tcPr>
          <w:p w14:paraId="14ED3168" w14:textId="77777777" w:rsidR="00B15E94" w:rsidRPr="000760AA" w:rsidRDefault="00B15E94" w:rsidP="008E4976">
            <w:pPr>
              <w:spacing w:after="0" w:line="240" w:lineRule="auto"/>
              <w:rPr>
                <w:rFonts w:ascii="Times New Roman" w:hAnsi="Times New Roman" w:cs="Times New Roman"/>
                <w:sz w:val="22"/>
                <w:szCs w:val="22"/>
              </w:rPr>
            </w:pPr>
            <w:proofErr w:type="spellStart"/>
            <w:r w:rsidRPr="000760AA">
              <w:rPr>
                <w:rFonts w:ascii="Times New Roman" w:hAnsi="Times New Roman" w:cs="Times New Roman"/>
                <w:sz w:val="22"/>
                <w:szCs w:val="22"/>
              </w:rPr>
              <w:t>Ename</w:t>
            </w:r>
            <w:proofErr w:type="spellEnd"/>
            <w:r w:rsidRPr="000760AA">
              <w:rPr>
                <w:rFonts w:ascii="Times New Roman" w:hAnsi="Times New Roman" w:cs="Times New Roman"/>
                <w:sz w:val="22"/>
                <w:szCs w:val="22"/>
              </w:rPr>
              <w:t xml:space="preserve"> </w:t>
            </w:r>
            <w:proofErr w:type="spellStart"/>
            <w:r w:rsidRPr="000760AA">
              <w:rPr>
                <w:rFonts w:ascii="Times New Roman" w:hAnsi="Times New Roman" w:cs="Times New Roman"/>
                <w:sz w:val="22"/>
                <w:szCs w:val="22"/>
              </w:rPr>
              <w:t>Minko</w:t>
            </w:r>
            <w:proofErr w:type="spellEnd"/>
            <w:r w:rsidRPr="000760AA">
              <w:rPr>
                <w:rFonts w:ascii="Times New Roman" w:hAnsi="Times New Roman" w:cs="Times New Roman"/>
                <w:sz w:val="22"/>
                <w:szCs w:val="22"/>
              </w:rPr>
              <w:t xml:space="preserve"> 2024</w:t>
            </w:r>
          </w:p>
        </w:tc>
      </w:tr>
      <w:tr w:rsidR="00B15E94" w:rsidRPr="000760AA" w14:paraId="2D52EA51" w14:textId="77777777" w:rsidTr="008E4976">
        <w:trPr>
          <w:tblCellSpacing w:w="15" w:type="dxa"/>
        </w:trPr>
        <w:tc>
          <w:tcPr>
            <w:tcW w:w="0" w:type="auto"/>
            <w:tcBorders>
              <w:top w:val="single" w:sz="4" w:space="0" w:color="auto"/>
              <w:bottom w:val="nil"/>
            </w:tcBorders>
            <w:vAlign w:val="center"/>
            <w:hideMark/>
          </w:tcPr>
          <w:p w14:paraId="432E218B" w14:textId="77777777" w:rsidR="00B15E94" w:rsidRPr="000760AA" w:rsidRDefault="00B15E94" w:rsidP="008E4976">
            <w:pPr>
              <w:spacing w:after="0" w:line="240" w:lineRule="auto"/>
              <w:rPr>
                <w:rFonts w:ascii="Times New Roman" w:hAnsi="Times New Roman" w:cs="Times New Roman"/>
                <w:sz w:val="22"/>
                <w:szCs w:val="22"/>
              </w:rPr>
            </w:pPr>
            <w:r w:rsidRPr="000760AA">
              <w:rPr>
                <w:rFonts w:ascii="Times New Roman" w:hAnsi="Times New Roman" w:cs="Times New Roman"/>
                <w:sz w:val="22"/>
                <w:szCs w:val="22"/>
              </w:rPr>
              <w:lastRenderedPageBreak/>
              <w:t>Value chains</w:t>
            </w:r>
          </w:p>
        </w:tc>
        <w:tc>
          <w:tcPr>
            <w:tcW w:w="0" w:type="auto"/>
            <w:tcBorders>
              <w:top w:val="single" w:sz="4" w:space="0" w:color="auto"/>
              <w:bottom w:val="nil"/>
            </w:tcBorders>
            <w:vAlign w:val="center"/>
            <w:hideMark/>
          </w:tcPr>
          <w:p w14:paraId="5BC9A963" w14:textId="77777777" w:rsidR="00B15E94" w:rsidRPr="000760AA" w:rsidRDefault="00B15E94" w:rsidP="008E4976">
            <w:pPr>
              <w:spacing w:after="0" w:line="240" w:lineRule="auto"/>
              <w:rPr>
                <w:rFonts w:ascii="Times New Roman" w:hAnsi="Times New Roman" w:cs="Times New Roman"/>
                <w:sz w:val="22"/>
                <w:szCs w:val="22"/>
              </w:rPr>
            </w:pPr>
            <w:r w:rsidRPr="000760AA">
              <w:rPr>
                <w:rFonts w:ascii="Times New Roman" w:hAnsi="Times New Roman" w:cs="Times New Roman"/>
                <w:sz w:val="22"/>
                <w:szCs w:val="22"/>
              </w:rPr>
              <w:t>Limited depth with emphasis on food and primary goods</w:t>
            </w:r>
          </w:p>
        </w:tc>
        <w:tc>
          <w:tcPr>
            <w:tcW w:w="0" w:type="auto"/>
            <w:tcBorders>
              <w:top w:val="single" w:sz="4" w:space="0" w:color="auto"/>
              <w:bottom w:val="nil"/>
            </w:tcBorders>
            <w:vAlign w:val="center"/>
            <w:hideMark/>
          </w:tcPr>
          <w:p w14:paraId="62741746" w14:textId="77777777" w:rsidR="00B15E94" w:rsidRPr="000760AA" w:rsidRDefault="00B15E94" w:rsidP="008E4976">
            <w:pPr>
              <w:spacing w:after="0" w:line="240" w:lineRule="auto"/>
              <w:rPr>
                <w:rFonts w:ascii="Times New Roman" w:hAnsi="Times New Roman" w:cs="Times New Roman"/>
                <w:sz w:val="22"/>
                <w:szCs w:val="22"/>
              </w:rPr>
            </w:pPr>
            <w:r w:rsidRPr="000760AA">
              <w:rPr>
                <w:rFonts w:ascii="Times New Roman" w:hAnsi="Times New Roman" w:cs="Times New Roman"/>
                <w:sz w:val="22"/>
                <w:szCs w:val="22"/>
              </w:rPr>
              <w:t>Expanding regional and global value chain integration</w:t>
            </w:r>
          </w:p>
        </w:tc>
        <w:tc>
          <w:tcPr>
            <w:tcW w:w="0" w:type="auto"/>
            <w:tcBorders>
              <w:top w:val="single" w:sz="4" w:space="0" w:color="auto"/>
              <w:bottom w:val="nil"/>
            </w:tcBorders>
            <w:vAlign w:val="center"/>
            <w:hideMark/>
          </w:tcPr>
          <w:p w14:paraId="1AADD03E" w14:textId="77777777" w:rsidR="00B15E94" w:rsidRPr="000760AA" w:rsidRDefault="00B15E94" w:rsidP="008E4976">
            <w:pPr>
              <w:spacing w:after="0" w:line="240" w:lineRule="auto"/>
              <w:rPr>
                <w:rFonts w:ascii="Times New Roman" w:hAnsi="Times New Roman" w:cs="Times New Roman"/>
                <w:sz w:val="22"/>
                <w:szCs w:val="22"/>
              </w:rPr>
            </w:pPr>
            <w:r w:rsidRPr="000760AA">
              <w:rPr>
                <w:rFonts w:ascii="Times New Roman" w:hAnsi="Times New Roman" w:cs="Times New Roman"/>
                <w:sz w:val="22"/>
                <w:szCs w:val="22"/>
              </w:rPr>
              <w:t>Employment creation and diversification</w:t>
            </w:r>
          </w:p>
        </w:tc>
        <w:tc>
          <w:tcPr>
            <w:tcW w:w="0" w:type="auto"/>
            <w:tcBorders>
              <w:top w:val="single" w:sz="4" w:space="0" w:color="auto"/>
              <w:bottom w:val="nil"/>
            </w:tcBorders>
            <w:vAlign w:val="center"/>
            <w:hideMark/>
          </w:tcPr>
          <w:p w14:paraId="191A9F03" w14:textId="77777777" w:rsidR="00B15E94" w:rsidRPr="000760AA" w:rsidRDefault="00B15E94" w:rsidP="008E4976">
            <w:pPr>
              <w:spacing w:after="0" w:line="240" w:lineRule="auto"/>
              <w:rPr>
                <w:rFonts w:ascii="Times New Roman" w:hAnsi="Times New Roman" w:cs="Times New Roman"/>
                <w:sz w:val="22"/>
                <w:szCs w:val="22"/>
              </w:rPr>
            </w:pPr>
            <w:r w:rsidRPr="000760AA">
              <w:rPr>
                <w:rFonts w:ascii="Times New Roman" w:hAnsi="Times New Roman" w:cs="Times New Roman"/>
                <w:sz w:val="22"/>
                <w:szCs w:val="22"/>
              </w:rPr>
              <w:t>Krantz 2025; Tinta et al. 2018</w:t>
            </w:r>
          </w:p>
        </w:tc>
      </w:tr>
      <w:tr w:rsidR="00B15E94" w:rsidRPr="000760AA" w14:paraId="29D908D3" w14:textId="77777777" w:rsidTr="008E4976">
        <w:trPr>
          <w:tblCellSpacing w:w="15" w:type="dxa"/>
        </w:trPr>
        <w:tc>
          <w:tcPr>
            <w:tcW w:w="0" w:type="auto"/>
            <w:tcBorders>
              <w:top w:val="single" w:sz="4" w:space="0" w:color="auto"/>
              <w:bottom w:val="nil"/>
            </w:tcBorders>
            <w:vAlign w:val="center"/>
            <w:hideMark/>
          </w:tcPr>
          <w:p w14:paraId="60F3F00D" w14:textId="77777777" w:rsidR="00B15E94" w:rsidRPr="000760AA" w:rsidRDefault="00B15E94" w:rsidP="008E4976">
            <w:pPr>
              <w:spacing w:after="0" w:line="240" w:lineRule="auto"/>
              <w:rPr>
                <w:rFonts w:ascii="Times New Roman" w:hAnsi="Times New Roman" w:cs="Times New Roman"/>
                <w:sz w:val="22"/>
                <w:szCs w:val="22"/>
              </w:rPr>
            </w:pPr>
            <w:r w:rsidRPr="000760AA">
              <w:rPr>
                <w:rFonts w:ascii="Times New Roman" w:hAnsi="Times New Roman" w:cs="Times New Roman"/>
                <w:sz w:val="22"/>
                <w:szCs w:val="22"/>
              </w:rPr>
              <w:t>Trade competitiveness</w:t>
            </w:r>
          </w:p>
        </w:tc>
        <w:tc>
          <w:tcPr>
            <w:tcW w:w="0" w:type="auto"/>
            <w:tcBorders>
              <w:top w:val="single" w:sz="4" w:space="0" w:color="auto"/>
              <w:bottom w:val="nil"/>
            </w:tcBorders>
            <w:vAlign w:val="center"/>
            <w:hideMark/>
          </w:tcPr>
          <w:p w14:paraId="094D1FA2" w14:textId="77777777" w:rsidR="00B15E94" w:rsidRPr="000760AA" w:rsidRDefault="00B15E94" w:rsidP="008E4976">
            <w:pPr>
              <w:spacing w:after="0" w:line="240" w:lineRule="auto"/>
              <w:rPr>
                <w:rFonts w:ascii="Times New Roman" w:hAnsi="Times New Roman" w:cs="Times New Roman"/>
                <w:sz w:val="22"/>
                <w:szCs w:val="22"/>
              </w:rPr>
            </w:pPr>
            <w:r w:rsidRPr="000760AA">
              <w:rPr>
                <w:rFonts w:ascii="Times New Roman" w:hAnsi="Times New Roman" w:cs="Times New Roman"/>
                <w:sz w:val="22"/>
                <w:szCs w:val="22"/>
              </w:rPr>
              <w:t>Constrained by institutional quality and facilitation gaps</w:t>
            </w:r>
          </w:p>
        </w:tc>
        <w:tc>
          <w:tcPr>
            <w:tcW w:w="0" w:type="auto"/>
            <w:tcBorders>
              <w:top w:val="single" w:sz="4" w:space="0" w:color="auto"/>
              <w:bottom w:val="nil"/>
            </w:tcBorders>
            <w:vAlign w:val="center"/>
            <w:hideMark/>
          </w:tcPr>
          <w:p w14:paraId="6EC33575" w14:textId="77777777" w:rsidR="00B15E94" w:rsidRPr="000760AA" w:rsidRDefault="00B15E94" w:rsidP="008E4976">
            <w:pPr>
              <w:spacing w:after="0" w:line="240" w:lineRule="auto"/>
              <w:rPr>
                <w:rFonts w:ascii="Times New Roman" w:hAnsi="Times New Roman" w:cs="Times New Roman"/>
                <w:sz w:val="22"/>
                <w:szCs w:val="22"/>
              </w:rPr>
            </w:pPr>
            <w:r w:rsidRPr="000760AA">
              <w:rPr>
                <w:rFonts w:ascii="Times New Roman" w:hAnsi="Times New Roman" w:cs="Times New Roman"/>
                <w:sz w:val="22"/>
                <w:szCs w:val="22"/>
              </w:rPr>
              <w:t>Supported by logistics and innovation driven reforms</w:t>
            </w:r>
          </w:p>
        </w:tc>
        <w:tc>
          <w:tcPr>
            <w:tcW w:w="0" w:type="auto"/>
            <w:tcBorders>
              <w:top w:val="single" w:sz="4" w:space="0" w:color="auto"/>
              <w:bottom w:val="nil"/>
            </w:tcBorders>
            <w:vAlign w:val="center"/>
            <w:hideMark/>
          </w:tcPr>
          <w:p w14:paraId="51E6BEC4" w14:textId="77777777" w:rsidR="00B15E94" w:rsidRPr="000760AA" w:rsidRDefault="00B15E94" w:rsidP="008E4976">
            <w:pPr>
              <w:spacing w:after="0" w:line="240" w:lineRule="auto"/>
              <w:rPr>
                <w:rFonts w:ascii="Times New Roman" w:hAnsi="Times New Roman" w:cs="Times New Roman"/>
                <w:sz w:val="22"/>
                <w:szCs w:val="22"/>
              </w:rPr>
            </w:pPr>
            <w:r w:rsidRPr="000760AA">
              <w:rPr>
                <w:rFonts w:ascii="Times New Roman" w:hAnsi="Times New Roman" w:cs="Times New Roman"/>
                <w:sz w:val="22"/>
                <w:szCs w:val="22"/>
              </w:rPr>
              <w:t>Productivity growth and market access</w:t>
            </w:r>
          </w:p>
        </w:tc>
        <w:tc>
          <w:tcPr>
            <w:tcW w:w="0" w:type="auto"/>
            <w:tcBorders>
              <w:top w:val="single" w:sz="4" w:space="0" w:color="auto"/>
              <w:bottom w:val="nil"/>
            </w:tcBorders>
            <w:vAlign w:val="center"/>
            <w:hideMark/>
          </w:tcPr>
          <w:p w14:paraId="1C314962" w14:textId="49BC894D" w:rsidR="00B15E94" w:rsidRPr="000760AA" w:rsidRDefault="00B15E94" w:rsidP="008E4976">
            <w:pPr>
              <w:spacing w:after="0" w:line="240" w:lineRule="auto"/>
              <w:rPr>
                <w:rFonts w:ascii="Times New Roman" w:hAnsi="Times New Roman" w:cs="Times New Roman"/>
                <w:sz w:val="22"/>
                <w:szCs w:val="22"/>
              </w:rPr>
            </w:pPr>
            <w:proofErr w:type="spellStart"/>
            <w:r w:rsidRPr="000760AA">
              <w:rPr>
                <w:rFonts w:ascii="Times New Roman" w:hAnsi="Times New Roman" w:cs="Times New Roman"/>
                <w:sz w:val="22"/>
                <w:szCs w:val="22"/>
              </w:rPr>
              <w:t>Olyanga</w:t>
            </w:r>
            <w:proofErr w:type="spellEnd"/>
            <w:r w:rsidRPr="000760AA">
              <w:rPr>
                <w:rFonts w:ascii="Times New Roman" w:hAnsi="Times New Roman" w:cs="Times New Roman"/>
                <w:sz w:val="22"/>
                <w:szCs w:val="22"/>
              </w:rPr>
              <w:t xml:space="preserve"> et al. 202</w:t>
            </w:r>
            <w:r w:rsidR="00804DF4">
              <w:rPr>
                <w:rFonts w:ascii="Times New Roman" w:hAnsi="Times New Roman" w:cs="Times New Roman"/>
                <w:sz w:val="22"/>
                <w:szCs w:val="22"/>
              </w:rPr>
              <w:t>3</w:t>
            </w:r>
            <w:r w:rsidRPr="000760AA">
              <w:rPr>
                <w:rFonts w:ascii="Times New Roman" w:hAnsi="Times New Roman" w:cs="Times New Roman"/>
                <w:sz w:val="22"/>
                <w:szCs w:val="22"/>
              </w:rPr>
              <w:t>; Hersi 2025</w:t>
            </w:r>
          </w:p>
        </w:tc>
      </w:tr>
    </w:tbl>
    <w:p w14:paraId="1A295093" w14:textId="77777777" w:rsidR="00B15E94" w:rsidRPr="00B15E94" w:rsidRDefault="00B15E94" w:rsidP="00980F80">
      <w:pPr>
        <w:spacing w:line="360" w:lineRule="auto"/>
        <w:jc w:val="both"/>
        <w:rPr>
          <w:rFonts w:ascii="Times New Roman" w:hAnsi="Times New Roman" w:cs="Times New Roman"/>
          <w:b/>
          <w:bCs/>
          <w:sz w:val="6"/>
          <w:szCs w:val="6"/>
        </w:rPr>
      </w:pPr>
    </w:p>
    <w:p w14:paraId="7E78D630" w14:textId="75ECD026" w:rsidR="00980F80" w:rsidRPr="00980F80" w:rsidRDefault="00C22A27" w:rsidP="00B15E94">
      <w:pPr>
        <w:spacing w:line="240" w:lineRule="auto"/>
        <w:jc w:val="both"/>
        <w:rPr>
          <w:rFonts w:ascii="Times New Roman" w:hAnsi="Times New Roman" w:cs="Times New Roman"/>
          <w:b/>
          <w:bCs/>
        </w:rPr>
      </w:pPr>
      <w:r>
        <w:rPr>
          <w:rFonts w:ascii="Times New Roman" w:hAnsi="Times New Roman" w:cs="Times New Roman"/>
          <w:b/>
          <w:bCs/>
        </w:rPr>
        <w:t>10</w:t>
      </w:r>
      <w:r w:rsidR="00980F80" w:rsidRPr="00980F80">
        <w:rPr>
          <w:rFonts w:ascii="Times New Roman" w:hAnsi="Times New Roman" w:cs="Times New Roman"/>
          <w:b/>
          <w:bCs/>
        </w:rPr>
        <w:t xml:space="preserve"> Comparative synthesis: what ECOWAS and the EAC reveal about integration for sustainable development</w:t>
      </w:r>
    </w:p>
    <w:p w14:paraId="7CBDEDFD" w14:textId="77777777" w:rsidR="00980F80" w:rsidRPr="00980F80" w:rsidRDefault="00980F80" w:rsidP="00980F80">
      <w:pPr>
        <w:spacing w:line="360" w:lineRule="auto"/>
        <w:jc w:val="both"/>
        <w:rPr>
          <w:rFonts w:ascii="Times New Roman" w:hAnsi="Times New Roman" w:cs="Times New Roman"/>
        </w:rPr>
      </w:pPr>
      <w:r w:rsidRPr="00980F80">
        <w:rPr>
          <w:rFonts w:ascii="Times New Roman" w:hAnsi="Times New Roman" w:cs="Times New Roman"/>
        </w:rPr>
        <w:t>A grounded comparison suggests that the EAC shows relatively stronger evidence of trade and value chain driven integration gains, while ECOWAS shows the centrality of institutions and facilitation for converting agreements into real trade and development outcomes. EAC evidence demonstrates trade creation effects and evolving patterns of regional and global integration, but it also reveals ongoing disputes over common external policies, sensitive product protections, and border governance challenges that slow the move toward a truly seamless market (</w:t>
      </w:r>
      <w:proofErr w:type="spellStart"/>
      <w:r w:rsidRPr="00980F80">
        <w:rPr>
          <w:rFonts w:ascii="Times New Roman" w:hAnsi="Times New Roman" w:cs="Times New Roman"/>
        </w:rPr>
        <w:t>Shinyekwa</w:t>
      </w:r>
      <w:proofErr w:type="spellEnd"/>
      <w:r w:rsidRPr="00980F80">
        <w:rPr>
          <w:rFonts w:ascii="Times New Roman" w:hAnsi="Times New Roman" w:cs="Times New Roman"/>
        </w:rPr>
        <w:t xml:space="preserve">, 2015; </w:t>
      </w:r>
      <w:proofErr w:type="spellStart"/>
      <w:r w:rsidRPr="00980F80">
        <w:rPr>
          <w:rFonts w:ascii="Times New Roman" w:hAnsi="Times New Roman" w:cs="Times New Roman"/>
        </w:rPr>
        <w:t>Buigut</w:t>
      </w:r>
      <w:proofErr w:type="spellEnd"/>
      <w:r w:rsidRPr="00980F80">
        <w:rPr>
          <w:rFonts w:ascii="Times New Roman" w:hAnsi="Times New Roman" w:cs="Times New Roman"/>
        </w:rPr>
        <w:t xml:space="preserve">, 2012; Krantz, 2025; </w:t>
      </w:r>
      <w:proofErr w:type="spellStart"/>
      <w:r w:rsidRPr="00980F80">
        <w:rPr>
          <w:rFonts w:ascii="Times New Roman" w:hAnsi="Times New Roman" w:cs="Times New Roman"/>
        </w:rPr>
        <w:t>Mogendi</w:t>
      </w:r>
      <w:proofErr w:type="spellEnd"/>
      <w:r w:rsidRPr="00980F80">
        <w:rPr>
          <w:rFonts w:ascii="Times New Roman" w:hAnsi="Times New Roman" w:cs="Times New Roman"/>
        </w:rPr>
        <w:t xml:space="preserve"> et al., 2023; Ndonga, 2024). In other words, the EAC’s integration advantage is visible, yet fragile, because deep integration requires continuous compliance and investment in regional public goods.</w:t>
      </w:r>
    </w:p>
    <w:p w14:paraId="1D5FFB2C" w14:textId="77777777" w:rsidR="00980F80" w:rsidRPr="00980F80" w:rsidRDefault="00980F80" w:rsidP="00980F80">
      <w:pPr>
        <w:spacing w:line="360" w:lineRule="auto"/>
        <w:jc w:val="both"/>
        <w:rPr>
          <w:rFonts w:ascii="Times New Roman" w:hAnsi="Times New Roman" w:cs="Times New Roman"/>
        </w:rPr>
      </w:pPr>
      <w:r w:rsidRPr="00980F80">
        <w:rPr>
          <w:rFonts w:ascii="Times New Roman" w:hAnsi="Times New Roman" w:cs="Times New Roman"/>
        </w:rPr>
        <w:t>For ECOWAS, the literature underscores that performance is constrained less by the absence of frameworks and more by governance and implementation capacity. The empirical link between institutional quality and trade flows suggests that improving governance is itself an integration policy, not a parallel agenda (</w:t>
      </w:r>
      <w:proofErr w:type="spellStart"/>
      <w:r w:rsidRPr="00980F80">
        <w:rPr>
          <w:rFonts w:ascii="Times New Roman" w:hAnsi="Times New Roman" w:cs="Times New Roman"/>
        </w:rPr>
        <w:t>Oshota</w:t>
      </w:r>
      <w:proofErr w:type="spellEnd"/>
      <w:r w:rsidRPr="00980F80">
        <w:rPr>
          <w:rFonts w:ascii="Times New Roman" w:hAnsi="Times New Roman" w:cs="Times New Roman"/>
        </w:rPr>
        <w:t xml:space="preserve"> and Wahab, 2022). The evidence that trade facilitation can support growth, conditioned by government size and policy effectiveness, adds a further layer by emphasizing that reform design must fit institutional realities (Shuaibu and Mamman, 2025). Meanwhile, the role of energy sustainability highlights that ECOWAS can deliver sustainable development benefits through coordinated sector policies, but only if implementation gaps are narrowed and financing constraints are addressed (Akinyemi et al., 2019).</w:t>
      </w:r>
    </w:p>
    <w:p w14:paraId="06338EFF" w14:textId="77777777" w:rsidR="00980F80" w:rsidRPr="00980F80" w:rsidRDefault="00980F80" w:rsidP="00980F80">
      <w:pPr>
        <w:spacing w:line="360" w:lineRule="auto"/>
        <w:jc w:val="both"/>
        <w:rPr>
          <w:rFonts w:ascii="Times New Roman" w:hAnsi="Times New Roman" w:cs="Times New Roman"/>
        </w:rPr>
      </w:pPr>
      <w:r w:rsidRPr="00980F80">
        <w:rPr>
          <w:rFonts w:ascii="Times New Roman" w:hAnsi="Times New Roman" w:cs="Times New Roman"/>
        </w:rPr>
        <w:t xml:space="preserve">Across both blocs, structural impediments remain the binding constraint. The comparative analysis of reintegration obstacles frames this clearly: logistics, weak productive diversification, and overlapping institutional commitments create a ceiling on how much legal integration can achieve </w:t>
      </w:r>
      <w:r w:rsidRPr="00980F80">
        <w:rPr>
          <w:rFonts w:ascii="Times New Roman" w:hAnsi="Times New Roman" w:cs="Times New Roman"/>
        </w:rPr>
        <w:lastRenderedPageBreak/>
        <w:t xml:space="preserve">without parallel investments and governance strengthening (Kidane, 2018; </w:t>
      </w:r>
      <w:proofErr w:type="spellStart"/>
      <w:r w:rsidRPr="00980F80">
        <w:rPr>
          <w:rFonts w:ascii="Times New Roman" w:hAnsi="Times New Roman" w:cs="Times New Roman"/>
        </w:rPr>
        <w:t>Afesorgbor</w:t>
      </w:r>
      <w:proofErr w:type="spellEnd"/>
      <w:r w:rsidRPr="00980F80">
        <w:rPr>
          <w:rFonts w:ascii="Times New Roman" w:hAnsi="Times New Roman" w:cs="Times New Roman"/>
        </w:rPr>
        <w:t xml:space="preserve"> and van </w:t>
      </w:r>
      <w:proofErr w:type="spellStart"/>
      <w:r w:rsidRPr="00980F80">
        <w:rPr>
          <w:rFonts w:ascii="Times New Roman" w:hAnsi="Times New Roman" w:cs="Times New Roman"/>
        </w:rPr>
        <w:t>Bergeijk</w:t>
      </w:r>
      <w:proofErr w:type="spellEnd"/>
      <w:r w:rsidRPr="00980F80">
        <w:rPr>
          <w:rFonts w:ascii="Times New Roman" w:hAnsi="Times New Roman" w:cs="Times New Roman"/>
        </w:rPr>
        <w:t>, 2011). The strongest sustainable development gains are most plausible where integration supports value addition, predictable cross border movement, coordinated infrastructure, and credible institutions that reduce uncertainty for producers and communities (</w:t>
      </w:r>
      <w:proofErr w:type="spellStart"/>
      <w:r w:rsidRPr="00980F80">
        <w:rPr>
          <w:rFonts w:ascii="Times New Roman" w:hAnsi="Times New Roman" w:cs="Times New Roman"/>
        </w:rPr>
        <w:t>Ticku</w:t>
      </w:r>
      <w:proofErr w:type="spellEnd"/>
      <w:r w:rsidRPr="00980F80">
        <w:rPr>
          <w:rFonts w:ascii="Times New Roman" w:hAnsi="Times New Roman" w:cs="Times New Roman"/>
        </w:rPr>
        <w:t xml:space="preserve"> et al., 2025; Gourdon et al., 2021; </w:t>
      </w:r>
      <w:proofErr w:type="spellStart"/>
      <w:r w:rsidRPr="00980F80">
        <w:rPr>
          <w:rFonts w:ascii="Times New Roman" w:hAnsi="Times New Roman" w:cs="Times New Roman"/>
        </w:rPr>
        <w:t>Gonza</w:t>
      </w:r>
      <w:proofErr w:type="spellEnd"/>
      <w:r w:rsidRPr="00980F80">
        <w:rPr>
          <w:rFonts w:ascii="Times New Roman" w:hAnsi="Times New Roman" w:cs="Times New Roman"/>
        </w:rPr>
        <w:t xml:space="preserve">, 2025; </w:t>
      </w:r>
      <w:proofErr w:type="spellStart"/>
      <w:r w:rsidRPr="00980F80">
        <w:rPr>
          <w:rFonts w:ascii="Times New Roman" w:hAnsi="Times New Roman" w:cs="Times New Roman"/>
        </w:rPr>
        <w:t>Jancic</w:t>
      </w:r>
      <w:proofErr w:type="spellEnd"/>
      <w:r w:rsidRPr="00980F80">
        <w:rPr>
          <w:rFonts w:ascii="Times New Roman" w:hAnsi="Times New Roman" w:cs="Times New Roman"/>
        </w:rPr>
        <w:t>, 2019).</w:t>
      </w:r>
    </w:p>
    <w:p w14:paraId="03016F1C" w14:textId="23BA2B73" w:rsidR="00980F80" w:rsidRPr="00980F80" w:rsidRDefault="00C22A27" w:rsidP="00B15E94">
      <w:pPr>
        <w:spacing w:line="240" w:lineRule="auto"/>
        <w:jc w:val="both"/>
        <w:rPr>
          <w:rFonts w:ascii="Times New Roman" w:hAnsi="Times New Roman" w:cs="Times New Roman"/>
          <w:b/>
          <w:bCs/>
        </w:rPr>
      </w:pPr>
      <w:r>
        <w:rPr>
          <w:rFonts w:ascii="Times New Roman" w:hAnsi="Times New Roman" w:cs="Times New Roman"/>
          <w:b/>
          <w:bCs/>
        </w:rPr>
        <w:t>11</w:t>
      </w:r>
      <w:r w:rsidR="00980F80" w:rsidRPr="00980F80">
        <w:rPr>
          <w:rFonts w:ascii="Times New Roman" w:hAnsi="Times New Roman" w:cs="Times New Roman"/>
          <w:b/>
          <w:bCs/>
        </w:rPr>
        <w:t xml:space="preserve"> Policy direction and reform priorities without closing the debate</w:t>
      </w:r>
    </w:p>
    <w:p w14:paraId="69102790" w14:textId="77777777" w:rsidR="00980F80" w:rsidRPr="00980F80" w:rsidRDefault="00980F80" w:rsidP="00980F80">
      <w:pPr>
        <w:spacing w:line="360" w:lineRule="auto"/>
        <w:jc w:val="both"/>
        <w:rPr>
          <w:rFonts w:ascii="Times New Roman" w:hAnsi="Times New Roman" w:cs="Times New Roman"/>
        </w:rPr>
      </w:pPr>
      <w:r w:rsidRPr="00980F80">
        <w:rPr>
          <w:rFonts w:ascii="Times New Roman" w:hAnsi="Times New Roman" w:cs="Times New Roman"/>
        </w:rPr>
        <w:t xml:space="preserve">From the evidence reviewed, the policy direction for both ECOWAS and the EAC points toward the same practical priorities, even if the entry points differ. First, trade facilitation needs to be treated as a governance reform agenda, not only a technical modernization project, because border outcomes depend on incentives, accountability, and enforcement capacity (Nugent, 2020; Ndonga, 2024; </w:t>
      </w:r>
      <w:proofErr w:type="spellStart"/>
      <w:r w:rsidRPr="00980F80">
        <w:rPr>
          <w:rFonts w:ascii="Times New Roman" w:hAnsi="Times New Roman" w:cs="Times New Roman"/>
        </w:rPr>
        <w:t>Oshota</w:t>
      </w:r>
      <w:proofErr w:type="spellEnd"/>
      <w:r w:rsidRPr="00980F80">
        <w:rPr>
          <w:rFonts w:ascii="Times New Roman" w:hAnsi="Times New Roman" w:cs="Times New Roman"/>
        </w:rPr>
        <w:t xml:space="preserve"> and Wahab, 2022). Second, regional integration strategies should prioritize value chain deepening and rules clarity, since complex compliance systems can exclude smaller firms and reduce the development impact of preferential regimes (Gourdon et al., 2021; </w:t>
      </w:r>
      <w:proofErr w:type="spellStart"/>
      <w:r w:rsidRPr="00980F80">
        <w:rPr>
          <w:rFonts w:ascii="Times New Roman" w:hAnsi="Times New Roman" w:cs="Times New Roman"/>
        </w:rPr>
        <w:t>Ticku</w:t>
      </w:r>
      <w:proofErr w:type="spellEnd"/>
      <w:r w:rsidRPr="00980F80">
        <w:rPr>
          <w:rFonts w:ascii="Times New Roman" w:hAnsi="Times New Roman" w:cs="Times New Roman"/>
        </w:rPr>
        <w:t xml:space="preserve"> et al., 2025; Krantz, 2025). Third, sector coordination such as energy planning in ECOWAS and sustainability sensitive governance of migration and land use in the EAC should be positioned as core integration deliverables, not side agendas, because these areas determine resilience and inclusion (Akinyemi et al., 2019; </w:t>
      </w:r>
      <w:proofErr w:type="spellStart"/>
      <w:r w:rsidRPr="00980F80">
        <w:rPr>
          <w:rFonts w:ascii="Times New Roman" w:hAnsi="Times New Roman" w:cs="Times New Roman"/>
        </w:rPr>
        <w:t>Ename</w:t>
      </w:r>
      <w:proofErr w:type="spellEnd"/>
      <w:r w:rsidRPr="00980F80">
        <w:rPr>
          <w:rFonts w:ascii="Times New Roman" w:hAnsi="Times New Roman" w:cs="Times New Roman"/>
        </w:rPr>
        <w:t xml:space="preserve"> </w:t>
      </w:r>
      <w:proofErr w:type="spellStart"/>
      <w:r w:rsidRPr="00980F80">
        <w:rPr>
          <w:rFonts w:ascii="Times New Roman" w:hAnsi="Times New Roman" w:cs="Times New Roman"/>
        </w:rPr>
        <w:t>Minko</w:t>
      </w:r>
      <w:proofErr w:type="spellEnd"/>
      <w:r w:rsidRPr="00980F80">
        <w:rPr>
          <w:rFonts w:ascii="Times New Roman" w:hAnsi="Times New Roman" w:cs="Times New Roman"/>
        </w:rPr>
        <w:t>, 2024).</w:t>
      </w:r>
    </w:p>
    <w:p w14:paraId="2BCAA777" w14:textId="77777777" w:rsidR="00980F80" w:rsidRPr="00980F80" w:rsidRDefault="00980F80" w:rsidP="00980F80">
      <w:pPr>
        <w:spacing w:line="360" w:lineRule="auto"/>
        <w:jc w:val="both"/>
        <w:rPr>
          <w:rFonts w:ascii="Times New Roman" w:hAnsi="Times New Roman" w:cs="Times New Roman"/>
        </w:rPr>
      </w:pPr>
      <w:r w:rsidRPr="00980F80">
        <w:rPr>
          <w:rFonts w:ascii="Times New Roman" w:hAnsi="Times New Roman" w:cs="Times New Roman"/>
        </w:rPr>
        <w:t>At the institutional level, the comparative evidence suggests that regional courts and parliaments can strengthen integration credibility, but only where access, enforcement, and political backing are real. Sustainable development objectives will remain weakly integrated if regional legal and parliamentary bodies cannot shape compliance and protect predictable rules for citizens and firms (</w:t>
      </w:r>
      <w:proofErr w:type="spellStart"/>
      <w:r w:rsidRPr="00980F80">
        <w:rPr>
          <w:rFonts w:ascii="Times New Roman" w:hAnsi="Times New Roman" w:cs="Times New Roman"/>
        </w:rPr>
        <w:t>Jancic</w:t>
      </w:r>
      <w:proofErr w:type="spellEnd"/>
      <w:r w:rsidRPr="00980F80">
        <w:rPr>
          <w:rFonts w:ascii="Times New Roman" w:hAnsi="Times New Roman" w:cs="Times New Roman"/>
        </w:rPr>
        <w:t xml:space="preserve">, 2019; </w:t>
      </w:r>
      <w:proofErr w:type="spellStart"/>
      <w:r w:rsidRPr="00980F80">
        <w:rPr>
          <w:rFonts w:ascii="Times New Roman" w:hAnsi="Times New Roman" w:cs="Times New Roman"/>
        </w:rPr>
        <w:t>Gonza</w:t>
      </w:r>
      <w:proofErr w:type="spellEnd"/>
      <w:r w:rsidRPr="00980F80">
        <w:rPr>
          <w:rFonts w:ascii="Times New Roman" w:hAnsi="Times New Roman" w:cs="Times New Roman"/>
        </w:rPr>
        <w:t>, 2025). The multi membership problem also requires attention, because overlapping commitments are not merely academic concerns. They translate into administrative overload, inconsistent implementation, and fragmented policy focus that undermines both trade performance and sector coordination (</w:t>
      </w:r>
      <w:proofErr w:type="spellStart"/>
      <w:r w:rsidRPr="00980F80">
        <w:rPr>
          <w:rFonts w:ascii="Times New Roman" w:hAnsi="Times New Roman" w:cs="Times New Roman"/>
        </w:rPr>
        <w:t>Afesorgbor</w:t>
      </w:r>
      <w:proofErr w:type="spellEnd"/>
      <w:r w:rsidRPr="00980F80">
        <w:rPr>
          <w:rFonts w:ascii="Times New Roman" w:hAnsi="Times New Roman" w:cs="Times New Roman"/>
        </w:rPr>
        <w:t xml:space="preserve"> and van </w:t>
      </w:r>
      <w:proofErr w:type="spellStart"/>
      <w:r w:rsidRPr="00980F80">
        <w:rPr>
          <w:rFonts w:ascii="Times New Roman" w:hAnsi="Times New Roman" w:cs="Times New Roman"/>
        </w:rPr>
        <w:t>Bergeijk</w:t>
      </w:r>
      <w:proofErr w:type="spellEnd"/>
      <w:r w:rsidRPr="00980F80">
        <w:rPr>
          <w:rFonts w:ascii="Times New Roman" w:hAnsi="Times New Roman" w:cs="Times New Roman"/>
        </w:rPr>
        <w:t>, 2011; Kidane, 2018).</w:t>
      </w:r>
    </w:p>
    <w:p w14:paraId="18875D25" w14:textId="50916D69" w:rsidR="00980F80" w:rsidRPr="00980F80" w:rsidRDefault="00980F80" w:rsidP="00980F80">
      <w:pPr>
        <w:spacing w:line="360" w:lineRule="auto"/>
        <w:jc w:val="both"/>
        <w:rPr>
          <w:rFonts w:ascii="Times New Roman" w:hAnsi="Times New Roman" w:cs="Times New Roman"/>
        </w:rPr>
      </w:pPr>
      <w:r w:rsidRPr="00980F80">
        <w:rPr>
          <w:rFonts w:ascii="Times New Roman" w:hAnsi="Times New Roman" w:cs="Times New Roman"/>
        </w:rPr>
        <w:t>Finally, the comparison suggests that integration should be evaluated through distributional outcomes as much as aggregate trade flows. Evidence on tariffs and price pass through indicates that regional policies can shift costs and benefits across households and firms, which is central to sustainable development because equity and inclusion affect the legitimacy of integration itself (</w:t>
      </w:r>
      <w:proofErr w:type="spellStart"/>
      <w:r w:rsidRPr="00980F80">
        <w:rPr>
          <w:rFonts w:ascii="Times New Roman" w:hAnsi="Times New Roman" w:cs="Times New Roman"/>
        </w:rPr>
        <w:t>Mogendi</w:t>
      </w:r>
      <w:proofErr w:type="spellEnd"/>
      <w:r w:rsidRPr="00980F80">
        <w:rPr>
          <w:rFonts w:ascii="Times New Roman" w:hAnsi="Times New Roman" w:cs="Times New Roman"/>
        </w:rPr>
        <w:t xml:space="preserve"> et al., 2023; </w:t>
      </w:r>
      <w:proofErr w:type="spellStart"/>
      <w:r w:rsidRPr="00980F80">
        <w:rPr>
          <w:rFonts w:ascii="Times New Roman" w:hAnsi="Times New Roman" w:cs="Times New Roman"/>
        </w:rPr>
        <w:t>Bünder</w:t>
      </w:r>
      <w:proofErr w:type="spellEnd"/>
      <w:r w:rsidRPr="00980F80">
        <w:rPr>
          <w:rFonts w:ascii="Times New Roman" w:hAnsi="Times New Roman" w:cs="Times New Roman"/>
        </w:rPr>
        <w:t xml:space="preserve">, 2018). In the EAC, continued trade growth and value chain </w:t>
      </w:r>
      <w:r w:rsidRPr="00980F80">
        <w:rPr>
          <w:rFonts w:ascii="Times New Roman" w:hAnsi="Times New Roman" w:cs="Times New Roman"/>
        </w:rPr>
        <w:lastRenderedPageBreak/>
        <w:t>integration can support development if logistics and rules become more predictable for all actors, not only large firms (</w:t>
      </w:r>
      <w:proofErr w:type="spellStart"/>
      <w:r w:rsidRPr="00980F80">
        <w:rPr>
          <w:rFonts w:ascii="Times New Roman" w:hAnsi="Times New Roman" w:cs="Times New Roman"/>
        </w:rPr>
        <w:t>Olyanga</w:t>
      </w:r>
      <w:proofErr w:type="spellEnd"/>
      <w:r w:rsidRPr="00980F80">
        <w:rPr>
          <w:rFonts w:ascii="Times New Roman" w:hAnsi="Times New Roman" w:cs="Times New Roman"/>
        </w:rPr>
        <w:t xml:space="preserve"> et al., 2022</w:t>
      </w:r>
      <w:r w:rsidR="00804DF4">
        <w:rPr>
          <w:rFonts w:ascii="Times New Roman" w:hAnsi="Times New Roman" w:cs="Times New Roman"/>
        </w:rPr>
        <w:t>a, 2023</w:t>
      </w:r>
      <w:r w:rsidRPr="00980F80">
        <w:rPr>
          <w:rFonts w:ascii="Times New Roman" w:hAnsi="Times New Roman" w:cs="Times New Roman"/>
        </w:rPr>
        <w:t xml:space="preserve">; </w:t>
      </w:r>
      <w:proofErr w:type="spellStart"/>
      <w:r w:rsidRPr="00980F80">
        <w:rPr>
          <w:rFonts w:ascii="Times New Roman" w:hAnsi="Times New Roman" w:cs="Times New Roman"/>
        </w:rPr>
        <w:t>Magai</w:t>
      </w:r>
      <w:proofErr w:type="spellEnd"/>
      <w:r w:rsidRPr="00980F80">
        <w:rPr>
          <w:rFonts w:ascii="Times New Roman" w:hAnsi="Times New Roman" w:cs="Times New Roman"/>
        </w:rPr>
        <w:t>, 2024). In ECOWAS, the most development relevant gains are likely to come from governance strengthening, facilitation improvements, and coordinated sector investment, especially in energy and trade enabling infrastructure (Akinyemi et al., 2019; Shuaibu and Mamman, 2025; Hakobyan et al., 2025).</w:t>
      </w:r>
    </w:p>
    <w:p w14:paraId="19CA0FE7" w14:textId="60BEF187" w:rsidR="00376B0B" w:rsidRPr="00376B0B" w:rsidRDefault="00376B0B" w:rsidP="00376B0B">
      <w:pPr>
        <w:spacing w:after="0" w:line="360" w:lineRule="auto"/>
        <w:jc w:val="both"/>
        <w:rPr>
          <w:rFonts w:ascii="Times New Roman" w:hAnsi="Times New Roman" w:cs="Times New Roman"/>
          <w:b/>
          <w:bCs/>
        </w:rPr>
      </w:pPr>
      <w:r>
        <w:rPr>
          <w:rFonts w:ascii="Times New Roman" w:hAnsi="Times New Roman" w:cs="Times New Roman"/>
          <w:b/>
          <w:bCs/>
        </w:rPr>
        <w:t xml:space="preserve">12 </w:t>
      </w:r>
      <w:r w:rsidRPr="00376B0B">
        <w:rPr>
          <w:rFonts w:ascii="Times New Roman" w:hAnsi="Times New Roman" w:cs="Times New Roman"/>
          <w:b/>
          <w:bCs/>
        </w:rPr>
        <w:t>Limitations of the Study</w:t>
      </w:r>
    </w:p>
    <w:p w14:paraId="77D0D9BF" w14:textId="77777777" w:rsidR="00376B0B" w:rsidRPr="00376B0B" w:rsidRDefault="00376B0B" w:rsidP="00376B0B">
      <w:pPr>
        <w:spacing w:line="360" w:lineRule="auto"/>
        <w:jc w:val="both"/>
        <w:rPr>
          <w:rFonts w:ascii="Times New Roman" w:hAnsi="Times New Roman" w:cs="Times New Roman"/>
        </w:rPr>
      </w:pPr>
      <w:r w:rsidRPr="00376B0B">
        <w:rPr>
          <w:rFonts w:ascii="Times New Roman" w:hAnsi="Times New Roman" w:cs="Times New Roman"/>
        </w:rPr>
        <w:t>This study is limited by its reliance on secondary data and published literature, which may not fully capture recent policy developments, informal integration dynamics, or implementation realities on the ground. The absence of primary fieldwork or stakeholder interviews restricts the analysis to institutional and academic perspectives, potentially overlooking community-level experiences and grassroots impacts. In addition, the comparison is constrained by variations in data availability and reporting consistency between ECOWAS and the EAC, making it difficult to assess certain outcomes with equal depth. The study also focuses primarily on formal integration mechanisms and may underrepresent informal trade, cross-border social networks, and political factors that influence regional cooperation in practice.</w:t>
      </w:r>
    </w:p>
    <w:p w14:paraId="4E7C3417" w14:textId="468E2D83" w:rsidR="00376B0B" w:rsidRPr="00376B0B" w:rsidRDefault="00376B0B" w:rsidP="00376B0B">
      <w:pPr>
        <w:spacing w:after="0" w:line="360" w:lineRule="auto"/>
        <w:jc w:val="both"/>
        <w:rPr>
          <w:rFonts w:ascii="Times New Roman" w:hAnsi="Times New Roman" w:cs="Times New Roman"/>
          <w:b/>
          <w:bCs/>
        </w:rPr>
      </w:pPr>
      <w:r>
        <w:rPr>
          <w:rFonts w:ascii="Times New Roman" w:hAnsi="Times New Roman" w:cs="Times New Roman"/>
          <w:b/>
          <w:bCs/>
        </w:rPr>
        <w:t xml:space="preserve">13 </w:t>
      </w:r>
      <w:r w:rsidRPr="00376B0B">
        <w:rPr>
          <w:rFonts w:ascii="Times New Roman" w:hAnsi="Times New Roman" w:cs="Times New Roman"/>
          <w:b/>
          <w:bCs/>
        </w:rPr>
        <w:t>Conclusion</w:t>
      </w:r>
    </w:p>
    <w:p w14:paraId="0DE7233C" w14:textId="4FC5ECC0" w:rsidR="00376B0B" w:rsidRDefault="00376B0B" w:rsidP="00376B0B">
      <w:pPr>
        <w:spacing w:line="360" w:lineRule="auto"/>
        <w:jc w:val="both"/>
        <w:rPr>
          <w:rFonts w:ascii="Times New Roman" w:hAnsi="Times New Roman" w:cs="Times New Roman"/>
        </w:rPr>
      </w:pPr>
      <w:r w:rsidRPr="00376B0B">
        <w:rPr>
          <w:rFonts w:ascii="Times New Roman" w:hAnsi="Times New Roman" w:cs="Times New Roman"/>
        </w:rPr>
        <w:t>The comparative analysis of ECOWAS and the East African Community reveal that while both blocs aim to foster regional integration and sustainable development, their approaches, institutional depth, and sectoral priorities differ significantly. The EAC demonstrates stronger momentum in trade facilitation and value chain development, whereas ECOWAS emphasizes political coordination and sectoral cooperation, particularly in energy and security. However, both face common structural challenges such as weak infrastructure, governance gaps, and overlapping regional commitments. Achieving meaningful sustainable development outcomes depends not only on formal integration frameworks but also on the credibility of enforcement, sectoral coordination, and the capacity to translate commitments into tangible, inclusive benefits across member states.</w:t>
      </w:r>
    </w:p>
    <w:p w14:paraId="30BC0280" w14:textId="63563B38" w:rsidR="00E8677A" w:rsidRPr="00E8677A" w:rsidRDefault="00E8677A" w:rsidP="00E8677A">
      <w:pPr>
        <w:spacing w:after="0" w:line="276" w:lineRule="auto"/>
        <w:jc w:val="both"/>
        <w:rPr>
          <w:rFonts w:ascii="Times New Roman" w:hAnsi="Times New Roman" w:cs="Times New Roman"/>
          <w:b/>
          <w:bCs/>
        </w:rPr>
      </w:pPr>
      <w:r w:rsidRPr="00E8677A">
        <w:rPr>
          <w:rFonts w:ascii="Times New Roman" w:hAnsi="Times New Roman" w:cs="Times New Roman"/>
          <w:b/>
          <w:bCs/>
        </w:rPr>
        <w:t>References</w:t>
      </w:r>
    </w:p>
    <w:p w14:paraId="3C4A4C08" w14:textId="12C6D017" w:rsidR="00E8677A" w:rsidRPr="00E8677A" w:rsidRDefault="00EA77BE" w:rsidP="00E8677A">
      <w:pPr>
        <w:spacing w:after="0" w:line="240" w:lineRule="auto"/>
        <w:ind w:left="360" w:hanging="360"/>
        <w:jc w:val="both"/>
        <w:rPr>
          <w:rFonts w:ascii="Times New Roman" w:hAnsi="Times New Roman" w:cs="Times New Roman"/>
        </w:rPr>
      </w:pPr>
      <w:proofErr w:type="spellStart"/>
      <w:r w:rsidRPr="00EA77BE">
        <w:rPr>
          <w:rFonts w:ascii="Times New Roman" w:hAnsi="Times New Roman" w:cs="Times New Roman"/>
        </w:rPr>
        <w:t>Afesorgbor</w:t>
      </w:r>
      <w:proofErr w:type="spellEnd"/>
      <w:r w:rsidRPr="00EA77BE">
        <w:rPr>
          <w:rFonts w:ascii="Times New Roman" w:hAnsi="Times New Roman" w:cs="Times New Roman"/>
        </w:rPr>
        <w:t xml:space="preserve">, S. K., &amp; van </w:t>
      </w:r>
      <w:proofErr w:type="spellStart"/>
      <w:r w:rsidRPr="00EA77BE">
        <w:rPr>
          <w:rFonts w:ascii="Times New Roman" w:hAnsi="Times New Roman" w:cs="Times New Roman"/>
        </w:rPr>
        <w:t>Bergeijk</w:t>
      </w:r>
      <w:proofErr w:type="spellEnd"/>
      <w:r w:rsidRPr="00EA77BE">
        <w:rPr>
          <w:rFonts w:ascii="Times New Roman" w:hAnsi="Times New Roman" w:cs="Times New Roman"/>
        </w:rPr>
        <w:t xml:space="preserve">, P. A. G. (2011). Multi-membership and effectiveness of regional trade agreements in Western and Southern Africa: A comparative study of ECOWAS and SADC. Proceedings of the German Development Economics Conference, Berlin 2011. </w:t>
      </w:r>
      <w:hyperlink r:id="rId7" w:history="1">
        <w:r w:rsidRPr="008B43A9">
          <w:rPr>
            <w:rStyle w:val="Hyperlink"/>
            <w:rFonts w:ascii="Times New Roman" w:hAnsi="Times New Roman" w:cs="Times New Roman"/>
          </w:rPr>
          <w:t>https://hdl.handle.net/10419/48295</w:t>
        </w:r>
      </w:hyperlink>
      <w:r>
        <w:rPr>
          <w:rFonts w:ascii="Times New Roman" w:hAnsi="Times New Roman" w:cs="Times New Roman"/>
        </w:rPr>
        <w:t xml:space="preserve"> </w:t>
      </w:r>
    </w:p>
    <w:p w14:paraId="09539711" w14:textId="5D623179" w:rsidR="00E8677A" w:rsidRPr="00E8677A" w:rsidRDefault="0013383D" w:rsidP="00E8677A">
      <w:pPr>
        <w:spacing w:after="0" w:line="240" w:lineRule="auto"/>
        <w:ind w:left="360" w:hanging="360"/>
        <w:jc w:val="both"/>
        <w:rPr>
          <w:rFonts w:ascii="Times New Roman" w:hAnsi="Times New Roman" w:cs="Times New Roman"/>
        </w:rPr>
      </w:pPr>
      <w:r w:rsidRPr="0013383D">
        <w:rPr>
          <w:rFonts w:ascii="Times New Roman" w:hAnsi="Times New Roman" w:cs="Times New Roman"/>
        </w:rPr>
        <w:lastRenderedPageBreak/>
        <w:t xml:space="preserve">Akinyemi, O., </w:t>
      </w:r>
      <w:proofErr w:type="spellStart"/>
      <w:r w:rsidRPr="0013383D">
        <w:rPr>
          <w:rFonts w:ascii="Times New Roman" w:hAnsi="Times New Roman" w:cs="Times New Roman"/>
        </w:rPr>
        <w:t>Efobi</w:t>
      </w:r>
      <w:proofErr w:type="spellEnd"/>
      <w:r w:rsidRPr="0013383D">
        <w:rPr>
          <w:rFonts w:ascii="Times New Roman" w:hAnsi="Times New Roman" w:cs="Times New Roman"/>
        </w:rPr>
        <w:t xml:space="preserve">, U. R., </w:t>
      </w:r>
      <w:proofErr w:type="spellStart"/>
      <w:r w:rsidRPr="0013383D">
        <w:rPr>
          <w:rFonts w:ascii="Times New Roman" w:hAnsi="Times New Roman" w:cs="Times New Roman"/>
        </w:rPr>
        <w:t>Osabuohien</w:t>
      </w:r>
      <w:proofErr w:type="spellEnd"/>
      <w:r w:rsidRPr="0013383D">
        <w:rPr>
          <w:rFonts w:ascii="Times New Roman" w:hAnsi="Times New Roman" w:cs="Times New Roman"/>
        </w:rPr>
        <w:t xml:space="preserve">, E., &amp; </w:t>
      </w:r>
      <w:proofErr w:type="spellStart"/>
      <w:r w:rsidRPr="0013383D">
        <w:rPr>
          <w:rFonts w:ascii="Times New Roman" w:hAnsi="Times New Roman" w:cs="Times New Roman"/>
        </w:rPr>
        <w:t>Alege</w:t>
      </w:r>
      <w:proofErr w:type="spellEnd"/>
      <w:r w:rsidRPr="0013383D">
        <w:rPr>
          <w:rFonts w:ascii="Times New Roman" w:hAnsi="Times New Roman" w:cs="Times New Roman"/>
        </w:rPr>
        <w:t xml:space="preserve">, P. (2019). Regional integration and energy sustainability in Africa: Exploring the challenges and prospects for ECOWAS. African Development Review, 31(4), 517–528. </w:t>
      </w:r>
      <w:hyperlink r:id="rId8" w:history="1">
        <w:r w:rsidRPr="008B43A9">
          <w:rPr>
            <w:rStyle w:val="Hyperlink"/>
            <w:rFonts w:ascii="Times New Roman" w:hAnsi="Times New Roman" w:cs="Times New Roman"/>
          </w:rPr>
          <w:t>https://doi.org/10.1111/1467-8268.12406</w:t>
        </w:r>
      </w:hyperlink>
      <w:r>
        <w:rPr>
          <w:rFonts w:ascii="Times New Roman" w:hAnsi="Times New Roman" w:cs="Times New Roman"/>
        </w:rPr>
        <w:t xml:space="preserve"> </w:t>
      </w:r>
    </w:p>
    <w:p w14:paraId="64B06FA4" w14:textId="11B5AC95" w:rsidR="00E8677A" w:rsidRPr="00E8677A" w:rsidRDefault="00A75F2C" w:rsidP="00E8677A">
      <w:pPr>
        <w:spacing w:after="0" w:line="240" w:lineRule="auto"/>
        <w:ind w:left="360" w:hanging="360"/>
        <w:jc w:val="both"/>
        <w:rPr>
          <w:rFonts w:ascii="Times New Roman" w:hAnsi="Times New Roman" w:cs="Times New Roman"/>
        </w:rPr>
      </w:pPr>
      <w:proofErr w:type="spellStart"/>
      <w:r w:rsidRPr="00A75F2C">
        <w:rPr>
          <w:rFonts w:ascii="Times New Roman" w:hAnsi="Times New Roman" w:cs="Times New Roman"/>
        </w:rPr>
        <w:t>Buigut</w:t>
      </w:r>
      <w:proofErr w:type="spellEnd"/>
      <w:r w:rsidRPr="00A75F2C">
        <w:rPr>
          <w:rFonts w:ascii="Times New Roman" w:hAnsi="Times New Roman" w:cs="Times New Roman"/>
        </w:rPr>
        <w:t xml:space="preserve">, S. (2012). An assessment of the trade effects of the East African Community Customs Union on member countries. International Journal of Economics and Finance, 4(10), 41–52. </w:t>
      </w:r>
      <w:hyperlink r:id="rId9" w:history="1">
        <w:r w:rsidRPr="008B43A9">
          <w:rPr>
            <w:rStyle w:val="Hyperlink"/>
            <w:rFonts w:ascii="Times New Roman" w:hAnsi="Times New Roman" w:cs="Times New Roman"/>
          </w:rPr>
          <w:t>https://doi.org/10.5539/ijef.v4n10p41</w:t>
        </w:r>
      </w:hyperlink>
      <w:r>
        <w:rPr>
          <w:rFonts w:ascii="Times New Roman" w:hAnsi="Times New Roman" w:cs="Times New Roman"/>
        </w:rPr>
        <w:t xml:space="preserve"> </w:t>
      </w:r>
    </w:p>
    <w:p w14:paraId="5FB7CF7A" w14:textId="3FACCF61" w:rsidR="00E8677A" w:rsidRPr="00E8677A" w:rsidRDefault="00B56B8E" w:rsidP="00E8677A">
      <w:pPr>
        <w:spacing w:after="0" w:line="240" w:lineRule="auto"/>
        <w:ind w:left="360" w:hanging="360"/>
        <w:jc w:val="both"/>
        <w:rPr>
          <w:rFonts w:ascii="Times New Roman" w:hAnsi="Times New Roman" w:cs="Times New Roman"/>
        </w:rPr>
      </w:pPr>
      <w:proofErr w:type="spellStart"/>
      <w:r w:rsidRPr="00B56B8E">
        <w:rPr>
          <w:rFonts w:ascii="Times New Roman" w:hAnsi="Times New Roman" w:cs="Times New Roman"/>
        </w:rPr>
        <w:t>Bünder</w:t>
      </w:r>
      <w:proofErr w:type="spellEnd"/>
      <w:r w:rsidRPr="00B56B8E">
        <w:rPr>
          <w:rFonts w:ascii="Times New Roman" w:hAnsi="Times New Roman" w:cs="Times New Roman"/>
        </w:rPr>
        <w:t xml:space="preserve">, T. (2018). How common is the East African Community’s common external tariff really? The influence of interest groups on the EAC’s tariff negotiations. SAGE Open, 8(1) </w:t>
      </w:r>
      <w:hyperlink r:id="rId10" w:history="1">
        <w:r w:rsidRPr="008B43A9">
          <w:rPr>
            <w:rStyle w:val="Hyperlink"/>
            <w:rFonts w:ascii="Times New Roman" w:hAnsi="Times New Roman" w:cs="Times New Roman"/>
          </w:rPr>
          <w:t>https://doi.org/10.1177/2158244017748235</w:t>
        </w:r>
      </w:hyperlink>
      <w:r>
        <w:rPr>
          <w:rFonts w:ascii="Times New Roman" w:hAnsi="Times New Roman" w:cs="Times New Roman"/>
        </w:rPr>
        <w:t xml:space="preserve"> </w:t>
      </w:r>
    </w:p>
    <w:p w14:paraId="32EC8C39" w14:textId="3E953C9B" w:rsidR="00E8677A" w:rsidRPr="00E8677A" w:rsidRDefault="00E5278C" w:rsidP="00E8677A">
      <w:pPr>
        <w:spacing w:after="0" w:line="240" w:lineRule="auto"/>
        <w:ind w:left="360" w:hanging="360"/>
        <w:jc w:val="both"/>
        <w:rPr>
          <w:rFonts w:ascii="Times New Roman" w:hAnsi="Times New Roman" w:cs="Times New Roman"/>
        </w:rPr>
      </w:pPr>
      <w:r w:rsidRPr="00E5278C">
        <w:rPr>
          <w:rFonts w:ascii="Times New Roman" w:hAnsi="Times New Roman" w:cs="Times New Roman"/>
        </w:rPr>
        <w:t xml:space="preserve">König, T., Blatt, J., </w:t>
      </w:r>
      <w:proofErr w:type="spellStart"/>
      <w:r w:rsidRPr="00E5278C">
        <w:rPr>
          <w:rFonts w:ascii="Times New Roman" w:hAnsi="Times New Roman" w:cs="Times New Roman"/>
        </w:rPr>
        <w:t>Brakel</w:t>
      </w:r>
      <w:proofErr w:type="spellEnd"/>
      <w:r w:rsidRPr="00E5278C">
        <w:rPr>
          <w:rFonts w:ascii="Times New Roman" w:hAnsi="Times New Roman" w:cs="Times New Roman"/>
        </w:rPr>
        <w:t xml:space="preserve">, K., Kloss, K., </w:t>
      </w:r>
      <w:proofErr w:type="spellStart"/>
      <w:r w:rsidRPr="00E5278C">
        <w:rPr>
          <w:rFonts w:ascii="Times New Roman" w:hAnsi="Times New Roman" w:cs="Times New Roman"/>
        </w:rPr>
        <w:t>Nilges</w:t>
      </w:r>
      <w:proofErr w:type="spellEnd"/>
      <w:r w:rsidRPr="00E5278C">
        <w:rPr>
          <w:rFonts w:ascii="Times New Roman" w:hAnsi="Times New Roman" w:cs="Times New Roman"/>
        </w:rPr>
        <w:t xml:space="preserve">, T., &amp; </w:t>
      </w:r>
      <w:proofErr w:type="spellStart"/>
      <w:r w:rsidRPr="00E5278C">
        <w:rPr>
          <w:rFonts w:ascii="Times New Roman" w:hAnsi="Times New Roman" w:cs="Times New Roman"/>
        </w:rPr>
        <w:t>Woellert</w:t>
      </w:r>
      <w:proofErr w:type="spellEnd"/>
      <w:r w:rsidRPr="00E5278C">
        <w:rPr>
          <w:rFonts w:ascii="Times New Roman" w:hAnsi="Times New Roman" w:cs="Times New Roman"/>
        </w:rPr>
        <w:t xml:space="preserve">, F. (2011). Value chains and regional trade in East Africa: The case of vegetables in Kenya and Tanzania. In D. </w:t>
      </w:r>
      <w:proofErr w:type="spellStart"/>
      <w:r w:rsidRPr="00E5278C">
        <w:rPr>
          <w:rFonts w:ascii="Times New Roman" w:hAnsi="Times New Roman" w:cs="Times New Roman"/>
        </w:rPr>
        <w:t>Mithöfer</w:t>
      </w:r>
      <w:proofErr w:type="spellEnd"/>
      <w:r w:rsidRPr="00E5278C">
        <w:rPr>
          <w:rFonts w:ascii="Times New Roman" w:hAnsi="Times New Roman" w:cs="Times New Roman"/>
        </w:rPr>
        <w:t xml:space="preserve"> &amp; H. Waibel (Eds.), Vegetable production and marketing in Africa: Socio-economic research (pp. 149–167). CABI. </w:t>
      </w:r>
      <w:hyperlink r:id="rId11" w:history="1">
        <w:r w:rsidRPr="008B43A9">
          <w:rPr>
            <w:rStyle w:val="Hyperlink"/>
            <w:rFonts w:ascii="Times New Roman" w:hAnsi="Times New Roman" w:cs="Times New Roman"/>
          </w:rPr>
          <w:t>https://doi.org/10.1079/9781845936495.0149</w:t>
        </w:r>
      </w:hyperlink>
      <w:r>
        <w:rPr>
          <w:rFonts w:ascii="Times New Roman" w:hAnsi="Times New Roman" w:cs="Times New Roman"/>
        </w:rPr>
        <w:t xml:space="preserve"> </w:t>
      </w:r>
    </w:p>
    <w:p w14:paraId="37CC3442" w14:textId="713A0AE6" w:rsidR="00E8677A" w:rsidRPr="00E8677A" w:rsidRDefault="00EF6E4F" w:rsidP="00E8677A">
      <w:pPr>
        <w:spacing w:after="0" w:line="240" w:lineRule="auto"/>
        <w:ind w:left="360" w:hanging="360"/>
        <w:jc w:val="both"/>
        <w:rPr>
          <w:rFonts w:ascii="Times New Roman" w:hAnsi="Times New Roman" w:cs="Times New Roman"/>
        </w:rPr>
      </w:pPr>
      <w:r w:rsidRPr="00EF6E4F">
        <w:rPr>
          <w:rFonts w:ascii="Times New Roman" w:hAnsi="Times New Roman" w:cs="Times New Roman"/>
        </w:rPr>
        <w:t xml:space="preserve">Deme, M. (1995). The impact of ECOWAS on intraregional trade flows: An empirical investigation. The Review of Black Political Economy, 23(3), 113–129. </w:t>
      </w:r>
      <w:hyperlink r:id="rId12" w:history="1">
        <w:r w:rsidRPr="008B43A9">
          <w:rPr>
            <w:rStyle w:val="Hyperlink"/>
            <w:rFonts w:ascii="Times New Roman" w:hAnsi="Times New Roman" w:cs="Times New Roman"/>
          </w:rPr>
          <w:t>https://doi.org/10.1007/BF02689995</w:t>
        </w:r>
      </w:hyperlink>
      <w:r>
        <w:rPr>
          <w:rFonts w:ascii="Times New Roman" w:hAnsi="Times New Roman" w:cs="Times New Roman"/>
        </w:rPr>
        <w:t xml:space="preserve"> </w:t>
      </w:r>
    </w:p>
    <w:p w14:paraId="2FFDA1BE" w14:textId="4B682154" w:rsidR="00E8677A" w:rsidRPr="00E8677A" w:rsidRDefault="00DD2BAF" w:rsidP="00E8677A">
      <w:pPr>
        <w:spacing w:after="0" w:line="240" w:lineRule="auto"/>
        <w:ind w:left="360" w:hanging="360"/>
        <w:jc w:val="both"/>
        <w:rPr>
          <w:rFonts w:ascii="Times New Roman" w:hAnsi="Times New Roman" w:cs="Times New Roman"/>
        </w:rPr>
      </w:pPr>
      <w:proofErr w:type="spellStart"/>
      <w:r w:rsidRPr="00DD2BAF">
        <w:rPr>
          <w:rFonts w:ascii="Times New Roman" w:hAnsi="Times New Roman" w:cs="Times New Roman"/>
        </w:rPr>
        <w:t>Djeghar</w:t>
      </w:r>
      <w:proofErr w:type="spellEnd"/>
      <w:r w:rsidRPr="00DD2BAF">
        <w:rPr>
          <w:rFonts w:ascii="Times New Roman" w:hAnsi="Times New Roman" w:cs="Times New Roman"/>
        </w:rPr>
        <w:t xml:space="preserve">, A. (2023). An economic project of regional integration in Africa. RUDN Journal of Economics, 31(2), 197–210. </w:t>
      </w:r>
      <w:hyperlink r:id="rId13" w:history="1">
        <w:r w:rsidRPr="008B43A9">
          <w:rPr>
            <w:rStyle w:val="Hyperlink"/>
            <w:rFonts w:ascii="Times New Roman" w:hAnsi="Times New Roman" w:cs="Times New Roman"/>
          </w:rPr>
          <w:t>https://doi.org/10.22363/2313-2329-2023-31-2-197-210</w:t>
        </w:r>
      </w:hyperlink>
      <w:r>
        <w:rPr>
          <w:rFonts w:ascii="Times New Roman" w:hAnsi="Times New Roman" w:cs="Times New Roman"/>
        </w:rPr>
        <w:t xml:space="preserve"> </w:t>
      </w:r>
    </w:p>
    <w:p w14:paraId="3032C0BA" w14:textId="2591C536" w:rsidR="00E8677A" w:rsidRPr="00E8677A" w:rsidRDefault="00D20008" w:rsidP="00E8677A">
      <w:pPr>
        <w:spacing w:after="0" w:line="240" w:lineRule="auto"/>
        <w:ind w:left="360" w:hanging="360"/>
        <w:jc w:val="both"/>
        <w:rPr>
          <w:rFonts w:ascii="Times New Roman" w:hAnsi="Times New Roman" w:cs="Times New Roman"/>
        </w:rPr>
      </w:pPr>
      <w:proofErr w:type="spellStart"/>
      <w:r w:rsidRPr="00D20008">
        <w:rPr>
          <w:rFonts w:ascii="Times New Roman" w:hAnsi="Times New Roman" w:cs="Times New Roman"/>
        </w:rPr>
        <w:t>Ename</w:t>
      </w:r>
      <w:proofErr w:type="spellEnd"/>
      <w:r w:rsidRPr="00D20008">
        <w:rPr>
          <w:rFonts w:ascii="Times New Roman" w:hAnsi="Times New Roman" w:cs="Times New Roman"/>
        </w:rPr>
        <w:t xml:space="preserve"> </w:t>
      </w:r>
      <w:proofErr w:type="spellStart"/>
      <w:r w:rsidRPr="00D20008">
        <w:rPr>
          <w:rFonts w:ascii="Times New Roman" w:hAnsi="Times New Roman" w:cs="Times New Roman"/>
        </w:rPr>
        <w:t>Minko</w:t>
      </w:r>
      <w:proofErr w:type="spellEnd"/>
      <w:r w:rsidRPr="00D20008">
        <w:rPr>
          <w:rFonts w:ascii="Times New Roman" w:hAnsi="Times New Roman" w:cs="Times New Roman"/>
        </w:rPr>
        <w:t xml:space="preserve">, A. (2024). Assessing the impacts of regional integration on intra-Africa trade, migration patterns, land use, and sustainability: A case study of the East African Community. African Journal on Land Policy and Geospatial Sciences, 7(5), 1214–1242. </w:t>
      </w:r>
      <w:hyperlink r:id="rId14" w:history="1">
        <w:r w:rsidRPr="008B43A9">
          <w:rPr>
            <w:rStyle w:val="Hyperlink"/>
            <w:rFonts w:ascii="Times New Roman" w:hAnsi="Times New Roman" w:cs="Times New Roman"/>
          </w:rPr>
          <w:t>https://doi.org/10.48346/IMIST.PRSM/ajlp-gs.v7i5.50623</w:t>
        </w:r>
      </w:hyperlink>
      <w:r>
        <w:rPr>
          <w:rFonts w:ascii="Times New Roman" w:hAnsi="Times New Roman" w:cs="Times New Roman"/>
        </w:rPr>
        <w:t xml:space="preserve"> </w:t>
      </w:r>
    </w:p>
    <w:p w14:paraId="26187D15" w14:textId="253A7CBD" w:rsidR="00E8677A" w:rsidRPr="00E8677A" w:rsidRDefault="003C7789" w:rsidP="00E8677A">
      <w:pPr>
        <w:spacing w:after="0" w:line="240" w:lineRule="auto"/>
        <w:ind w:left="360" w:hanging="360"/>
        <w:jc w:val="both"/>
        <w:rPr>
          <w:rFonts w:ascii="Times New Roman" w:hAnsi="Times New Roman" w:cs="Times New Roman"/>
        </w:rPr>
      </w:pPr>
      <w:proofErr w:type="spellStart"/>
      <w:r w:rsidRPr="003C7789">
        <w:rPr>
          <w:rFonts w:ascii="Times New Roman" w:hAnsi="Times New Roman" w:cs="Times New Roman"/>
        </w:rPr>
        <w:t>Gonza</w:t>
      </w:r>
      <w:proofErr w:type="spellEnd"/>
      <w:r w:rsidRPr="003C7789">
        <w:rPr>
          <w:rFonts w:ascii="Times New Roman" w:hAnsi="Times New Roman" w:cs="Times New Roman"/>
        </w:rPr>
        <w:t xml:space="preserve">, J. R. (2025). The role of African regional courts in shaping sustainable development: Balancing competing pillars and contributing to global jurisprudence. Review of European, Comparative &amp; International Environmental Law, 34(2), 536–549. </w:t>
      </w:r>
      <w:hyperlink r:id="rId15" w:history="1">
        <w:r w:rsidRPr="008B43A9">
          <w:rPr>
            <w:rStyle w:val="Hyperlink"/>
            <w:rFonts w:ascii="Times New Roman" w:hAnsi="Times New Roman" w:cs="Times New Roman"/>
          </w:rPr>
          <w:t>https://doi.org/10.1111/reel.70000</w:t>
        </w:r>
      </w:hyperlink>
      <w:r>
        <w:rPr>
          <w:rFonts w:ascii="Times New Roman" w:hAnsi="Times New Roman" w:cs="Times New Roman"/>
        </w:rPr>
        <w:t xml:space="preserve"> </w:t>
      </w:r>
    </w:p>
    <w:p w14:paraId="14835C7B" w14:textId="0AA6809C" w:rsidR="00E8677A" w:rsidRPr="00E8677A" w:rsidRDefault="001231B0" w:rsidP="00E8677A">
      <w:pPr>
        <w:spacing w:after="0" w:line="240" w:lineRule="auto"/>
        <w:ind w:left="360" w:hanging="360"/>
        <w:jc w:val="both"/>
        <w:rPr>
          <w:rFonts w:ascii="Times New Roman" w:hAnsi="Times New Roman" w:cs="Times New Roman"/>
        </w:rPr>
      </w:pPr>
      <w:proofErr w:type="spellStart"/>
      <w:r w:rsidRPr="001231B0">
        <w:rPr>
          <w:rFonts w:ascii="Times New Roman" w:hAnsi="Times New Roman" w:cs="Times New Roman"/>
        </w:rPr>
        <w:t>Gourdon</w:t>
      </w:r>
      <w:proofErr w:type="spellEnd"/>
      <w:r w:rsidRPr="001231B0">
        <w:rPr>
          <w:rFonts w:ascii="Times New Roman" w:hAnsi="Times New Roman" w:cs="Times New Roman"/>
        </w:rPr>
        <w:t xml:space="preserve">, J., </w:t>
      </w:r>
      <w:proofErr w:type="spellStart"/>
      <w:r w:rsidRPr="001231B0">
        <w:rPr>
          <w:rFonts w:ascii="Times New Roman" w:hAnsi="Times New Roman" w:cs="Times New Roman"/>
        </w:rPr>
        <w:t>Kniahin</w:t>
      </w:r>
      <w:proofErr w:type="spellEnd"/>
      <w:r w:rsidRPr="001231B0">
        <w:rPr>
          <w:rFonts w:ascii="Times New Roman" w:hAnsi="Times New Roman" w:cs="Times New Roman"/>
        </w:rPr>
        <w:t xml:space="preserve">, D., de Melo, J., &amp; </w:t>
      </w:r>
      <w:proofErr w:type="spellStart"/>
      <w:r w:rsidRPr="001231B0">
        <w:rPr>
          <w:rFonts w:ascii="Times New Roman" w:hAnsi="Times New Roman" w:cs="Times New Roman"/>
        </w:rPr>
        <w:t>Mimouni</w:t>
      </w:r>
      <w:proofErr w:type="spellEnd"/>
      <w:r w:rsidRPr="001231B0">
        <w:rPr>
          <w:rFonts w:ascii="Times New Roman" w:hAnsi="Times New Roman" w:cs="Times New Roman"/>
        </w:rPr>
        <w:t xml:space="preserve">, M. (2021). Rules of origin across African regional trading agreements: A landscape with measures to address challenges at harmonization. Journal of African Trade, 8(1), 96–108. </w:t>
      </w:r>
      <w:hyperlink r:id="rId16" w:history="1">
        <w:r w:rsidRPr="008B43A9">
          <w:rPr>
            <w:rStyle w:val="Hyperlink"/>
            <w:rFonts w:ascii="Times New Roman" w:hAnsi="Times New Roman" w:cs="Times New Roman"/>
          </w:rPr>
          <w:t>https://doi.org/10.2991/jat.k.201224.001</w:t>
        </w:r>
      </w:hyperlink>
      <w:r>
        <w:rPr>
          <w:rFonts w:ascii="Times New Roman" w:hAnsi="Times New Roman" w:cs="Times New Roman"/>
        </w:rPr>
        <w:t xml:space="preserve"> </w:t>
      </w:r>
    </w:p>
    <w:p w14:paraId="0E7FA9F6" w14:textId="0F07822A" w:rsidR="00E8677A" w:rsidRPr="00E8677A" w:rsidRDefault="004D4E66" w:rsidP="00E8677A">
      <w:pPr>
        <w:spacing w:after="0" w:line="240" w:lineRule="auto"/>
        <w:ind w:left="360" w:hanging="360"/>
        <w:jc w:val="both"/>
        <w:rPr>
          <w:rFonts w:ascii="Times New Roman" w:hAnsi="Times New Roman" w:cs="Times New Roman"/>
        </w:rPr>
      </w:pPr>
      <w:proofErr w:type="spellStart"/>
      <w:r w:rsidRPr="004D4E66">
        <w:rPr>
          <w:rFonts w:ascii="Times New Roman" w:hAnsi="Times New Roman" w:cs="Times New Roman"/>
        </w:rPr>
        <w:t>Habeenzu</w:t>
      </w:r>
      <w:proofErr w:type="spellEnd"/>
      <w:r w:rsidRPr="004D4E66">
        <w:rPr>
          <w:rFonts w:ascii="Times New Roman" w:hAnsi="Times New Roman" w:cs="Times New Roman"/>
        </w:rPr>
        <w:t xml:space="preserve">, L. J. (2023). Comparing and contrasting ECOWAS and SADC: Successes, failures, and challenges. International Journal of Research and Innovation in Social Science, 7(12), 1289–1296. </w:t>
      </w:r>
      <w:hyperlink r:id="rId17" w:history="1">
        <w:r w:rsidRPr="008B43A9">
          <w:rPr>
            <w:rStyle w:val="Hyperlink"/>
            <w:rFonts w:ascii="Times New Roman" w:hAnsi="Times New Roman" w:cs="Times New Roman"/>
          </w:rPr>
          <w:t>https://doi.org/10.47772/IJRISS.2023.7012097</w:t>
        </w:r>
      </w:hyperlink>
      <w:r>
        <w:rPr>
          <w:rFonts w:ascii="Times New Roman" w:hAnsi="Times New Roman" w:cs="Times New Roman"/>
        </w:rPr>
        <w:t xml:space="preserve"> </w:t>
      </w:r>
    </w:p>
    <w:p w14:paraId="52A7FC96" w14:textId="2E8F48F8" w:rsidR="00E8677A" w:rsidRPr="00E8677A" w:rsidRDefault="006D7888" w:rsidP="00E8677A">
      <w:pPr>
        <w:spacing w:after="0" w:line="240" w:lineRule="auto"/>
        <w:ind w:left="360" w:hanging="360"/>
        <w:jc w:val="both"/>
        <w:rPr>
          <w:rFonts w:ascii="Times New Roman" w:hAnsi="Times New Roman" w:cs="Times New Roman"/>
        </w:rPr>
      </w:pPr>
      <w:r w:rsidRPr="006D7888">
        <w:rPr>
          <w:rFonts w:ascii="Times New Roman" w:hAnsi="Times New Roman" w:cs="Times New Roman"/>
        </w:rPr>
        <w:t>Hakobyan, S., Hesse-</w:t>
      </w:r>
      <w:proofErr w:type="spellStart"/>
      <w:r w:rsidRPr="006D7888">
        <w:rPr>
          <w:rFonts w:ascii="Times New Roman" w:hAnsi="Times New Roman" w:cs="Times New Roman"/>
        </w:rPr>
        <w:t>Triballi</w:t>
      </w:r>
      <w:proofErr w:type="spellEnd"/>
      <w:r w:rsidRPr="006D7888">
        <w:rPr>
          <w:rFonts w:ascii="Times New Roman" w:hAnsi="Times New Roman" w:cs="Times New Roman"/>
        </w:rPr>
        <w:t xml:space="preserve">, F., </w:t>
      </w:r>
      <w:proofErr w:type="spellStart"/>
      <w:r w:rsidRPr="006D7888">
        <w:rPr>
          <w:rFonts w:ascii="Times New Roman" w:hAnsi="Times New Roman" w:cs="Times New Roman"/>
        </w:rPr>
        <w:t>Meleshchuk</w:t>
      </w:r>
      <w:proofErr w:type="spellEnd"/>
      <w:r w:rsidRPr="006D7888">
        <w:rPr>
          <w:rFonts w:ascii="Times New Roman" w:hAnsi="Times New Roman" w:cs="Times New Roman"/>
        </w:rPr>
        <w:t xml:space="preserve">, S., &amp; </w:t>
      </w:r>
      <w:proofErr w:type="spellStart"/>
      <w:r w:rsidRPr="006D7888">
        <w:rPr>
          <w:rFonts w:ascii="Times New Roman" w:hAnsi="Times New Roman" w:cs="Times New Roman"/>
        </w:rPr>
        <w:t>Weisfeld</w:t>
      </w:r>
      <w:proofErr w:type="spellEnd"/>
      <w:r w:rsidRPr="006D7888">
        <w:rPr>
          <w:rFonts w:ascii="Times New Roman" w:hAnsi="Times New Roman" w:cs="Times New Roman"/>
        </w:rPr>
        <w:t xml:space="preserve">, H. (2025). Unleashing the benefits of intra-African trade integration for the WAEMU (Selected Issues Paper No. SIP/2025/071). International Monetary Fund. </w:t>
      </w:r>
      <w:hyperlink r:id="rId18" w:history="1">
        <w:r w:rsidRPr="008B43A9">
          <w:rPr>
            <w:rStyle w:val="Hyperlink"/>
            <w:rFonts w:ascii="Times New Roman" w:hAnsi="Times New Roman" w:cs="Times New Roman"/>
          </w:rPr>
          <w:t>https://doi.org/https://doi.org/10.5089/9798229011556.018</w:t>
        </w:r>
      </w:hyperlink>
      <w:r>
        <w:rPr>
          <w:rFonts w:ascii="Times New Roman" w:hAnsi="Times New Roman" w:cs="Times New Roman"/>
        </w:rPr>
        <w:t xml:space="preserve"> </w:t>
      </w:r>
    </w:p>
    <w:p w14:paraId="1191E581" w14:textId="35247DD5" w:rsidR="00E8677A" w:rsidRPr="00E8677A" w:rsidRDefault="006D7888" w:rsidP="00E8677A">
      <w:pPr>
        <w:spacing w:after="0" w:line="240" w:lineRule="auto"/>
        <w:ind w:left="360" w:hanging="360"/>
        <w:jc w:val="both"/>
        <w:rPr>
          <w:rFonts w:ascii="Times New Roman" w:hAnsi="Times New Roman" w:cs="Times New Roman"/>
        </w:rPr>
      </w:pPr>
      <w:proofErr w:type="spellStart"/>
      <w:r w:rsidRPr="006D7888">
        <w:rPr>
          <w:rFonts w:ascii="Times New Roman" w:hAnsi="Times New Roman" w:cs="Times New Roman"/>
        </w:rPr>
        <w:t>Hersi</w:t>
      </w:r>
      <w:proofErr w:type="spellEnd"/>
      <w:r w:rsidRPr="006D7888">
        <w:rPr>
          <w:rFonts w:ascii="Times New Roman" w:hAnsi="Times New Roman" w:cs="Times New Roman"/>
        </w:rPr>
        <w:t xml:space="preserve">, A., &amp; </w:t>
      </w:r>
      <w:proofErr w:type="spellStart"/>
      <w:r w:rsidRPr="006D7888">
        <w:rPr>
          <w:rFonts w:ascii="Times New Roman" w:hAnsi="Times New Roman" w:cs="Times New Roman"/>
        </w:rPr>
        <w:t>Alasow</w:t>
      </w:r>
      <w:proofErr w:type="spellEnd"/>
      <w:r w:rsidRPr="006D7888">
        <w:rPr>
          <w:rFonts w:ascii="Times New Roman" w:hAnsi="Times New Roman" w:cs="Times New Roman"/>
        </w:rPr>
        <w:t xml:space="preserve">, A. A. (2025). Economic integration and trade performance: assessing the effectiveness of the East African Community as a trade bloc. Cogent Economics &amp; Finance, 13(1), Article 2516712. </w:t>
      </w:r>
      <w:hyperlink r:id="rId19" w:history="1">
        <w:r w:rsidRPr="008B43A9">
          <w:rPr>
            <w:rStyle w:val="Hyperlink"/>
            <w:rFonts w:ascii="Times New Roman" w:hAnsi="Times New Roman" w:cs="Times New Roman"/>
          </w:rPr>
          <w:t>https://doi.org/10.1080/23322039.2025.2516712</w:t>
        </w:r>
      </w:hyperlink>
      <w:r>
        <w:rPr>
          <w:rFonts w:ascii="Times New Roman" w:hAnsi="Times New Roman" w:cs="Times New Roman"/>
        </w:rPr>
        <w:t xml:space="preserve"> </w:t>
      </w:r>
    </w:p>
    <w:p w14:paraId="251E45A1" w14:textId="77777777" w:rsidR="00E8677A" w:rsidRPr="00E8677A" w:rsidRDefault="00E8677A" w:rsidP="00E8677A">
      <w:pPr>
        <w:spacing w:after="0" w:line="240" w:lineRule="auto"/>
        <w:ind w:left="360" w:hanging="360"/>
        <w:jc w:val="both"/>
        <w:rPr>
          <w:rFonts w:ascii="Times New Roman" w:hAnsi="Times New Roman" w:cs="Times New Roman"/>
        </w:rPr>
      </w:pPr>
      <w:r w:rsidRPr="00E8677A">
        <w:rPr>
          <w:rFonts w:ascii="Times New Roman" w:hAnsi="Times New Roman" w:cs="Times New Roman"/>
        </w:rPr>
        <w:t>Jancic, D. (2019). Regional parliaments and African economic integration. </w:t>
      </w:r>
      <w:r w:rsidRPr="00E8677A">
        <w:rPr>
          <w:rFonts w:ascii="Times New Roman" w:hAnsi="Times New Roman" w:cs="Times New Roman"/>
          <w:i/>
          <w:iCs/>
        </w:rPr>
        <w:t>European Journal of International Law, 30</w:t>
      </w:r>
      <w:r w:rsidRPr="00E8677A">
        <w:rPr>
          <w:rFonts w:ascii="Times New Roman" w:hAnsi="Times New Roman" w:cs="Times New Roman"/>
        </w:rPr>
        <w:t>(1), 199–228. </w:t>
      </w:r>
      <w:hyperlink r:id="rId20" w:tgtFrame="_blank" w:history="1">
        <w:r w:rsidRPr="00E8677A">
          <w:rPr>
            <w:rStyle w:val="Hyperlink"/>
            <w:rFonts w:ascii="Times New Roman" w:hAnsi="Times New Roman" w:cs="Times New Roman"/>
          </w:rPr>
          <w:t>https://doi.org/10.1093/ejil/chz006</w:t>
        </w:r>
      </w:hyperlink>
    </w:p>
    <w:p w14:paraId="1561FB12" w14:textId="424F773A" w:rsidR="00E8677A" w:rsidRPr="00E8677A" w:rsidRDefault="00496DDD" w:rsidP="00E8677A">
      <w:pPr>
        <w:spacing w:after="0" w:line="240" w:lineRule="auto"/>
        <w:ind w:left="360" w:hanging="360"/>
        <w:jc w:val="both"/>
        <w:rPr>
          <w:rFonts w:ascii="Times New Roman" w:hAnsi="Times New Roman" w:cs="Times New Roman"/>
        </w:rPr>
      </w:pPr>
      <w:proofErr w:type="spellStart"/>
      <w:r w:rsidRPr="00496DDD">
        <w:rPr>
          <w:rFonts w:ascii="Times New Roman" w:hAnsi="Times New Roman" w:cs="Times New Roman"/>
        </w:rPr>
        <w:t>Kafeero</w:t>
      </w:r>
      <w:proofErr w:type="spellEnd"/>
      <w:r w:rsidRPr="00496DDD">
        <w:rPr>
          <w:rFonts w:ascii="Times New Roman" w:hAnsi="Times New Roman" w:cs="Times New Roman"/>
        </w:rPr>
        <w:t xml:space="preserve">, E. (2008). Customs and trade facilitation in the East African Community (EAC). World Customs Journal, 2(1), 63–71. </w:t>
      </w:r>
      <w:hyperlink r:id="rId21" w:history="1">
        <w:r w:rsidRPr="008B43A9">
          <w:rPr>
            <w:rStyle w:val="Hyperlink"/>
            <w:rFonts w:ascii="Times New Roman" w:hAnsi="Times New Roman" w:cs="Times New Roman"/>
          </w:rPr>
          <w:t>https://doi.org/10.55596/001c.91320</w:t>
        </w:r>
      </w:hyperlink>
      <w:r>
        <w:rPr>
          <w:rFonts w:ascii="Times New Roman" w:hAnsi="Times New Roman" w:cs="Times New Roman"/>
        </w:rPr>
        <w:t xml:space="preserve"> </w:t>
      </w:r>
    </w:p>
    <w:p w14:paraId="6AE9A340" w14:textId="632737A3" w:rsidR="00E8677A" w:rsidRPr="00E8677A" w:rsidRDefault="000A1CDD" w:rsidP="00E8677A">
      <w:pPr>
        <w:spacing w:after="0" w:line="240" w:lineRule="auto"/>
        <w:ind w:left="360" w:hanging="360"/>
        <w:jc w:val="both"/>
        <w:rPr>
          <w:rFonts w:ascii="Times New Roman" w:hAnsi="Times New Roman" w:cs="Times New Roman"/>
        </w:rPr>
      </w:pPr>
      <w:proofErr w:type="spellStart"/>
      <w:r w:rsidRPr="000A1CDD">
        <w:rPr>
          <w:rFonts w:ascii="Times New Roman" w:hAnsi="Times New Roman" w:cs="Times New Roman"/>
        </w:rPr>
        <w:t>Kaminchia</w:t>
      </w:r>
      <w:proofErr w:type="spellEnd"/>
      <w:r w:rsidRPr="000A1CDD">
        <w:rPr>
          <w:rFonts w:ascii="Times New Roman" w:hAnsi="Times New Roman" w:cs="Times New Roman"/>
        </w:rPr>
        <w:t xml:space="preserve">, S. M. (2019). The determinants of trade costs in the East African Community. Journal of Economic Integration, 34(1), 38–85. </w:t>
      </w:r>
      <w:hyperlink r:id="rId22" w:history="1">
        <w:r w:rsidRPr="008B43A9">
          <w:rPr>
            <w:rStyle w:val="Hyperlink"/>
            <w:rFonts w:ascii="Times New Roman" w:hAnsi="Times New Roman" w:cs="Times New Roman"/>
          </w:rPr>
          <w:t>https://doi.org/10.11130/jei.2019.34.1.038</w:t>
        </w:r>
      </w:hyperlink>
      <w:r>
        <w:rPr>
          <w:rFonts w:ascii="Times New Roman" w:hAnsi="Times New Roman" w:cs="Times New Roman"/>
        </w:rPr>
        <w:t xml:space="preserve"> </w:t>
      </w:r>
    </w:p>
    <w:p w14:paraId="547D183D" w14:textId="20560D0E" w:rsidR="00E8677A" w:rsidRPr="00E8677A" w:rsidRDefault="00B517CC" w:rsidP="00E8677A">
      <w:pPr>
        <w:spacing w:after="0" w:line="240" w:lineRule="auto"/>
        <w:ind w:left="360" w:hanging="360"/>
        <w:jc w:val="both"/>
        <w:rPr>
          <w:rFonts w:ascii="Times New Roman" w:hAnsi="Times New Roman" w:cs="Times New Roman"/>
        </w:rPr>
      </w:pPr>
      <w:proofErr w:type="spellStart"/>
      <w:r w:rsidRPr="00B517CC">
        <w:rPr>
          <w:rFonts w:ascii="Times New Roman" w:hAnsi="Times New Roman" w:cs="Times New Roman"/>
        </w:rPr>
        <w:lastRenderedPageBreak/>
        <w:t>Kansaye</w:t>
      </w:r>
      <w:proofErr w:type="spellEnd"/>
      <w:r w:rsidRPr="00B517CC">
        <w:rPr>
          <w:rFonts w:ascii="Times New Roman" w:hAnsi="Times New Roman" w:cs="Times New Roman"/>
        </w:rPr>
        <w:t xml:space="preserve">, I. (2025). The dynamics of regional integration in East Africa: Institutional developments and policy challenges. International Journal of Social Science Research, 2(6), 69–86. </w:t>
      </w:r>
      <w:hyperlink r:id="rId23" w:history="1">
        <w:r w:rsidRPr="008B43A9">
          <w:rPr>
            <w:rStyle w:val="Hyperlink"/>
            <w:rFonts w:ascii="Times New Roman" w:hAnsi="Times New Roman" w:cs="Times New Roman"/>
          </w:rPr>
          <w:t>https://doi.org/10.70558/IJSSR.2025.v2.i6.30667</w:t>
        </w:r>
      </w:hyperlink>
      <w:r>
        <w:rPr>
          <w:rFonts w:ascii="Times New Roman" w:hAnsi="Times New Roman" w:cs="Times New Roman"/>
        </w:rPr>
        <w:t xml:space="preserve"> </w:t>
      </w:r>
    </w:p>
    <w:p w14:paraId="5E17CB34" w14:textId="199D8B9D" w:rsidR="00E8677A" w:rsidRPr="00E8677A" w:rsidRDefault="00B94C45" w:rsidP="00E8677A">
      <w:pPr>
        <w:spacing w:after="0" w:line="240" w:lineRule="auto"/>
        <w:ind w:left="360" w:hanging="360"/>
        <w:jc w:val="both"/>
        <w:rPr>
          <w:rFonts w:ascii="Times New Roman" w:hAnsi="Times New Roman" w:cs="Times New Roman"/>
        </w:rPr>
      </w:pPr>
      <w:r w:rsidRPr="00B94C45">
        <w:rPr>
          <w:rFonts w:ascii="Times New Roman" w:hAnsi="Times New Roman" w:cs="Times New Roman"/>
        </w:rPr>
        <w:t xml:space="preserve">Kidane, S. T. (2018). The structural impediments to African reintegration: A comparative analysis of EAC, ECOWAS and SADC. </w:t>
      </w:r>
      <w:hyperlink r:id="rId24" w:history="1">
        <w:r w:rsidRPr="008B43A9">
          <w:rPr>
            <w:rStyle w:val="Hyperlink"/>
            <w:rFonts w:ascii="Times New Roman" w:hAnsi="Times New Roman" w:cs="Times New Roman"/>
          </w:rPr>
          <w:t>http://hdl.handle.net/2263/72750</w:t>
        </w:r>
      </w:hyperlink>
      <w:r>
        <w:rPr>
          <w:rFonts w:ascii="Times New Roman" w:hAnsi="Times New Roman" w:cs="Times New Roman"/>
        </w:rPr>
        <w:t xml:space="preserve"> </w:t>
      </w:r>
    </w:p>
    <w:p w14:paraId="51DB6B12" w14:textId="316B0601" w:rsidR="00E8677A" w:rsidRPr="00E8677A" w:rsidRDefault="001A3C54" w:rsidP="00E8677A">
      <w:pPr>
        <w:spacing w:after="0" w:line="240" w:lineRule="auto"/>
        <w:ind w:left="360" w:hanging="360"/>
        <w:jc w:val="both"/>
        <w:rPr>
          <w:rFonts w:ascii="Times New Roman" w:hAnsi="Times New Roman" w:cs="Times New Roman"/>
        </w:rPr>
      </w:pPr>
      <w:r w:rsidRPr="001A3C54">
        <w:rPr>
          <w:rFonts w:ascii="Times New Roman" w:hAnsi="Times New Roman" w:cs="Times New Roman"/>
        </w:rPr>
        <w:t xml:space="preserve">Krantz, S. (2025). Patterns of global and regional integration in the East African Community. Review of World Economics, 161, 151–230. </w:t>
      </w:r>
      <w:hyperlink r:id="rId25" w:history="1">
        <w:r w:rsidRPr="008B43A9">
          <w:rPr>
            <w:rStyle w:val="Hyperlink"/>
            <w:rFonts w:ascii="Times New Roman" w:hAnsi="Times New Roman" w:cs="Times New Roman"/>
          </w:rPr>
          <w:t>https://doi.org/10.1007/s10290-024-00558-0</w:t>
        </w:r>
      </w:hyperlink>
      <w:r>
        <w:rPr>
          <w:rFonts w:ascii="Times New Roman" w:hAnsi="Times New Roman" w:cs="Times New Roman"/>
        </w:rPr>
        <w:t xml:space="preserve"> </w:t>
      </w:r>
    </w:p>
    <w:p w14:paraId="69A781EE" w14:textId="07795627" w:rsidR="00E8677A" w:rsidRPr="00E8677A" w:rsidRDefault="001A3C54" w:rsidP="00E8677A">
      <w:pPr>
        <w:spacing w:after="0" w:line="240" w:lineRule="auto"/>
        <w:ind w:left="360" w:hanging="360"/>
        <w:jc w:val="both"/>
        <w:rPr>
          <w:rFonts w:ascii="Times New Roman" w:hAnsi="Times New Roman" w:cs="Times New Roman"/>
        </w:rPr>
      </w:pPr>
      <w:proofErr w:type="spellStart"/>
      <w:r w:rsidRPr="001A3C54">
        <w:rPr>
          <w:rFonts w:ascii="Times New Roman" w:hAnsi="Times New Roman" w:cs="Times New Roman"/>
        </w:rPr>
        <w:t>Magai</w:t>
      </w:r>
      <w:proofErr w:type="spellEnd"/>
      <w:r w:rsidRPr="001A3C54">
        <w:rPr>
          <w:rFonts w:ascii="Times New Roman" w:hAnsi="Times New Roman" w:cs="Times New Roman"/>
        </w:rPr>
        <w:t xml:space="preserve">, P. S., &amp; </w:t>
      </w:r>
      <w:proofErr w:type="spellStart"/>
      <w:r w:rsidRPr="001A3C54">
        <w:rPr>
          <w:rFonts w:ascii="Times New Roman" w:hAnsi="Times New Roman" w:cs="Times New Roman"/>
        </w:rPr>
        <w:t>Ilomo</w:t>
      </w:r>
      <w:proofErr w:type="spellEnd"/>
      <w:r w:rsidRPr="001A3C54">
        <w:rPr>
          <w:rFonts w:ascii="Times New Roman" w:hAnsi="Times New Roman" w:cs="Times New Roman"/>
        </w:rPr>
        <w:t xml:space="preserve">, M. (2024). Revisiting the effect of the EAC customs union on intra-regional trade performance: does it only matter for </w:t>
      </w:r>
      <w:proofErr w:type="gramStart"/>
      <w:r w:rsidRPr="001A3C54">
        <w:rPr>
          <w:rFonts w:ascii="Times New Roman" w:hAnsi="Times New Roman" w:cs="Times New Roman"/>
        </w:rPr>
        <w:t>exports?.</w:t>
      </w:r>
      <w:proofErr w:type="gramEnd"/>
      <w:r w:rsidRPr="001A3C54">
        <w:rPr>
          <w:rFonts w:ascii="Times New Roman" w:hAnsi="Times New Roman" w:cs="Times New Roman"/>
        </w:rPr>
        <w:t xml:space="preserve"> Cogent Economics &amp; Finance, 12(1), Article 2363458. </w:t>
      </w:r>
      <w:hyperlink r:id="rId26" w:history="1">
        <w:r w:rsidRPr="008B43A9">
          <w:rPr>
            <w:rStyle w:val="Hyperlink"/>
            <w:rFonts w:ascii="Times New Roman" w:hAnsi="Times New Roman" w:cs="Times New Roman"/>
          </w:rPr>
          <w:t>https://doi.org/10.1080/23322039.2024.2363458</w:t>
        </w:r>
      </w:hyperlink>
      <w:r>
        <w:rPr>
          <w:rFonts w:ascii="Times New Roman" w:hAnsi="Times New Roman" w:cs="Times New Roman"/>
        </w:rPr>
        <w:t xml:space="preserve"> </w:t>
      </w:r>
    </w:p>
    <w:p w14:paraId="5A3072FB" w14:textId="77777777" w:rsidR="00E8677A" w:rsidRPr="00E8677A" w:rsidRDefault="00E8677A" w:rsidP="00E8677A">
      <w:pPr>
        <w:spacing w:after="0" w:line="240" w:lineRule="auto"/>
        <w:ind w:left="360" w:hanging="360"/>
        <w:jc w:val="both"/>
        <w:rPr>
          <w:rFonts w:ascii="Times New Roman" w:hAnsi="Times New Roman" w:cs="Times New Roman"/>
        </w:rPr>
      </w:pPr>
      <w:proofErr w:type="spellStart"/>
      <w:r w:rsidRPr="00E8677A">
        <w:rPr>
          <w:rFonts w:ascii="Times New Roman" w:hAnsi="Times New Roman" w:cs="Times New Roman"/>
        </w:rPr>
        <w:t>Mogendi</w:t>
      </w:r>
      <w:proofErr w:type="spellEnd"/>
      <w:r w:rsidRPr="00E8677A">
        <w:rPr>
          <w:rFonts w:ascii="Times New Roman" w:hAnsi="Times New Roman" w:cs="Times New Roman"/>
        </w:rPr>
        <w:t>, J. O., Nganga, T. K., &amp; Barasa, L. N. (2023). Pass-through effects of the East African Community common external tariffs on Kenya’s domestic prices. </w:t>
      </w:r>
      <w:r w:rsidRPr="00E8677A">
        <w:rPr>
          <w:rFonts w:ascii="Times New Roman" w:hAnsi="Times New Roman" w:cs="Times New Roman"/>
          <w:i/>
          <w:iCs/>
        </w:rPr>
        <w:t>Journal of Economic Integration, 38</w:t>
      </w:r>
      <w:r w:rsidRPr="00E8677A">
        <w:rPr>
          <w:rFonts w:ascii="Times New Roman" w:hAnsi="Times New Roman" w:cs="Times New Roman"/>
        </w:rPr>
        <w:t>(3), 466–492. </w:t>
      </w:r>
      <w:hyperlink r:id="rId27" w:tgtFrame="_blank" w:history="1">
        <w:r w:rsidRPr="00E8677A">
          <w:rPr>
            <w:rStyle w:val="Hyperlink"/>
            <w:rFonts w:ascii="Times New Roman" w:hAnsi="Times New Roman" w:cs="Times New Roman"/>
          </w:rPr>
          <w:t>https://doi.org/10.11130/jei.2023.38.466</w:t>
        </w:r>
      </w:hyperlink>
    </w:p>
    <w:p w14:paraId="0FB7FA20" w14:textId="4DBB584D" w:rsidR="00E8677A" w:rsidRPr="00E8677A" w:rsidRDefault="00016811" w:rsidP="00E8677A">
      <w:pPr>
        <w:spacing w:after="0" w:line="240" w:lineRule="auto"/>
        <w:ind w:left="360" w:hanging="360"/>
        <w:jc w:val="both"/>
        <w:rPr>
          <w:rFonts w:ascii="Times New Roman" w:hAnsi="Times New Roman" w:cs="Times New Roman"/>
        </w:rPr>
      </w:pPr>
      <w:r w:rsidRPr="00016811">
        <w:rPr>
          <w:rFonts w:ascii="Times New Roman" w:hAnsi="Times New Roman" w:cs="Times New Roman"/>
        </w:rPr>
        <w:t xml:space="preserve">Ndonga, D., &amp; Laryea, E. (2024). Addressing the challenges facing one-stop border posts in Africa: Lessons from </w:t>
      </w:r>
      <w:proofErr w:type="spellStart"/>
      <w:r w:rsidRPr="00016811">
        <w:rPr>
          <w:rFonts w:ascii="Times New Roman" w:hAnsi="Times New Roman" w:cs="Times New Roman"/>
        </w:rPr>
        <w:t>Chirundu</w:t>
      </w:r>
      <w:proofErr w:type="spellEnd"/>
      <w:r w:rsidRPr="00016811">
        <w:rPr>
          <w:rFonts w:ascii="Times New Roman" w:hAnsi="Times New Roman" w:cs="Times New Roman"/>
        </w:rPr>
        <w:t xml:space="preserve">. African Journal of International and Comparative Law, 32(1), 66–89. </w:t>
      </w:r>
      <w:hyperlink r:id="rId28" w:history="1">
        <w:r w:rsidRPr="008B43A9">
          <w:rPr>
            <w:rStyle w:val="Hyperlink"/>
            <w:rFonts w:ascii="Times New Roman" w:hAnsi="Times New Roman" w:cs="Times New Roman"/>
          </w:rPr>
          <w:t>https://doi.org/10.3366/ajicl.2024.0474</w:t>
        </w:r>
      </w:hyperlink>
      <w:r>
        <w:rPr>
          <w:rFonts w:ascii="Times New Roman" w:hAnsi="Times New Roman" w:cs="Times New Roman"/>
        </w:rPr>
        <w:t xml:space="preserve"> </w:t>
      </w:r>
    </w:p>
    <w:p w14:paraId="29BD3D38" w14:textId="7C1C7C65" w:rsidR="00E8677A" w:rsidRPr="00E8677A" w:rsidRDefault="00A24535" w:rsidP="00804DF4">
      <w:pPr>
        <w:spacing w:after="0" w:line="240" w:lineRule="auto"/>
        <w:ind w:left="360" w:hanging="360"/>
        <w:jc w:val="both"/>
        <w:rPr>
          <w:rFonts w:ascii="Times New Roman" w:hAnsi="Times New Roman" w:cs="Times New Roman"/>
        </w:rPr>
      </w:pPr>
      <w:r w:rsidRPr="00A24535">
        <w:rPr>
          <w:rFonts w:ascii="Times New Roman" w:hAnsi="Times New Roman" w:cs="Times New Roman"/>
        </w:rPr>
        <w:t xml:space="preserve">Nugent, P., &amp; </w:t>
      </w:r>
      <w:proofErr w:type="spellStart"/>
      <w:r w:rsidRPr="00A24535">
        <w:rPr>
          <w:rFonts w:ascii="Times New Roman" w:hAnsi="Times New Roman" w:cs="Times New Roman"/>
        </w:rPr>
        <w:t>Soi</w:t>
      </w:r>
      <w:proofErr w:type="spellEnd"/>
      <w:r w:rsidRPr="00A24535">
        <w:rPr>
          <w:rFonts w:ascii="Times New Roman" w:hAnsi="Times New Roman" w:cs="Times New Roman"/>
        </w:rPr>
        <w:t xml:space="preserve">, I. (2020). One-stop border posts in East Africa: state encounters of the fourth kind. Journal of Eastern African Studies. </w:t>
      </w:r>
      <w:hyperlink r:id="rId29" w:history="1">
        <w:r w:rsidRPr="008B43A9">
          <w:rPr>
            <w:rStyle w:val="Hyperlink"/>
            <w:rFonts w:ascii="Times New Roman" w:hAnsi="Times New Roman" w:cs="Times New Roman"/>
          </w:rPr>
          <w:t>https://doi.org/10.1080/17531055.2020.1768468</w:t>
        </w:r>
      </w:hyperlink>
      <w:r>
        <w:rPr>
          <w:rFonts w:ascii="Times New Roman" w:hAnsi="Times New Roman" w:cs="Times New Roman"/>
        </w:rPr>
        <w:t xml:space="preserve"> </w:t>
      </w:r>
    </w:p>
    <w:p w14:paraId="5BE25593" w14:textId="12A35BB3" w:rsidR="00E8677A" w:rsidRPr="00E8677A" w:rsidRDefault="00A24535" w:rsidP="00E8677A">
      <w:pPr>
        <w:spacing w:after="0" w:line="240" w:lineRule="auto"/>
        <w:ind w:left="360" w:hanging="360"/>
        <w:jc w:val="both"/>
        <w:rPr>
          <w:rFonts w:ascii="Times New Roman" w:hAnsi="Times New Roman" w:cs="Times New Roman"/>
        </w:rPr>
      </w:pPr>
      <w:proofErr w:type="spellStart"/>
      <w:r w:rsidRPr="00A24535">
        <w:rPr>
          <w:rFonts w:ascii="Times New Roman" w:hAnsi="Times New Roman" w:cs="Times New Roman"/>
        </w:rPr>
        <w:t>OLyanga</w:t>
      </w:r>
      <w:proofErr w:type="spellEnd"/>
      <w:r w:rsidRPr="00A24535">
        <w:rPr>
          <w:rFonts w:ascii="Times New Roman" w:hAnsi="Times New Roman" w:cs="Times New Roman"/>
        </w:rPr>
        <w:t xml:space="preserve">, A. M., &amp; </w:t>
      </w:r>
      <w:proofErr w:type="spellStart"/>
      <w:r w:rsidRPr="00A24535">
        <w:rPr>
          <w:rFonts w:ascii="Times New Roman" w:hAnsi="Times New Roman" w:cs="Times New Roman"/>
        </w:rPr>
        <w:t>Muhire</w:t>
      </w:r>
      <w:proofErr w:type="spellEnd"/>
      <w:r w:rsidRPr="00A24535">
        <w:rPr>
          <w:rFonts w:ascii="Times New Roman" w:hAnsi="Times New Roman" w:cs="Times New Roman"/>
        </w:rPr>
        <w:t xml:space="preserve">, F. (2023). Trade Infrastructure and Export Competitiveness in the East African Community. Journal of Economics, Finance and Accounting Studies, 5(3), 174–188. </w:t>
      </w:r>
      <w:hyperlink r:id="rId30" w:history="1">
        <w:r w:rsidRPr="008B43A9">
          <w:rPr>
            <w:rStyle w:val="Hyperlink"/>
            <w:rFonts w:ascii="Times New Roman" w:hAnsi="Times New Roman" w:cs="Times New Roman"/>
          </w:rPr>
          <w:t>https://doi.org/10.32996/jefas.2023.5.3.14</w:t>
        </w:r>
      </w:hyperlink>
      <w:r>
        <w:rPr>
          <w:rFonts w:ascii="Times New Roman" w:hAnsi="Times New Roman" w:cs="Times New Roman"/>
        </w:rPr>
        <w:t xml:space="preserve"> </w:t>
      </w:r>
    </w:p>
    <w:p w14:paraId="14F9C624" w14:textId="76119B01" w:rsidR="00E8677A" w:rsidRPr="00E8677A" w:rsidRDefault="00A24535" w:rsidP="00E8677A">
      <w:pPr>
        <w:spacing w:after="0" w:line="240" w:lineRule="auto"/>
        <w:ind w:left="360" w:hanging="360"/>
        <w:jc w:val="both"/>
        <w:rPr>
          <w:rFonts w:ascii="Times New Roman" w:hAnsi="Times New Roman" w:cs="Times New Roman"/>
        </w:rPr>
      </w:pPr>
      <w:proofErr w:type="spellStart"/>
      <w:r w:rsidRPr="00A24535">
        <w:rPr>
          <w:rFonts w:ascii="Times New Roman" w:hAnsi="Times New Roman" w:cs="Times New Roman"/>
        </w:rPr>
        <w:t>Olyanga</w:t>
      </w:r>
      <w:proofErr w:type="spellEnd"/>
      <w:r w:rsidRPr="00A24535">
        <w:rPr>
          <w:rFonts w:ascii="Times New Roman" w:hAnsi="Times New Roman" w:cs="Times New Roman"/>
        </w:rPr>
        <w:t xml:space="preserve">, A. M., </w:t>
      </w:r>
      <w:proofErr w:type="spellStart"/>
      <w:r w:rsidRPr="00A24535">
        <w:rPr>
          <w:rFonts w:ascii="Times New Roman" w:hAnsi="Times New Roman" w:cs="Times New Roman"/>
        </w:rPr>
        <w:t>Shinyekwa</w:t>
      </w:r>
      <w:proofErr w:type="spellEnd"/>
      <w:r w:rsidRPr="00A24535">
        <w:rPr>
          <w:rFonts w:ascii="Times New Roman" w:hAnsi="Times New Roman" w:cs="Times New Roman"/>
        </w:rPr>
        <w:t xml:space="preserve">, I. M. B., Ngoma, M., </w:t>
      </w:r>
      <w:proofErr w:type="spellStart"/>
      <w:r w:rsidRPr="00A24535">
        <w:rPr>
          <w:rFonts w:ascii="Times New Roman" w:hAnsi="Times New Roman" w:cs="Times New Roman"/>
        </w:rPr>
        <w:t>Nkote</w:t>
      </w:r>
      <w:proofErr w:type="spellEnd"/>
      <w:r w:rsidRPr="00A24535">
        <w:rPr>
          <w:rFonts w:ascii="Times New Roman" w:hAnsi="Times New Roman" w:cs="Times New Roman"/>
        </w:rPr>
        <w:t xml:space="preserve">, I. N., </w:t>
      </w:r>
      <w:proofErr w:type="spellStart"/>
      <w:r w:rsidRPr="00A24535">
        <w:rPr>
          <w:rFonts w:ascii="Times New Roman" w:hAnsi="Times New Roman" w:cs="Times New Roman"/>
        </w:rPr>
        <w:t>Esemu</w:t>
      </w:r>
      <w:proofErr w:type="spellEnd"/>
      <w:r w:rsidRPr="00A24535">
        <w:rPr>
          <w:rFonts w:ascii="Times New Roman" w:hAnsi="Times New Roman" w:cs="Times New Roman"/>
        </w:rPr>
        <w:t xml:space="preserve">, T., &amp; </w:t>
      </w:r>
      <w:proofErr w:type="spellStart"/>
      <w:r w:rsidRPr="00A24535">
        <w:rPr>
          <w:rFonts w:ascii="Times New Roman" w:hAnsi="Times New Roman" w:cs="Times New Roman"/>
        </w:rPr>
        <w:t>Kamya</w:t>
      </w:r>
      <w:proofErr w:type="spellEnd"/>
      <w:r w:rsidRPr="00A24535">
        <w:rPr>
          <w:rFonts w:ascii="Times New Roman" w:hAnsi="Times New Roman" w:cs="Times New Roman"/>
        </w:rPr>
        <w:t xml:space="preserve">, M. (2022). Export logistics infrastructure and export competitiveness in the East African Community. Modern Supply Chain Research and Applications, 4(1), 39–61. </w:t>
      </w:r>
      <w:hyperlink r:id="rId31" w:history="1">
        <w:r w:rsidRPr="008B43A9">
          <w:rPr>
            <w:rStyle w:val="Hyperlink"/>
            <w:rFonts w:ascii="Times New Roman" w:hAnsi="Times New Roman" w:cs="Times New Roman"/>
          </w:rPr>
          <w:t>https://doi.org/10.1108/MSCRA-09-2021-0017</w:t>
        </w:r>
      </w:hyperlink>
      <w:r>
        <w:rPr>
          <w:rFonts w:ascii="Times New Roman" w:hAnsi="Times New Roman" w:cs="Times New Roman"/>
        </w:rPr>
        <w:t xml:space="preserve"> </w:t>
      </w:r>
    </w:p>
    <w:p w14:paraId="4D330F78" w14:textId="677008D4" w:rsidR="00E8677A" w:rsidRPr="00E8677A" w:rsidRDefault="00EB7EDE" w:rsidP="00E8677A">
      <w:pPr>
        <w:spacing w:after="0" w:line="240" w:lineRule="auto"/>
        <w:ind w:left="360" w:hanging="360"/>
        <w:jc w:val="both"/>
        <w:rPr>
          <w:rFonts w:ascii="Times New Roman" w:hAnsi="Times New Roman" w:cs="Times New Roman"/>
        </w:rPr>
      </w:pPr>
      <w:proofErr w:type="spellStart"/>
      <w:r w:rsidRPr="00EB7EDE">
        <w:rPr>
          <w:rFonts w:ascii="Times New Roman" w:hAnsi="Times New Roman" w:cs="Times New Roman"/>
        </w:rPr>
        <w:t>Olyanga</w:t>
      </w:r>
      <w:proofErr w:type="spellEnd"/>
      <w:r w:rsidRPr="00EB7EDE">
        <w:rPr>
          <w:rFonts w:ascii="Times New Roman" w:hAnsi="Times New Roman" w:cs="Times New Roman"/>
        </w:rPr>
        <w:t xml:space="preserve">, A. M., </w:t>
      </w:r>
      <w:proofErr w:type="spellStart"/>
      <w:r w:rsidRPr="00EB7EDE">
        <w:rPr>
          <w:rFonts w:ascii="Times New Roman" w:hAnsi="Times New Roman" w:cs="Times New Roman"/>
        </w:rPr>
        <w:t>Shinyekwa</w:t>
      </w:r>
      <w:proofErr w:type="spellEnd"/>
      <w:r w:rsidRPr="00EB7EDE">
        <w:rPr>
          <w:rFonts w:ascii="Times New Roman" w:hAnsi="Times New Roman" w:cs="Times New Roman"/>
        </w:rPr>
        <w:t xml:space="preserve">, I. M. B., Ngoma, M., </w:t>
      </w:r>
      <w:proofErr w:type="spellStart"/>
      <w:r w:rsidRPr="00EB7EDE">
        <w:rPr>
          <w:rFonts w:ascii="Times New Roman" w:hAnsi="Times New Roman" w:cs="Times New Roman"/>
        </w:rPr>
        <w:t>Nkote</w:t>
      </w:r>
      <w:proofErr w:type="spellEnd"/>
      <w:r w:rsidRPr="00EB7EDE">
        <w:rPr>
          <w:rFonts w:ascii="Times New Roman" w:hAnsi="Times New Roman" w:cs="Times New Roman"/>
        </w:rPr>
        <w:t xml:space="preserve">, I. N., </w:t>
      </w:r>
      <w:proofErr w:type="spellStart"/>
      <w:r w:rsidRPr="00EB7EDE">
        <w:rPr>
          <w:rFonts w:ascii="Times New Roman" w:hAnsi="Times New Roman" w:cs="Times New Roman"/>
        </w:rPr>
        <w:t>Esemu</w:t>
      </w:r>
      <w:proofErr w:type="spellEnd"/>
      <w:r w:rsidRPr="00EB7EDE">
        <w:rPr>
          <w:rFonts w:ascii="Times New Roman" w:hAnsi="Times New Roman" w:cs="Times New Roman"/>
        </w:rPr>
        <w:t xml:space="preserve">, T., &amp; </w:t>
      </w:r>
      <w:proofErr w:type="spellStart"/>
      <w:r w:rsidRPr="00EB7EDE">
        <w:rPr>
          <w:rFonts w:ascii="Times New Roman" w:hAnsi="Times New Roman" w:cs="Times New Roman"/>
        </w:rPr>
        <w:t>Kamya</w:t>
      </w:r>
      <w:proofErr w:type="spellEnd"/>
      <w:r w:rsidRPr="00EB7EDE">
        <w:rPr>
          <w:rFonts w:ascii="Times New Roman" w:hAnsi="Times New Roman" w:cs="Times New Roman"/>
        </w:rPr>
        <w:t xml:space="preserve">, M. (2022). Innovativeness and export competitiveness in the East African Community. Modern Supply Chain Research and Applications, 4(2), 65–85. </w:t>
      </w:r>
      <w:hyperlink r:id="rId32" w:history="1">
        <w:r w:rsidRPr="008B43A9">
          <w:rPr>
            <w:rStyle w:val="Hyperlink"/>
            <w:rFonts w:ascii="Times New Roman" w:hAnsi="Times New Roman" w:cs="Times New Roman"/>
          </w:rPr>
          <w:t>https://doi.org/10.1108/MSCRA-02-2022-0006</w:t>
        </w:r>
      </w:hyperlink>
      <w:r>
        <w:rPr>
          <w:rFonts w:ascii="Times New Roman" w:hAnsi="Times New Roman" w:cs="Times New Roman"/>
        </w:rPr>
        <w:t xml:space="preserve"> </w:t>
      </w:r>
    </w:p>
    <w:p w14:paraId="3AE557DE" w14:textId="1CD2D200" w:rsidR="00E8677A" w:rsidRPr="00E8677A" w:rsidRDefault="00BE0A36" w:rsidP="00E8677A">
      <w:pPr>
        <w:spacing w:after="0" w:line="240" w:lineRule="auto"/>
        <w:ind w:left="360" w:hanging="360"/>
        <w:jc w:val="both"/>
        <w:rPr>
          <w:rFonts w:ascii="Times New Roman" w:hAnsi="Times New Roman" w:cs="Times New Roman"/>
        </w:rPr>
      </w:pPr>
      <w:proofErr w:type="spellStart"/>
      <w:r w:rsidRPr="00BE0A36">
        <w:rPr>
          <w:rFonts w:ascii="Times New Roman" w:hAnsi="Times New Roman" w:cs="Times New Roman"/>
        </w:rPr>
        <w:t>Oshota</w:t>
      </w:r>
      <w:proofErr w:type="spellEnd"/>
      <w:r w:rsidRPr="00BE0A36">
        <w:rPr>
          <w:rFonts w:ascii="Times New Roman" w:hAnsi="Times New Roman" w:cs="Times New Roman"/>
        </w:rPr>
        <w:t xml:space="preserve">, S. O., &amp; Wahab, B. A. (2022). Institutional quality and intra-regional trade flows: Evidence from ECOWAS. Journal of African Trade, 9(1), 73–106. </w:t>
      </w:r>
      <w:hyperlink r:id="rId33" w:history="1">
        <w:r w:rsidRPr="008B43A9">
          <w:rPr>
            <w:rStyle w:val="Hyperlink"/>
            <w:rFonts w:ascii="Times New Roman" w:hAnsi="Times New Roman" w:cs="Times New Roman"/>
          </w:rPr>
          <w:t>https://doi.org/10.1007/s44232-022-00005-9</w:t>
        </w:r>
      </w:hyperlink>
      <w:r>
        <w:rPr>
          <w:rFonts w:ascii="Times New Roman" w:hAnsi="Times New Roman" w:cs="Times New Roman"/>
        </w:rPr>
        <w:t xml:space="preserve"> </w:t>
      </w:r>
    </w:p>
    <w:p w14:paraId="0B68C15C" w14:textId="314CB24D" w:rsidR="00E8677A" w:rsidRPr="00E8677A" w:rsidRDefault="00B50DB0" w:rsidP="00E8677A">
      <w:pPr>
        <w:spacing w:after="0" w:line="240" w:lineRule="auto"/>
        <w:ind w:left="360" w:hanging="360"/>
        <w:jc w:val="both"/>
        <w:rPr>
          <w:rFonts w:ascii="Times New Roman" w:hAnsi="Times New Roman" w:cs="Times New Roman"/>
        </w:rPr>
      </w:pPr>
      <w:proofErr w:type="spellStart"/>
      <w:r w:rsidRPr="00B50DB0">
        <w:rPr>
          <w:rFonts w:ascii="Times New Roman" w:hAnsi="Times New Roman" w:cs="Times New Roman"/>
        </w:rPr>
        <w:t>Shinyekwa</w:t>
      </w:r>
      <w:proofErr w:type="spellEnd"/>
      <w:r w:rsidRPr="00B50DB0">
        <w:rPr>
          <w:rFonts w:ascii="Times New Roman" w:hAnsi="Times New Roman" w:cs="Times New Roman"/>
        </w:rPr>
        <w:t xml:space="preserve">, I., &amp; </w:t>
      </w:r>
      <w:proofErr w:type="spellStart"/>
      <w:r w:rsidRPr="00B50DB0">
        <w:rPr>
          <w:rFonts w:ascii="Times New Roman" w:hAnsi="Times New Roman" w:cs="Times New Roman"/>
        </w:rPr>
        <w:t>Katunze</w:t>
      </w:r>
      <w:proofErr w:type="spellEnd"/>
      <w:r w:rsidRPr="00B50DB0">
        <w:rPr>
          <w:rFonts w:ascii="Times New Roman" w:hAnsi="Times New Roman" w:cs="Times New Roman"/>
        </w:rPr>
        <w:t xml:space="preserve">, M. (2016). Assessment of the effect of the EAC common external tariff sensitive products list on industries, welfare, trade and revenue. Economic Policy Research Centre. </w:t>
      </w:r>
      <w:hyperlink r:id="rId34" w:history="1">
        <w:r w:rsidRPr="008B43A9">
          <w:rPr>
            <w:rStyle w:val="Hyperlink"/>
            <w:rFonts w:ascii="Times New Roman" w:hAnsi="Times New Roman" w:cs="Times New Roman"/>
          </w:rPr>
          <w:t>https://doi.org/10.22004/ag.econ.253555</w:t>
        </w:r>
      </w:hyperlink>
      <w:r>
        <w:rPr>
          <w:rFonts w:ascii="Times New Roman" w:hAnsi="Times New Roman" w:cs="Times New Roman"/>
        </w:rPr>
        <w:t xml:space="preserve"> </w:t>
      </w:r>
    </w:p>
    <w:p w14:paraId="2C23E78A" w14:textId="2841A199" w:rsidR="00E8677A" w:rsidRPr="00E8677A" w:rsidRDefault="002F45C1" w:rsidP="00E8677A">
      <w:pPr>
        <w:spacing w:after="0" w:line="240" w:lineRule="auto"/>
        <w:ind w:left="360" w:hanging="360"/>
        <w:jc w:val="both"/>
        <w:rPr>
          <w:rFonts w:ascii="Times New Roman" w:hAnsi="Times New Roman" w:cs="Times New Roman"/>
        </w:rPr>
      </w:pPr>
      <w:proofErr w:type="spellStart"/>
      <w:r w:rsidRPr="002F45C1">
        <w:rPr>
          <w:rFonts w:ascii="Times New Roman" w:hAnsi="Times New Roman" w:cs="Times New Roman"/>
        </w:rPr>
        <w:t>Shinyekwa</w:t>
      </w:r>
      <w:proofErr w:type="spellEnd"/>
      <w:r w:rsidRPr="002F45C1">
        <w:rPr>
          <w:rFonts w:ascii="Times New Roman" w:hAnsi="Times New Roman" w:cs="Times New Roman"/>
        </w:rPr>
        <w:t xml:space="preserve">, I. M. B. (2015). Has the East African Community regional trade agreement created or diverted trade? A gravity model analysis. Journal of Sustainable Development, 8(9), 129–144. </w:t>
      </w:r>
      <w:hyperlink r:id="rId35" w:history="1">
        <w:r w:rsidRPr="008B43A9">
          <w:rPr>
            <w:rStyle w:val="Hyperlink"/>
            <w:rFonts w:ascii="Times New Roman" w:hAnsi="Times New Roman" w:cs="Times New Roman"/>
          </w:rPr>
          <w:t>https://doi.org/10.5539/jsd.v8n9p129</w:t>
        </w:r>
      </w:hyperlink>
      <w:r>
        <w:rPr>
          <w:rFonts w:ascii="Times New Roman" w:hAnsi="Times New Roman" w:cs="Times New Roman"/>
        </w:rPr>
        <w:t xml:space="preserve"> </w:t>
      </w:r>
    </w:p>
    <w:p w14:paraId="78766854" w14:textId="17C0E4DF" w:rsidR="00E8677A" w:rsidRPr="00E8677A" w:rsidRDefault="0011165B" w:rsidP="00E8677A">
      <w:pPr>
        <w:spacing w:after="0" w:line="240" w:lineRule="auto"/>
        <w:ind w:left="360" w:hanging="360"/>
        <w:jc w:val="both"/>
        <w:rPr>
          <w:rFonts w:ascii="Times New Roman" w:hAnsi="Times New Roman" w:cs="Times New Roman"/>
        </w:rPr>
      </w:pPr>
      <w:proofErr w:type="spellStart"/>
      <w:r w:rsidRPr="0011165B">
        <w:rPr>
          <w:rFonts w:ascii="Times New Roman" w:hAnsi="Times New Roman" w:cs="Times New Roman"/>
        </w:rPr>
        <w:t>Shuaibu</w:t>
      </w:r>
      <w:proofErr w:type="spellEnd"/>
      <w:r w:rsidRPr="0011165B">
        <w:rPr>
          <w:rFonts w:ascii="Times New Roman" w:hAnsi="Times New Roman" w:cs="Times New Roman"/>
        </w:rPr>
        <w:t xml:space="preserve">, M., &amp; </w:t>
      </w:r>
      <w:proofErr w:type="spellStart"/>
      <w:r w:rsidRPr="0011165B">
        <w:rPr>
          <w:rFonts w:ascii="Times New Roman" w:hAnsi="Times New Roman" w:cs="Times New Roman"/>
        </w:rPr>
        <w:t>Mamman</w:t>
      </w:r>
      <w:proofErr w:type="spellEnd"/>
      <w:r w:rsidRPr="0011165B">
        <w:rPr>
          <w:rFonts w:ascii="Times New Roman" w:hAnsi="Times New Roman" w:cs="Times New Roman"/>
        </w:rPr>
        <w:t xml:space="preserve">, S. O. (2025). Trade facilitation and economic growth in ECOWAS member states: Does government size matter? Journal of Industry, Competition and Trade, 25(1), 1–24. </w:t>
      </w:r>
      <w:hyperlink r:id="rId36" w:history="1">
        <w:r w:rsidRPr="008B43A9">
          <w:rPr>
            <w:rStyle w:val="Hyperlink"/>
            <w:rFonts w:ascii="Times New Roman" w:hAnsi="Times New Roman" w:cs="Times New Roman"/>
          </w:rPr>
          <w:t>https://doi.org/10.1007/s10842-025-00445-w</w:t>
        </w:r>
      </w:hyperlink>
      <w:r>
        <w:rPr>
          <w:rFonts w:ascii="Times New Roman" w:hAnsi="Times New Roman" w:cs="Times New Roman"/>
        </w:rPr>
        <w:t xml:space="preserve"> </w:t>
      </w:r>
    </w:p>
    <w:p w14:paraId="718D5E7E" w14:textId="57586986" w:rsidR="00E8677A" w:rsidRPr="00E8677A" w:rsidRDefault="00636A69" w:rsidP="00E8677A">
      <w:pPr>
        <w:spacing w:after="0" w:line="240" w:lineRule="auto"/>
        <w:ind w:left="360" w:hanging="360"/>
        <w:jc w:val="both"/>
        <w:rPr>
          <w:rFonts w:ascii="Times New Roman" w:hAnsi="Times New Roman" w:cs="Times New Roman"/>
        </w:rPr>
      </w:pPr>
      <w:proofErr w:type="spellStart"/>
      <w:r w:rsidRPr="00636A69">
        <w:rPr>
          <w:rFonts w:ascii="Times New Roman" w:hAnsi="Times New Roman" w:cs="Times New Roman"/>
        </w:rPr>
        <w:t>Ticku</w:t>
      </w:r>
      <w:proofErr w:type="spellEnd"/>
      <w:r w:rsidRPr="00636A69">
        <w:rPr>
          <w:rFonts w:ascii="Times New Roman" w:hAnsi="Times New Roman" w:cs="Times New Roman"/>
        </w:rPr>
        <w:t xml:space="preserve">, R., Sanfilippo, M., </w:t>
      </w:r>
      <w:proofErr w:type="spellStart"/>
      <w:r w:rsidRPr="00636A69">
        <w:rPr>
          <w:rFonts w:ascii="Times New Roman" w:hAnsi="Times New Roman" w:cs="Times New Roman"/>
        </w:rPr>
        <w:t>Olarreaga</w:t>
      </w:r>
      <w:proofErr w:type="spellEnd"/>
      <w:r w:rsidRPr="00636A69">
        <w:rPr>
          <w:rFonts w:ascii="Times New Roman" w:hAnsi="Times New Roman" w:cs="Times New Roman"/>
        </w:rPr>
        <w:t xml:space="preserve">, M., </w:t>
      </w:r>
      <w:proofErr w:type="spellStart"/>
      <w:r w:rsidRPr="00636A69">
        <w:rPr>
          <w:rFonts w:ascii="Times New Roman" w:hAnsi="Times New Roman" w:cs="Times New Roman"/>
        </w:rPr>
        <w:t>Lippitsch</w:t>
      </w:r>
      <w:proofErr w:type="spellEnd"/>
      <w:r w:rsidRPr="00636A69">
        <w:rPr>
          <w:rFonts w:ascii="Times New Roman" w:hAnsi="Times New Roman" w:cs="Times New Roman"/>
        </w:rPr>
        <w:t xml:space="preserve">, C., &amp; </w:t>
      </w:r>
      <w:proofErr w:type="spellStart"/>
      <w:r w:rsidRPr="00636A69">
        <w:rPr>
          <w:rFonts w:ascii="Times New Roman" w:hAnsi="Times New Roman" w:cs="Times New Roman"/>
        </w:rPr>
        <w:t>Hoekman</w:t>
      </w:r>
      <w:proofErr w:type="spellEnd"/>
      <w:r w:rsidRPr="00636A69">
        <w:rPr>
          <w:rFonts w:ascii="Times New Roman" w:hAnsi="Times New Roman" w:cs="Times New Roman"/>
        </w:rPr>
        <w:t xml:space="preserve">, B. M. (2025). Value-added in African exports and rules of origin. The World Economy. </w:t>
      </w:r>
      <w:hyperlink r:id="rId37" w:history="1">
        <w:r w:rsidRPr="008B43A9">
          <w:rPr>
            <w:rStyle w:val="Hyperlink"/>
            <w:rFonts w:ascii="Times New Roman" w:hAnsi="Times New Roman" w:cs="Times New Roman"/>
          </w:rPr>
          <w:t>https://doi.org/10.1111/twec.13725</w:t>
        </w:r>
      </w:hyperlink>
      <w:r>
        <w:rPr>
          <w:rFonts w:ascii="Times New Roman" w:hAnsi="Times New Roman" w:cs="Times New Roman"/>
        </w:rPr>
        <w:t xml:space="preserve"> </w:t>
      </w:r>
    </w:p>
    <w:p w14:paraId="576EEAE7" w14:textId="72FC49FC" w:rsidR="00E8677A" w:rsidRPr="00E8677A" w:rsidRDefault="00636A69" w:rsidP="00E8677A">
      <w:pPr>
        <w:spacing w:after="0" w:line="240" w:lineRule="auto"/>
        <w:ind w:left="360" w:hanging="360"/>
        <w:jc w:val="both"/>
        <w:rPr>
          <w:rFonts w:ascii="Times New Roman" w:hAnsi="Times New Roman" w:cs="Times New Roman"/>
        </w:rPr>
      </w:pPr>
      <w:proofErr w:type="spellStart"/>
      <w:r w:rsidRPr="00636A69">
        <w:rPr>
          <w:rFonts w:ascii="Times New Roman" w:hAnsi="Times New Roman" w:cs="Times New Roman"/>
        </w:rPr>
        <w:t>Tinta</w:t>
      </w:r>
      <w:proofErr w:type="spellEnd"/>
      <w:r w:rsidRPr="00636A69">
        <w:rPr>
          <w:rFonts w:ascii="Times New Roman" w:hAnsi="Times New Roman" w:cs="Times New Roman"/>
        </w:rPr>
        <w:t xml:space="preserve">, A. A., Sarpong, D. B., </w:t>
      </w:r>
      <w:proofErr w:type="spellStart"/>
      <w:r w:rsidRPr="00636A69">
        <w:rPr>
          <w:rFonts w:ascii="Times New Roman" w:hAnsi="Times New Roman" w:cs="Times New Roman"/>
        </w:rPr>
        <w:t>Ouedraogo</w:t>
      </w:r>
      <w:proofErr w:type="spellEnd"/>
      <w:r w:rsidRPr="00636A69">
        <w:rPr>
          <w:rFonts w:ascii="Times New Roman" w:hAnsi="Times New Roman" w:cs="Times New Roman"/>
        </w:rPr>
        <w:t xml:space="preserve">, I. M., Al Hassan, R., Mensah-Bonsu, A., &amp; </w:t>
      </w:r>
      <w:proofErr w:type="spellStart"/>
      <w:r w:rsidRPr="00636A69">
        <w:rPr>
          <w:rFonts w:ascii="Times New Roman" w:hAnsi="Times New Roman" w:cs="Times New Roman"/>
        </w:rPr>
        <w:t>Ebo</w:t>
      </w:r>
      <w:proofErr w:type="spellEnd"/>
      <w:r w:rsidRPr="00636A69">
        <w:rPr>
          <w:rFonts w:ascii="Times New Roman" w:hAnsi="Times New Roman" w:cs="Times New Roman"/>
        </w:rPr>
        <w:t xml:space="preserve"> </w:t>
      </w:r>
      <w:proofErr w:type="spellStart"/>
      <w:r w:rsidRPr="00636A69">
        <w:rPr>
          <w:rFonts w:ascii="Times New Roman" w:hAnsi="Times New Roman" w:cs="Times New Roman"/>
        </w:rPr>
        <w:t>Onumah</w:t>
      </w:r>
      <w:proofErr w:type="spellEnd"/>
      <w:r w:rsidRPr="00636A69">
        <w:rPr>
          <w:rFonts w:ascii="Times New Roman" w:hAnsi="Times New Roman" w:cs="Times New Roman"/>
        </w:rPr>
        <w:t xml:space="preserve">, E. (2018). The effect of integration, global value chains and international trade on economic growth and food security in ECOWAS. Cogent Food &amp; Agriculture, 4(1), Article 1465327. </w:t>
      </w:r>
      <w:hyperlink r:id="rId38" w:history="1">
        <w:r w:rsidRPr="008B43A9">
          <w:rPr>
            <w:rStyle w:val="Hyperlink"/>
            <w:rFonts w:ascii="Times New Roman" w:hAnsi="Times New Roman" w:cs="Times New Roman"/>
          </w:rPr>
          <w:t>https://doi.org/10.1080/23311932.2018.1465327</w:t>
        </w:r>
      </w:hyperlink>
      <w:r>
        <w:rPr>
          <w:rFonts w:ascii="Times New Roman" w:hAnsi="Times New Roman" w:cs="Times New Roman"/>
        </w:rPr>
        <w:t xml:space="preserve"> </w:t>
      </w:r>
    </w:p>
    <w:p w14:paraId="553685BF" w14:textId="23FCDB54" w:rsidR="00E8677A" w:rsidRPr="00E8677A" w:rsidRDefault="003629D2" w:rsidP="00E8677A">
      <w:pPr>
        <w:spacing w:after="0" w:line="240" w:lineRule="auto"/>
        <w:ind w:left="360" w:hanging="360"/>
        <w:jc w:val="both"/>
        <w:rPr>
          <w:rFonts w:ascii="Times New Roman" w:hAnsi="Times New Roman" w:cs="Times New Roman"/>
        </w:rPr>
      </w:pPr>
      <w:proofErr w:type="spellStart"/>
      <w:r w:rsidRPr="003629D2">
        <w:rPr>
          <w:rFonts w:ascii="Times New Roman" w:hAnsi="Times New Roman" w:cs="Times New Roman"/>
        </w:rPr>
        <w:lastRenderedPageBreak/>
        <w:t>Umulisa</w:t>
      </w:r>
      <w:proofErr w:type="spellEnd"/>
      <w:r w:rsidRPr="003629D2">
        <w:rPr>
          <w:rFonts w:ascii="Times New Roman" w:hAnsi="Times New Roman" w:cs="Times New Roman"/>
        </w:rPr>
        <w:t xml:space="preserve">, Y. (2020). Estimation of the East African Community's trade benefits from promoting intra‐regional trade. African Development Review, 32(1), 55–66. </w:t>
      </w:r>
      <w:hyperlink r:id="rId39" w:history="1">
        <w:r w:rsidRPr="008B43A9">
          <w:rPr>
            <w:rStyle w:val="Hyperlink"/>
            <w:rFonts w:ascii="Times New Roman" w:hAnsi="Times New Roman" w:cs="Times New Roman"/>
          </w:rPr>
          <w:t>https://doi.org/10.1111/1467-8268.12414</w:t>
        </w:r>
      </w:hyperlink>
      <w:r>
        <w:rPr>
          <w:rFonts w:ascii="Times New Roman" w:hAnsi="Times New Roman" w:cs="Times New Roman"/>
        </w:rPr>
        <w:t xml:space="preserve"> </w:t>
      </w:r>
    </w:p>
    <w:p w14:paraId="4AD780FB" w14:textId="77777777" w:rsidR="00E8677A" w:rsidRPr="00376B0B" w:rsidRDefault="00E8677A" w:rsidP="00376B0B">
      <w:pPr>
        <w:spacing w:line="360" w:lineRule="auto"/>
        <w:jc w:val="both"/>
        <w:rPr>
          <w:rFonts w:ascii="Times New Roman" w:hAnsi="Times New Roman" w:cs="Times New Roman"/>
        </w:rPr>
      </w:pPr>
    </w:p>
    <w:p w14:paraId="5DC8B061" w14:textId="77777777" w:rsidR="006C3CC7" w:rsidRPr="00980F80" w:rsidRDefault="006C3CC7" w:rsidP="00980F80">
      <w:pPr>
        <w:spacing w:line="360" w:lineRule="auto"/>
        <w:jc w:val="both"/>
        <w:rPr>
          <w:rFonts w:ascii="Times New Roman" w:hAnsi="Times New Roman" w:cs="Times New Roman"/>
        </w:rPr>
      </w:pPr>
    </w:p>
    <w:sectPr w:rsidR="006C3CC7" w:rsidRPr="00980F80">
      <w:headerReference w:type="even" r:id="rId40"/>
      <w:headerReference w:type="default" r:id="rId41"/>
      <w:footerReference w:type="even" r:id="rId42"/>
      <w:footerReference w:type="default" r:id="rId43"/>
      <w:headerReference w:type="first" r:id="rId44"/>
      <w:footerReference w:type="first" r:id="rId4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E44D6B" w14:textId="77777777" w:rsidR="00C008BE" w:rsidRDefault="00C008BE" w:rsidP="00EC1F3D">
      <w:pPr>
        <w:spacing w:after="0" w:line="240" w:lineRule="auto"/>
      </w:pPr>
      <w:r>
        <w:separator/>
      </w:r>
    </w:p>
  </w:endnote>
  <w:endnote w:type="continuationSeparator" w:id="0">
    <w:p w14:paraId="6862A5C1" w14:textId="77777777" w:rsidR="00C008BE" w:rsidRDefault="00C008BE" w:rsidP="00EC1F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B1259" w14:textId="77777777" w:rsidR="00095E28" w:rsidRDefault="00095E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1D64D" w14:textId="77777777" w:rsidR="00095E28" w:rsidRDefault="00095E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DC904" w14:textId="77777777" w:rsidR="00095E28" w:rsidRDefault="00095E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31B953" w14:textId="77777777" w:rsidR="00C008BE" w:rsidRDefault="00C008BE" w:rsidP="00EC1F3D">
      <w:pPr>
        <w:spacing w:after="0" w:line="240" w:lineRule="auto"/>
      </w:pPr>
      <w:r>
        <w:separator/>
      </w:r>
    </w:p>
  </w:footnote>
  <w:footnote w:type="continuationSeparator" w:id="0">
    <w:p w14:paraId="497337FB" w14:textId="77777777" w:rsidR="00C008BE" w:rsidRDefault="00C008BE" w:rsidP="00EC1F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33B06" w14:textId="06081384" w:rsidR="00095E28" w:rsidRDefault="00095E28">
    <w:pPr>
      <w:pStyle w:val="Header"/>
    </w:pPr>
    <w:r>
      <w:rPr>
        <w:noProof/>
      </w:rPr>
      <w:pict w14:anchorId="4537BA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941907"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573A3" w14:textId="3D702E66" w:rsidR="00095E28" w:rsidRDefault="00095E28">
    <w:pPr>
      <w:pStyle w:val="Header"/>
    </w:pPr>
    <w:r>
      <w:rPr>
        <w:noProof/>
      </w:rPr>
      <w:pict w14:anchorId="1296C7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941908"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5B4B1" w14:textId="2A9952C0" w:rsidR="00095E28" w:rsidRDefault="00095E28">
    <w:pPr>
      <w:pStyle w:val="Header"/>
    </w:pPr>
    <w:r>
      <w:rPr>
        <w:noProof/>
      </w:rPr>
      <w:pict w14:anchorId="6BBF72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941906"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F80"/>
    <w:rsid w:val="00016811"/>
    <w:rsid w:val="00095E28"/>
    <w:rsid w:val="000A1CDD"/>
    <w:rsid w:val="0011165B"/>
    <w:rsid w:val="001231B0"/>
    <w:rsid w:val="0013383D"/>
    <w:rsid w:val="001A3C54"/>
    <w:rsid w:val="0022468A"/>
    <w:rsid w:val="0024591B"/>
    <w:rsid w:val="002F45C1"/>
    <w:rsid w:val="003629D2"/>
    <w:rsid w:val="003701F9"/>
    <w:rsid w:val="00376B0B"/>
    <w:rsid w:val="003C7789"/>
    <w:rsid w:val="004521E1"/>
    <w:rsid w:val="00496DDD"/>
    <w:rsid w:val="004D4E66"/>
    <w:rsid w:val="005532BD"/>
    <w:rsid w:val="00636A69"/>
    <w:rsid w:val="006C3CC7"/>
    <w:rsid w:val="006D7888"/>
    <w:rsid w:val="007E6248"/>
    <w:rsid w:val="00804DF4"/>
    <w:rsid w:val="008400DC"/>
    <w:rsid w:val="008735EF"/>
    <w:rsid w:val="008B6F74"/>
    <w:rsid w:val="008E4F4F"/>
    <w:rsid w:val="00980F80"/>
    <w:rsid w:val="00992E29"/>
    <w:rsid w:val="00A24535"/>
    <w:rsid w:val="00A75F2C"/>
    <w:rsid w:val="00AF2C4C"/>
    <w:rsid w:val="00B02BAC"/>
    <w:rsid w:val="00B15E94"/>
    <w:rsid w:val="00B50DB0"/>
    <w:rsid w:val="00B517CC"/>
    <w:rsid w:val="00B56B8E"/>
    <w:rsid w:val="00B94C45"/>
    <w:rsid w:val="00BE0A36"/>
    <w:rsid w:val="00C008BE"/>
    <w:rsid w:val="00C0337F"/>
    <w:rsid w:val="00C22A27"/>
    <w:rsid w:val="00C57342"/>
    <w:rsid w:val="00D1264B"/>
    <w:rsid w:val="00D20008"/>
    <w:rsid w:val="00D307EB"/>
    <w:rsid w:val="00DD2BAF"/>
    <w:rsid w:val="00E05A95"/>
    <w:rsid w:val="00E5278C"/>
    <w:rsid w:val="00E814D5"/>
    <w:rsid w:val="00E8677A"/>
    <w:rsid w:val="00E9154D"/>
    <w:rsid w:val="00EA77BE"/>
    <w:rsid w:val="00EB7EDE"/>
    <w:rsid w:val="00EC1F3D"/>
    <w:rsid w:val="00EF6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08D6603"/>
  <w15:chartTrackingRefBased/>
  <w15:docId w15:val="{9E441416-7232-4D4B-A1FE-A3A967B85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0F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0F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0F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0F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0F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0F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0F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0F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0F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0F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0F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0F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0F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0F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0F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0F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0F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0F80"/>
    <w:rPr>
      <w:rFonts w:eastAsiaTheme="majorEastAsia" w:cstheme="majorBidi"/>
      <w:color w:val="272727" w:themeColor="text1" w:themeTint="D8"/>
    </w:rPr>
  </w:style>
  <w:style w:type="paragraph" w:styleId="Title">
    <w:name w:val="Title"/>
    <w:basedOn w:val="Normal"/>
    <w:next w:val="Normal"/>
    <w:link w:val="TitleChar"/>
    <w:uiPriority w:val="10"/>
    <w:qFormat/>
    <w:rsid w:val="00980F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0F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0F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0F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0F80"/>
    <w:pPr>
      <w:spacing w:before="160"/>
      <w:jc w:val="center"/>
    </w:pPr>
    <w:rPr>
      <w:i/>
      <w:iCs/>
      <w:color w:val="404040" w:themeColor="text1" w:themeTint="BF"/>
    </w:rPr>
  </w:style>
  <w:style w:type="character" w:customStyle="1" w:styleId="QuoteChar">
    <w:name w:val="Quote Char"/>
    <w:basedOn w:val="DefaultParagraphFont"/>
    <w:link w:val="Quote"/>
    <w:uiPriority w:val="29"/>
    <w:rsid w:val="00980F80"/>
    <w:rPr>
      <w:i/>
      <w:iCs/>
      <w:color w:val="404040" w:themeColor="text1" w:themeTint="BF"/>
    </w:rPr>
  </w:style>
  <w:style w:type="paragraph" w:styleId="ListParagraph">
    <w:name w:val="List Paragraph"/>
    <w:basedOn w:val="Normal"/>
    <w:uiPriority w:val="34"/>
    <w:qFormat/>
    <w:rsid w:val="00980F80"/>
    <w:pPr>
      <w:ind w:left="720"/>
      <w:contextualSpacing/>
    </w:pPr>
  </w:style>
  <w:style w:type="character" w:styleId="IntenseEmphasis">
    <w:name w:val="Intense Emphasis"/>
    <w:basedOn w:val="DefaultParagraphFont"/>
    <w:uiPriority w:val="21"/>
    <w:qFormat/>
    <w:rsid w:val="00980F80"/>
    <w:rPr>
      <w:i/>
      <w:iCs/>
      <w:color w:val="0F4761" w:themeColor="accent1" w:themeShade="BF"/>
    </w:rPr>
  </w:style>
  <w:style w:type="paragraph" w:styleId="IntenseQuote">
    <w:name w:val="Intense Quote"/>
    <w:basedOn w:val="Normal"/>
    <w:next w:val="Normal"/>
    <w:link w:val="IntenseQuoteChar"/>
    <w:uiPriority w:val="30"/>
    <w:qFormat/>
    <w:rsid w:val="00980F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0F80"/>
    <w:rPr>
      <w:i/>
      <w:iCs/>
      <w:color w:val="0F4761" w:themeColor="accent1" w:themeShade="BF"/>
    </w:rPr>
  </w:style>
  <w:style w:type="character" w:styleId="IntenseReference">
    <w:name w:val="Intense Reference"/>
    <w:basedOn w:val="DefaultParagraphFont"/>
    <w:uiPriority w:val="32"/>
    <w:qFormat/>
    <w:rsid w:val="00980F80"/>
    <w:rPr>
      <w:b/>
      <w:bCs/>
      <w:smallCaps/>
      <w:color w:val="0F4761" w:themeColor="accent1" w:themeShade="BF"/>
      <w:spacing w:val="5"/>
    </w:rPr>
  </w:style>
  <w:style w:type="paragraph" w:styleId="NormalWeb">
    <w:name w:val="Normal (Web)"/>
    <w:basedOn w:val="Normal"/>
    <w:uiPriority w:val="99"/>
    <w:semiHidden/>
    <w:unhideWhenUsed/>
    <w:rsid w:val="00E8677A"/>
    <w:rPr>
      <w:rFonts w:ascii="Times New Roman" w:hAnsi="Times New Roman" w:cs="Times New Roman"/>
    </w:rPr>
  </w:style>
  <w:style w:type="character" w:styleId="Hyperlink">
    <w:name w:val="Hyperlink"/>
    <w:basedOn w:val="DefaultParagraphFont"/>
    <w:uiPriority w:val="99"/>
    <w:unhideWhenUsed/>
    <w:rsid w:val="00E8677A"/>
    <w:rPr>
      <w:color w:val="467886" w:themeColor="hyperlink"/>
      <w:u w:val="single"/>
    </w:rPr>
  </w:style>
  <w:style w:type="character" w:styleId="UnresolvedMention">
    <w:name w:val="Unresolved Mention"/>
    <w:basedOn w:val="DefaultParagraphFont"/>
    <w:uiPriority w:val="99"/>
    <w:semiHidden/>
    <w:unhideWhenUsed/>
    <w:rsid w:val="00E8677A"/>
    <w:rPr>
      <w:color w:val="605E5C"/>
      <w:shd w:val="clear" w:color="auto" w:fill="E1DFDD"/>
    </w:rPr>
  </w:style>
  <w:style w:type="paragraph" w:styleId="Header">
    <w:name w:val="header"/>
    <w:basedOn w:val="Normal"/>
    <w:link w:val="HeaderChar"/>
    <w:uiPriority w:val="99"/>
    <w:unhideWhenUsed/>
    <w:rsid w:val="00EC1F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1F3D"/>
  </w:style>
  <w:style w:type="paragraph" w:styleId="Footer">
    <w:name w:val="footer"/>
    <w:basedOn w:val="Normal"/>
    <w:link w:val="FooterChar"/>
    <w:uiPriority w:val="99"/>
    <w:unhideWhenUsed/>
    <w:rsid w:val="00EC1F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1F3D"/>
  </w:style>
  <w:style w:type="table" w:styleId="TableGrid">
    <w:name w:val="Table Grid"/>
    <w:basedOn w:val="TableNormal"/>
    <w:uiPriority w:val="39"/>
    <w:rsid w:val="00D1264B"/>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22363/2313-2329-2023-31-2-197-210" TargetMode="External"/><Relationship Id="rId18" Type="http://schemas.openxmlformats.org/officeDocument/2006/relationships/hyperlink" Target="https://doi.org/https://doi.org/10.5089/9798229011556.018" TargetMode="External"/><Relationship Id="rId26" Type="http://schemas.openxmlformats.org/officeDocument/2006/relationships/hyperlink" Target="https://doi.org/10.1080/23322039.2024.2363458" TargetMode="External"/><Relationship Id="rId39" Type="http://schemas.openxmlformats.org/officeDocument/2006/relationships/hyperlink" Target="https://doi.org/10.1111/1467-8268.12414" TargetMode="External"/><Relationship Id="rId21" Type="http://schemas.openxmlformats.org/officeDocument/2006/relationships/hyperlink" Target="https://doi.org/10.55596/001c.91320" TargetMode="External"/><Relationship Id="rId34" Type="http://schemas.openxmlformats.org/officeDocument/2006/relationships/hyperlink" Target="https://doi.org/10.22004/ag.econ.253555"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hyperlink" Target="https://hdl.handle.net/10419/48295" TargetMode="External"/><Relationship Id="rId2" Type="http://schemas.openxmlformats.org/officeDocument/2006/relationships/settings" Target="settings.xml"/><Relationship Id="rId16" Type="http://schemas.openxmlformats.org/officeDocument/2006/relationships/hyperlink" Target="https://doi.org/10.2991/jat.k.201224.001" TargetMode="External"/><Relationship Id="rId29" Type="http://schemas.openxmlformats.org/officeDocument/2006/relationships/hyperlink" Target="https://doi.org/10.1080/17531055.2020.1768468"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doi.org/10.1079/9781845936495.0149" TargetMode="External"/><Relationship Id="rId24" Type="http://schemas.openxmlformats.org/officeDocument/2006/relationships/hyperlink" Target="http://hdl.handle.net/2263/72750" TargetMode="External"/><Relationship Id="rId32" Type="http://schemas.openxmlformats.org/officeDocument/2006/relationships/hyperlink" Target="https://doi.org/10.1108/MSCRA-02-2022-0006" TargetMode="External"/><Relationship Id="rId37" Type="http://schemas.openxmlformats.org/officeDocument/2006/relationships/hyperlink" Target="https://doi.org/10.1111/twec.13725"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s://doi.org/10.1111/reel.70000" TargetMode="External"/><Relationship Id="rId23" Type="http://schemas.openxmlformats.org/officeDocument/2006/relationships/hyperlink" Target="https://doi.org/10.70558/IJSSR.2025.v2.i6.30667" TargetMode="External"/><Relationship Id="rId28" Type="http://schemas.openxmlformats.org/officeDocument/2006/relationships/hyperlink" Target="https://doi.org/10.3366/ajicl.2024.0474" TargetMode="External"/><Relationship Id="rId36" Type="http://schemas.openxmlformats.org/officeDocument/2006/relationships/hyperlink" Target="https://doi.org/10.1007/s10842-025-00445-w" TargetMode="External"/><Relationship Id="rId10" Type="http://schemas.openxmlformats.org/officeDocument/2006/relationships/hyperlink" Target="https://doi.org/10.1177/2158244017748235" TargetMode="External"/><Relationship Id="rId19" Type="http://schemas.openxmlformats.org/officeDocument/2006/relationships/hyperlink" Target="https://doi.org/10.1080/23322039.2025.2516712" TargetMode="External"/><Relationship Id="rId31" Type="http://schemas.openxmlformats.org/officeDocument/2006/relationships/hyperlink" Target="https://doi.org/10.1108/MSCRA-09-2021-0017" TargetMode="External"/><Relationship Id="rId44"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yperlink" Target="https://doi.org/10.5539/ijef.v4n10p41" TargetMode="External"/><Relationship Id="rId14" Type="http://schemas.openxmlformats.org/officeDocument/2006/relationships/hyperlink" Target="https://doi.org/10.48346/IMIST.PRSM/ajlp-gs.v7i5.50623" TargetMode="External"/><Relationship Id="rId22" Type="http://schemas.openxmlformats.org/officeDocument/2006/relationships/hyperlink" Target="https://doi.org/10.11130/jei.2019.34.1.038" TargetMode="External"/><Relationship Id="rId27" Type="http://schemas.openxmlformats.org/officeDocument/2006/relationships/hyperlink" Target="https://doi.org/10.11130/jei.2023.38.466" TargetMode="External"/><Relationship Id="rId30" Type="http://schemas.openxmlformats.org/officeDocument/2006/relationships/hyperlink" Target="https://doi.org/10.32996/jefas.2023.5.3.14" TargetMode="External"/><Relationship Id="rId35" Type="http://schemas.openxmlformats.org/officeDocument/2006/relationships/hyperlink" Target="https://doi.org/10.5539/jsd.v8n9p129" TargetMode="External"/><Relationship Id="rId43" Type="http://schemas.openxmlformats.org/officeDocument/2006/relationships/footer" Target="footer2.xml"/><Relationship Id="rId8" Type="http://schemas.openxmlformats.org/officeDocument/2006/relationships/hyperlink" Target="https://doi.org/10.1111/1467-8268.12406" TargetMode="External"/><Relationship Id="rId3" Type="http://schemas.openxmlformats.org/officeDocument/2006/relationships/webSettings" Target="webSettings.xml"/><Relationship Id="rId12" Type="http://schemas.openxmlformats.org/officeDocument/2006/relationships/hyperlink" Target="https://doi.org/10.1007/BF02689995" TargetMode="External"/><Relationship Id="rId17" Type="http://schemas.openxmlformats.org/officeDocument/2006/relationships/hyperlink" Target="https://doi.org/10.47772/IJRISS.2023.7012097" TargetMode="External"/><Relationship Id="rId25" Type="http://schemas.openxmlformats.org/officeDocument/2006/relationships/hyperlink" Target="https://doi.org/10.1007/s10290-024-00558-0" TargetMode="External"/><Relationship Id="rId33" Type="http://schemas.openxmlformats.org/officeDocument/2006/relationships/hyperlink" Target="https://doi.org/10.1007/s44232-022-00005-9" TargetMode="External"/><Relationship Id="rId38" Type="http://schemas.openxmlformats.org/officeDocument/2006/relationships/hyperlink" Target="https://doi.org/10.1080/23311932.2018.1465327" TargetMode="External"/><Relationship Id="rId46" Type="http://schemas.openxmlformats.org/officeDocument/2006/relationships/fontTable" Target="fontTable.xml"/><Relationship Id="rId20" Type="http://schemas.openxmlformats.org/officeDocument/2006/relationships/hyperlink" Target="https://doi.org/10.1093/ejil/chz006" TargetMode="External"/><Relationship Id="rId41"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125</TotalTime>
  <Pages>17</Pages>
  <Words>6706</Words>
  <Characters>38226</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Godspower Omokaro</dc:creator>
  <cp:keywords/>
  <dc:description/>
  <cp:lastModifiedBy>SDI 1084</cp:lastModifiedBy>
  <cp:revision>39</cp:revision>
  <dcterms:created xsi:type="dcterms:W3CDTF">2025-12-18T23:41:00Z</dcterms:created>
  <dcterms:modified xsi:type="dcterms:W3CDTF">2025-12-27T09:25:00Z</dcterms:modified>
</cp:coreProperties>
</file>