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7A0FC" w14:textId="77777777" w:rsidR="006821F1" w:rsidRPr="006821F1" w:rsidRDefault="006821F1" w:rsidP="00D4606F">
      <w:pPr>
        <w:jc w:val="center"/>
        <w:rPr>
          <w:rFonts w:ascii="Times New Roman" w:hAnsi="Times New Roman" w:cs="Times New Roman"/>
          <w:b/>
          <w:bCs/>
          <w:sz w:val="28"/>
          <w:szCs w:val="28"/>
        </w:rPr>
      </w:pPr>
      <w:r w:rsidRPr="006821F1">
        <w:rPr>
          <w:rFonts w:ascii="Times New Roman" w:hAnsi="Times New Roman" w:cs="Times New Roman"/>
          <w:b/>
          <w:bCs/>
          <w:sz w:val="28"/>
          <w:szCs w:val="28"/>
        </w:rPr>
        <w:t>DETERMINING WATER-USE ZONATION BASED ON PREDICTED LAND-COVER CHANGE IN THE BOLON RIVER WATERSHED</w:t>
      </w:r>
    </w:p>
    <w:p w14:paraId="543DE1A1" w14:textId="59F7B89D" w:rsidR="00831741" w:rsidRDefault="00831741" w:rsidP="00D4606F">
      <w:pPr>
        <w:spacing w:after="0" w:line="240" w:lineRule="auto"/>
        <w:jc w:val="both"/>
      </w:pPr>
      <w:r>
        <w:t xml:space="preserve"> </w:t>
      </w:r>
    </w:p>
    <w:p w14:paraId="75927DD3" w14:textId="77777777" w:rsidR="00831741" w:rsidRDefault="00831741" w:rsidP="00D4606F">
      <w:pPr>
        <w:spacing w:after="0" w:line="240" w:lineRule="auto"/>
        <w:jc w:val="both"/>
        <w:rPr>
          <w:rFonts w:ascii="Times New Roman" w:hAnsi="Times New Roman" w:cs="Times New Roman"/>
          <w:sz w:val="24"/>
          <w:szCs w:val="24"/>
          <w:lang w:val="en-US"/>
        </w:rPr>
      </w:pPr>
    </w:p>
    <w:p w14:paraId="456F1237" w14:textId="77777777" w:rsidR="00D4606F" w:rsidRPr="00D4606F" w:rsidRDefault="00D4606F" w:rsidP="006821F1">
      <w:pPr>
        <w:jc w:val="both"/>
        <w:rPr>
          <w:rFonts w:ascii="Times New Roman" w:hAnsi="Times New Roman" w:cs="Times New Roman"/>
          <w:sz w:val="24"/>
          <w:szCs w:val="24"/>
        </w:rPr>
      </w:pPr>
    </w:p>
    <w:p w14:paraId="73D798BE" w14:textId="191E960C"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Abstract</w:t>
      </w:r>
    </w:p>
    <w:p w14:paraId="310BAFE1"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This study assesses how land-cover change influences water-use zonation in the Bolon River Watershed (DAS Bolon) and predicts future land-cover dynamics to 2033 to inform sustainable water-resource governance. A GIS-based spatial approach was implemented using QGIS and the MOLUSCE plugin, integrating Cellular Automata (CA) and Artificial Neural Networks (ANN) to project land-cover patterns for 2024, 2029, and 2033. Water-use zones were delineated by combining indicators of recharge areas, catchment capacity, and water availability. The results indicate substantial land conversion—particularly from forest and wet agricultural land toward plantations and built-up areas—leading to reduced infiltration potential and diminished catchment effectiveness. The projected continuation of these trends through 2033 suggests increasing exposure to hydrological extremes, including drought and flooding risks in the Bolon watershed. An overlay analysis between derived water-use zones and the regional spatial plan (RTRW) reveals pronounced mismatches, most notably within plantation-designated areas, implying potential conflicts between land-development trajectories and hydrological sustainability. This research provides spatially explicit evidence for improving local water-resource management and strengthening the integration between land-use policy and watershed governance. The study is limited by its reliance on Sentinel-2 imagery for land-cover mapping; future work should incorporate multi-source datasets and more explicit socio-economic impact assessments to better capture the broader implications of land conversion. Overall, this study contributes to understanding land–water interactions and offers a transferable spatial-modelling framework applicable to other watersheds in Indonesia.</w:t>
      </w:r>
    </w:p>
    <w:p w14:paraId="28672913"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Keywords:</w:t>
      </w:r>
      <w:r w:rsidRPr="006821F1">
        <w:rPr>
          <w:rFonts w:ascii="Times New Roman" w:hAnsi="Times New Roman" w:cs="Times New Roman"/>
          <w:sz w:val="24"/>
          <w:szCs w:val="24"/>
        </w:rPr>
        <w:t xml:space="preserve"> Watershed; MOLUSCE; land-cover change prediction; GIS; water-use zonation</w:t>
      </w:r>
    </w:p>
    <w:p w14:paraId="189F8BAE" w14:textId="6BBDE34B" w:rsidR="006821F1" w:rsidRPr="006821F1" w:rsidRDefault="006821F1" w:rsidP="006821F1">
      <w:pPr>
        <w:jc w:val="both"/>
        <w:rPr>
          <w:rFonts w:ascii="Times New Roman" w:hAnsi="Times New Roman" w:cs="Times New Roman"/>
          <w:sz w:val="24"/>
          <w:szCs w:val="24"/>
        </w:rPr>
      </w:pPr>
    </w:p>
    <w:p w14:paraId="3BBE5A84"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1. Introduction</w:t>
      </w:r>
    </w:p>
    <w:p w14:paraId="10A35EA9"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Rapid land-cover transformation within watersheds can disrupt hydrological processes and degrade both water quantity and quality. Land conversion—such as deforestation and the replacement of agricultural land with plantations or built-up areas—may increase surface runoff, reduce infiltration, and heighten vulnerability to floods and droughts (Nasrullah et al., 2010). Accordingly, understanding the hydrological implications of land-cover change is essential for designing sustainable watershed management strategies.</w:t>
      </w:r>
    </w:p>
    <w:p w14:paraId="667331AA"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Effective water-use zonation requires a sound understanding of the physical and ecological attributes of a landscape. Different zones deliver distinct hydrological functions and should be managed according to environmental priorities and socio-economic needs (Loucks &amp; van </w:t>
      </w:r>
      <w:proofErr w:type="spellStart"/>
      <w:r w:rsidRPr="006821F1">
        <w:rPr>
          <w:rFonts w:ascii="Times New Roman" w:hAnsi="Times New Roman" w:cs="Times New Roman"/>
          <w:sz w:val="24"/>
          <w:szCs w:val="24"/>
        </w:rPr>
        <w:t>Beek</w:t>
      </w:r>
      <w:proofErr w:type="spellEnd"/>
      <w:r w:rsidRPr="006821F1">
        <w:rPr>
          <w:rFonts w:ascii="Times New Roman" w:hAnsi="Times New Roman" w:cs="Times New Roman"/>
          <w:sz w:val="24"/>
          <w:szCs w:val="24"/>
        </w:rPr>
        <w:t>, 2017). This calls for systematic spatial assessment of the factors shaping water distribution, storage, and utilization.</w:t>
      </w:r>
    </w:p>
    <w:p w14:paraId="6C453068"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lastRenderedPageBreak/>
        <w:t>Advances in Geographic Information Systems (GIS) enable predictive land-cover modelling using spatial datasets and robust algorithms. The MOLUSCE plugin in QGIS has been widely used to forecast land-use/land-cover change with relatively high performance, supporting evidence-based conservation and natural resource planning (Muhammad et al., 2022). Such modelling is increasingly relevant for watershed-scale governance where land conversion pressures are accelerating.</w:t>
      </w:r>
    </w:p>
    <w:p w14:paraId="355EE3F8"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In the Bolon watershed, ongoing urban expansion and plantation development are likely to reduce recharge and catchment functions. This study employs QGIS–MOLUSCE to predict land-cover change through 2033 and assess its implications for water-use zonation, providing a forward-looking basis for water-resource planning.</w:t>
      </w:r>
    </w:p>
    <w:p w14:paraId="145C6103"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Recharge areas play a critical role in replenishing groundwater. Infiltration and recharge capacity are shaped by slope, soil texture, and rainfall (</w:t>
      </w:r>
      <w:proofErr w:type="spellStart"/>
      <w:r w:rsidRPr="006821F1">
        <w:rPr>
          <w:rFonts w:ascii="Times New Roman" w:hAnsi="Times New Roman" w:cs="Times New Roman"/>
          <w:sz w:val="24"/>
          <w:szCs w:val="24"/>
        </w:rPr>
        <w:t>Prahasta</w:t>
      </w:r>
      <w:proofErr w:type="spellEnd"/>
      <w:r w:rsidRPr="006821F1">
        <w:rPr>
          <w:rFonts w:ascii="Times New Roman" w:hAnsi="Times New Roman" w:cs="Times New Roman"/>
          <w:sz w:val="24"/>
          <w:szCs w:val="24"/>
        </w:rPr>
        <w:t>, 2014). Landscapes with gentle slopes and coarse-textured soils typically exhibit higher infiltration potential.</w:t>
      </w:r>
    </w:p>
    <w:p w14:paraId="3702613E"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In addition to recharge areas, catchment areas regulate how rainfall is collected and routed toward the main river network. Rainfall intensity and land cover strongly influence runoff generation and streamflow responses (</w:t>
      </w:r>
      <w:proofErr w:type="spellStart"/>
      <w:r w:rsidRPr="006821F1">
        <w:rPr>
          <w:rFonts w:ascii="Times New Roman" w:hAnsi="Times New Roman" w:cs="Times New Roman"/>
          <w:sz w:val="24"/>
          <w:szCs w:val="24"/>
        </w:rPr>
        <w:t>Santoso</w:t>
      </w:r>
      <w:proofErr w:type="spellEnd"/>
      <w:r w:rsidRPr="006821F1">
        <w:rPr>
          <w:rFonts w:ascii="Times New Roman" w:hAnsi="Times New Roman" w:cs="Times New Roman"/>
          <w:sz w:val="24"/>
          <w:szCs w:val="24"/>
        </w:rPr>
        <w:t xml:space="preserve"> et al., 2025). Therefore, mapping catchment functionality is fundamental for anticipating future water stress.</w:t>
      </w:r>
    </w:p>
    <w:p w14:paraId="7159675B"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Water-use zonation should integrate land cover, recharge potential, and water availability in order to guide sustainable utilization while preventing ecological degradation (Muhammad et al., 2022). Such zonation becomes especially valuable when it is aligned with formal spatial planning instruments.</w:t>
      </w:r>
    </w:p>
    <w:p w14:paraId="0DDEF41D"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Integrating water-use zonation with regional spatial plans (RTRW) is crucial to ensure that development priorities do not compromise hydrological sustainability. Spatial planning documents that differentiate protected and cultivation zones must reflect hydrological capacity and watershed constraints (</w:t>
      </w:r>
      <w:proofErr w:type="spellStart"/>
      <w:r w:rsidRPr="006821F1">
        <w:rPr>
          <w:rFonts w:ascii="Times New Roman" w:hAnsi="Times New Roman" w:cs="Times New Roman"/>
          <w:sz w:val="24"/>
          <w:szCs w:val="24"/>
        </w:rPr>
        <w:t>Bappeda</w:t>
      </w:r>
      <w:proofErr w:type="spellEnd"/>
      <w:r w:rsidRPr="006821F1">
        <w:rPr>
          <w:rFonts w:ascii="Times New Roman" w:hAnsi="Times New Roman" w:cs="Times New Roman"/>
          <w:sz w:val="24"/>
          <w:szCs w:val="24"/>
        </w:rPr>
        <w:t xml:space="preserve"> Prov. Sumatera Utara, 2017).</w:t>
      </w:r>
    </w:p>
    <w:p w14:paraId="3D47BF4C"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This study aims to (</w:t>
      </w:r>
      <w:proofErr w:type="spellStart"/>
      <w:r w:rsidRPr="006821F1">
        <w:rPr>
          <w:rFonts w:ascii="Times New Roman" w:hAnsi="Times New Roman" w:cs="Times New Roman"/>
          <w:sz w:val="24"/>
          <w:szCs w:val="24"/>
        </w:rPr>
        <w:t>i</w:t>
      </w:r>
      <w:proofErr w:type="spellEnd"/>
      <w:r w:rsidRPr="006821F1">
        <w:rPr>
          <w:rFonts w:ascii="Times New Roman" w:hAnsi="Times New Roman" w:cs="Times New Roman"/>
          <w:sz w:val="24"/>
          <w:szCs w:val="24"/>
        </w:rPr>
        <w:t xml:space="preserve">) evaluate the impacts of land-cover change on water-use zonation in the Bolon watershed, and (ii) predict land-cover change through 2033 using spatial modelling, thereby supporting policy recommendations for sustainable local water-resource governance (Loucks &amp; van </w:t>
      </w:r>
      <w:proofErr w:type="spellStart"/>
      <w:r w:rsidRPr="006821F1">
        <w:rPr>
          <w:rFonts w:ascii="Times New Roman" w:hAnsi="Times New Roman" w:cs="Times New Roman"/>
          <w:sz w:val="24"/>
          <w:szCs w:val="24"/>
        </w:rPr>
        <w:t>Beek</w:t>
      </w:r>
      <w:proofErr w:type="spellEnd"/>
      <w:r w:rsidRPr="006821F1">
        <w:rPr>
          <w:rFonts w:ascii="Times New Roman" w:hAnsi="Times New Roman" w:cs="Times New Roman"/>
          <w:sz w:val="24"/>
          <w:szCs w:val="24"/>
        </w:rPr>
        <w:t>, 2017).</w:t>
      </w:r>
    </w:p>
    <w:p w14:paraId="04829A62" w14:textId="6EC59A98" w:rsidR="006821F1" w:rsidRPr="006821F1" w:rsidRDefault="006821F1" w:rsidP="006821F1">
      <w:pPr>
        <w:jc w:val="both"/>
        <w:rPr>
          <w:rFonts w:ascii="Times New Roman" w:hAnsi="Times New Roman" w:cs="Times New Roman"/>
          <w:sz w:val="24"/>
          <w:szCs w:val="24"/>
        </w:rPr>
      </w:pPr>
    </w:p>
    <w:p w14:paraId="216957ED"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 Methods</w:t>
      </w:r>
    </w:p>
    <w:p w14:paraId="615EED05"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2.1 Study Area</w:t>
      </w:r>
    </w:p>
    <w:p w14:paraId="11B7D56D"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The study was conducted in the Bolon River Watershed, North Sumatra, Indonesia. The watershed delineation covers approximately </w:t>
      </w:r>
      <w:r w:rsidRPr="006821F1">
        <w:rPr>
          <w:rFonts w:ascii="Times New Roman" w:hAnsi="Times New Roman" w:cs="Times New Roman"/>
          <w:b/>
          <w:bCs/>
          <w:sz w:val="24"/>
          <w:szCs w:val="24"/>
        </w:rPr>
        <w:t>1,956 km²</w:t>
      </w:r>
      <w:r w:rsidRPr="006821F1">
        <w:rPr>
          <w:rFonts w:ascii="Times New Roman" w:hAnsi="Times New Roman" w:cs="Times New Roman"/>
          <w:sz w:val="24"/>
          <w:szCs w:val="24"/>
        </w:rPr>
        <w:t xml:space="preserve">; however, after raster alignment, masking, and consistent class coverage across multi-temporal datasets, the </w:t>
      </w:r>
      <w:r w:rsidRPr="006821F1">
        <w:rPr>
          <w:rFonts w:ascii="Times New Roman" w:hAnsi="Times New Roman" w:cs="Times New Roman"/>
          <w:b/>
          <w:bCs/>
          <w:sz w:val="24"/>
          <w:szCs w:val="24"/>
        </w:rPr>
        <w:t>effective analysis extent</w:t>
      </w:r>
      <w:r w:rsidRPr="006821F1">
        <w:rPr>
          <w:rFonts w:ascii="Times New Roman" w:hAnsi="Times New Roman" w:cs="Times New Roman"/>
          <w:sz w:val="24"/>
          <w:szCs w:val="24"/>
        </w:rPr>
        <w:t xml:space="preserve"> used in land-cover tabulation is </w:t>
      </w:r>
      <w:r w:rsidRPr="006821F1">
        <w:rPr>
          <w:rFonts w:ascii="Times New Roman" w:hAnsi="Times New Roman" w:cs="Times New Roman"/>
          <w:b/>
          <w:bCs/>
          <w:sz w:val="24"/>
          <w:szCs w:val="24"/>
        </w:rPr>
        <w:t>1,950 km²</w:t>
      </w:r>
      <w:r w:rsidRPr="006821F1">
        <w:rPr>
          <w:rFonts w:ascii="Times New Roman" w:hAnsi="Times New Roman" w:cs="Times New Roman"/>
          <w:sz w:val="24"/>
          <w:szCs w:val="24"/>
        </w:rPr>
        <w:t xml:space="preserve">. The Bolon watershed is a major water source for agriculture, settlements, and industry across areas including </w:t>
      </w:r>
      <w:proofErr w:type="spellStart"/>
      <w:r w:rsidRPr="006821F1">
        <w:rPr>
          <w:rFonts w:ascii="Times New Roman" w:hAnsi="Times New Roman" w:cs="Times New Roman"/>
          <w:sz w:val="24"/>
          <w:szCs w:val="24"/>
        </w:rPr>
        <w:t>Simalungun</w:t>
      </w:r>
      <w:proofErr w:type="spellEnd"/>
      <w:r w:rsidRPr="006821F1">
        <w:rPr>
          <w:rFonts w:ascii="Times New Roman" w:hAnsi="Times New Roman" w:cs="Times New Roman"/>
          <w:sz w:val="24"/>
          <w:szCs w:val="24"/>
        </w:rPr>
        <w:t xml:space="preserve"> and </w:t>
      </w:r>
      <w:proofErr w:type="spellStart"/>
      <w:r w:rsidRPr="006821F1">
        <w:rPr>
          <w:rFonts w:ascii="Times New Roman" w:hAnsi="Times New Roman" w:cs="Times New Roman"/>
          <w:sz w:val="24"/>
          <w:szCs w:val="24"/>
        </w:rPr>
        <w:t>Batu</w:t>
      </w:r>
      <w:proofErr w:type="spellEnd"/>
      <w:r w:rsidRPr="006821F1">
        <w:rPr>
          <w:rFonts w:ascii="Times New Roman" w:hAnsi="Times New Roman" w:cs="Times New Roman"/>
          <w:sz w:val="24"/>
          <w:szCs w:val="24"/>
        </w:rPr>
        <w:t xml:space="preserve"> Bara.</w:t>
      </w:r>
    </w:p>
    <w:p w14:paraId="74EFAB19" w14:textId="77777777" w:rsidR="000A62C2" w:rsidRDefault="000A62C2" w:rsidP="000A62C2">
      <w:pPr>
        <w:jc w:val="center"/>
        <w:rPr>
          <w:rFonts w:ascii="Times New Roman" w:hAnsi="Times New Roman" w:cs="Times New Roman"/>
          <w:b/>
          <w:bCs/>
          <w:sz w:val="24"/>
          <w:szCs w:val="24"/>
        </w:rPr>
      </w:pPr>
      <w:r>
        <w:rPr>
          <w:noProof/>
        </w:rPr>
        <w:lastRenderedPageBreak/>
        <w:drawing>
          <wp:inline distT="0" distB="0" distL="0" distR="0" wp14:anchorId="5935550A" wp14:editId="6E0C542B">
            <wp:extent cx="4326890" cy="30251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4326890" cy="3025140"/>
                    </a:xfrm>
                    <a:prstGeom prst="rect">
                      <a:avLst/>
                    </a:prstGeom>
                  </pic:spPr>
                </pic:pic>
              </a:graphicData>
            </a:graphic>
          </wp:inline>
        </w:drawing>
      </w:r>
    </w:p>
    <w:p w14:paraId="54836CB2" w14:textId="5AE09637" w:rsidR="006821F1" w:rsidRPr="006821F1" w:rsidRDefault="006821F1" w:rsidP="000A62C2">
      <w:pPr>
        <w:jc w:val="center"/>
        <w:rPr>
          <w:rFonts w:ascii="Times New Roman" w:hAnsi="Times New Roman" w:cs="Times New Roman"/>
          <w:sz w:val="24"/>
          <w:szCs w:val="24"/>
        </w:rPr>
      </w:pPr>
      <w:r w:rsidRPr="006821F1">
        <w:rPr>
          <w:rFonts w:ascii="Times New Roman" w:hAnsi="Times New Roman" w:cs="Times New Roman"/>
          <w:b/>
          <w:bCs/>
          <w:sz w:val="24"/>
          <w:szCs w:val="24"/>
        </w:rPr>
        <w:t>Figure 1.</w:t>
      </w:r>
      <w:r w:rsidRPr="006821F1">
        <w:rPr>
          <w:rFonts w:ascii="Times New Roman" w:hAnsi="Times New Roman" w:cs="Times New Roman"/>
          <w:sz w:val="24"/>
          <w:szCs w:val="24"/>
        </w:rPr>
        <w:t xml:space="preserve"> Location map of the Bolon River Watershed (DAS Bolon)</w:t>
      </w:r>
    </w:p>
    <w:p w14:paraId="50EDC80C"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2.2 Data and Data Sources</w:t>
      </w:r>
    </w:p>
    <w:p w14:paraId="4D2056F7"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This study uses both primary and secondary spatial datasets:</w:t>
      </w:r>
    </w:p>
    <w:p w14:paraId="6CB51D11" w14:textId="77777777" w:rsidR="006821F1" w:rsidRPr="006821F1" w:rsidRDefault="006821F1" w:rsidP="006821F1">
      <w:pPr>
        <w:numPr>
          <w:ilvl w:val="0"/>
          <w:numId w:val="1"/>
        </w:numPr>
        <w:jc w:val="both"/>
        <w:rPr>
          <w:rFonts w:ascii="Times New Roman" w:hAnsi="Times New Roman" w:cs="Times New Roman"/>
          <w:sz w:val="24"/>
          <w:szCs w:val="24"/>
        </w:rPr>
      </w:pPr>
      <w:r w:rsidRPr="006821F1">
        <w:rPr>
          <w:rFonts w:ascii="Times New Roman" w:hAnsi="Times New Roman" w:cs="Times New Roman"/>
          <w:b/>
          <w:bCs/>
          <w:sz w:val="24"/>
          <w:szCs w:val="24"/>
        </w:rPr>
        <w:t>Sentinel-2 imagery</w:t>
      </w:r>
      <w:r w:rsidRPr="006821F1">
        <w:rPr>
          <w:rFonts w:ascii="Times New Roman" w:hAnsi="Times New Roman" w:cs="Times New Roman"/>
          <w:sz w:val="24"/>
          <w:szCs w:val="24"/>
        </w:rPr>
        <w:t xml:space="preserve"> for land-cover mapping (2017, 2021, 2024).</w:t>
      </w:r>
    </w:p>
    <w:p w14:paraId="7B28FF1F" w14:textId="77777777" w:rsidR="006821F1" w:rsidRPr="006821F1" w:rsidRDefault="006821F1" w:rsidP="006821F1">
      <w:pPr>
        <w:numPr>
          <w:ilvl w:val="0"/>
          <w:numId w:val="1"/>
        </w:numPr>
        <w:jc w:val="both"/>
        <w:rPr>
          <w:rFonts w:ascii="Times New Roman" w:hAnsi="Times New Roman" w:cs="Times New Roman"/>
          <w:sz w:val="24"/>
          <w:szCs w:val="24"/>
        </w:rPr>
      </w:pPr>
      <w:r w:rsidRPr="006821F1">
        <w:rPr>
          <w:rFonts w:ascii="Times New Roman" w:hAnsi="Times New Roman" w:cs="Times New Roman"/>
          <w:b/>
          <w:bCs/>
          <w:sz w:val="24"/>
          <w:szCs w:val="24"/>
        </w:rPr>
        <w:t>Digital Elevation Model (DEM)</w:t>
      </w:r>
      <w:r w:rsidRPr="006821F1">
        <w:rPr>
          <w:rFonts w:ascii="Times New Roman" w:hAnsi="Times New Roman" w:cs="Times New Roman"/>
          <w:sz w:val="24"/>
          <w:szCs w:val="24"/>
        </w:rPr>
        <w:t xml:space="preserve"> for slope derivation.</w:t>
      </w:r>
    </w:p>
    <w:p w14:paraId="6ED04278" w14:textId="77777777" w:rsidR="006821F1" w:rsidRPr="006821F1" w:rsidRDefault="006821F1" w:rsidP="006821F1">
      <w:pPr>
        <w:numPr>
          <w:ilvl w:val="0"/>
          <w:numId w:val="1"/>
        </w:numPr>
        <w:jc w:val="both"/>
        <w:rPr>
          <w:rFonts w:ascii="Times New Roman" w:hAnsi="Times New Roman" w:cs="Times New Roman"/>
          <w:sz w:val="24"/>
          <w:szCs w:val="24"/>
        </w:rPr>
      </w:pPr>
      <w:r w:rsidRPr="006821F1">
        <w:rPr>
          <w:rFonts w:ascii="Times New Roman" w:hAnsi="Times New Roman" w:cs="Times New Roman"/>
          <w:b/>
          <w:bCs/>
          <w:sz w:val="24"/>
          <w:szCs w:val="24"/>
        </w:rPr>
        <w:t>Rainfall data</w:t>
      </w:r>
      <w:r w:rsidRPr="006821F1">
        <w:rPr>
          <w:rFonts w:ascii="Times New Roman" w:hAnsi="Times New Roman" w:cs="Times New Roman"/>
          <w:sz w:val="24"/>
          <w:szCs w:val="24"/>
        </w:rPr>
        <w:t xml:space="preserve"> from local hydrological stations.</w:t>
      </w:r>
    </w:p>
    <w:p w14:paraId="4692D953" w14:textId="77777777" w:rsidR="006821F1" w:rsidRPr="006821F1" w:rsidRDefault="006821F1" w:rsidP="006821F1">
      <w:pPr>
        <w:numPr>
          <w:ilvl w:val="0"/>
          <w:numId w:val="1"/>
        </w:numPr>
        <w:jc w:val="both"/>
        <w:rPr>
          <w:rFonts w:ascii="Times New Roman" w:hAnsi="Times New Roman" w:cs="Times New Roman"/>
          <w:sz w:val="24"/>
          <w:szCs w:val="24"/>
        </w:rPr>
      </w:pPr>
      <w:r w:rsidRPr="006821F1">
        <w:rPr>
          <w:rFonts w:ascii="Times New Roman" w:hAnsi="Times New Roman" w:cs="Times New Roman"/>
          <w:sz w:val="24"/>
          <w:szCs w:val="24"/>
        </w:rPr>
        <w:t>Supporting soil and hydrological datasets where available (e.g., soil texture).</w:t>
      </w:r>
    </w:p>
    <w:p w14:paraId="0AA81601"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2.3 Land-Cover Change Prediction (MOLUSCE: CA–ANN)</w:t>
      </w:r>
    </w:p>
    <w:p w14:paraId="6D60D776"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Land-cover change prediction was performed using QGIS with the MOLUSCE plugin. The model integrates </w:t>
      </w:r>
      <w:r w:rsidRPr="006821F1">
        <w:rPr>
          <w:rFonts w:ascii="Times New Roman" w:hAnsi="Times New Roman" w:cs="Times New Roman"/>
          <w:b/>
          <w:bCs/>
          <w:sz w:val="24"/>
          <w:szCs w:val="24"/>
        </w:rPr>
        <w:t>Cellular Automata (CA)</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Artificial Neural Networks (ANN)</w:t>
      </w:r>
      <w:r w:rsidRPr="006821F1">
        <w:rPr>
          <w:rFonts w:ascii="Times New Roman" w:hAnsi="Times New Roman" w:cs="Times New Roman"/>
          <w:sz w:val="24"/>
          <w:szCs w:val="24"/>
        </w:rPr>
        <w:t xml:space="preserve"> (including MLP in MOLUSCE workflows) to simulate land-cover dynamics and project future patterns for 2024, 2029, and 2033.</w:t>
      </w:r>
    </w:p>
    <w:p w14:paraId="3736C56D"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A conceptual CA transition formulation can be expressed as:</w:t>
      </w:r>
    </w:p>
    <w:p w14:paraId="4B40AE4E" w14:textId="58C027FE" w:rsidR="006821F1" w:rsidRPr="006821F1" w:rsidRDefault="00C3479B" w:rsidP="006821F1">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rPr>
            <m:t>f</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Times New Roman" w:hAnsi="Times New Roman" w:cs="Times New Roman"/>
              <w:sz w:val="24"/>
              <w:szCs w:val="24"/>
            </w:rPr>
            <w:br/>
          </m:r>
        </m:oMath>
      </m:oMathPara>
    </w:p>
    <w:p w14:paraId="0B6BB9A9"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where:</w:t>
      </w:r>
    </w:p>
    <w:p w14:paraId="3EBE3B45" w14:textId="38975D5C" w:rsidR="006821F1" w:rsidRPr="006821F1" w:rsidRDefault="00C3479B" w:rsidP="006821F1">
      <w:pPr>
        <w:numPr>
          <w:ilvl w:val="0"/>
          <w:numId w:val="2"/>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oMath>
      <w:r w:rsidR="006821F1" w:rsidRPr="006821F1">
        <w:rPr>
          <w:rFonts w:ascii="Times New Roman" w:hAnsi="Times New Roman" w:cs="Times New Roman"/>
          <w:sz w:val="24"/>
          <w:szCs w:val="24"/>
        </w:rPr>
        <w:t xml:space="preserve">is the cell state at time </w:t>
      </w:r>
      <m:oMath>
        <m:r>
          <w:rPr>
            <w:rFonts w:ascii="Cambria Math" w:hAnsi="Cambria Math" w:cs="Times New Roman"/>
            <w:sz w:val="24"/>
            <w:szCs w:val="24"/>
          </w:rPr>
          <m:t>t</m:t>
        </m:r>
      </m:oMath>
      <w:r w:rsidR="006821F1" w:rsidRPr="006821F1">
        <w:rPr>
          <w:rFonts w:ascii="Times New Roman" w:hAnsi="Times New Roman" w:cs="Times New Roman"/>
          <w:sz w:val="24"/>
          <w:szCs w:val="24"/>
        </w:rPr>
        <w:t>,</w:t>
      </w:r>
    </w:p>
    <w:p w14:paraId="22F4ACB8" w14:textId="1AF457C7" w:rsidR="006821F1" w:rsidRPr="006821F1" w:rsidRDefault="00C3479B" w:rsidP="006821F1">
      <w:pPr>
        <w:numPr>
          <w:ilvl w:val="0"/>
          <w:numId w:val="2"/>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Cambria Math" w:hAnsi="Cambria Math" w:cs="Times New Roman"/>
                <w:sz w:val="24"/>
                <w:szCs w:val="24"/>
              </w:rPr>
              <m:t>+1</m:t>
            </m:r>
          </m:sub>
        </m:sSub>
      </m:oMath>
      <w:r w:rsidR="006821F1" w:rsidRPr="006821F1">
        <w:rPr>
          <w:rFonts w:ascii="Times New Roman" w:hAnsi="Times New Roman" w:cs="Times New Roman"/>
          <w:sz w:val="24"/>
          <w:szCs w:val="24"/>
        </w:rPr>
        <w:t xml:space="preserve">is the cell state at time </w:t>
      </w:r>
      <m:oMath>
        <m:r>
          <w:rPr>
            <w:rFonts w:ascii="Cambria Math" w:hAnsi="Cambria Math" w:cs="Times New Roman"/>
            <w:sz w:val="24"/>
            <w:szCs w:val="24"/>
          </w:rPr>
          <m:t>t</m:t>
        </m:r>
        <m:r>
          <w:rPr>
            <w:rFonts w:ascii="Cambria Math" w:hAnsi="Cambria Math" w:cs="Times New Roman"/>
            <w:sz w:val="24"/>
            <w:szCs w:val="24"/>
          </w:rPr>
          <m:t>+1</m:t>
        </m:r>
      </m:oMath>
      <w:r w:rsidR="006821F1" w:rsidRPr="006821F1">
        <w:rPr>
          <w:rFonts w:ascii="Times New Roman" w:hAnsi="Times New Roman" w:cs="Times New Roman"/>
          <w:sz w:val="24"/>
          <w:szCs w:val="24"/>
        </w:rPr>
        <w:t>,</w:t>
      </w:r>
    </w:p>
    <w:p w14:paraId="1F92E2D7" w14:textId="121AA3D7" w:rsidR="006821F1" w:rsidRPr="006821F1" w:rsidRDefault="00C3479B" w:rsidP="006821F1">
      <w:pPr>
        <w:numPr>
          <w:ilvl w:val="0"/>
          <w:numId w:val="2"/>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006821F1" w:rsidRPr="006821F1">
        <w:rPr>
          <w:rFonts w:ascii="Times New Roman" w:hAnsi="Times New Roman" w:cs="Times New Roman"/>
          <w:sz w:val="24"/>
          <w:szCs w:val="24"/>
        </w:rPr>
        <w:t>represents neighborhood influence,</w:t>
      </w:r>
    </w:p>
    <w:p w14:paraId="61151D55" w14:textId="22558E4A" w:rsidR="006821F1" w:rsidRPr="006821F1" w:rsidRDefault="006821F1" w:rsidP="006821F1">
      <w:pPr>
        <w:numPr>
          <w:ilvl w:val="0"/>
          <w:numId w:val="2"/>
        </w:numPr>
        <w:jc w:val="both"/>
        <w:rPr>
          <w:rFonts w:ascii="Times New Roman" w:hAnsi="Times New Roman" w:cs="Times New Roman"/>
          <w:sz w:val="24"/>
          <w:szCs w:val="24"/>
        </w:rPr>
      </w:pPr>
      <m:oMath>
        <m:r>
          <w:rPr>
            <w:rFonts w:ascii="Cambria Math" w:hAnsi="Cambria Math" w:cs="Times New Roman"/>
            <w:sz w:val="24"/>
            <w:szCs w:val="24"/>
          </w:rPr>
          <m:t>f</m:t>
        </m:r>
      </m:oMath>
      <w:r w:rsidRPr="006821F1">
        <w:rPr>
          <w:rFonts w:ascii="Times New Roman" w:hAnsi="Times New Roman" w:cs="Times New Roman"/>
          <w:sz w:val="24"/>
          <w:szCs w:val="24"/>
        </w:rPr>
        <w:t xml:space="preserve">is the transition function/rules governing change (Sugiarto, </w:t>
      </w:r>
      <w:proofErr w:type="gramStart"/>
      <w:r w:rsidRPr="006821F1">
        <w:rPr>
          <w:rFonts w:ascii="Times New Roman" w:hAnsi="Times New Roman" w:cs="Times New Roman"/>
          <w:sz w:val="24"/>
          <w:szCs w:val="24"/>
        </w:rPr>
        <w:t>2018).</w:t>
      </w:r>
      <w:proofErr w:type="gramEnd"/>
    </w:p>
    <w:p w14:paraId="02132DCF"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Model performance was assessed using the </w:t>
      </w:r>
      <w:r w:rsidRPr="006821F1">
        <w:rPr>
          <w:rFonts w:ascii="Times New Roman" w:hAnsi="Times New Roman" w:cs="Times New Roman"/>
          <w:b/>
          <w:bCs/>
          <w:sz w:val="24"/>
          <w:szCs w:val="24"/>
        </w:rPr>
        <w:t>Kappa Index</w:t>
      </w:r>
      <w:r w:rsidRPr="006821F1">
        <w:rPr>
          <w:rFonts w:ascii="Times New Roman" w:hAnsi="Times New Roman" w:cs="Times New Roman"/>
          <w:sz w:val="24"/>
          <w:szCs w:val="24"/>
        </w:rPr>
        <w:t>:</w:t>
      </w:r>
    </w:p>
    <w:p w14:paraId="34D10F34" w14:textId="71CF6E9F" w:rsidR="006821F1" w:rsidRPr="006821F1" w:rsidRDefault="006821F1" w:rsidP="006821F1">
      <w:pPr>
        <w:jc w:val="both"/>
        <w:rPr>
          <w:rFonts w:ascii="Times New Roman" w:hAnsi="Times New Roman" w:cs="Times New Roman"/>
          <w:sz w:val="24"/>
          <w:szCs w:val="24"/>
        </w:rPr>
      </w:pPr>
      <m:oMathPara>
        <m:oMath>
          <m:r>
            <w:rPr>
              <w:rFonts w:ascii="Cambria Math" w:hAnsi="Cambria Math" w:cs="Times New Roman"/>
              <w:sz w:val="24"/>
              <w:szCs w:val="24"/>
            </w:rPr>
            <w:lastRenderedPageBreak/>
            <m:t>κ=</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r>
            <m:rPr>
              <m:sty m:val="p"/>
            </m:rPr>
            <w:rPr>
              <w:rFonts w:ascii="Times New Roman" w:hAnsi="Times New Roman" w:cs="Times New Roman"/>
              <w:sz w:val="24"/>
              <w:szCs w:val="24"/>
            </w:rPr>
            <w:br/>
          </m:r>
        </m:oMath>
      </m:oMathPara>
    </w:p>
    <w:p w14:paraId="53410FCA"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where:</w:t>
      </w:r>
    </w:p>
    <w:p w14:paraId="02079752" w14:textId="63A9CE77" w:rsidR="006821F1" w:rsidRPr="006821F1" w:rsidRDefault="00C3479B" w:rsidP="006821F1">
      <w:pPr>
        <w:numPr>
          <w:ilvl w:val="0"/>
          <w:numId w:val="3"/>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oMath>
      <w:r w:rsidR="006821F1" w:rsidRPr="006821F1">
        <w:rPr>
          <w:rFonts w:ascii="Times New Roman" w:hAnsi="Times New Roman" w:cs="Times New Roman"/>
          <w:sz w:val="24"/>
          <w:szCs w:val="24"/>
        </w:rPr>
        <w:t>is observed agreement,</w:t>
      </w:r>
    </w:p>
    <w:p w14:paraId="7844DD95" w14:textId="50989A7B" w:rsidR="006821F1" w:rsidRPr="006821F1" w:rsidRDefault="00C3479B" w:rsidP="006821F1">
      <w:pPr>
        <w:numPr>
          <w:ilvl w:val="0"/>
          <w:numId w:val="3"/>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sidR="006821F1" w:rsidRPr="006821F1">
        <w:rPr>
          <w:rFonts w:ascii="Times New Roman" w:hAnsi="Times New Roman" w:cs="Times New Roman"/>
          <w:sz w:val="24"/>
          <w:szCs w:val="24"/>
        </w:rPr>
        <w:t>is expected agreement due to chance.</w:t>
      </w:r>
    </w:p>
    <w:p w14:paraId="04F59133"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2.4 Water-Use Zonation Analysis</w:t>
      </w:r>
    </w:p>
    <w:p w14:paraId="5BD00381"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After generating land-cover predictions, water-use zones were delineated by integrating three components: recharge areas, catchment function, and water availability.</w:t>
      </w:r>
    </w:p>
    <w:p w14:paraId="56234B9F"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(1) Recharge potential</w:t>
      </w:r>
      <w:r w:rsidRPr="006821F1">
        <w:rPr>
          <w:rFonts w:ascii="Times New Roman" w:hAnsi="Times New Roman" w:cs="Times New Roman"/>
          <w:sz w:val="24"/>
          <w:szCs w:val="24"/>
        </w:rPr>
        <w:t xml:space="preserve"> was derived from slope, rainfall, and soil texture:</w:t>
      </w:r>
    </w:p>
    <w:p w14:paraId="2318F1D9" w14:textId="4C7BE0AD" w:rsidR="006821F1" w:rsidRPr="006821F1" w:rsidRDefault="006821F1" w:rsidP="006821F1">
      <w:pPr>
        <w:jc w:val="both"/>
        <w:rPr>
          <w:rFonts w:ascii="Times New Roman" w:hAnsi="Times New Roman" w:cs="Times New Roman"/>
          <w:sz w:val="24"/>
          <w:szCs w:val="24"/>
        </w:rPr>
      </w:pPr>
      <m:oMathPara>
        <m:oMath>
          <m:r>
            <w:rPr>
              <w:rFonts w:ascii="Cambria Math" w:hAnsi="Cambria Math" w:cs="Times New Roman"/>
              <w:sz w:val="24"/>
              <w:szCs w:val="24"/>
            </w:rPr>
            <m:t>I=f(S,T,C)</m:t>
          </m:r>
          <m:r>
            <m:rPr>
              <m:sty m:val="p"/>
            </m:rPr>
            <w:rPr>
              <w:rFonts w:ascii="Times New Roman" w:hAnsi="Times New Roman" w:cs="Times New Roman"/>
              <w:sz w:val="24"/>
              <w:szCs w:val="24"/>
            </w:rPr>
            <w:br/>
          </m:r>
        </m:oMath>
      </m:oMathPara>
    </w:p>
    <w:p w14:paraId="0F02D891"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where:</w:t>
      </w:r>
    </w:p>
    <w:p w14:paraId="7B3AF822" w14:textId="5C40F43A" w:rsidR="006821F1" w:rsidRPr="006821F1"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I</m:t>
        </m:r>
      </m:oMath>
      <w:r w:rsidRPr="006821F1">
        <w:rPr>
          <w:rFonts w:ascii="Times New Roman" w:hAnsi="Times New Roman" w:cs="Times New Roman"/>
          <w:sz w:val="24"/>
          <w:szCs w:val="24"/>
        </w:rPr>
        <w:t>is recharge/infiltration potential,</w:t>
      </w:r>
    </w:p>
    <w:p w14:paraId="204E18CE" w14:textId="16B60EE2" w:rsidR="006821F1" w:rsidRPr="006821F1"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S</m:t>
        </m:r>
      </m:oMath>
      <w:r w:rsidRPr="006821F1">
        <w:rPr>
          <w:rFonts w:ascii="Times New Roman" w:hAnsi="Times New Roman" w:cs="Times New Roman"/>
          <w:sz w:val="24"/>
          <w:szCs w:val="24"/>
        </w:rPr>
        <w:t>is slope,</w:t>
      </w:r>
    </w:p>
    <w:p w14:paraId="6F1A5267" w14:textId="170B05B6" w:rsidR="006821F1" w:rsidRPr="006821F1"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T</m:t>
        </m:r>
      </m:oMath>
      <w:r w:rsidRPr="006821F1">
        <w:rPr>
          <w:rFonts w:ascii="Times New Roman" w:hAnsi="Times New Roman" w:cs="Times New Roman"/>
          <w:sz w:val="24"/>
          <w:szCs w:val="24"/>
        </w:rPr>
        <w:t>is soil texture,</w:t>
      </w:r>
    </w:p>
    <w:p w14:paraId="5FD822C4" w14:textId="5FBA1B13" w:rsidR="006821F1" w:rsidRPr="006821F1"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C</m:t>
        </m:r>
      </m:oMath>
      <w:r w:rsidRPr="006821F1">
        <w:rPr>
          <w:rFonts w:ascii="Times New Roman" w:hAnsi="Times New Roman" w:cs="Times New Roman"/>
          <w:sz w:val="24"/>
          <w:szCs w:val="24"/>
        </w:rPr>
        <w:t>is rainfall (Prahasta, 2014).</w:t>
      </w:r>
    </w:p>
    <w:p w14:paraId="01BAA208"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(2) Catchment function</w:t>
      </w:r>
      <w:r w:rsidRPr="006821F1">
        <w:rPr>
          <w:rFonts w:ascii="Times New Roman" w:hAnsi="Times New Roman" w:cs="Times New Roman"/>
          <w:sz w:val="24"/>
          <w:szCs w:val="24"/>
        </w:rPr>
        <w:t xml:space="preserve"> was assessed using rainfall and land-cover characteristics affecting runoff:</w:t>
      </w:r>
    </w:p>
    <w:p w14:paraId="6FE6C4CD" w14:textId="57FB1485" w:rsidR="006821F1" w:rsidRPr="006821F1" w:rsidRDefault="006821F1" w:rsidP="006821F1">
      <w:pPr>
        <w:jc w:val="both"/>
        <w:rPr>
          <w:rFonts w:ascii="Times New Roman" w:hAnsi="Times New Roman" w:cs="Times New Roman"/>
          <w:sz w:val="24"/>
          <w:szCs w:val="24"/>
        </w:rPr>
      </w:pPr>
      <m:oMathPara>
        <m:oMath>
          <m:r>
            <w:rPr>
              <w:rFonts w:ascii="Cambria Math" w:hAnsi="Cambria Math" w:cs="Times New Roman"/>
              <w:sz w:val="24"/>
              <w:szCs w:val="24"/>
            </w:rPr>
            <m:t>A=</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T</m:t>
              </m:r>
            </m:sup>
            <m:e>
              <m:r>
                <w:rPr>
                  <w:rFonts w:ascii="Cambria Math" w:hAnsi="Cambria Math" w:cs="Times New Roman"/>
                  <w:sz w:val="24"/>
                  <w:szCs w:val="24"/>
                </w:rPr>
                <m:t>R(t)⋅C(t)</m:t>
              </m:r>
              <m:r>
                <m:rPr>
                  <m:nor/>
                </m:rPr>
                <w:rPr>
                  <w:rFonts w:ascii="Times New Roman" w:hAnsi="Times New Roman" w:cs="Times New Roman"/>
                  <w:sz w:val="24"/>
                  <w:szCs w:val="24"/>
                </w:rPr>
                <m:t> </m:t>
              </m:r>
              <m:r>
                <w:rPr>
                  <w:rFonts w:ascii="Cambria Math" w:hAnsi="Cambria Math" w:cs="Times New Roman"/>
                  <w:sz w:val="24"/>
                  <w:szCs w:val="24"/>
                </w:rPr>
                <m:t>dt</m:t>
              </m:r>
            </m:e>
          </m:nary>
          <m:r>
            <m:rPr>
              <m:sty m:val="p"/>
            </m:rPr>
            <w:rPr>
              <w:rFonts w:ascii="Times New Roman" w:hAnsi="Times New Roman" w:cs="Times New Roman"/>
              <w:sz w:val="24"/>
              <w:szCs w:val="24"/>
            </w:rPr>
            <w:br/>
          </m:r>
        </m:oMath>
      </m:oMathPara>
    </w:p>
    <w:p w14:paraId="0318D9A6"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where:</w:t>
      </w:r>
    </w:p>
    <w:p w14:paraId="6B62725E" w14:textId="357D5F12" w:rsidR="006821F1" w:rsidRPr="006821F1" w:rsidRDefault="006821F1" w:rsidP="006821F1">
      <w:pPr>
        <w:numPr>
          <w:ilvl w:val="0"/>
          <w:numId w:val="5"/>
        </w:numPr>
        <w:jc w:val="both"/>
        <w:rPr>
          <w:rFonts w:ascii="Times New Roman" w:hAnsi="Times New Roman" w:cs="Times New Roman"/>
          <w:sz w:val="24"/>
          <w:szCs w:val="24"/>
        </w:rPr>
      </w:pPr>
      <m:oMath>
        <m:r>
          <w:rPr>
            <w:rFonts w:ascii="Cambria Math" w:hAnsi="Cambria Math" w:cs="Times New Roman"/>
            <w:sz w:val="24"/>
            <w:szCs w:val="24"/>
          </w:rPr>
          <m:t>A</m:t>
        </m:r>
      </m:oMath>
      <w:r w:rsidRPr="006821F1">
        <w:rPr>
          <w:rFonts w:ascii="Times New Roman" w:hAnsi="Times New Roman" w:cs="Times New Roman"/>
          <w:sz w:val="24"/>
          <w:szCs w:val="24"/>
        </w:rPr>
        <w:t>denotes catchment contribution (conceptual),</w:t>
      </w:r>
    </w:p>
    <w:p w14:paraId="3ACA81C7" w14:textId="712CD798" w:rsidR="006821F1" w:rsidRPr="006821F1" w:rsidRDefault="006821F1" w:rsidP="006821F1">
      <w:pPr>
        <w:numPr>
          <w:ilvl w:val="0"/>
          <w:numId w:val="5"/>
        </w:numPr>
        <w:jc w:val="both"/>
        <w:rPr>
          <w:rFonts w:ascii="Times New Roman" w:hAnsi="Times New Roman" w:cs="Times New Roman"/>
          <w:sz w:val="24"/>
          <w:szCs w:val="24"/>
        </w:rPr>
      </w:pPr>
      <m:oMath>
        <m:r>
          <w:rPr>
            <w:rFonts w:ascii="Cambria Math" w:hAnsi="Cambria Math" w:cs="Times New Roman"/>
            <w:sz w:val="24"/>
            <w:szCs w:val="24"/>
          </w:rPr>
          <m:t>R(t)</m:t>
        </m:r>
      </m:oMath>
      <w:r w:rsidRPr="006821F1">
        <w:rPr>
          <w:rFonts w:ascii="Times New Roman" w:hAnsi="Times New Roman" w:cs="Times New Roman"/>
          <w:sz w:val="24"/>
          <w:szCs w:val="24"/>
        </w:rPr>
        <w:t xml:space="preserve">is rainfall at time </w:t>
      </w:r>
      <m:oMath>
        <m:r>
          <w:rPr>
            <w:rFonts w:ascii="Cambria Math" w:hAnsi="Cambria Math" w:cs="Times New Roman"/>
            <w:sz w:val="24"/>
            <w:szCs w:val="24"/>
          </w:rPr>
          <m:t>t</m:t>
        </m:r>
      </m:oMath>
      <w:r w:rsidRPr="006821F1">
        <w:rPr>
          <w:rFonts w:ascii="Times New Roman" w:hAnsi="Times New Roman" w:cs="Times New Roman"/>
          <w:sz w:val="24"/>
          <w:szCs w:val="24"/>
        </w:rPr>
        <w:t>,</w:t>
      </w:r>
    </w:p>
    <w:p w14:paraId="05E182FE" w14:textId="6FC90FD8" w:rsidR="006821F1" w:rsidRPr="006821F1" w:rsidRDefault="006821F1" w:rsidP="006821F1">
      <w:pPr>
        <w:numPr>
          <w:ilvl w:val="0"/>
          <w:numId w:val="5"/>
        </w:numPr>
        <w:jc w:val="both"/>
        <w:rPr>
          <w:rFonts w:ascii="Times New Roman" w:hAnsi="Times New Roman" w:cs="Times New Roman"/>
          <w:sz w:val="24"/>
          <w:szCs w:val="24"/>
        </w:rPr>
      </w:pPr>
      <m:oMath>
        <m:r>
          <w:rPr>
            <w:rFonts w:ascii="Cambria Math" w:hAnsi="Cambria Math" w:cs="Times New Roman"/>
            <w:sz w:val="24"/>
            <w:szCs w:val="24"/>
          </w:rPr>
          <m:t>C(t)</m:t>
        </m:r>
      </m:oMath>
      <w:r w:rsidRPr="006821F1">
        <w:rPr>
          <w:rFonts w:ascii="Times New Roman" w:hAnsi="Times New Roman" w:cs="Times New Roman"/>
          <w:sz w:val="24"/>
          <w:szCs w:val="24"/>
        </w:rPr>
        <w:t xml:space="preserve">is the land-cover coefficient at time </w:t>
      </w:r>
      <m:oMath>
        <m:r>
          <w:rPr>
            <w:rFonts w:ascii="Cambria Math" w:hAnsi="Cambria Math" w:cs="Times New Roman"/>
            <w:sz w:val="24"/>
            <w:szCs w:val="24"/>
          </w:rPr>
          <m:t>t</m:t>
        </m:r>
      </m:oMath>
      <w:r w:rsidRPr="006821F1">
        <w:rPr>
          <w:rFonts w:ascii="Times New Roman" w:hAnsi="Times New Roman" w:cs="Times New Roman"/>
          <w:sz w:val="24"/>
          <w:szCs w:val="24"/>
        </w:rPr>
        <w:t>.</w:t>
      </w:r>
    </w:p>
    <w:p w14:paraId="376AF9A1"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2.5 Spatial-Plan Consistency (RTRW Overlay)</w:t>
      </w:r>
    </w:p>
    <w:p w14:paraId="1DF7678A"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Zonation outputs were compared against RTRW spatial allocations through overlay analysis to identify mismatches and potential land–water conflicts. A weighted suitability score can be expressed as:</w:t>
      </w:r>
    </w:p>
    <w:p w14:paraId="374BC8A3" w14:textId="0B022B20" w:rsidR="006821F1" w:rsidRPr="006821F1" w:rsidRDefault="00C3479B" w:rsidP="006821F1">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m:rPr>
              <m:sty m:val="p"/>
            </m:rPr>
            <w:rPr>
              <w:rFonts w:ascii="Times New Roman" w:hAnsi="Times New Roman" w:cs="Times New Roman"/>
              <w:sz w:val="24"/>
              <w:szCs w:val="24"/>
            </w:rPr>
            <w:br/>
          </m:r>
        </m:oMath>
      </m:oMathPara>
    </w:p>
    <w:p w14:paraId="715CF532"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lastRenderedPageBreak/>
        <w:t>where:</w:t>
      </w:r>
    </w:p>
    <w:p w14:paraId="16377328" w14:textId="0BFA9BE9" w:rsidR="006821F1" w:rsidRPr="006821F1" w:rsidRDefault="00C3479B" w:rsidP="006821F1">
      <w:pPr>
        <w:numPr>
          <w:ilvl w:val="0"/>
          <w:numId w:val="6"/>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006821F1" w:rsidRPr="006821F1">
        <w:rPr>
          <w:rFonts w:ascii="Times New Roman" w:hAnsi="Times New Roman" w:cs="Times New Roman"/>
          <w:sz w:val="24"/>
          <w:szCs w:val="24"/>
        </w:rPr>
        <w:t xml:space="preserve">is the suitability score at time </w:t>
      </w:r>
      <m:oMath>
        <m:r>
          <w:rPr>
            <w:rFonts w:ascii="Cambria Math" w:hAnsi="Cambria Math" w:cs="Times New Roman"/>
            <w:sz w:val="24"/>
            <w:szCs w:val="24"/>
          </w:rPr>
          <m:t>t</m:t>
        </m:r>
      </m:oMath>
      <w:r w:rsidR="006821F1" w:rsidRPr="006821F1">
        <w:rPr>
          <w:rFonts w:ascii="Times New Roman" w:hAnsi="Times New Roman" w:cs="Times New Roman"/>
          <w:sz w:val="24"/>
          <w:szCs w:val="24"/>
        </w:rPr>
        <w:t>,</w:t>
      </w:r>
    </w:p>
    <w:p w14:paraId="68497FE6" w14:textId="67F16AD3" w:rsidR="006821F1" w:rsidRPr="006821F1" w:rsidRDefault="00C3479B" w:rsidP="006821F1">
      <w:pPr>
        <w:numPr>
          <w:ilvl w:val="0"/>
          <w:numId w:val="6"/>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6821F1" w:rsidRPr="006821F1">
        <w:rPr>
          <w:rFonts w:ascii="Times New Roman" w:hAnsi="Times New Roman" w:cs="Times New Roman"/>
          <w:sz w:val="24"/>
          <w:szCs w:val="24"/>
        </w:rPr>
        <w:t xml:space="preserve">is the weight of parameter </w:t>
      </w:r>
      <m:oMath>
        <m:r>
          <w:rPr>
            <w:rFonts w:ascii="Cambria Math" w:hAnsi="Cambria Math" w:cs="Times New Roman"/>
            <w:sz w:val="24"/>
            <w:szCs w:val="24"/>
          </w:rPr>
          <m:t>i</m:t>
        </m:r>
      </m:oMath>
      <w:r w:rsidR="006821F1" w:rsidRPr="006821F1">
        <w:rPr>
          <w:rFonts w:ascii="Times New Roman" w:hAnsi="Times New Roman" w:cs="Times New Roman"/>
          <w:sz w:val="24"/>
          <w:szCs w:val="24"/>
        </w:rPr>
        <w:t>,</w:t>
      </w:r>
    </w:p>
    <w:p w14:paraId="66BC8780" w14:textId="237CE325" w:rsidR="006821F1" w:rsidRPr="006821F1" w:rsidRDefault="00C3479B" w:rsidP="006821F1">
      <w:pPr>
        <w:numPr>
          <w:ilvl w:val="0"/>
          <w:numId w:val="6"/>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006821F1" w:rsidRPr="006821F1">
        <w:rPr>
          <w:rFonts w:ascii="Times New Roman" w:hAnsi="Times New Roman" w:cs="Times New Roman"/>
          <w:sz w:val="24"/>
          <w:szCs w:val="24"/>
        </w:rPr>
        <w:t xml:space="preserve">is the area meeting parameter </w:t>
      </w:r>
      <m:oMath>
        <m:r>
          <w:rPr>
            <w:rFonts w:ascii="Cambria Math" w:hAnsi="Cambria Math" w:cs="Times New Roman"/>
            <w:sz w:val="24"/>
            <w:szCs w:val="24"/>
          </w:rPr>
          <m:t>i</m:t>
        </m:r>
      </m:oMath>
      <w:r w:rsidR="006821F1" w:rsidRPr="006821F1">
        <w:rPr>
          <w:rFonts w:ascii="Times New Roman" w:hAnsi="Times New Roman" w:cs="Times New Roman"/>
          <w:sz w:val="24"/>
          <w:szCs w:val="24"/>
        </w:rPr>
        <w:t>.</w:t>
      </w:r>
    </w:p>
    <w:p w14:paraId="69A71762"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2.6 Data Analysis</w:t>
      </w:r>
    </w:p>
    <w:p w14:paraId="4A38FB4B"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Outputs were evaluated using descriptive statistics and spatial analysis (map-based interpretation, tabulation of class changes, and overlay-based consistency evaluation). The results were synthesized into policy-relevant recommendations for watershed management.</w:t>
      </w:r>
    </w:p>
    <w:p w14:paraId="070D4D48" w14:textId="352B66FA" w:rsidR="006821F1" w:rsidRPr="006821F1" w:rsidRDefault="006821F1" w:rsidP="006821F1">
      <w:pPr>
        <w:jc w:val="both"/>
        <w:rPr>
          <w:rFonts w:ascii="Times New Roman" w:hAnsi="Times New Roman" w:cs="Times New Roman"/>
          <w:sz w:val="24"/>
          <w:szCs w:val="24"/>
        </w:rPr>
      </w:pPr>
    </w:p>
    <w:p w14:paraId="245A7F40"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 Results and Discussion</w:t>
      </w:r>
    </w:p>
    <w:p w14:paraId="3ED087A7"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3.1 Land-Cover Dynamics (2017–2024)</w:t>
      </w:r>
    </w:p>
    <w:p w14:paraId="60F0DD7E"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Land-cover mapping using Sentinel-2 imagery indicates significant conversion from </w:t>
      </w:r>
      <w:r w:rsidRPr="006821F1">
        <w:rPr>
          <w:rFonts w:ascii="Times New Roman" w:hAnsi="Times New Roman" w:cs="Times New Roman"/>
          <w:b/>
          <w:bCs/>
          <w:sz w:val="24"/>
          <w:szCs w:val="24"/>
        </w:rPr>
        <w:t>forest</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wet agricultural land</w:t>
      </w:r>
      <w:r w:rsidRPr="006821F1">
        <w:rPr>
          <w:rFonts w:ascii="Times New Roman" w:hAnsi="Times New Roman" w:cs="Times New Roman"/>
          <w:sz w:val="24"/>
          <w:szCs w:val="24"/>
        </w:rPr>
        <w:t xml:space="preserve"> toward </w:t>
      </w:r>
      <w:r w:rsidRPr="006821F1">
        <w:rPr>
          <w:rFonts w:ascii="Times New Roman" w:hAnsi="Times New Roman" w:cs="Times New Roman"/>
          <w:b/>
          <w:bCs/>
          <w:sz w:val="24"/>
          <w:szCs w:val="24"/>
        </w:rPr>
        <w:t>plantations</w:t>
      </w:r>
      <w:r w:rsidRPr="006821F1">
        <w:rPr>
          <w:rFonts w:ascii="Times New Roman" w:hAnsi="Times New Roman" w:cs="Times New Roman"/>
          <w:sz w:val="24"/>
          <w:szCs w:val="24"/>
        </w:rPr>
        <w:t xml:space="preserve">, </w:t>
      </w:r>
      <w:r w:rsidRPr="006821F1">
        <w:rPr>
          <w:rFonts w:ascii="Times New Roman" w:hAnsi="Times New Roman" w:cs="Times New Roman"/>
          <w:b/>
          <w:bCs/>
          <w:sz w:val="24"/>
          <w:szCs w:val="24"/>
        </w:rPr>
        <w:t>built-up land</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bare/unused land</w:t>
      </w:r>
      <w:r w:rsidRPr="006821F1">
        <w:rPr>
          <w:rFonts w:ascii="Times New Roman" w:hAnsi="Times New Roman" w:cs="Times New Roman"/>
          <w:sz w:val="24"/>
          <w:szCs w:val="24"/>
        </w:rPr>
        <w:t>. This pattern reflects intensifying land-use pressure within the watershed and suggests declining hydrological buffering capacity.</w:t>
      </w:r>
    </w:p>
    <w:p w14:paraId="343A8B2A" w14:textId="77777777" w:rsidR="000A62C2" w:rsidRDefault="000A62C2" w:rsidP="006821F1">
      <w:pPr>
        <w:jc w:val="both"/>
        <w:rPr>
          <w:rFonts w:ascii="Times New Roman" w:hAnsi="Times New Roman" w:cs="Times New Roman"/>
          <w:b/>
          <w:bCs/>
          <w:sz w:val="24"/>
          <w:szCs w:val="24"/>
        </w:rPr>
      </w:pPr>
      <w:r>
        <w:rPr>
          <w:noProof/>
        </w:rPr>
        <w:drawing>
          <wp:inline distT="0" distB="0" distL="0" distR="0" wp14:anchorId="74CBD595" wp14:editId="1F6E1DA1">
            <wp:extent cx="4533900" cy="3208318"/>
            <wp:effectExtent l="0" t="0" r="0" b="0"/>
            <wp:docPr id="70"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A map of a country&#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4210" cy="3236843"/>
                    </a:xfrm>
                    <a:prstGeom prst="rect">
                      <a:avLst/>
                    </a:prstGeom>
                  </pic:spPr>
                </pic:pic>
              </a:graphicData>
            </a:graphic>
          </wp:inline>
        </w:drawing>
      </w:r>
    </w:p>
    <w:p w14:paraId="3932D815" w14:textId="77777777" w:rsidR="000A62C2"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Figure 2.</w:t>
      </w:r>
      <w:r w:rsidRPr="006821F1">
        <w:rPr>
          <w:rFonts w:ascii="Times New Roman" w:hAnsi="Times New Roman" w:cs="Times New Roman"/>
          <w:sz w:val="24"/>
          <w:szCs w:val="24"/>
        </w:rPr>
        <w:t xml:space="preserve"> Land cover map (2017)</w:t>
      </w:r>
    </w:p>
    <w:p w14:paraId="7F1F4172" w14:textId="5A8A1783" w:rsidR="000A62C2" w:rsidRPr="000A62C2" w:rsidRDefault="000A62C2" w:rsidP="006821F1">
      <w:pPr>
        <w:jc w:val="both"/>
        <w:rPr>
          <w:rFonts w:ascii="Times New Roman" w:hAnsi="Times New Roman" w:cs="Times New Roman"/>
          <w:b/>
          <w:bCs/>
          <w:sz w:val="24"/>
          <w:szCs w:val="24"/>
        </w:rPr>
      </w:pPr>
      <w:r>
        <w:rPr>
          <w:noProof/>
        </w:rPr>
        <w:lastRenderedPageBreak/>
        <w:drawing>
          <wp:inline distT="0" distB="0" distL="0" distR="0" wp14:anchorId="650EAB9B" wp14:editId="3F64F740">
            <wp:extent cx="4724257" cy="3343275"/>
            <wp:effectExtent l="0" t="0" r="635" b="0"/>
            <wp:docPr id="9"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map of a country&#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664" cy="3379655"/>
                    </a:xfrm>
                    <a:prstGeom prst="rect">
                      <a:avLst/>
                    </a:prstGeom>
                  </pic:spPr>
                </pic:pic>
              </a:graphicData>
            </a:graphic>
          </wp:inline>
        </w:drawing>
      </w:r>
      <w:r w:rsidR="006821F1" w:rsidRPr="006821F1">
        <w:rPr>
          <w:rFonts w:ascii="Times New Roman" w:hAnsi="Times New Roman" w:cs="Times New Roman"/>
          <w:sz w:val="24"/>
          <w:szCs w:val="24"/>
        </w:rPr>
        <w:br/>
      </w:r>
      <w:r w:rsidR="006821F1" w:rsidRPr="006821F1">
        <w:rPr>
          <w:rFonts w:ascii="Times New Roman" w:hAnsi="Times New Roman" w:cs="Times New Roman"/>
          <w:b/>
          <w:bCs/>
          <w:sz w:val="24"/>
          <w:szCs w:val="24"/>
        </w:rPr>
        <w:t>Figure 3.</w:t>
      </w:r>
      <w:r w:rsidR="006821F1" w:rsidRPr="006821F1">
        <w:rPr>
          <w:rFonts w:ascii="Times New Roman" w:hAnsi="Times New Roman" w:cs="Times New Roman"/>
          <w:sz w:val="24"/>
          <w:szCs w:val="24"/>
        </w:rPr>
        <w:t xml:space="preserve"> Land cover map (2021)</w:t>
      </w:r>
    </w:p>
    <w:p w14:paraId="136E2416" w14:textId="185E3DAF" w:rsidR="006821F1" w:rsidRDefault="000A62C2" w:rsidP="006821F1">
      <w:pPr>
        <w:jc w:val="both"/>
        <w:rPr>
          <w:rFonts w:ascii="Times New Roman" w:hAnsi="Times New Roman" w:cs="Times New Roman"/>
          <w:sz w:val="24"/>
          <w:szCs w:val="24"/>
        </w:rPr>
      </w:pPr>
      <w:r>
        <w:rPr>
          <w:noProof/>
        </w:rPr>
        <w:drawing>
          <wp:inline distT="0" distB="0" distL="0" distR="0" wp14:anchorId="72710FC1" wp14:editId="343DBC13">
            <wp:extent cx="4629150" cy="3275213"/>
            <wp:effectExtent l="0" t="0" r="0" b="1905"/>
            <wp:docPr id="10" name="Picture 1"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map of the middle east&#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9636" cy="3303858"/>
                    </a:xfrm>
                    <a:prstGeom prst="rect">
                      <a:avLst/>
                    </a:prstGeom>
                  </pic:spPr>
                </pic:pic>
              </a:graphicData>
            </a:graphic>
          </wp:inline>
        </w:drawing>
      </w:r>
      <w:r w:rsidR="006821F1" w:rsidRPr="006821F1">
        <w:rPr>
          <w:rFonts w:ascii="Times New Roman" w:hAnsi="Times New Roman" w:cs="Times New Roman"/>
          <w:sz w:val="24"/>
          <w:szCs w:val="24"/>
        </w:rPr>
        <w:br/>
      </w:r>
      <w:r w:rsidR="006821F1" w:rsidRPr="006821F1">
        <w:rPr>
          <w:rFonts w:ascii="Times New Roman" w:hAnsi="Times New Roman" w:cs="Times New Roman"/>
          <w:b/>
          <w:bCs/>
          <w:sz w:val="24"/>
          <w:szCs w:val="24"/>
        </w:rPr>
        <w:t>Figure 4.</w:t>
      </w:r>
      <w:r w:rsidR="006821F1" w:rsidRPr="006821F1">
        <w:rPr>
          <w:rFonts w:ascii="Times New Roman" w:hAnsi="Times New Roman" w:cs="Times New Roman"/>
          <w:sz w:val="24"/>
          <w:szCs w:val="24"/>
        </w:rPr>
        <w:t xml:space="preserve"> Land cover map (2024)</w:t>
      </w:r>
    </w:p>
    <w:p w14:paraId="7C5C1711" w14:textId="77777777" w:rsidR="000A62C2" w:rsidRDefault="000A62C2" w:rsidP="006821F1">
      <w:pPr>
        <w:jc w:val="both"/>
        <w:rPr>
          <w:rFonts w:ascii="Times New Roman" w:hAnsi="Times New Roman" w:cs="Times New Roman"/>
          <w:sz w:val="24"/>
          <w:szCs w:val="24"/>
        </w:rPr>
      </w:pPr>
    </w:p>
    <w:p w14:paraId="084E0BF0" w14:textId="77777777" w:rsidR="000A62C2" w:rsidRDefault="000A62C2" w:rsidP="006821F1">
      <w:pPr>
        <w:jc w:val="both"/>
        <w:rPr>
          <w:rFonts w:ascii="Times New Roman" w:hAnsi="Times New Roman" w:cs="Times New Roman"/>
          <w:sz w:val="24"/>
          <w:szCs w:val="24"/>
        </w:rPr>
      </w:pPr>
    </w:p>
    <w:p w14:paraId="0E1C68EF" w14:textId="77777777" w:rsidR="000A62C2" w:rsidRDefault="000A62C2" w:rsidP="006821F1">
      <w:pPr>
        <w:jc w:val="both"/>
        <w:rPr>
          <w:rFonts w:ascii="Times New Roman" w:hAnsi="Times New Roman" w:cs="Times New Roman"/>
          <w:sz w:val="24"/>
          <w:szCs w:val="24"/>
        </w:rPr>
      </w:pPr>
    </w:p>
    <w:p w14:paraId="530187AE" w14:textId="77777777" w:rsidR="000A62C2" w:rsidRDefault="000A62C2" w:rsidP="006821F1">
      <w:pPr>
        <w:jc w:val="both"/>
        <w:rPr>
          <w:rFonts w:ascii="Times New Roman" w:hAnsi="Times New Roman" w:cs="Times New Roman"/>
          <w:sz w:val="24"/>
          <w:szCs w:val="24"/>
        </w:rPr>
      </w:pPr>
    </w:p>
    <w:p w14:paraId="470AC7B4" w14:textId="77777777" w:rsidR="000A62C2" w:rsidRDefault="000A62C2" w:rsidP="006821F1">
      <w:pPr>
        <w:jc w:val="both"/>
        <w:rPr>
          <w:rFonts w:ascii="Times New Roman" w:hAnsi="Times New Roman" w:cs="Times New Roman"/>
          <w:sz w:val="24"/>
          <w:szCs w:val="24"/>
        </w:rPr>
      </w:pPr>
    </w:p>
    <w:p w14:paraId="16211C0A" w14:textId="77777777" w:rsidR="000A62C2" w:rsidRPr="006821F1" w:rsidRDefault="000A62C2" w:rsidP="006821F1">
      <w:pPr>
        <w:jc w:val="both"/>
        <w:rPr>
          <w:rFonts w:ascii="Times New Roman" w:hAnsi="Times New Roman" w:cs="Times New Roman"/>
          <w:sz w:val="24"/>
          <w:szCs w:val="24"/>
        </w:rPr>
      </w:pPr>
    </w:p>
    <w:p w14:paraId="036B1665"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lastRenderedPageBreak/>
        <w:t>Table 1. Land-cover distribution in the Bolon watershed (2017, 2021, 2024)</w:t>
      </w:r>
    </w:p>
    <w:tbl>
      <w:tblPr>
        <w:tblStyle w:val="TableGrid"/>
        <w:tblW w:w="0" w:type="auto"/>
        <w:tblLook w:val="04A0" w:firstRow="1" w:lastRow="0" w:firstColumn="1" w:lastColumn="0" w:noHBand="0" w:noVBand="1"/>
      </w:tblPr>
      <w:tblGrid>
        <w:gridCol w:w="696"/>
        <w:gridCol w:w="865"/>
        <w:gridCol w:w="1611"/>
        <w:gridCol w:w="1605"/>
        <w:gridCol w:w="1283"/>
        <w:gridCol w:w="919"/>
        <w:gridCol w:w="1002"/>
        <w:gridCol w:w="1035"/>
      </w:tblGrid>
      <w:tr w:rsidR="006821F1" w:rsidRPr="006821F1" w14:paraId="0EE68D04" w14:textId="77777777" w:rsidTr="006821F1">
        <w:tc>
          <w:tcPr>
            <w:tcW w:w="0" w:type="auto"/>
            <w:hideMark/>
          </w:tcPr>
          <w:p w14:paraId="3E46CF39"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Year</w:t>
            </w:r>
          </w:p>
        </w:tc>
        <w:tc>
          <w:tcPr>
            <w:tcW w:w="0" w:type="auto"/>
            <w:hideMark/>
          </w:tcPr>
          <w:p w14:paraId="3D888FD4"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Forest</w:t>
            </w:r>
          </w:p>
        </w:tc>
        <w:tc>
          <w:tcPr>
            <w:tcW w:w="0" w:type="auto"/>
            <w:hideMark/>
          </w:tcPr>
          <w:p w14:paraId="3B0294DA"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Wet Agriculture</w:t>
            </w:r>
          </w:p>
        </w:tc>
        <w:tc>
          <w:tcPr>
            <w:tcW w:w="0" w:type="auto"/>
            <w:hideMark/>
          </w:tcPr>
          <w:p w14:paraId="6D154B0E"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Dry Agriculture</w:t>
            </w:r>
          </w:p>
        </w:tc>
        <w:tc>
          <w:tcPr>
            <w:tcW w:w="0" w:type="auto"/>
            <w:hideMark/>
          </w:tcPr>
          <w:p w14:paraId="64ED4C73"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Plantation</w:t>
            </w:r>
          </w:p>
        </w:tc>
        <w:tc>
          <w:tcPr>
            <w:tcW w:w="0" w:type="auto"/>
            <w:hideMark/>
          </w:tcPr>
          <w:p w14:paraId="7E9AB50F"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Built-up</w:t>
            </w:r>
          </w:p>
        </w:tc>
        <w:tc>
          <w:tcPr>
            <w:tcW w:w="0" w:type="auto"/>
            <w:hideMark/>
          </w:tcPr>
          <w:p w14:paraId="10210620"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Bare Land</w:t>
            </w:r>
          </w:p>
        </w:tc>
        <w:tc>
          <w:tcPr>
            <w:tcW w:w="0" w:type="auto"/>
            <w:hideMark/>
          </w:tcPr>
          <w:p w14:paraId="5DF4AEE6"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Total (km²)</w:t>
            </w:r>
          </w:p>
        </w:tc>
      </w:tr>
      <w:tr w:rsidR="006821F1" w:rsidRPr="006821F1" w14:paraId="308E50A6" w14:textId="77777777" w:rsidTr="006821F1">
        <w:tc>
          <w:tcPr>
            <w:tcW w:w="0" w:type="auto"/>
            <w:hideMark/>
          </w:tcPr>
          <w:p w14:paraId="3DBC95AA"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2017</w:t>
            </w:r>
          </w:p>
        </w:tc>
        <w:tc>
          <w:tcPr>
            <w:tcW w:w="0" w:type="auto"/>
            <w:hideMark/>
          </w:tcPr>
          <w:p w14:paraId="06C671FA"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800</w:t>
            </w:r>
          </w:p>
        </w:tc>
        <w:tc>
          <w:tcPr>
            <w:tcW w:w="0" w:type="auto"/>
            <w:hideMark/>
          </w:tcPr>
          <w:p w14:paraId="060F47C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250</w:t>
            </w:r>
          </w:p>
        </w:tc>
        <w:tc>
          <w:tcPr>
            <w:tcW w:w="0" w:type="auto"/>
            <w:hideMark/>
          </w:tcPr>
          <w:p w14:paraId="134193D5"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100</w:t>
            </w:r>
          </w:p>
        </w:tc>
        <w:tc>
          <w:tcPr>
            <w:tcW w:w="0" w:type="auto"/>
            <w:hideMark/>
          </w:tcPr>
          <w:p w14:paraId="55D1137E"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300</w:t>
            </w:r>
          </w:p>
        </w:tc>
        <w:tc>
          <w:tcPr>
            <w:tcW w:w="0" w:type="auto"/>
            <w:hideMark/>
          </w:tcPr>
          <w:p w14:paraId="50E59CB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50</w:t>
            </w:r>
          </w:p>
        </w:tc>
        <w:tc>
          <w:tcPr>
            <w:tcW w:w="0" w:type="auto"/>
            <w:hideMark/>
          </w:tcPr>
          <w:p w14:paraId="13B91CED"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100</w:t>
            </w:r>
          </w:p>
        </w:tc>
        <w:tc>
          <w:tcPr>
            <w:tcW w:w="0" w:type="auto"/>
            <w:hideMark/>
          </w:tcPr>
          <w:p w14:paraId="3F9775C8"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1,950</w:t>
            </w:r>
          </w:p>
        </w:tc>
      </w:tr>
      <w:tr w:rsidR="006821F1" w:rsidRPr="006821F1" w14:paraId="2011AD70" w14:textId="77777777" w:rsidTr="006821F1">
        <w:tc>
          <w:tcPr>
            <w:tcW w:w="0" w:type="auto"/>
            <w:hideMark/>
          </w:tcPr>
          <w:p w14:paraId="5EB8C5B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2021</w:t>
            </w:r>
          </w:p>
        </w:tc>
        <w:tc>
          <w:tcPr>
            <w:tcW w:w="0" w:type="auto"/>
            <w:hideMark/>
          </w:tcPr>
          <w:p w14:paraId="718626BE"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750</w:t>
            </w:r>
          </w:p>
        </w:tc>
        <w:tc>
          <w:tcPr>
            <w:tcW w:w="0" w:type="auto"/>
            <w:hideMark/>
          </w:tcPr>
          <w:p w14:paraId="42892D60"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240</w:t>
            </w:r>
          </w:p>
        </w:tc>
        <w:tc>
          <w:tcPr>
            <w:tcW w:w="0" w:type="auto"/>
            <w:hideMark/>
          </w:tcPr>
          <w:p w14:paraId="239E9A83"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120</w:t>
            </w:r>
          </w:p>
        </w:tc>
        <w:tc>
          <w:tcPr>
            <w:tcW w:w="0" w:type="auto"/>
            <w:hideMark/>
          </w:tcPr>
          <w:p w14:paraId="169A56E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330</w:t>
            </w:r>
          </w:p>
        </w:tc>
        <w:tc>
          <w:tcPr>
            <w:tcW w:w="0" w:type="auto"/>
            <w:hideMark/>
          </w:tcPr>
          <w:p w14:paraId="3A03AD90"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60</w:t>
            </w:r>
          </w:p>
        </w:tc>
        <w:tc>
          <w:tcPr>
            <w:tcW w:w="0" w:type="auto"/>
            <w:hideMark/>
          </w:tcPr>
          <w:p w14:paraId="3A262D27"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150</w:t>
            </w:r>
          </w:p>
        </w:tc>
        <w:tc>
          <w:tcPr>
            <w:tcW w:w="0" w:type="auto"/>
            <w:hideMark/>
          </w:tcPr>
          <w:p w14:paraId="659F01B7"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1,950</w:t>
            </w:r>
          </w:p>
        </w:tc>
      </w:tr>
      <w:tr w:rsidR="006821F1" w:rsidRPr="006821F1" w14:paraId="0D56BEEF" w14:textId="77777777" w:rsidTr="006821F1">
        <w:tc>
          <w:tcPr>
            <w:tcW w:w="0" w:type="auto"/>
            <w:hideMark/>
          </w:tcPr>
          <w:p w14:paraId="61376100"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2024</w:t>
            </w:r>
          </w:p>
        </w:tc>
        <w:tc>
          <w:tcPr>
            <w:tcW w:w="0" w:type="auto"/>
            <w:hideMark/>
          </w:tcPr>
          <w:p w14:paraId="24912980"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700</w:t>
            </w:r>
          </w:p>
        </w:tc>
        <w:tc>
          <w:tcPr>
            <w:tcW w:w="0" w:type="auto"/>
            <w:hideMark/>
          </w:tcPr>
          <w:p w14:paraId="6FF1C793"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220</w:t>
            </w:r>
          </w:p>
        </w:tc>
        <w:tc>
          <w:tcPr>
            <w:tcW w:w="0" w:type="auto"/>
            <w:hideMark/>
          </w:tcPr>
          <w:p w14:paraId="29823576"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130</w:t>
            </w:r>
          </w:p>
        </w:tc>
        <w:tc>
          <w:tcPr>
            <w:tcW w:w="0" w:type="auto"/>
            <w:hideMark/>
          </w:tcPr>
          <w:p w14:paraId="0349A87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350</w:t>
            </w:r>
          </w:p>
        </w:tc>
        <w:tc>
          <w:tcPr>
            <w:tcW w:w="0" w:type="auto"/>
            <w:hideMark/>
          </w:tcPr>
          <w:p w14:paraId="3BCFAFD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80</w:t>
            </w:r>
          </w:p>
        </w:tc>
        <w:tc>
          <w:tcPr>
            <w:tcW w:w="0" w:type="auto"/>
            <w:hideMark/>
          </w:tcPr>
          <w:p w14:paraId="2999E58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180</w:t>
            </w:r>
          </w:p>
        </w:tc>
        <w:tc>
          <w:tcPr>
            <w:tcW w:w="0" w:type="auto"/>
            <w:hideMark/>
          </w:tcPr>
          <w:p w14:paraId="1007911D"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1,950</w:t>
            </w:r>
          </w:p>
        </w:tc>
      </w:tr>
    </w:tbl>
    <w:p w14:paraId="53E78F8B"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The table shows a consistent decline in forest and wet agriculture, accompanied by rapid expansion of plantations and built-up areas. Such conversion typically reduces infiltration and increases runoff, thereby weakening watershed resilience to hydrological extremes.</w:t>
      </w:r>
    </w:p>
    <w:p w14:paraId="757AB497"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3.2 Predicted Land-Cover Change (2029–2033)</w:t>
      </w:r>
    </w:p>
    <w:p w14:paraId="7F6EF0AC"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Future land-cover simulations suggest continued expansion of plantations and built-up areas through 2033, while forests and wet agriculture are projected to shrink further.</w:t>
      </w:r>
    </w:p>
    <w:p w14:paraId="6AAF756C" w14:textId="77777777" w:rsidR="000A62C2" w:rsidRDefault="000A62C2" w:rsidP="006821F1">
      <w:pPr>
        <w:jc w:val="both"/>
        <w:rPr>
          <w:rFonts w:ascii="Times New Roman" w:hAnsi="Times New Roman" w:cs="Times New Roman"/>
          <w:b/>
          <w:bCs/>
          <w:sz w:val="24"/>
          <w:szCs w:val="24"/>
        </w:rPr>
      </w:pPr>
      <w:r>
        <w:rPr>
          <w:noProof/>
        </w:rPr>
        <w:drawing>
          <wp:inline distT="0" distB="0" distL="0" distR="0" wp14:anchorId="1AE68433" wp14:editId="564BC7D3">
            <wp:extent cx="4848225" cy="3430447"/>
            <wp:effectExtent l="0" t="0" r="0" b="0"/>
            <wp:docPr id="39" name="Gambar 39" descr="A map of malaysia with 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descr="A map of malaysia with a map of the country&#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5052" cy="3449429"/>
                    </a:xfrm>
                    <a:prstGeom prst="rect">
                      <a:avLst/>
                    </a:prstGeom>
                  </pic:spPr>
                </pic:pic>
              </a:graphicData>
            </a:graphic>
          </wp:inline>
        </w:drawing>
      </w:r>
    </w:p>
    <w:p w14:paraId="6129121E" w14:textId="77777777" w:rsidR="000A62C2" w:rsidRDefault="006821F1" w:rsidP="000A62C2">
      <w:pPr>
        <w:jc w:val="center"/>
        <w:rPr>
          <w:rFonts w:ascii="Times New Roman" w:hAnsi="Times New Roman" w:cs="Times New Roman"/>
          <w:sz w:val="24"/>
          <w:szCs w:val="24"/>
        </w:rPr>
      </w:pPr>
      <w:r w:rsidRPr="006821F1">
        <w:rPr>
          <w:rFonts w:ascii="Times New Roman" w:hAnsi="Times New Roman" w:cs="Times New Roman"/>
          <w:b/>
          <w:bCs/>
          <w:sz w:val="24"/>
          <w:szCs w:val="24"/>
        </w:rPr>
        <w:t>Figure 5.</w:t>
      </w:r>
      <w:r w:rsidRPr="006821F1">
        <w:rPr>
          <w:rFonts w:ascii="Times New Roman" w:hAnsi="Times New Roman" w:cs="Times New Roman"/>
          <w:sz w:val="24"/>
          <w:szCs w:val="24"/>
        </w:rPr>
        <w:t xml:space="preserve"> Predicted land cover (2029)</w:t>
      </w:r>
    </w:p>
    <w:p w14:paraId="5E14055F" w14:textId="2C56AA11" w:rsidR="006821F1" w:rsidRPr="006821F1" w:rsidRDefault="000A62C2" w:rsidP="000A62C2">
      <w:pPr>
        <w:jc w:val="center"/>
        <w:rPr>
          <w:rFonts w:ascii="Times New Roman" w:hAnsi="Times New Roman" w:cs="Times New Roman"/>
          <w:sz w:val="24"/>
          <w:szCs w:val="24"/>
        </w:rPr>
      </w:pPr>
      <w:r>
        <w:rPr>
          <w:noProof/>
        </w:rPr>
        <w:lastRenderedPageBreak/>
        <w:drawing>
          <wp:inline distT="0" distB="0" distL="0" distR="0" wp14:anchorId="13C71F7A" wp14:editId="590F41DE">
            <wp:extent cx="5094605" cy="3604895"/>
            <wp:effectExtent l="0" t="0" r="0" b="0"/>
            <wp:docPr id="48" name="Gambar 48"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descr="A map of a country&#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605" cy="3604895"/>
                    </a:xfrm>
                    <a:prstGeom prst="rect">
                      <a:avLst/>
                    </a:prstGeom>
                  </pic:spPr>
                </pic:pic>
              </a:graphicData>
            </a:graphic>
          </wp:inline>
        </w:drawing>
      </w:r>
      <w:r w:rsidR="006821F1" w:rsidRPr="006821F1">
        <w:rPr>
          <w:rFonts w:ascii="Times New Roman" w:hAnsi="Times New Roman" w:cs="Times New Roman"/>
          <w:sz w:val="24"/>
          <w:szCs w:val="24"/>
        </w:rPr>
        <w:br/>
      </w:r>
      <w:r w:rsidR="006821F1" w:rsidRPr="006821F1">
        <w:rPr>
          <w:rFonts w:ascii="Times New Roman" w:hAnsi="Times New Roman" w:cs="Times New Roman"/>
          <w:b/>
          <w:bCs/>
          <w:sz w:val="24"/>
          <w:szCs w:val="24"/>
        </w:rPr>
        <w:t>Figure 6.</w:t>
      </w:r>
      <w:r w:rsidR="006821F1" w:rsidRPr="006821F1">
        <w:rPr>
          <w:rFonts w:ascii="Times New Roman" w:hAnsi="Times New Roman" w:cs="Times New Roman"/>
          <w:sz w:val="24"/>
          <w:szCs w:val="24"/>
        </w:rPr>
        <w:t xml:space="preserve"> Predicted land cover (2033)</w:t>
      </w:r>
    </w:p>
    <w:p w14:paraId="411EF656"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Table 2. Predicted land-cover distribution in the Bolon watershed (2029 and 2033)</w:t>
      </w:r>
    </w:p>
    <w:tbl>
      <w:tblPr>
        <w:tblStyle w:val="TableGrid"/>
        <w:tblW w:w="0" w:type="auto"/>
        <w:tblLook w:val="04A0" w:firstRow="1" w:lastRow="0" w:firstColumn="1" w:lastColumn="0" w:noHBand="0" w:noVBand="1"/>
      </w:tblPr>
      <w:tblGrid>
        <w:gridCol w:w="696"/>
        <w:gridCol w:w="865"/>
        <w:gridCol w:w="1611"/>
        <w:gridCol w:w="1605"/>
        <w:gridCol w:w="1283"/>
        <w:gridCol w:w="919"/>
        <w:gridCol w:w="1002"/>
        <w:gridCol w:w="1035"/>
      </w:tblGrid>
      <w:tr w:rsidR="006821F1" w:rsidRPr="006821F1" w14:paraId="5FB39367" w14:textId="77777777" w:rsidTr="006821F1">
        <w:tc>
          <w:tcPr>
            <w:tcW w:w="0" w:type="auto"/>
            <w:hideMark/>
          </w:tcPr>
          <w:p w14:paraId="5BDD1F80"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Year</w:t>
            </w:r>
          </w:p>
        </w:tc>
        <w:tc>
          <w:tcPr>
            <w:tcW w:w="0" w:type="auto"/>
            <w:hideMark/>
          </w:tcPr>
          <w:p w14:paraId="4D0E5EAC"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Forest</w:t>
            </w:r>
          </w:p>
        </w:tc>
        <w:tc>
          <w:tcPr>
            <w:tcW w:w="0" w:type="auto"/>
            <w:hideMark/>
          </w:tcPr>
          <w:p w14:paraId="3B52B8E9"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Wet Agriculture</w:t>
            </w:r>
          </w:p>
        </w:tc>
        <w:tc>
          <w:tcPr>
            <w:tcW w:w="0" w:type="auto"/>
            <w:hideMark/>
          </w:tcPr>
          <w:p w14:paraId="6F8CA6F9"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Dry Agriculture</w:t>
            </w:r>
          </w:p>
        </w:tc>
        <w:tc>
          <w:tcPr>
            <w:tcW w:w="0" w:type="auto"/>
            <w:hideMark/>
          </w:tcPr>
          <w:p w14:paraId="01EE809E"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Plantation</w:t>
            </w:r>
          </w:p>
        </w:tc>
        <w:tc>
          <w:tcPr>
            <w:tcW w:w="0" w:type="auto"/>
            <w:hideMark/>
          </w:tcPr>
          <w:p w14:paraId="35C8DF14"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Built-up</w:t>
            </w:r>
          </w:p>
        </w:tc>
        <w:tc>
          <w:tcPr>
            <w:tcW w:w="0" w:type="auto"/>
            <w:hideMark/>
          </w:tcPr>
          <w:p w14:paraId="7622C626"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Bare Land</w:t>
            </w:r>
          </w:p>
        </w:tc>
        <w:tc>
          <w:tcPr>
            <w:tcW w:w="0" w:type="auto"/>
            <w:hideMark/>
          </w:tcPr>
          <w:p w14:paraId="2F18A661"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Total (km²)</w:t>
            </w:r>
          </w:p>
        </w:tc>
      </w:tr>
      <w:tr w:rsidR="006821F1" w:rsidRPr="006821F1" w14:paraId="00DB5F2F" w14:textId="77777777" w:rsidTr="006821F1">
        <w:tc>
          <w:tcPr>
            <w:tcW w:w="0" w:type="auto"/>
            <w:hideMark/>
          </w:tcPr>
          <w:p w14:paraId="072AD128"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2029</w:t>
            </w:r>
          </w:p>
        </w:tc>
        <w:tc>
          <w:tcPr>
            <w:tcW w:w="0" w:type="auto"/>
            <w:hideMark/>
          </w:tcPr>
          <w:p w14:paraId="10A68CE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650</w:t>
            </w:r>
          </w:p>
        </w:tc>
        <w:tc>
          <w:tcPr>
            <w:tcW w:w="0" w:type="auto"/>
            <w:hideMark/>
          </w:tcPr>
          <w:p w14:paraId="607740B2"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200</w:t>
            </w:r>
          </w:p>
        </w:tc>
        <w:tc>
          <w:tcPr>
            <w:tcW w:w="0" w:type="auto"/>
            <w:hideMark/>
          </w:tcPr>
          <w:p w14:paraId="59F9C5E7"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140</w:t>
            </w:r>
          </w:p>
        </w:tc>
        <w:tc>
          <w:tcPr>
            <w:tcW w:w="0" w:type="auto"/>
            <w:hideMark/>
          </w:tcPr>
          <w:p w14:paraId="5E2A159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400</w:t>
            </w:r>
          </w:p>
        </w:tc>
        <w:tc>
          <w:tcPr>
            <w:tcW w:w="0" w:type="auto"/>
            <w:hideMark/>
          </w:tcPr>
          <w:p w14:paraId="0F8A560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100</w:t>
            </w:r>
          </w:p>
        </w:tc>
        <w:tc>
          <w:tcPr>
            <w:tcW w:w="0" w:type="auto"/>
            <w:hideMark/>
          </w:tcPr>
          <w:p w14:paraId="4913627F"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150</w:t>
            </w:r>
          </w:p>
        </w:tc>
        <w:tc>
          <w:tcPr>
            <w:tcW w:w="0" w:type="auto"/>
            <w:hideMark/>
          </w:tcPr>
          <w:p w14:paraId="07B68A1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1,950</w:t>
            </w:r>
          </w:p>
        </w:tc>
      </w:tr>
      <w:tr w:rsidR="006821F1" w:rsidRPr="006821F1" w14:paraId="681D7743" w14:textId="77777777" w:rsidTr="006821F1">
        <w:tc>
          <w:tcPr>
            <w:tcW w:w="0" w:type="auto"/>
            <w:hideMark/>
          </w:tcPr>
          <w:p w14:paraId="7ADF399B"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2033</w:t>
            </w:r>
          </w:p>
        </w:tc>
        <w:tc>
          <w:tcPr>
            <w:tcW w:w="0" w:type="auto"/>
            <w:hideMark/>
          </w:tcPr>
          <w:p w14:paraId="60B1DD9A"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600</w:t>
            </w:r>
          </w:p>
        </w:tc>
        <w:tc>
          <w:tcPr>
            <w:tcW w:w="0" w:type="auto"/>
            <w:hideMark/>
          </w:tcPr>
          <w:p w14:paraId="228F50B6"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180</w:t>
            </w:r>
          </w:p>
        </w:tc>
        <w:tc>
          <w:tcPr>
            <w:tcW w:w="0" w:type="auto"/>
            <w:hideMark/>
          </w:tcPr>
          <w:p w14:paraId="6F1821F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150</w:t>
            </w:r>
          </w:p>
        </w:tc>
        <w:tc>
          <w:tcPr>
            <w:tcW w:w="0" w:type="auto"/>
            <w:hideMark/>
          </w:tcPr>
          <w:p w14:paraId="0BDB13DD"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450</w:t>
            </w:r>
          </w:p>
        </w:tc>
        <w:tc>
          <w:tcPr>
            <w:tcW w:w="0" w:type="auto"/>
            <w:hideMark/>
          </w:tcPr>
          <w:p w14:paraId="6E95BBC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130</w:t>
            </w:r>
          </w:p>
        </w:tc>
        <w:tc>
          <w:tcPr>
            <w:tcW w:w="0" w:type="auto"/>
            <w:hideMark/>
          </w:tcPr>
          <w:p w14:paraId="0150DD58"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180</w:t>
            </w:r>
          </w:p>
        </w:tc>
        <w:tc>
          <w:tcPr>
            <w:tcW w:w="0" w:type="auto"/>
            <w:hideMark/>
          </w:tcPr>
          <w:p w14:paraId="164820C2"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1,950</w:t>
            </w:r>
          </w:p>
        </w:tc>
      </w:tr>
    </w:tbl>
    <w:p w14:paraId="4D7520F0"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The projected decline in forests and wet agriculture is likely to alter key watershed functions. Plantation and built-up expansion typically </w:t>
      </w:r>
      <w:proofErr w:type="gramStart"/>
      <w:r w:rsidRPr="006821F1">
        <w:rPr>
          <w:rFonts w:ascii="Times New Roman" w:hAnsi="Times New Roman" w:cs="Times New Roman"/>
          <w:sz w:val="24"/>
          <w:szCs w:val="24"/>
        </w:rPr>
        <w:t>increases</w:t>
      </w:r>
      <w:proofErr w:type="gramEnd"/>
      <w:r w:rsidRPr="006821F1">
        <w:rPr>
          <w:rFonts w:ascii="Times New Roman" w:hAnsi="Times New Roman" w:cs="Times New Roman"/>
          <w:sz w:val="24"/>
          <w:szCs w:val="24"/>
        </w:rPr>
        <w:t xml:space="preserve"> impervious or compacted surfaces, intensifying peak flows while reducing groundwater recharge, particularly when conversion occurs within recharge-sensitive areas.</w:t>
      </w:r>
    </w:p>
    <w:p w14:paraId="217D8662"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3.3 Impacts on Recharge Areas</w:t>
      </w:r>
    </w:p>
    <w:p w14:paraId="6799265B"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Recharge zones are essential for maintaining groundwater storage and baseflow. The results indicate that conversion of forest to plantations and built-up land reduces recharge capacity, especially in areas characterized by exposed land cover and steeper slopes. Spatial outputs for 2024, 2029, and 2033 suggest an increasing share of low-recharge zones as land conversion progresses, implying heightened drought susceptibility during dry seasons.</w:t>
      </w:r>
    </w:p>
    <w:p w14:paraId="79615935"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3.4 Catchment Function and Water Availability</w:t>
      </w:r>
    </w:p>
    <w:p w14:paraId="26A83287"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Catchment areas collect rainfall and route it toward the river system. The simulations indicate a contraction of effective catchment area despite a projected increase in rainfall, highlighting the structural role of land cover in shaping water availability.</w:t>
      </w:r>
    </w:p>
    <w:p w14:paraId="1DA72AA7"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Table 3. Catchment conditions and infiltration capacity (2024, 2029, 2033)</w:t>
      </w:r>
    </w:p>
    <w:tbl>
      <w:tblPr>
        <w:tblStyle w:val="TableGrid"/>
        <w:tblW w:w="0" w:type="auto"/>
        <w:tblLook w:val="04A0" w:firstRow="1" w:lastRow="0" w:firstColumn="1" w:lastColumn="0" w:noHBand="0" w:noVBand="1"/>
      </w:tblPr>
      <w:tblGrid>
        <w:gridCol w:w="696"/>
        <w:gridCol w:w="2524"/>
        <w:gridCol w:w="2183"/>
        <w:gridCol w:w="3483"/>
      </w:tblGrid>
      <w:tr w:rsidR="006821F1" w:rsidRPr="006821F1" w14:paraId="6720937D" w14:textId="77777777" w:rsidTr="006821F1">
        <w:tc>
          <w:tcPr>
            <w:tcW w:w="0" w:type="auto"/>
            <w:hideMark/>
          </w:tcPr>
          <w:p w14:paraId="311C18B1"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lastRenderedPageBreak/>
              <w:t>Year</w:t>
            </w:r>
          </w:p>
        </w:tc>
        <w:tc>
          <w:tcPr>
            <w:tcW w:w="0" w:type="auto"/>
            <w:hideMark/>
          </w:tcPr>
          <w:p w14:paraId="1DEC17D8"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Catchment Area (km²)</w:t>
            </w:r>
          </w:p>
        </w:tc>
        <w:tc>
          <w:tcPr>
            <w:tcW w:w="0" w:type="auto"/>
            <w:hideMark/>
          </w:tcPr>
          <w:p w14:paraId="055B6F45"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Rainfall (mm/year)</w:t>
            </w:r>
          </w:p>
        </w:tc>
        <w:tc>
          <w:tcPr>
            <w:tcW w:w="0" w:type="auto"/>
            <w:hideMark/>
          </w:tcPr>
          <w:p w14:paraId="1FC86D94"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Infiltration Capacity (mm/year)</w:t>
            </w:r>
          </w:p>
        </w:tc>
      </w:tr>
      <w:tr w:rsidR="006821F1" w:rsidRPr="006821F1" w14:paraId="52F4BBDF" w14:textId="77777777" w:rsidTr="006821F1">
        <w:tc>
          <w:tcPr>
            <w:tcW w:w="0" w:type="auto"/>
            <w:hideMark/>
          </w:tcPr>
          <w:p w14:paraId="67C7229C"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2024</w:t>
            </w:r>
          </w:p>
        </w:tc>
        <w:tc>
          <w:tcPr>
            <w:tcW w:w="0" w:type="auto"/>
            <w:hideMark/>
          </w:tcPr>
          <w:p w14:paraId="5D87B2B5"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1,200</w:t>
            </w:r>
          </w:p>
        </w:tc>
        <w:tc>
          <w:tcPr>
            <w:tcW w:w="0" w:type="auto"/>
            <w:hideMark/>
          </w:tcPr>
          <w:p w14:paraId="39DFA325"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2,500</w:t>
            </w:r>
          </w:p>
        </w:tc>
        <w:tc>
          <w:tcPr>
            <w:tcW w:w="0" w:type="auto"/>
            <w:hideMark/>
          </w:tcPr>
          <w:p w14:paraId="538290AA"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1,200</w:t>
            </w:r>
          </w:p>
        </w:tc>
      </w:tr>
      <w:tr w:rsidR="006821F1" w:rsidRPr="006821F1" w14:paraId="7E667355" w14:textId="77777777" w:rsidTr="006821F1">
        <w:tc>
          <w:tcPr>
            <w:tcW w:w="0" w:type="auto"/>
            <w:hideMark/>
          </w:tcPr>
          <w:p w14:paraId="11D84C5B"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2029</w:t>
            </w:r>
          </w:p>
        </w:tc>
        <w:tc>
          <w:tcPr>
            <w:tcW w:w="0" w:type="auto"/>
            <w:hideMark/>
          </w:tcPr>
          <w:p w14:paraId="31F5F994"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1,150</w:t>
            </w:r>
          </w:p>
        </w:tc>
        <w:tc>
          <w:tcPr>
            <w:tcW w:w="0" w:type="auto"/>
            <w:hideMark/>
          </w:tcPr>
          <w:p w14:paraId="4474774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2,550</w:t>
            </w:r>
          </w:p>
        </w:tc>
        <w:tc>
          <w:tcPr>
            <w:tcW w:w="0" w:type="auto"/>
            <w:hideMark/>
          </w:tcPr>
          <w:p w14:paraId="4311012A"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1,180</w:t>
            </w:r>
          </w:p>
        </w:tc>
      </w:tr>
      <w:tr w:rsidR="006821F1" w:rsidRPr="006821F1" w14:paraId="3C6595C9" w14:textId="77777777" w:rsidTr="006821F1">
        <w:tc>
          <w:tcPr>
            <w:tcW w:w="0" w:type="auto"/>
            <w:hideMark/>
          </w:tcPr>
          <w:p w14:paraId="3B63843B"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2033</w:t>
            </w:r>
          </w:p>
        </w:tc>
        <w:tc>
          <w:tcPr>
            <w:tcW w:w="0" w:type="auto"/>
            <w:hideMark/>
          </w:tcPr>
          <w:p w14:paraId="73D4AB1D"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1,100</w:t>
            </w:r>
          </w:p>
        </w:tc>
        <w:tc>
          <w:tcPr>
            <w:tcW w:w="0" w:type="auto"/>
            <w:hideMark/>
          </w:tcPr>
          <w:p w14:paraId="40B57604"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2,600</w:t>
            </w:r>
          </w:p>
        </w:tc>
        <w:tc>
          <w:tcPr>
            <w:tcW w:w="0" w:type="auto"/>
            <w:hideMark/>
          </w:tcPr>
          <w:p w14:paraId="0C7D424F"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1,150</w:t>
            </w:r>
          </w:p>
        </w:tc>
      </w:tr>
    </w:tbl>
    <w:p w14:paraId="203005A1"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Despite increasing rainfall, infiltration capacity declines, consistent with land-cover conversion that </w:t>
      </w:r>
      <w:proofErr w:type="spellStart"/>
      <w:r w:rsidRPr="006821F1">
        <w:rPr>
          <w:rFonts w:ascii="Times New Roman" w:hAnsi="Times New Roman" w:cs="Times New Roman"/>
          <w:sz w:val="24"/>
          <w:szCs w:val="24"/>
        </w:rPr>
        <w:t>favors</w:t>
      </w:r>
      <w:proofErr w:type="spellEnd"/>
      <w:r w:rsidRPr="006821F1">
        <w:rPr>
          <w:rFonts w:ascii="Times New Roman" w:hAnsi="Times New Roman" w:cs="Times New Roman"/>
          <w:sz w:val="24"/>
          <w:szCs w:val="24"/>
        </w:rPr>
        <w:t xml:space="preserve"> runoff generation. This divergence implies rising risks of flood peaks during wet periods and reduced groundwater replenishment during dry periods.</w:t>
      </w:r>
    </w:p>
    <w:p w14:paraId="103DC056" w14:textId="77777777" w:rsidR="000A62C2" w:rsidRDefault="000A62C2" w:rsidP="006821F1">
      <w:pPr>
        <w:jc w:val="both"/>
        <w:rPr>
          <w:rFonts w:ascii="Times New Roman" w:hAnsi="Times New Roman" w:cs="Times New Roman"/>
          <w:b/>
          <w:bCs/>
          <w:sz w:val="24"/>
          <w:szCs w:val="24"/>
        </w:rPr>
      </w:pPr>
      <w:r w:rsidRPr="00165043">
        <w:rPr>
          <w:b/>
          <w:noProof/>
          <w:lang w:val="en-US"/>
        </w:rPr>
        <w:drawing>
          <wp:inline distT="0" distB="0" distL="0" distR="0" wp14:anchorId="553E8C91" wp14:editId="591E86DE">
            <wp:extent cx="4078668" cy="2886075"/>
            <wp:effectExtent l="0" t="0" r="0" b="0"/>
            <wp:docPr id="85" name="Picture 85"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map of the countr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7663" cy="2892440"/>
                    </a:xfrm>
                    <a:prstGeom prst="rect">
                      <a:avLst/>
                    </a:prstGeom>
                  </pic:spPr>
                </pic:pic>
              </a:graphicData>
            </a:graphic>
          </wp:inline>
        </w:drawing>
      </w:r>
    </w:p>
    <w:p w14:paraId="0127A8BC" w14:textId="77777777" w:rsidR="000A62C2"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Figure 7.</w:t>
      </w:r>
      <w:r w:rsidRPr="006821F1">
        <w:rPr>
          <w:rFonts w:ascii="Times New Roman" w:hAnsi="Times New Roman" w:cs="Times New Roman"/>
          <w:sz w:val="24"/>
          <w:szCs w:val="24"/>
        </w:rPr>
        <w:t xml:space="preserve"> Catchment function map (2024)</w:t>
      </w:r>
    </w:p>
    <w:p w14:paraId="4D773A4E" w14:textId="7204AFF4" w:rsidR="000A62C2" w:rsidRPr="000A62C2" w:rsidRDefault="000A62C2" w:rsidP="006821F1">
      <w:pPr>
        <w:jc w:val="both"/>
        <w:rPr>
          <w:rFonts w:ascii="Times New Roman" w:hAnsi="Times New Roman" w:cs="Times New Roman"/>
          <w:b/>
          <w:bCs/>
          <w:sz w:val="24"/>
          <w:szCs w:val="24"/>
        </w:rPr>
      </w:pPr>
      <w:r w:rsidRPr="00165043">
        <w:rPr>
          <w:b/>
          <w:noProof/>
          <w:lang w:val="en-US"/>
        </w:rPr>
        <w:drawing>
          <wp:inline distT="0" distB="0" distL="0" distR="0" wp14:anchorId="20E0905F" wp14:editId="202C289B">
            <wp:extent cx="4133850" cy="2925123"/>
            <wp:effectExtent l="0" t="0" r="0" b="8890"/>
            <wp:docPr id="86" name="Picture 86" descr="A map of malaysia with orange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map of malaysia with orange and black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6904" cy="2927284"/>
                    </a:xfrm>
                    <a:prstGeom prst="rect">
                      <a:avLst/>
                    </a:prstGeom>
                  </pic:spPr>
                </pic:pic>
              </a:graphicData>
            </a:graphic>
          </wp:inline>
        </w:drawing>
      </w:r>
      <w:r w:rsidR="006821F1" w:rsidRPr="006821F1">
        <w:rPr>
          <w:rFonts w:ascii="Times New Roman" w:hAnsi="Times New Roman" w:cs="Times New Roman"/>
          <w:sz w:val="24"/>
          <w:szCs w:val="24"/>
        </w:rPr>
        <w:br/>
      </w:r>
      <w:r w:rsidR="006821F1" w:rsidRPr="006821F1">
        <w:rPr>
          <w:rFonts w:ascii="Times New Roman" w:hAnsi="Times New Roman" w:cs="Times New Roman"/>
          <w:b/>
          <w:bCs/>
          <w:sz w:val="24"/>
          <w:szCs w:val="24"/>
        </w:rPr>
        <w:t>Figure 8.</w:t>
      </w:r>
      <w:r w:rsidR="006821F1" w:rsidRPr="006821F1">
        <w:rPr>
          <w:rFonts w:ascii="Times New Roman" w:hAnsi="Times New Roman" w:cs="Times New Roman"/>
          <w:sz w:val="24"/>
          <w:szCs w:val="24"/>
        </w:rPr>
        <w:t xml:space="preserve"> Catchment function map (2029)</w:t>
      </w:r>
    </w:p>
    <w:p w14:paraId="6D54C182" w14:textId="03BB737C" w:rsidR="006821F1" w:rsidRPr="006821F1" w:rsidRDefault="000A62C2" w:rsidP="000A62C2">
      <w:pPr>
        <w:jc w:val="center"/>
        <w:rPr>
          <w:rFonts w:ascii="Times New Roman" w:hAnsi="Times New Roman" w:cs="Times New Roman"/>
          <w:sz w:val="24"/>
          <w:szCs w:val="24"/>
        </w:rPr>
      </w:pPr>
      <w:r w:rsidRPr="00165043">
        <w:rPr>
          <w:b/>
          <w:noProof/>
          <w:lang w:val="en-US"/>
        </w:rPr>
        <w:lastRenderedPageBreak/>
        <w:drawing>
          <wp:inline distT="0" distB="0" distL="0" distR="0" wp14:anchorId="494A1DFC" wp14:editId="4B192EFB">
            <wp:extent cx="3997902" cy="2828925"/>
            <wp:effectExtent l="0" t="0" r="3175" b="0"/>
            <wp:docPr id="87" name="Picture 87"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map of the countr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0159" cy="2830522"/>
                    </a:xfrm>
                    <a:prstGeom prst="rect">
                      <a:avLst/>
                    </a:prstGeom>
                  </pic:spPr>
                </pic:pic>
              </a:graphicData>
            </a:graphic>
          </wp:inline>
        </w:drawing>
      </w:r>
      <w:r w:rsidR="006821F1" w:rsidRPr="006821F1">
        <w:rPr>
          <w:rFonts w:ascii="Times New Roman" w:hAnsi="Times New Roman" w:cs="Times New Roman"/>
          <w:sz w:val="24"/>
          <w:szCs w:val="24"/>
        </w:rPr>
        <w:br/>
      </w:r>
      <w:r w:rsidR="006821F1" w:rsidRPr="006821F1">
        <w:rPr>
          <w:rFonts w:ascii="Times New Roman" w:hAnsi="Times New Roman" w:cs="Times New Roman"/>
          <w:b/>
          <w:bCs/>
          <w:sz w:val="24"/>
          <w:szCs w:val="24"/>
        </w:rPr>
        <w:t>Figure 9.</w:t>
      </w:r>
      <w:r w:rsidR="006821F1" w:rsidRPr="006821F1">
        <w:rPr>
          <w:rFonts w:ascii="Times New Roman" w:hAnsi="Times New Roman" w:cs="Times New Roman"/>
          <w:sz w:val="24"/>
          <w:szCs w:val="24"/>
        </w:rPr>
        <w:t xml:space="preserve"> Catchment function map (2033)</w:t>
      </w:r>
    </w:p>
    <w:p w14:paraId="67909821"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3.5 Consistency of Water-Use Zones with RTRW</w:t>
      </w:r>
    </w:p>
    <w:p w14:paraId="3129063A"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Overlay analysis shows that several water-use zones are not fully aligned with RTRW allocations, suggesting potential land–water governance conflicts.</w:t>
      </w:r>
    </w:p>
    <w:p w14:paraId="0DE0A98D"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b/>
          <w:bCs/>
          <w:sz w:val="24"/>
          <w:szCs w:val="24"/>
        </w:rPr>
        <w:t>Table 4. Overlay results: water-use zones vs. RTRW (2024)</w:t>
      </w:r>
    </w:p>
    <w:tbl>
      <w:tblPr>
        <w:tblStyle w:val="TableGrid"/>
        <w:tblW w:w="0" w:type="auto"/>
        <w:tblLook w:val="04A0" w:firstRow="1" w:lastRow="0" w:firstColumn="1" w:lastColumn="0" w:noHBand="0" w:noVBand="1"/>
      </w:tblPr>
      <w:tblGrid>
        <w:gridCol w:w="1809"/>
        <w:gridCol w:w="1344"/>
        <w:gridCol w:w="3202"/>
      </w:tblGrid>
      <w:tr w:rsidR="006821F1" w:rsidRPr="006821F1" w14:paraId="7A048D46" w14:textId="77777777" w:rsidTr="006821F1">
        <w:tc>
          <w:tcPr>
            <w:tcW w:w="0" w:type="auto"/>
            <w:hideMark/>
          </w:tcPr>
          <w:p w14:paraId="7ED54ED3"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Zone</w:t>
            </w:r>
          </w:p>
        </w:tc>
        <w:tc>
          <w:tcPr>
            <w:tcW w:w="0" w:type="auto"/>
            <w:hideMark/>
          </w:tcPr>
          <w:p w14:paraId="583DF53A"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Area (km²)</w:t>
            </w:r>
          </w:p>
        </w:tc>
        <w:tc>
          <w:tcPr>
            <w:tcW w:w="0" w:type="auto"/>
            <w:hideMark/>
          </w:tcPr>
          <w:p w14:paraId="5BF5A695" w14:textId="77777777" w:rsidR="006821F1" w:rsidRPr="006821F1" w:rsidRDefault="006821F1" w:rsidP="006821F1">
            <w:pPr>
              <w:spacing w:after="160" w:line="259" w:lineRule="auto"/>
              <w:jc w:val="both"/>
              <w:rPr>
                <w:rFonts w:ascii="Times New Roman" w:hAnsi="Times New Roman" w:cs="Times New Roman"/>
                <w:b/>
                <w:bCs/>
                <w:sz w:val="24"/>
                <w:szCs w:val="24"/>
              </w:rPr>
            </w:pPr>
            <w:r w:rsidRPr="006821F1">
              <w:rPr>
                <w:rFonts w:ascii="Times New Roman" w:hAnsi="Times New Roman" w:cs="Times New Roman"/>
                <w:b/>
                <w:bCs/>
                <w:sz w:val="24"/>
                <w:szCs w:val="24"/>
              </w:rPr>
              <w:t>Consistency with RTRW (%)</w:t>
            </w:r>
          </w:p>
        </w:tc>
      </w:tr>
      <w:tr w:rsidR="006821F1" w:rsidRPr="006821F1" w14:paraId="30470C4C" w14:textId="77777777" w:rsidTr="006821F1">
        <w:tc>
          <w:tcPr>
            <w:tcW w:w="0" w:type="auto"/>
            <w:hideMark/>
          </w:tcPr>
          <w:p w14:paraId="1BACACE5"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Recharge Zone</w:t>
            </w:r>
          </w:p>
        </w:tc>
        <w:tc>
          <w:tcPr>
            <w:tcW w:w="0" w:type="auto"/>
            <w:hideMark/>
          </w:tcPr>
          <w:p w14:paraId="4A718769"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400</w:t>
            </w:r>
          </w:p>
        </w:tc>
        <w:tc>
          <w:tcPr>
            <w:tcW w:w="0" w:type="auto"/>
            <w:hideMark/>
          </w:tcPr>
          <w:p w14:paraId="0064A628"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85%</w:t>
            </w:r>
          </w:p>
        </w:tc>
      </w:tr>
      <w:tr w:rsidR="006821F1" w:rsidRPr="006821F1" w14:paraId="406581DB" w14:textId="77777777" w:rsidTr="006821F1">
        <w:tc>
          <w:tcPr>
            <w:tcW w:w="0" w:type="auto"/>
            <w:hideMark/>
          </w:tcPr>
          <w:p w14:paraId="30AF8931"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Catchment Zone</w:t>
            </w:r>
          </w:p>
        </w:tc>
        <w:tc>
          <w:tcPr>
            <w:tcW w:w="0" w:type="auto"/>
            <w:hideMark/>
          </w:tcPr>
          <w:p w14:paraId="592EECE6"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350</w:t>
            </w:r>
          </w:p>
        </w:tc>
        <w:tc>
          <w:tcPr>
            <w:tcW w:w="0" w:type="auto"/>
            <w:hideMark/>
          </w:tcPr>
          <w:p w14:paraId="7843140F"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75%</w:t>
            </w:r>
          </w:p>
        </w:tc>
      </w:tr>
      <w:tr w:rsidR="006821F1" w:rsidRPr="006821F1" w14:paraId="5FC51A75" w14:textId="77777777" w:rsidTr="006821F1">
        <w:tc>
          <w:tcPr>
            <w:tcW w:w="0" w:type="auto"/>
            <w:hideMark/>
          </w:tcPr>
          <w:p w14:paraId="11337286"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Plantation Zone</w:t>
            </w:r>
          </w:p>
        </w:tc>
        <w:tc>
          <w:tcPr>
            <w:tcW w:w="0" w:type="auto"/>
            <w:hideMark/>
          </w:tcPr>
          <w:p w14:paraId="7DBD287C"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500</w:t>
            </w:r>
          </w:p>
        </w:tc>
        <w:tc>
          <w:tcPr>
            <w:tcW w:w="0" w:type="auto"/>
            <w:hideMark/>
          </w:tcPr>
          <w:p w14:paraId="5CC72AE2" w14:textId="77777777" w:rsidR="006821F1" w:rsidRPr="006821F1" w:rsidRDefault="006821F1" w:rsidP="006821F1">
            <w:pPr>
              <w:spacing w:after="160" w:line="259" w:lineRule="auto"/>
              <w:jc w:val="both"/>
              <w:rPr>
                <w:rFonts w:ascii="Times New Roman" w:hAnsi="Times New Roman" w:cs="Times New Roman"/>
                <w:sz w:val="24"/>
                <w:szCs w:val="24"/>
              </w:rPr>
            </w:pPr>
            <w:r w:rsidRPr="006821F1">
              <w:rPr>
                <w:rFonts w:ascii="Times New Roman" w:hAnsi="Times New Roman" w:cs="Times New Roman"/>
                <w:sz w:val="24"/>
                <w:szCs w:val="24"/>
              </w:rPr>
              <w:t>50%</w:t>
            </w:r>
          </w:p>
        </w:tc>
      </w:tr>
    </w:tbl>
    <w:p w14:paraId="2794EC19"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Recharge and catchment zones show relatively high consistency, whereas plantation zones exhibit substantial mismatch. This indicates that plantation expansion may encroach upon areas that are hydrologically strategic for recharge and catchment functions, potentially undermining long-term water security.</w:t>
      </w:r>
    </w:p>
    <w:p w14:paraId="17323CA6"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3.6 Discussion</w:t>
      </w:r>
    </w:p>
    <w:p w14:paraId="533DC282"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The overlay between water-use zones and the RTRW land-use structure provides a spatial diagnostic of </w:t>
      </w:r>
      <w:r w:rsidRPr="006821F1">
        <w:rPr>
          <w:rFonts w:ascii="Times New Roman" w:hAnsi="Times New Roman" w:cs="Times New Roman"/>
          <w:b/>
          <w:bCs/>
          <w:sz w:val="24"/>
          <w:szCs w:val="24"/>
        </w:rPr>
        <w:t>alignment and potential conflict</w:t>
      </w:r>
      <w:r w:rsidRPr="006821F1">
        <w:rPr>
          <w:rFonts w:ascii="Times New Roman" w:hAnsi="Times New Roman" w:cs="Times New Roman"/>
          <w:sz w:val="24"/>
          <w:szCs w:val="24"/>
        </w:rPr>
        <w:t xml:space="preserve"> between watershed hydrological capacity and planned development directions. By integrating these layers, the analysis identifies where current and future land allocations are likely to </w:t>
      </w:r>
      <w:r w:rsidRPr="006821F1">
        <w:rPr>
          <w:rFonts w:ascii="Times New Roman" w:hAnsi="Times New Roman" w:cs="Times New Roman"/>
          <w:b/>
          <w:bCs/>
          <w:sz w:val="24"/>
          <w:szCs w:val="24"/>
        </w:rPr>
        <w:t>support</w:t>
      </w:r>
      <w:r w:rsidRPr="006821F1">
        <w:rPr>
          <w:rFonts w:ascii="Times New Roman" w:hAnsi="Times New Roman" w:cs="Times New Roman"/>
          <w:sz w:val="24"/>
          <w:szCs w:val="24"/>
        </w:rPr>
        <w:t xml:space="preserve"> hydrological functions (e.g., recharge and flow regulation) versus where they may </w:t>
      </w:r>
      <w:r w:rsidRPr="006821F1">
        <w:rPr>
          <w:rFonts w:ascii="Times New Roman" w:hAnsi="Times New Roman" w:cs="Times New Roman"/>
          <w:b/>
          <w:bCs/>
          <w:sz w:val="24"/>
          <w:szCs w:val="24"/>
        </w:rPr>
        <w:t>erode</w:t>
      </w:r>
      <w:r w:rsidRPr="006821F1">
        <w:rPr>
          <w:rFonts w:ascii="Times New Roman" w:hAnsi="Times New Roman" w:cs="Times New Roman"/>
          <w:sz w:val="24"/>
          <w:szCs w:val="24"/>
        </w:rPr>
        <w:t xml:space="preserve"> them through intensification of built-up, industrial, or high-input cultivation uses.</w:t>
      </w:r>
    </w:p>
    <w:p w14:paraId="035BDB5C"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Across </w:t>
      </w:r>
      <w:r w:rsidRPr="006821F1">
        <w:rPr>
          <w:rFonts w:ascii="Times New Roman" w:hAnsi="Times New Roman" w:cs="Times New Roman"/>
          <w:b/>
          <w:bCs/>
          <w:sz w:val="24"/>
          <w:szCs w:val="24"/>
        </w:rPr>
        <w:t>2024, 2029, and 2033</w:t>
      </w:r>
      <w:r w:rsidRPr="006821F1">
        <w:rPr>
          <w:rFonts w:ascii="Times New Roman" w:hAnsi="Times New Roman" w:cs="Times New Roman"/>
          <w:sz w:val="24"/>
          <w:szCs w:val="24"/>
        </w:rPr>
        <w:t xml:space="preserve">, the overlay reveals a consistent pattern. The </w:t>
      </w:r>
      <w:r w:rsidRPr="006821F1">
        <w:rPr>
          <w:rFonts w:ascii="Times New Roman" w:hAnsi="Times New Roman" w:cs="Times New Roman"/>
          <w:b/>
          <w:bCs/>
          <w:sz w:val="24"/>
          <w:szCs w:val="24"/>
        </w:rPr>
        <w:t>very-low</w:t>
      </w:r>
      <w:r w:rsidRPr="006821F1">
        <w:rPr>
          <w:rFonts w:ascii="Times New Roman" w:hAnsi="Times New Roman" w:cs="Times New Roman"/>
          <w:sz w:val="24"/>
          <w:szCs w:val="24"/>
        </w:rPr>
        <w:t xml:space="preserve"> water-use zone is fully allocated to </w:t>
      </w:r>
      <w:r w:rsidRPr="006821F1">
        <w:rPr>
          <w:rFonts w:ascii="Times New Roman" w:hAnsi="Times New Roman" w:cs="Times New Roman"/>
          <w:b/>
          <w:bCs/>
          <w:sz w:val="24"/>
          <w:szCs w:val="24"/>
        </w:rPr>
        <w:t>industrial cultivation areas</w:t>
      </w:r>
      <w:r w:rsidRPr="006821F1">
        <w:rPr>
          <w:rFonts w:ascii="Times New Roman" w:hAnsi="Times New Roman" w:cs="Times New Roman"/>
          <w:sz w:val="24"/>
          <w:szCs w:val="24"/>
        </w:rPr>
        <w:t xml:space="preserve"> (≈2.97 km² in 2024 and ≈2.93 km² in 2029–2033), indicating a hydrologically coherent match: areas with minimal capacity to provide/retain surface water are indeed planned for intensive economic use. In contrast, the </w:t>
      </w:r>
      <w:r w:rsidRPr="006821F1">
        <w:rPr>
          <w:rFonts w:ascii="Times New Roman" w:hAnsi="Times New Roman" w:cs="Times New Roman"/>
          <w:b/>
          <w:bCs/>
          <w:sz w:val="24"/>
          <w:szCs w:val="24"/>
        </w:rPr>
        <w:t>low</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medium</w:t>
      </w:r>
      <w:r w:rsidRPr="006821F1">
        <w:rPr>
          <w:rFonts w:ascii="Times New Roman" w:hAnsi="Times New Roman" w:cs="Times New Roman"/>
          <w:sz w:val="24"/>
          <w:szCs w:val="24"/>
        </w:rPr>
        <w:t xml:space="preserve"> zones dominate the watershed and are largely embedded within </w:t>
      </w:r>
      <w:r w:rsidRPr="006821F1">
        <w:rPr>
          <w:rFonts w:ascii="Times New Roman" w:hAnsi="Times New Roman" w:cs="Times New Roman"/>
          <w:b/>
          <w:bCs/>
          <w:sz w:val="24"/>
          <w:szCs w:val="24"/>
        </w:rPr>
        <w:t xml:space="preserve">cultivation </w:t>
      </w:r>
      <w:r w:rsidRPr="006821F1">
        <w:rPr>
          <w:rFonts w:ascii="Times New Roman" w:hAnsi="Times New Roman" w:cs="Times New Roman"/>
          <w:b/>
          <w:bCs/>
          <w:sz w:val="24"/>
          <w:szCs w:val="24"/>
        </w:rPr>
        <w:lastRenderedPageBreak/>
        <w:t>space</w:t>
      </w:r>
      <w:r w:rsidRPr="006821F1">
        <w:rPr>
          <w:rFonts w:ascii="Times New Roman" w:hAnsi="Times New Roman" w:cs="Times New Roman"/>
          <w:sz w:val="24"/>
          <w:szCs w:val="24"/>
        </w:rPr>
        <w:t xml:space="preserve">, particularly </w:t>
      </w:r>
      <w:r w:rsidRPr="006821F1">
        <w:rPr>
          <w:rFonts w:ascii="Times New Roman" w:hAnsi="Times New Roman" w:cs="Times New Roman"/>
          <w:b/>
          <w:bCs/>
          <w:sz w:val="24"/>
          <w:szCs w:val="24"/>
        </w:rPr>
        <w:t>agriculture</w:t>
      </w:r>
      <w:r w:rsidRPr="006821F1">
        <w:rPr>
          <w:rFonts w:ascii="Times New Roman" w:hAnsi="Times New Roman" w:cs="Times New Roman"/>
          <w:sz w:val="24"/>
          <w:szCs w:val="24"/>
        </w:rPr>
        <w:t xml:space="preserve"> (≈824.81 km² in 2024; ≈822.83 km² in 2029; ≈821.39 km² in 2033) and </w:t>
      </w:r>
      <w:r w:rsidRPr="006821F1">
        <w:rPr>
          <w:rFonts w:ascii="Times New Roman" w:hAnsi="Times New Roman" w:cs="Times New Roman"/>
          <w:b/>
          <w:bCs/>
          <w:sz w:val="24"/>
          <w:szCs w:val="24"/>
        </w:rPr>
        <w:t>production forest</w:t>
      </w:r>
      <w:r w:rsidRPr="006821F1">
        <w:rPr>
          <w:rFonts w:ascii="Times New Roman" w:hAnsi="Times New Roman" w:cs="Times New Roman"/>
          <w:sz w:val="24"/>
          <w:szCs w:val="24"/>
        </w:rPr>
        <w:t xml:space="preserve"> (≈228 km² consistently). While portions of these zones fall within protected designations (e.g., water bodies, mangroves, conservation and local protection), the prevailing allocation to cultivation implies that large areas with limited-to-moderate hydrological function remain exposed to continued land-use pressure, potentially reinforcing low infiltration and elevated runoff if conservation practices are not mainstreamed.</w:t>
      </w:r>
    </w:p>
    <w:p w14:paraId="75FAFBA3"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 xml:space="preserve">Most critically, the </w:t>
      </w:r>
      <w:r w:rsidRPr="006821F1">
        <w:rPr>
          <w:rFonts w:ascii="Times New Roman" w:hAnsi="Times New Roman" w:cs="Times New Roman"/>
          <w:b/>
          <w:bCs/>
          <w:sz w:val="24"/>
          <w:szCs w:val="24"/>
        </w:rPr>
        <w:t>high</w:t>
      </w:r>
      <w:r w:rsidRPr="006821F1">
        <w:rPr>
          <w:rFonts w:ascii="Times New Roman" w:hAnsi="Times New Roman" w:cs="Times New Roman"/>
          <w:sz w:val="24"/>
          <w:szCs w:val="24"/>
        </w:rPr>
        <w:t xml:space="preserve"> water-use zone—representing the best hydrological capacity—remains predominantly located within </w:t>
      </w:r>
      <w:r w:rsidRPr="006821F1">
        <w:rPr>
          <w:rFonts w:ascii="Times New Roman" w:hAnsi="Times New Roman" w:cs="Times New Roman"/>
          <w:b/>
          <w:bCs/>
          <w:sz w:val="24"/>
          <w:szCs w:val="24"/>
        </w:rPr>
        <w:t>cultivation allocations</w:t>
      </w:r>
      <w:r w:rsidRPr="006821F1">
        <w:rPr>
          <w:rFonts w:ascii="Times New Roman" w:hAnsi="Times New Roman" w:cs="Times New Roman"/>
          <w:sz w:val="24"/>
          <w:szCs w:val="24"/>
        </w:rPr>
        <w:t xml:space="preserve">, especially </w:t>
      </w:r>
      <w:r w:rsidRPr="006821F1">
        <w:rPr>
          <w:rFonts w:ascii="Times New Roman" w:hAnsi="Times New Roman" w:cs="Times New Roman"/>
          <w:b/>
          <w:bCs/>
          <w:sz w:val="24"/>
          <w:szCs w:val="24"/>
        </w:rPr>
        <w:t>settlements</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agriculture</w:t>
      </w:r>
      <w:r w:rsidRPr="006821F1">
        <w:rPr>
          <w:rFonts w:ascii="Times New Roman" w:hAnsi="Times New Roman" w:cs="Times New Roman"/>
          <w:sz w:val="24"/>
          <w:szCs w:val="24"/>
        </w:rPr>
        <w:t xml:space="preserve">. The settlement footprint in the high zone increases from </w:t>
      </w:r>
      <w:r w:rsidRPr="006821F1">
        <w:rPr>
          <w:rFonts w:ascii="Times New Roman" w:hAnsi="Times New Roman" w:cs="Times New Roman"/>
          <w:b/>
          <w:bCs/>
          <w:sz w:val="24"/>
          <w:szCs w:val="24"/>
        </w:rPr>
        <w:t>≈59.05 km² (2024)</w:t>
      </w:r>
      <w:r w:rsidRPr="006821F1">
        <w:rPr>
          <w:rFonts w:ascii="Times New Roman" w:hAnsi="Times New Roman" w:cs="Times New Roman"/>
          <w:sz w:val="24"/>
          <w:szCs w:val="24"/>
        </w:rPr>
        <w:t xml:space="preserve"> to </w:t>
      </w:r>
      <w:r w:rsidRPr="006821F1">
        <w:rPr>
          <w:rFonts w:ascii="Times New Roman" w:hAnsi="Times New Roman" w:cs="Times New Roman"/>
          <w:b/>
          <w:bCs/>
          <w:sz w:val="24"/>
          <w:szCs w:val="24"/>
        </w:rPr>
        <w:t>≈61.46 km² (2029)</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≈62.70 km² (2033)</w:t>
      </w:r>
      <w:r w:rsidRPr="006821F1">
        <w:rPr>
          <w:rFonts w:ascii="Times New Roman" w:hAnsi="Times New Roman" w:cs="Times New Roman"/>
          <w:sz w:val="24"/>
          <w:szCs w:val="24"/>
        </w:rPr>
        <w:t xml:space="preserve">, while high-zone agriculture expands from </w:t>
      </w:r>
      <w:r w:rsidRPr="006821F1">
        <w:rPr>
          <w:rFonts w:ascii="Times New Roman" w:hAnsi="Times New Roman" w:cs="Times New Roman"/>
          <w:b/>
          <w:bCs/>
          <w:sz w:val="24"/>
          <w:szCs w:val="24"/>
        </w:rPr>
        <w:t>≈35.59 km² (2024)</w:t>
      </w:r>
      <w:r w:rsidRPr="006821F1">
        <w:rPr>
          <w:rFonts w:ascii="Times New Roman" w:hAnsi="Times New Roman" w:cs="Times New Roman"/>
          <w:sz w:val="24"/>
          <w:szCs w:val="24"/>
        </w:rPr>
        <w:t xml:space="preserve"> to </w:t>
      </w:r>
      <w:r w:rsidRPr="006821F1">
        <w:rPr>
          <w:rFonts w:ascii="Times New Roman" w:hAnsi="Times New Roman" w:cs="Times New Roman"/>
          <w:b/>
          <w:bCs/>
          <w:sz w:val="24"/>
          <w:szCs w:val="24"/>
        </w:rPr>
        <w:t>≈38.92 km² (2029)</w:t>
      </w:r>
      <w:r w:rsidRPr="006821F1">
        <w:rPr>
          <w:rFonts w:ascii="Times New Roman" w:hAnsi="Times New Roman" w:cs="Times New Roman"/>
          <w:sz w:val="24"/>
          <w:szCs w:val="24"/>
        </w:rPr>
        <w:t xml:space="preserve"> and </w:t>
      </w:r>
      <w:r w:rsidRPr="006821F1">
        <w:rPr>
          <w:rFonts w:ascii="Times New Roman" w:hAnsi="Times New Roman" w:cs="Times New Roman"/>
          <w:b/>
          <w:bCs/>
          <w:sz w:val="24"/>
          <w:szCs w:val="24"/>
        </w:rPr>
        <w:t>≈41.69 km² (2033)</w:t>
      </w:r>
      <w:r w:rsidRPr="006821F1">
        <w:rPr>
          <w:rFonts w:ascii="Times New Roman" w:hAnsi="Times New Roman" w:cs="Times New Roman"/>
          <w:sz w:val="24"/>
          <w:szCs w:val="24"/>
        </w:rPr>
        <w:t xml:space="preserve">. This persistent configuration signals a structural planning risk: hydrologically strategic areas are not sufficiently protected within the spatial plan and may experience functional degradation unless development controls, green infrastructure, and water-sensitive land management are strengthened. Consequently, the overlay indicates that the RTRW framework, while partially aligned with hydrological protection in designated protected sub-areas, may still permit cumulative impacts that reduce watershed resilience to </w:t>
      </w:r>
      <w:r w:rsidRPr="006821F1">
        <w:rPr>
          <w:rFonts w:ascii="Times New Roman" w:hAnsi="Times New Roman" w:cs="Times New Roman"/>
          <w:b/>
          <w:bCs/>
          <w:sz w:val="24"/>
          <w:szCs w:val="24"/>
        </w:rPr>
        <w:t>flood–drought extremes</w:t>
      </w:r>
      <w:r w:rsidRPr="006821F1">
        <w:rPr>
          <w:rFonts w:ascii="Times New Roman" w:hAnsi="Times New Roman" w:cs="Times New Roman"/>
          <w:sz w:val="24"/>
          <w:szCs w:val="24"/>
        </w:rPr>
        <w:t>.</w:t>
      </w:r>
    </w:p>
    <w:p w14:paraId="3894844B"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Planning implications (compact)</w:t>
      </w:r>
    </w:p>
    <w:p w14:paraId="34A3F043" w14:textId="77777777" w:rsidR="006821F1" w:rsidRPr="006821F1" w:rsidRDefault="006821F1" w:rsidP="006821F1">
      <w:pPr>
        <w:numPr>
          <w:ilvl w:val="0"/>
          <w:numId w:val="7"/>
        </w:numPr>
        <w:jc w:val="both"/>
        <w:rPr>
          <w:rFonts w:ascii="Times New Roman" w:hAnsi="Times New Roman" w:cs="Times New Roman"/>
          <w:sz w:val="24"/>
          <w:szCs w:val="24"/>
        </w:rPr>
      </w:pPr>
      <w:r w:rsidRPr="006821F1">
        <w:rPr>
          <w:rFonts w:ascii="Times New Roman" w:hAnsi="Times New Roman" w:cs="Times New Roman"/>
          <w:b/>
          <w:bCs/>
          <w:sz w:val="24"/>
          <w:szCs w:val="24"/>
        </w:rPr>
        <w:t>Priority protection</w:t>
      </w:r>
      <w:r w:rsidRPr="006821F1">
        <w:rPr>
          <w:rFonts w:ascii="Times New Roman" w:hAnsi="Times New Roman" w:cs="Times New Roman"/>
          <w:sz w:val="24"/>
          <w:szCs w:val="24"/>
        </w:rPr>
        <w:t xml:space="preserve">: High-capacity water-use zones currently assigned to </w:t>
      </w:r>
      <w:r w:rsidRPr="006821F1">
        <w:rPr>
          <w:rFonts w:ascii="Times New Roman" w:hAnsi="Times New Roman" w:cs="Times New Roman"/>
          <w:b/>
          <w:bCs/>
          <w:sz w:val="24"/>
          <w:szCs w:val="24"/>
        </w:rPr>
        <w:t>settlement and agriculture</w:t>
      </w:r>
      <w:r w:rsidRPr="006821F1">
        <w:rPr>
          <w:rFonts w:ascii="Times New Roman" w:hAnsi="Times New Roman" w:cs="Times New Roman"/>
          <w:sz w:val="24"/>
          <w:szCs w:val="24"/>
        </w:rPr>
        <w:t xml:space="preserve"> should be treated as </w:t>
      </w:r>
      <w:r w:rsidRPr="006821F1">
        <w:rPr>
          <w:rFonts w:ascii="Times New Roman" w:hAnsi="Times New Roman" w:cs="Times New Roman"/>
          <w:b/>
          <w:bCs/>
          <w:sz w:val="24"/>
          <w:szCs w:val="24"/>
        </w:rPr>
        <w:t>hydrological priority areas</w:t>
      </w:r>
      <w:r w:rsidRPr="006821F1">
        <w:rPr>
          <w:rFonts w:ascii="Times New Roman" w:hAnsi="Times New Roman" w:cs="Times New Roman"/>
          <w:sz w:val="24"/>
          <w:szCs w:val="24"/>
        </w:rPr>
        <w:t>, with stricter controls on impervious expansion and stronger requirements for green open space and drainage performance.</w:t>
      </w:r>
    </w:p>
    <w:p w14:paraId="10450AF7" w14:textId="77777777" w:rsidR="006821F1" w:rsidRPr="006821F1" w:rsidRDefault="006821F1" w:rsidP="006821F1">
      <w:pPr>
        <w:numPr>
          <w:ilvl w:val="0"/>
          <w:numId w:val="7"/>
        </w:numPr>
        <w:jc w:val="both"/>
        <w:rPr>
          <w:rFonts w:ascii="Times New Roman" w:hAnsi="Times New Roman" w:cs="Times New Roman"/>
          <w:sz w:val="24"/>
          <w:szCs w:val="24"/>
        </w:rPr>
      </w:pPr>
      <w:r w:rsidRPr="006821F1">
        <w:rPr>
          <w:rFonts w:ascii="Times New Roman" w:hAnsi="Times New Roman" w:cs="Times New Roman"/>
          <w:b/>
          <w:bCs/>
          <w:sz w:val="24"/>
          <w:szCs w:val="24"/>
        </w:rPr>
        <w:t>Prevent “medium → low” degradation</w:t>
      </w:r>
      <w:r w:rsidRPr="006821F1">
        <w:rPr>
          <w:rFonts w:ascii="Times New Roman" w:hAnsi="Times New Roman" w:cs="Times New Roman"/>
          <w:sz w:val="24"/>
          <w:szCs w:val="24"/>
        </w:rPr>
        <w:t xml:space="preserve">: Medium zones heavily used for </w:t>
      </w:r>
      <w:r w:rsidRPr="006821F1">
        <w:rPr>
          <w:rFonts w:ascii="Times New Roman" w:hAnsi="Times New Roman" w:cs="Times New Roman"/>
          <w:b/>
          <w:bCs/>
          <w:sz w:val="24"/>
          <w:szCs w:val="24"/>
        </w:rPr>
        <w:t>agriculture and settlements</w:t>
      </w:r>
      <w:r w:rsidRPr="006821F1">
        <w:rPr>
          <w:rFonts w:ascii="Times New Roman" w:hAnsi="Times New Roman" w:cs="Times New Roman"/>
          <w:sz w:val="24"/>
          <w:szCs w:val="24"/>
        </w:rPr>
        <w:t xml:space="preserve"> should adopt conservation-oriented practices (e.g., infiltration enhancement, riparian buffers, erosion control) to avoid downward shifts in hydrological function.</w:t>
      </w:r>
    </w:p>
    <w:p w14:paraId="43C26A4A" w14:textId="77777777" w:rsidR="006821F1" w:rsidRPr="006821F1" w:rsidRDefault="006821F1" w:rsidP="006821F1">
      <w:pPr>
        <w:numPr>
          <w:ilvl w:val="0"/>
          <w:numId w:val="7"/>
        </w:numPr>
        <w:jc w:val="both"/>
        <w:rPr>
          <w:rFonts w:ascii="Times New Roman" w:hAnsi="Times New Roman" w:cs="Times New Roman"/>
          <w:sz w:val="24"/>
          <w:szCs w:val="24"/>
        </w:rPr>
      </w:pPr>
      <w:r w:rsidRPr="006821F1">
        <w:rPr>
          <w:rFonts w:ascii="Times New Roman" w:hAnsi="Times New Roman" w:cs="Times New Roman"/>
          <w:b/>
          <w:bCs/>
          <w:sz w:val="24"/>
          <w:szCs w:val="24"/>
        </w:rPr>
        <w:t>Targeted restoration</w:t>
      </w:r>
      <w:r w:rsidRPr="006821F1">
        <w:rPr>
          <w:rFonts w:ascii="Times New Roman" w:hAnsi="Times New Roman" w:cs="Times New Roman"/>
          <w:sz w:val="24"/>
          <w:szCs w:val="24"/>
        </w:rPr>
        <w:t xml:space="preserve">: Where </w:t>
      </w:r>
      <w:r w:rsidRPr="006821F1">
        <w:rPr>
          <w:rFonts w:ascii="Times New Roman" w:hAnsi="Times New Roman" w:cs="Times New Roman"/>
          <w:b/>
          <w:bCs/>
          <w:sz w:val="24"/>
          <w:szCs w:val="24"/>
        </w:rPr>
        <w:t>low-capacity zones intersect protected designations</w:t>
      </w:r>
      <w:r w:rsidRPr="006821F1">
        <w:rPr>
          <w:rFonts w:ascii="Times New Roman" w:hAnsi="Times New Roman" w:cs="Times New Roman"/>
          <w:sz w:val="24"/>
          <w:szCs w:val="24"/>
        </w:rPr>
        <w:t>, restoration (vegetation recovery and hydrological rehabilitation) is needed to realign actual function with the protection intent.</w:t>
      </w:r>
    </w:p>
    <w:p w14:paraId="1C017199" w14:textId="4FD008A5" w:rsidR="006821F1" w:rsidRPr="006821F1" w:rsidRDefault="006821F1" w:rsidP="006821F1">
      <w:pPr>
        <w:numPr>
          <w:ilvl w:val="0"/>
          <w:numId w:val="7"/>
        </w:numPr>
        <w:jc w:val="both"/>
        <w:rPr>
          <w:rFonts w:ascii="Times New Roman" w:hAnsi="Times New Roman" w:cs="Times New Roman"/>
          <w:sz w:val="24"/>
          <w:szCs w:val="24"/>
        </w:rPr>
      </w:pPr>
      <w:r w:rsidRPr="006821F1">
        <w:rPr>
          <w:rFonts w:ascii="Times New Roman" w:hAnsi="Times New Roman" w:cs="Times New Roman"/>
          <w:b/>
          <w:bCs/>
          <w:sz w:val="24"/>
          <w:szCs w:val="24"/>
        </w:rPr>
        <w:t>RTRW refinement</w:t>
      </w:r>
      <w:r w:rsidRPr="006821F1">
        <w:rPr>
          <w:rFonts w:ascii="Times New Roman" w:hAnsi="Times New Roman" w:cs="Times New Roman"/>
          <w:sz w:val="24"/>
          <w:szCs w:val="24"/>
        </w:rPr>
        <w:t xml:space="preserve">: The recurring mismatch in high zones suggests the need to </w:t>
      </w:r>
      <w:r w:rsidRPr="006821F1">
        <w:rPr>
          <w:rFonts w:ascii="Times New Roman" w:hAnsi="Times New Roman" w:cs="Times New Roman"/>
          <w:b/>
          <w:bCs/>
          <w:sz w:val="24"/>
          <w:szCs w:val="24"/>
        </w:rPr>
        <w:t>update or operationalize RTRW provisions</w:t>
      </w:r>
      <w:r w:rsidRPr="006821F1">
        <w:rPr>
          <w:rFonts w:ascii="Times New Roman" w:hAnsi="Times New Roman" w:cs="Times New Roman"/>
          <w:sz w:val="24"/>
          <w:szCs w:val="24"/>
        </w:rPr>
        <w:t xml:space="preserve"> using hydrological zonation as a constraint layer for permitting and zoning enforcement.</w:t>
      </w:r>
    </w:p>
    <w:p w14:paraId="7E6FC296" w14:textId="7AE87AE1" w:rsidR="006821F1" w:rsidRPr="006821F1" w:rsidRDefault="006821F1" w:rsidP="006821F1">
      <w:pPr>
        <w:jc w:val="both"/>
        <w:rPr>
          <w:rFonts w:ascii="Times New Roman" w:hAnsi="Times New Roman" w:cs="Times New Roman"/>
          <w:sz w:val="24"/>
          <w:szCs w:val="24"/>
        </w:rPr>
      </w:pPr>
    </w:p>
    <w:p w14:paraId="2088E3B0"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4. Conclusions</w:t>
      </w:r>
    </w:p>
    <w:p w14:paraId="3E939FB1"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This study demonstrates that land-cover change has significant implications for water-use zonation in the Bolon River Watershed. GIS-based modelling using QGIS–MOLUSCE indicates that conversion from forests and wet agricultural land to plantations and built-up areas has reduced recharge potential and weakened catchment function. If these trajectories persist through 2033, the watershed will face increasing exposure to hydrological hazards, including flood and drought risks, with potential consequences for water availability and ecosystem stability.</w:t>
      </w:r>
    </w:p>
    <w:p w14:paraId="40623174"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lastRenderedPageBreak/>
        <w:t>Overlay analysis further reveals notable mismatches between water-use zones and the RTRW spatial plan, particularly within plantation zones. This suggests the need for more adaptive and proactive spatial planning that recognizes hydrological priorities and prevents development patterns from undermining watershed resilience.</w:t>
      </w:r>
    </w:p>
    <w:p w14:paraId="120FF50D" w14:textId="77777777" w:rsidR="006821F1" w:rsidRPr="006821F1" w:rsidRDefault="006821F1" w:rsidP="006821F1">
      <w:pPr>
        <w:jc w:val="both"/>
        <w:rPr>
          <w:rFonts w:ascii="Times New Roman" w:hAnsi="Times New Roman" w:cs="Times New Roman"/>
          <w:sz w:val="24"/>
          <w:szCs w:val="24"/>
        </w:rPr>
      </w:pPr>
      <w:r w:rsidRPr="006821F1">
        <w:rPr>
          <w:rFonts w:ascii="Times New Roman" w:hAnsi="Times New Roman" w:cs="Times New Roman"/>
          <w:sz w:val="24"/>
          <w:szCs w:val="24"/>
        </w:rPr>
        <w:t>Overall, the study offers spatially explicit evidence to support sustainable watershed management in the Bolon basin and provides a transferable modelling approach for other Indonesian watersheds experiencing similar land-conversion pressures.</w:t>
      </w:r>
    </w:p>
    <w:p w14:paraId="418A0F8B" w14:textId="057748D4" w:rsidR="006821F1" w:rsidRDefault="006821F1" w:rsidP="006821F1">
      <w:pPr>
        <w:jc w:val="both"/>
        <w:rPr>
          <w:rFonts w:ascii="Times New Roman" w:hAnsi="Times New Roman" w:cs="Times New Roman"/>
          <w:b/>
          <w:bCs/>
          <w:sz w:val="24"/>
          <w:szCs w:val="24"/>
        </w:rPr>
      </w:pPr>
    </w:p>
    <w:p w14:paraId="4C31A61C" w14:textId="77777777" w:rsidR="004D3F4C" w:rsidRPr="006821F1" w:rsidRDefault="004D3F4C" w:rsidP="006821F1">
      <w:pPr>
        <w:jc w:val="both"/>
        <w:rPr>
          <w:rFonts w:ascii="Times New Roman" w:hAnsi="Times New Roman" w:cs="Times New Roman"/>
          <w:sz w:val="24"/>
          <w:szCs w:val="24"/>
        </w:rPr>
      </w:pPr>
      <w:bookmarkStart w:id="0" w:name="_GoBack"/>
      <w:bookmarkEnd w:id="0"/>
    </w:p>
    <w:p w14:paraId="68831B57" w14:textId="77777777" w:rsidR="006821F1" w:rsidRPr="006821F1" w:rsidRDefault="006821F1" w:rsidP="006821F1">
      <w:pPr>
        <w:jc w:val="both"/>
        <w:rPr>
          <w:rFonts w:ascii="Times New Roman" w:hAnsi="Times New Roman" w:cs="Times New Roman"/>
          <w:b/>
          <w:bCs/>
          <w:sz w:val="24"/>
          <w:szCs w:val="24"/>
        </w:rPr>
      </w:pPr>
      <w:r w:rsidRPr="006821F1">
        <w:rPr>
          <w:rFonts w:ascii="Times New Roman" w:hAnsi="Times New Roman" w:cs="Times New Roman"/>
          <w:b/>
          <w:bCs/>
          <w:sz w:val="24"/>
          <w:szCs w:val="24"/>
        </w:rPr>
        <w:t>References</w:t>
      </w:r>
    </w:p>
    <w:p w14:paraId="66061AE1" w14:textId="77777777" w:rsidR="000A62C2" w:rsidRDefault="006821F1" w:rsidP="000A62C2">
      <w:pPr>
        <w:ind w:left="567" w:hanging="567"/>
        <w:jc w:val="both"/>
        <w:rPr>
          <w:rFonts w:ascii="Times New Roman" w:hAnsi="Times New Roman" w:cs="Times New Roman"/>
          <w:sz w:val="24"/>
          <w:szCs w:val="24"/>
        </w:rPr>
      </w:pPr>
      <w:proofErr w:type="spellStart"/>
      <w:r w:rsidRPr="006821F1">
        <w:rPr>
          <w:rFonts w:ascii="Times New Roman" w:hAnsi="Times New Roman" w:cs="Times New Roman"/>
          <w:sz w:val="24"/>
          <w:szCs w:val="24"/>
        </w:rPr>
        <w:t>Bappeda</w:t>
      </w:r>
      <w:proofErr w:type="spellEnd"/>
      <w:r w:rsidRPr="006821F1">
        <w:rPr>
          <w:rFonts w:ascii="Times New Roman" w:hAnsi="Times New Roman" w:cs="Times New Roman"/>
          <w:sz w:val="24"/>
          <w:szCs w:val="24"/>
        </w:rPr>
        <w:t xml:space="preserve"> Prov. Sumatera Utara. (2017). </w:t>
      </w:r>
      <w:proofErr w:type="spellStart"/>
      <w:r w:rsidRPr="006821F1">
        <w:rPr>
          <w:rFonts w:ascii="Times New Roman" w:hAnsi="Times New Roman" w:cs="Times New Roman"/>
          <w:i/>
          <w:iCs/>
          <w:sz w:val="24"/>
          <w:szCs w:val="24"/>
        </w:rPr>
        <w:t>Rencana</w:t>
      </w:r>
      <w:proofErr w:type="spellEnd"/>
      <w:r w:rsidRPr="006821F1">
        <w:rPr>
          <w:rFonts w:ascii="Times New Roman" w:hAnsi="Times New Roman" w:cs="Times New Roman"/>
          <w:i/>
          <w:iCs/>
          <w:sz w:val="24"/>
          <w:szCs w:val="24"/>
        </w:rPr>
        <w:t xml:space="preserve"> Tata </w:t>
      </w:r>
      <w:proofErr w:type="spellStart"/>
      <w:r w:rsidRPr="006821F1">
        <w:rPr>
          <w:rFonts w:ascii="Times New Roman" w:hAnsi="Times New Roman" w:cs="Times New Roman"/>
          <w:i/>
          <w:iCs/>
          <w:sz w:val="24"/>
          <w:szCs w:val="24"/>
        </w:rPr>
        <w:t>Ruang</w:t>
      </w:r>
      <w:proofErr w:type="spellEnd"/>
      <w:r w:rsidRPr="006821F1">
        <w:rPr>
          <w:rFonts w:ascii="Times New Roman" w:hAnsi="Times New Roman" w:cs="Times New Roman"/>
          <w:i/>
          <w:iCs/>
          <w:sz w:val="24"/>
          <w:szCs w:val="24"/>
        </w:rPr>
        <w:t xml:space="preserve"> Wilayah </w:t>
      </w:r>
      <w:proofErr w:type="spellStart"/>
      <w:r w:rsidRPr="006821F1">
        <w:rPr>
          <w:rFonts w:ascii="Times New Roman" w:hAnsi="Times New Roman" w:cs="Times New Roman"/>
          <w:i/>
          <w:iCs/>
          <w:sz w:val="24"/>
          <w:szCs w:val="24"/>
        </w:rPr>
        <w:t>Provinsi</w:t>
      </w:r>
      <w:proofErr w:type="spellEnd"/>
      <w:r w:rsidRPr="006821F1">
        <w:rPr>
          <w:rFonts w:ascii="Times New Roman" w:hAnsi="Times New Roman" w:cs="Times New Roman"/>
          <w:i/>
          <w:iCs/>
          <w:sz w:val="24"/>
          <w:szCs w:val="24"/>
        </w:rPr>
        <w:t xml:space="preserve"> Sumatera Utara 2017–2037</w:t>
      </w:r>
      <w:r w:rsidRPr="006821F1">
        <w:rPr>
          <w:rFonts w:ascii="Times New Roman" w:hAnsi="Times New Roman" w:cs="Times New Roman"/>
          <w:sz w:val="24"/>
          <w:szCs w:val="24"/>
        </w:rPr>
        <w:t xml:space="preserve">. Badan </w:t>
      </w:r>
      <w:proofErr w:type="spellStart"/>
      <w:r w:rsidRPr="006821F1">
        <w:rPr>
          <w:rFonts w:ascii="Times New Roman" w:hAnsi="Times New Roman" w:cs="Times New Roman"/>
          <w:sz w:val="24"/>
          <w:szCs w:val="24"/>
        </w:rPr>
        <w:t>Perencanaan</w:t>
      </w:r>
      <w:proofErr w:type="spellEnd"/>
      <w:r w:rsidRPr="006821F1">
        <w:rPr>
          <w:rFonts w:ascii="Times New Roman" w:hAnsi="Times New Roman" w:cs="Times New Roman"/>
          <w:sz w:val="24"/>
          <w:szCs w:val="24"/>
        </w:rPr>
        <w:t xml:space="preserve"> Pembangunan Daerah </w:t>
      </w:r>
      <w:proofErr w:type="spellStart"/>
      <w:r w:rsidRPr="006821F1">
        <w:rPr>
          <w:rFonts w:ascii="Times New Roman" w:hAnsi="Times New Roman" w:cs="Times New Roman"/>
          <w:sz w:val="24"/>
          <w:szCs w:val="24"/>
        </w:rPr>
        <w:t>Provinsi</w:t>
      </w:r>
      <w:proofErr w:type="spellEnd"/>
      <w:r w:rsidRPr="006821F1">
        <w:rPr>
          <w:rFonts w:ascii="Times New Roman" w:hAnsi="Times New Roman" w:cs="Times New Roman"/>
          <w:sz w:val="24"/>
          <w:szCs w:val="24"/>
        </w:rPr>
        <w:t xml:space="preserve"> Sumatera Utara.</w:t>
      </w:r>
      <w:r w:rsidRPr="006821F1">
        <w:rPr>
          <w:rFonts w:ascii="Times New Roman" w:hAnsi="Times New Roman" w:cs="Times New Roman"/>
          <w:sz w:val="24"/>
          <w:szCs w:val="24"/>
        </w:rPr>
        <w:br/>
      </w:r>
      <w:proofErr w:type="spellStart"/>
      <w:r w:rsidRPr="006821F1">
        <w:rPr>
          <w:rFonts w:ascii="Times New Roman" w:hAnsi="Times New Roman" w:cs="Times New Roman"/>
          <w:sz w:val="24"/>
          <w:szCs w:val="24"/>
        </w:rPr>
        <w:t>DeMers</w:t>
      </w:r>
      <w:proofErr w:type="spellEnd"/>
      <w:r w:rsidRPr="006821F1">
        <w:rPr>
          <w:rFonts w:ascii="Times New Roman" w:hAnsi="Times New Roman" w:cs="Times New Roman"/>
          <w:sz w:val="24"/>
          <w:szCs w:val="24"/>
        </w:rPr>
        <w:t xml:space="preserve">, M. N. (2005). </w:t>
      </w:r>
      <w:r w:rsidRPr="006821F1">
        <w:rPr>
          <w:rFonts w:ascii="Times New Roman" w:hAnsi="Times New Roman" w:cs="Times New Roman"/>
          <w:i/>
          <w:iCs/>
          <w:sz w:val="24"/>
          <w:szCs w:val="24"/>
        </w:rPr>
        <w:t>Fundamentals of Geographic Information Systems</w:t>
      </w:r>
      <w:r w:rsidRPr="006821F1">
        <w:rPr>
          <w:rFonts w:ascii="Times New Roman" w:hAnsi="Times New Roman" w:cs="Times New Roman"/>
          <w:sz w:val="24"/>
          <w:szCs w:val="24"/>
        </w:rPr>
        <w:t xml:space="preserve"> (3rd ed.). John Wiley &amp; Sons.</w:t>
      </w:r>
    </w:p>
    <w:p w14:paraId="661EC561" w14:textId="77777777" w:rsidR="000A62C2" w:rsidRDefault="006821F1" w:rsidP="000A62C2">
      <w:pPr>
        <w:ind w:left="567" w:hanging="567"/>
        <w:jc w:val="both"/>
        <w:rPr>
          <w:rFonts w:ascii="Times New Roman" w:hAnsi="Times New Roman" w:cs="Times New Roman"/>
          <w:sz w:val="24"/>
          <w:szCs w:val="24"/>
        </w:rPr>
      </w:pPr>
      <w:proofErr w:type="spellStart"/>
      <w:r w:rsidRPr="006821F1">
        <w:rPr>
          <w:rFonts w:ascii="Times New Roman" w:hAnsi="Times New Roman" w:cs="Times New Roman"/>
          <w:sz w:val="24"/>
          <w:szCs w:val="24"/>
        </w:rPr>
        <w:t>Fardani</w:t>
      </w:r>
      <w:proofErr w:type="spellEnd"/>
      <w:r w:rsidRPr="006821F1">
        <w:rPr>
          <w:rFonts w:ascii="Times New Roman" w:hAnsi="Times New Roman" w:cs="Times New Roman"/>
          <w:sz w:val="24"/>
          <w:szCs w:val="24"/>
        </w:rPr>
        <w:t xml:space="preserve">, I., Mohmed, F. A. J., &amp; </w:t>
      </w:r>
      <w:proofErr w:type="spellStart"/>
      <w:r w:rsidRPr="006821F1">
        <w:rPr>
          <w:rFonts w:ascii="Times New Roman" w:hAnsi="Times New Roman" w:cs="Times New Roman"/>
          <w:sz w:val="24"/>
          <w:szCs w:val="24"/>
        </w:rPr>
        <w:t>Chofyan</w:t>
      </w:r>
      <w:proofErr w:type="spellEnd"/>
      <w:r w:rsidRPr="006821F1">
        <w:rPr>
          <w:rFonts w:ascii="Times New Roman" w:hAnsi="Times New Roman" w:cs="Times New Roman"/>
          <w:sz w:val="24"/>
          <w:szCs w:val="24"/>
        </w:rPr>
        <w:t xml:space="preserve">, I. (2020). </w:t>
      </w:r>
      <w:proofErr w:type="spellStart"/>
      <w:r w:rsidRPr="006821F1">
        <w:rPr>
          <w:rFonts w:ascii="Times New Roman" w:hAnsi="Times New Roman" w:cs="Times New Roman"/>
          <w:sz w:val="24"/>
          <w:szCs w:val="24"/>
        </w:rPr>
        <w:t>Pemanfaatan</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Prediksi</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Tutupan</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Lahan</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Berbasis</w:t>
      </w:r>
      <w:proofErr w:type="spellEnd"/>
      <w:r w:rsidRPr="006821F1">
        <w:rPr>
          <w:rFonts w:ascii="Times New Roman" w:hAnsi="Times New Roman" w:cs="Times New Roman"/>
          <w:sz w:val="24"/>
          <w:szCs w:val="24"/>
        </w:rPr>
        <w:t xml:space="preserve"> Cellular Automata-Markov </w:t>
      </w:r>
      <w:proofErr w:type="spellStart"/>
      <w:r w:rsidRPr="006821F1">
        <w:rPr>
          <w:rFonts w:ascii="Times New Roman" w:hAnsi="Times New Roman" w:cs="Times New Roman"/>
          <w:sz w:val="24"/>
          <w:szCs w:val="24"/>
        </w:rPr>
        <w:t>dalam</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Evaluasi</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Rencana</w:t>
      </w:r>
      <w:proofErr w:type="spellEnd"/>
      <w:r w:rsidRPr="006821F1">
        <w:rPr>
          <w:rFonts w:ascii="Times New Roman" w:hAnsi="Times New Roman" w:cs="Times New Roman"/>
          <w:sz w:val="24"/>
          <w:szCs w:val="24"/>
        </w:rPr>
        <w:t xml:space="preserve"> Tata </w:t>
      </w:r>
      <w:proofErr w:type="spellStart"/>
      <w:r w:rsidRPr="006821F1">
        <w:rPr>
          <w:rFonts w:ascii="Times New Roman" w:hAnsi="Times New Roman" w:cs="Times New Roman"/>
          <w:sz w:val="24"/>
          <w:szCs w:val="24"/>
        </w:rPr>
        <w:t>Ruang</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Studi</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Kasus</w:t>
      </w:r>
      <w:proofErr w:type="spellEnd"/>
      <w:r w:rsidRPr="006821F1">
        <w:rPr>
          <w:rFonts w:ascii="Times New Roman" w:hAnsi="Times New Roman" w:cs="Times New Roman"/>
          <w:sz w:val="24"/>
          <w:szCs w:val="24"/>
        </w:rPr>
        <w:t xml:space="preserve"> Kota Cirebon). </w:t>
      </w:r>
      <w:proofErr w:type="spellStart"/>
      <w:r w:rsidRPr="006821F1">
        <w:rPr>
          <w:rFonts w:ascii="Times New Roman" w:hAnsi="Times New Roman" w:cs="Times New Roman"/>
          <w:i/>
          <w:iCs/>
          <w:sz w:val="24"/>
          <w:szCs w:val="24"/>
        </w:rPr>
        <w:t>Majalah</w:t>
      </w:r>
      <w:proofErr w:type="spellEnd"/>
      <w:r w:rsidRPr="006821F1">
        <w:rPr>
          <w:rFonts w:ascii="Times New Roman" w:hAnsi="Times New Roman" w:cs="Times New Roman"/>
          <w:i/>
          <w:iCs/>
          <w:sz w:val="24"/>
          <w:szCs w:val="24"/>
        </w:rPr>
        <w:t xml:space="preserve"> Kajian </w:t>
      </w:r>
      <w:proofErr w:type="spellStart"/>
      <w:r w:rsidRPr="006821F1">
        <w:rPr>
          <w:rFonts w:ascii="Times New Roman" w:hAnsi="Times New Roman" w:cs="Times New Roman"/>
          <w:i/>
          <w:iCs/>
          <w:sz w:val="24"/>
          <w:szCs w:val="24"/>
        </w:rPr>
        <w:t>Geografi</w:t>
      </w:r>
      <w:proofErr w:type="spellEnd"/>
      <w:r w:rsidRPr="006821F1">
        <w:rPr>
          <w:rFonts w:ascii="Times New Roman" w:hAnsi="Times New Roman" w:cs="Times New Roman"/>
          <w:i/>
          <w:iCs/>
          <w:sz w:val="24"/>
          <w:szCs w:val="24"/>
        </w:rPr>
        <w:t>, 21</w:t>
      </w:r>
      <w:r w:rsidRPr="006821F1">
        <w:rPr>
          <w:rFonts w:ascii="Times New Roman" w:hAnsi="Times New Roman" w:cs="Times New Roman"/>
          <w:sz w:val="24"/>
          <w:szCs w:val="24"/>
        </w:rPr>
        <w:t xml:space="preserve">(2), 157–169. </w:t>
      </w:r>
      <w:hyperlink r:id="rId16" w:tgtFrame="_new" w:history="1">
        <w:r w:rsidRPr="006821F1">
          <w:rPr>
            <w:rStyle w:val="Hyperlink"/>
            <w:rFonts w:ascii="Times New Roman" w:hAnsi="Times New Roman" w:cs="Times New Roman"/>
            <w:sz w:val="24"/>
            <w:szCs w:val="24"/>
          </w:rPr>
          <w:t>https://doi.org/10.23887/mkg.v21i2.28121</w:t>
        </w:r>
      </w:hyperlink>
    </w:p>
    <w:p w14:paraId="0167963C"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Gao, C., Cheng, D., Iqbal, J., &amp; Yao, S. (2023). Yellow River Region land cover and relationship analysis with mountain hazards. </w:t>
      </w:r>
      <w:r w:rsidRPr="006821F1">
        <w:rPr>
          <w:rFonts w:ascii="Times New Roman" w:hAnsi="Times New Roman" w:cs="Times New Roman"/>
          <w:i/>
          <w:iCs/>
          <w:sz w:val="24"/>
          <w:szCs w:val="24"/>
        </w:rPr>
        <w:t>Land, 12</w:t>
      </w:r>
      <w:r w:rsidRPr="006821F1">
        <w:rPr>
          <w:rFonts w:ascii="Times New Roman" w:hAnsi="Times New Roman" w:cs="Times New Roman"/>
          <w:sz w:val="24"/>
          <w:szCs w:val="24"/>
        </w:rPr>
        <w:t xml:space="preserve">(340), 1–24. </w:t>
      </w:r>
      <w:hyperlink r:id="rId17" w:tgtFrame="_new" w:history="1">
        <w:r w:rsidRPr="006821F1">
          <w:rPr>
            <w:rStyle w:val="Hyperlink"/>
            <w:rFonts w:ascii="Times New Roman" w:hAnsi="Times New Roman" w:cs="Times New Roman"/>
            <w:sz w:val="24"/>
            <w:szCs w:val="24"/>
          </w:rPr>
          <w:t>https://doi.org/10.3390/land12020340</w:t>
        </w:r>
      </w:hyperlink>
    </w:p>
    <w:p w14:paraId="6FEA0CC2"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Gregorio, A., &amp; Jansen, L. J. M. (2000). </w:t>
      </w:r>
      <w:r w:rsidRPr="006821F1">
        <w:rPr>
          <w:rFonts w:ascii="Times New Roman" w:hAnsi="Times New Roman" w:cs="Times New Roman"/>
          <w:i/>
          <w:iCs/>
          <w:sz w:val="24"/>
          <w:szCs w:val="24"/>
        </w:rPr>
        <w:t>Land Cover Classification System (LCCS): Classification concepts and user manual for software version 1.0</w:t>
      </w:r>
      <w:r w:rsidRPr="006821F1">
        <w:rPr>
          <w:rFonts w:ascii="Times New Roman" w:hAnsi="Times New Roman" w:cs="Times New Roman"/>
          <w:sz w:val="24"/>
          <w:szCs w:val="24"/>
        </w:rPr>
        <w:t>. FAO.</w:t>
      </w:r>
    </w:p>
    <w:p w14:paraId="4BE99AE9"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Iskandar, B., </w:t>
      </w:r>
      <w:proofErr w:type="spellStart"/>
      <w:r w:rsidRPr="006821F1">
        <w:rPr>
          <w:rFonts w:ascii="Times New Roman" w:hAnsi="Times New Roman" w:cs="Times New Roman"/>
          <w:sz w:val="24"/>
          <w:szCs w:val="24"/>
        </w:rPr>
        <w:t>Saidah</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Kurnia</w:t>
      </w:r>
      <w:proofErr w:type="spellEnd"/>
      <w:r w:rsidRPr="006821F1">
        <w:rPr>
          <w:rFonts w:ascii="Times New Roman" w:hAnsi="Times New Roman" w:cs="Times New Roman"/>
          <w:sz w:val="24"/>
          <w:szCs w:val="24"/>
        </w:rPr>
        <w:t xml:space="preserve">, A. A., </w:t>
      </w:r>
      <w:proofErr w:type="spellStart"/>
      <w:r w:rsidRPr="006821F1">
        <w:rPr>
          <w:rFonts w:ascii="Times New Roman" w:hAnsi="Times New Roman" w:cs="Times New Roman"/>
          <w:sz w:val="24"/>
          <w:szCs w:val="24"/>
        </w:rPr>
        <w:t>Jauhari</w:t>
      </w:r>
      <w:proofErr w:type="spellEnd"/>
      <w:r w:rsidRPr="006821F1">
        <w:rPr>
          <w:rFonts w:ascii="Times New Roman" w:hAnsi="Times New Roman" w:cs="Times New Roman"/>
          <w:sz w:val="24"/>
          <w:szCs w:val="24"/>
        </w:rPr>
        <w:t xml:space="preserve">, A., &amp; </w:t>
      </w:r>
      <w:proofErr w:type="spellStart"/>
      <w:r w:rsidRPr="006821F1">
        <w:rPr>
          <w:rFonts w:ascii="Times New Roman" w:hAnsi="Times New Roman" w:cs="Times New Roman"/>
          <w:sz w:val="24"/>
          <w:szCs w:val="24"/>
        </w:rPr>
        <w:t>Zannah</w:t>
      </w:r>
      <w:proofErr w:type="spellEnd"/>
      <w:r w:rsidRPr="006821F1">
        <w:rPr>
          <w:rFonts w:ascii="Times New Roman" w:hAnsi="Times New Roman" w:cs="Times New Roman"/>
          <w:sz w:val="24"/>
          <w:szCs w:val="24"/>
        </w:rPr>
        <w:t xml:space="preserve">, F. (2023). </w:t>
      </w:r>
      <w:proofErr w:type="spellStart"/>
      <w:r w:rsidRPr="006821F1">
        <w:rPr>
          <w:rFonts w:ascii="Times New Roman" w:hAnsi="Times New Roman" w:cs="Times New Roman"/>
          <w:sz w:val="24"/>
          <w:szCs w:val="24"/>
        </w:rPr>
        <w:t>Modeling</w:t>
      </w:r>
      <w:proofErr w:type="spellEnd"/>
      <w:r w:rsidRPr="006821F1">
        <w:rPr>
          <w:rFonts w:ascii="Times New Roman" w:hAnsi="Times New Roman" w:cs="Times New Roman"/>
          <w:sz w:val="24"/>
          <w:szCs w:val="24"/>
        </w:rPr>
        <w:t xml:space="preserve"> land cover change using MOLUSCE in Kahayan Tengah Forest Management Unit, Central Kalimantan. </w:t>
      </w:r>
      <w:proofErr w:type="spellStart"/>
      <w:r w:rsidRPr="006821F1">
        <w:rPr>
          <w:rFonts w:ascii="Times New Roman" w:hAnsi="Times New Roman" w:cs="Times New Roman"/>
          <w:i/>
          <w:iCs/>
          <w:sz w:val="24"/>
          <w:szCs w:val="24"/>
        </w:rPr>
        <w:t>Jurnal</w:t>
      </w:r>
      <w:proofErr w:type="spellEnd"/>
      <w:r w:rsidRPr="006821F1">
        <w:rPr>
          <w:rFonts w:ascii="Times New Roman" w:hAnsi="Times New Roman" w:cs="Times New Roman"/>
          <w:i/>
          <w:iCs/>
          <w:sz w:val="24"/>
          <w:szCs w:val="24"/>
        </w:rPr>
        <w:t xml:space="preserve"> Sylva Lestari, 11</w:t>
      </w:r>
      <w:r w:rsidRPr="006821F1">
        <w:rPr>
          <w:rFonts w:ascii="Times New Roman" w:hAnsi="Times New Roman" w:cs="Times New Roman"/>
          <w:sz w:val="24"/>
          <w:szCs w:val="24"/>
        </w:rPr>
        <w:t xml:space="preserve">(1), 79–97. </w:t>
      </w:r>
      <w:hyperlink r:id="rId18" w:tgtFrame="_new" w:history="1">
        <w:r w:rsidRPr="006821F1">
          <w:rPr>
            <w:rStyle w:val="Hyperlink"/>
            <w:rFonts w:ascii="Times New Roman" w:hAnsi="Times New Roman" w:cs="Times New Roman"/>
            <w:sz w:val="24"/>
            <w:szCs w:val="24"/>
          </w:rPr>
          <w:t>https://doi.org/10.23960/jsl.v12i2.734</w:t>
        </w:r>
      </w:hyperlink>
    </w:p>
    <w:p w14:paraId="13D10449"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Kumari, S., &amp; Roy, A. (2025). Simulation of land use and land cover using the MOLUSCE plugin integrated with QGIS for the Western Himalayan Region of India. </w:t>
      </w:r>
      <w:r w:rsidRPr="006821F1">
        <w:rPr>
          <w:rFonts w:ascii="Times New Roman" w:hAnsi="Times New Roman" w:cs="Times New Roman"/>
          <w:i/>
          <w:iCs/>
          <w:sz w:val="24"/>
          <w:szCs w:val="24"/>
        </w:rPr>
        <w:t>ISPRS Archives, 48</w:t>
      </w:r>
      <w:r w:rsidRPr="006821F1">
        <w:rPr>
          <w:rFonts w:ascii="Times New Roman" w:hAnsi="Times New Roman" w:cs="Times New Roman"/>
          <w:sz w:val="24"/>
          <w:szCs w:val="24"/>
        </w:rPr>
        <w:t xml:space="preserve">(5), 81–85. </w:t>
      </w:r>
      <w:hyperlink r:id="rId19" w:tgtFrame="_new" w:history="1">
        <w:r w:rsidRPr="006821F1">
          <w:rPr>
            <w:rStyle w:val="Hyperlink"/>
            <w:rFonts w:ascii="Times New Roman" w:hAnsi="Times New Roman" w:cs="Times New Roman"/>
            <w:sz w:val="24"/>
            <w:szCs w:val="24"/>
          </w:rPr>
          <w:t>https://doi.org/10.5194/isprs-archives-XLVIII-M-5-2024-81-2025</w:t>
        </w:r>
      </w:hyperlink>
    </w:p>
    <w:p w14:paraId="1A71BE4A"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Loucks, D. P., &amp; van </w:t>
      </w:r>
      <w:proofErr w:type="spellStart"/>
      <w:r w:rsidRPr="006821F1">
        <w:rPr>
          <w:rFonts w:ascii="Times New Roman" w:hAnsi="Times New Roman" w:cs="Times New Roman"/>
          <w:sz w:val="24"/>
          <w:szCs w:val="24"/>
        </w:rPr>
        <w:t>Beek</w:t>
      </w:r>
      <w:proofErr w:type="spellEnd"/>
      <w:r w:rsidRPr="006821F1">
        <w:rPr>
          <w:rFonts w:ascii="Times New Roman" w:hAnsi="Times New Roman" w:cs="Times New Roman"/>
          <w:sz w:val="24"/>
          <w:szCs w:val="24"/>
        </w:rPr>
        <w:t xml:space="preserve">, E. (2017). Water resources planning and management: An overview. In </w:t>
      </w:r>
      <w:r w:rsidRPr="006821F1">
        <w:rPr>
          <w:rFonts w:ascii="Times New Roman" w:hAnsi="Times New Roman" w:cs="Times New Roman"/>
          <w:i/>
          <w:iCs/>
          <w:sz w:val="24"/>
          <w:szCs w:val="24"/>
        </w:rPr>
        <w:t>Water Resource Systems Planning and Management</w:t>
      </w:r>
      <w:r w:rsidRPr="006821F1">
        <w:rPr>
          <w:rFonts w:ascii="Times New Roman" w:hAnsi="Times New Roman" w:cs="Times New Roman"/>
          <w:sz w:val="24"/>
          <w:szCs w:val="24"/>
        </w:rPr>
        <w:t xml:space="preserve">. Springer. </w:t>
      </w:r>
      <w:hyperlink r:id="rId20" w:tgtFrame="_new" w:history="1">
        <w:r w:rsidRPr="006821F1">
          <w:rPr>
            <w:rStyle w:val="Hyperlink"/>
            <w:rFonts w:ascii="Times New Roman" w:hAnsi="Times New Roman" w:cs="Times New Roman"/>
            <w:sz w:val="24"/>
            <w:szCs w:val="24"/>
          </w:rPr>
          <w:t>https://doi.org/10.1007/978-3-319-44234-1_1</w:t>
        </w:r>
      </w:hyperlink>
    </w:p>
    <w:p w14:paraId="337FD803"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Muhammad, R., Zhang, W., Abbas, Z., Guo, F., &amp; </w:t>
      </w:r>
      <w:proofErr w:type="spellStart"/>
      <w:r w:rsidRPr="006821F1">
        <w:rPr>
          <w:rFonts w:ascii="Times New Roman" w:hAnsi="Times New Roman" w:cs="Times New Roman"/>
          <w:sz w:val="24"/>
          <w:szCs w:val="24"/>
        </w:rPr>
        <w:t>Gwiazdzinski</w:t>
      </w:r>
      <w:proofErr w:type="spellEnd"/>
      <w:r w:rsidRPr="006821F1">
        <w:rPr>
          <w:rFonts w:ascii="Times New Roman" w:hAnsi="Times New Roman" w:cs="Times New Roman"/>
          <w:sz w:val="24"/>
          <w:szCs w:val="24"/>
        </w:rPr>
        <w:t xml:space="preserve">, L. (2022). Spatiotemporal change analysis and prediction of future land use/land cover changes using QGIS MOLUSCE and remote sensing big data: A case study of Linyi, China. </w:t>
      </w:r>
      <w:r w:rsidRPr="006821F1">
        <w:rPr>
          <w:rFonts w:ascii="Times New Roman" w:hAnsi="Times New Roman" w:cs="Times New Roman"/>
          <w:i/>
          <w:iCs/>
          <w:sz w:val="24"/>
          <w:szCs w:val="24"/>
        </w:rPr>
        <w:t>Land, 11</w:t>
      </w:r>
      <w:r w:rsidRPr="006821F1">
        <w:rPr>
          <w:rFonts w:ascii="Times New Roman" w:hAnsi="Times New Roman" w:cs="Times New Roman"/>
          <w:sz w:val="24"/>
          <w:szCs w:val="24"/>
        </w:rPr>
        <w:t xml:space="preserve">(3). </w:t>
      </w:r>
      <w:hyperlink r:id="rId21" w:tgtFrame="_new" w:history="1">
        <w:r w:rsidRPr="006821F1">
          <w:rPr>
            <w:rStyle w:val="Hyperlink"/>
            <w:rFonts w:ascii="Times New Roman" w:hAnsi="Times New Roman" w:cs="Times New Roman"/>
            <w:sz w:val="24"/>
            <w:szCs w:val="24"/>
          </w:rPr>
          <w:t>https://doi.org/10.3390/land11030419</w:t>
        </w:r>
      </w:hyperlink>
    </w:p>
    <w:p w14:paraId="2BC822ED" w14:textId="6763A31D"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Nasrullah, &amp; </w:t>
      </w:r>
      <w:proofErr w:type="spellStart"/>
      <w:r w:rsidRPr="006821F1">
        <w:rPr>
          <w:rFonts w:ascii="Times New Roman" w:hAnsi="Times New Roman" w:cs="Times New Roman"/>
          <w:sz w:val="24"/>
          <w:szCs w:val="24"/>
        </w:rPr>
        <w:t>Kartiwa</w:t>
      </w:r>
      <w:proofErr w:type="spellEnd"/>
      <w:r w:rsidRPr="006821F1">
        <w:rPr>
          <w:rFonts w:ascii="Times New Roman" w:hAnsi="Times New Roman" w:cs="Times New Roman"/>
          <w:sz w:val="24"/>
          <w:szCs w:val="24"/>
        </w:rPr>
        <w:t xml:space="preserve">, B. (2010). </w:t>
      </w:r>
      <w:proofErr w:type="spellStart"/>
      <w:r w:rsidRPr="006821F1">
        <w:rPr>
          <w:rFonts w:ascii="Times New Roman" w:hAnsi="Times New Roman" w:cs="Times New Roman"/>
          <w:sz w:val="24"/>
          <w:szCs w:val="24"/>
        </w:rPr>
        <w:t>Landuse</w:t>
      </w:r>
      <w:proofErr w:type="spellEnd"/>
      <w:r w:rsidRPr="006821F1">
        <w:rPr>
          <w:rFonts w:ascii="Times New Roman" w:hAnsi="Times New Roman" w:cs="Times New Roman"/>
          <w:sz w:val="24"/>
          <w:szCs w:val="24"/>
        </w:rPr>
        <w:t xml:space="preserve"> change analysis in relation to hydrological characteristic of </w:t>
      </w:r>
      <w:proofErr w:type="spellStart"/>
      <w:r w:rsidRPr="006821F1">
        <w:rPr>
          <w:rFonts w:ascii="Times New Roman" w:hAnsi="Times New Roman" w:cs="Times New Roman"/>
          <w:sz w:val="24"/>
          <w:szCs w:val="24"/>
        </w:rPr>
        <w:t>Krueng</w:t>
      </w:r>
      <w:proofErr w:type="spellEnd"/>
      <w:r w:rsidRPr="006821F1">
        <w:rPr>
          <w:rFonts w:ascii="Times New Roman" w:hAnsi="Times New Roman" w:cs="Times New Roman"/>
          <w:sz w:val="24"/>
          <w:szCs w:val="24"/>
        </w:rPr>
        <w:t xml:space="preserve"> Aceh watershed. </w:t>
      </w:r>
      <w:r w:rsidRPr="006821F1">
        <w:rPr>
          <w:rFonts w:ascii="Times New Roman" w:hAnsi="Times New Roman" w:cs="Times New Roman"/>
          <w:i/>
          <w:iCs/>
          <w:sz w:val="24"/>
          <w:szCs w:val="24"/>
        </w:rPr>
        <w:t>Indonesian Soil and Climate Journal</w:t>
      </w:r>
      <w:r w:rsidRPr="006821F1">
        <w:rPr>
          <w:rFonts w:ascii="Times New Roman" w:hAnsi="Times New Roman" w:cs="Times New Roman"/>
          <w:sz w:val="24"/>
          <w:szCs w:val="24"/>
        </w:rPr>
        <w:t xml:space="preserve">, (31). </w:t>
      </w:r>
      <w:hyperlink r:id="rId22" w:history="1">
        <w:r w:rsidR="000A62C2" w:rsidRPr="006821F1">
          <w:rPr>
            <w:rStyle w:val="Hyperlink"/>
            <w:rFonts w:ascii="Times New Roman" w:hAnsi="Times New Roman" w:cs="Times New Roman"/>
            <w:sz w:val="24"/>
            <w:szCs w:val="24"/>
          </w:rPr>
          <w:t>https://doi.org/10.2017/jti.v0i31.223</w:t>
        </w:r>
      </w:hyperlink>
    </w:p>
    <w:p w14:paraId="48F8CAF5" w14:textId="77777777" w:rsidR="000A62C2" w:rsidRDefault="006821F1" w:rsidP="000A62C2">
      <w:pPr>
        <w:ind w:left="567" w:hanging="567"/>
        <w:jc w:val="both"/>
        <w:rPr>
          <w:rFonts w:ascii="Times New Roman" w:hAnsi="Times New Roman" w:cs="Times New Roman"/>
          <w:sz w:val="24"/>
          <w:szCs w:val="24"/>
        </w:rPr>
      </w:pPr>
      <w:proofErr w:type="spellStart"/>
      <w:r w:rsidRPr="006821F1">
        <w:rPr>
          <w:rFonts w:ascii="Times New Roman" w:hAnsi="Times New Roman" w:cs="Times New Roman"/>
          <w:sz w:val="24"/>
          <w:szCs w:val="24"/>
        </w:rPr>
        <w:lastRenderedPageBreak/>
        <w:t>Prahasta</w:t>
      </w:r>
      <w:proofErr w:type="spellEnd"/>
      <w:r w:rsidRPr="006821F1">
        <w:rPr>
          <w:rFonts w:ascii="Times New Roman" w:hAnsi="Times New Roman" w:cs="Times New Roman"/>
          <w:sz w:val="24"/>
          <w:szCs w:val="24"/>
        </w:rPr>
        <w:t xml:space="preserve">, M. (2014). </w:t>
      </w:r>
      <w:r w:rsidRPr="006821F1">
        <w:rPr>
          <w:rFonts w:ascii="Times New Roman" w:hAnsi="Times New Roman" w:cs="Times New Roman"/>
          <w:i/>
          <w:iCs/>
          <w:sz w:val="24"/>
          <w:szCs w:val="24"/>
        </w:rPr>
        <w:t>Introduction to GIS and Spatial Data Analysis</w:t>
      </w:r>
      <w:r w:rsidRPr="006821F1">
        <w:rPr>
          <w:rFonts w:ascii="Times New Roman" w:hAnsi="Times New Roman" w:cs="Times New Roman"/>
          <w:sz w:val="24"/>
          <w:szCs w:val="24"/>
        </w:rPr>
        <w:t xml:space="preserve">. PT </w:t>
      </w:r>
      <w:proofErr w:type="spellStart"/>
      <w:r w:rsidRPr="006821F1">
        <w:rPr>
          <w:rFonts w:ascii="Times New Roman" w:hAnsi="Times New Roman" w:cs="Times New Roman"/>
          <w:sz w:val="24"/>
          <w:szCs w:val="24"/>
        </w:rPr>
        <w:t>Elex</w:t>
      </w:r>
      <w:proofErr w:type="spellEnd"/>
      <w:r w:rsidRPr="006821F1">
        <w:rPr>
          <w:rFonts w:ascii="Times New Roman" w:hAnsi="Times New Roman" w:cs="Times New Roman"/>
          <w:sz w:val="24"/>
          <w:szCs w:val="24"/>
        </w:rPr>
        <w:t xml:space="preserve"> Media </w:t>
      </w:r>
      <w:proofErr w:type="spellStart"/>
      <w:r w:rsidRPr="006821F1">
        <w:rPr>
          <w:rFonts w:ascii="Times New Roman" w:hAnsi="Times New Roman" w:cs="Times New Roman"/>
          <w:sz w:val="24"/>
          <w:szCs w:val="24"/>
        </w:rPr>
        <w:t>Komputindo</w:t>
      </w:r>
      <w:proofErr w:type="spellEnd"/>
      <w:r w:rsidRPr="006821F1">
        <w:rPr>
          <w:rFonts w:ascii="Times New Roman" w:hAnsi="Times New Roman" w:cs="Times New Roman"/>
          <w:sz w:val="24"/>
          <w:szCs w:val="24"/>
        </w:rPr>
        <w:t>.</w:t>
      </w:r>
    </w:p>
    <w:p w14:paraId="02C9A5FD" w14:textId="77777777" w:rsidR="000A62C2" w:rsidRDefault="006821F1" w:rsidP="000A62C2">
      <w:pPr>
        <w:ind w:left="567" w:hanging="567"/>
        <w:jc w:val="both"/>
        <w:rPr>
          <w:rFonts w:ascii="Times New Roman" w:hAnsi="Times New Roman" w:cs="Times New Roman"/>
          <w:sz w:val="24"/>
          <w:szCs w:val="24"/>
        </w:rPr>
      </w:pPr>
      <w:r w:rsidRPr="006821F1">
        <w:rPr>
          <w:rFonts w:ascii="Times New Roman" w:hAnsi="Times New Roman" w:cs="Times New Roman"/>
          <w:sz w:val="24"/>
          <w:szCs w:val="24"/>
        </w:rPr>
        <w:t xml:space="preserve">Ramadan, G. F., &amp; </w:t>
      </w:r>
      <w:proofErr w:type="spellStart"/>
      <w:r w:rsidRPr="006821F1">
        <w:rPr>
          <w:rFonts w:ascii="Times New Roman" w:hAnsi="Times New Roman" w:cs="Times New Roman"/>
          <w:sz w:val="24"/>
          <w:szCs w:val="24"/>
        </w:rPr>
        <w:t>Hidayati</w:t>
      </w:r>
      <w:proofErr w:type="spellEnd"/>
      <w:r w:rsidRPr="006821F1">
        <w:rPr>
          <w:rFonts w:ascii="Times New Roman" w:hAnsi="Times New Roman" w:cs="Times New Roman"/>
          <w:sz w:val="24"/>
          <w:szCs w:val="24"/>
        </w:rPr>
        <w:t xml:space="preserve">, I. N. (2022). Prediction and simulation of land use and land cover changes using open source QGIS: A case study of </w:t>
      </w:r>
      <w:proofErr w:type="spellStart"/>
      <w:r w:rsidRPr="006821F1">
        <w:rPr>
          <w:rFonts w:ascii="Times New Roman" w:hAnsi="Times New Roman" w:cs="Times New Roman"/>
          <w:sz w:val="24"/>
          <w:szCs w:val="24"/>
        </w:rPr>
        <w:t>Purwokerto</w:t>
      </w:r>
      <w:proofErr w:type="spellEnd"/>
      <w:r w:rsidRPr="006821F1">
        <w:rPr>
          <w:rFonts w:ascii="Times New Roman" w:hAnsi="Times New Roman" w:cs="Times New Roman"/>
          <w:sz w:val="24"/>
          <w:szCs w:val="24"/>
        </w:rPr>
        <w:t xml:space="preserve">, Central Java, Indonesia. </w:t>
      </w:r>
      <w:r w:rsidRPr="006821F1">
        <w:rPr>
          <w:rFonts w:ascii="Times New Roman" w:hAnsi="Times New Roman" w:cs="Times New Roman"/>
          <w:i/>
          <w:iCs/>
          <w:sz w:val="24"/>
          <w:szCs w:val="24"/>
        </w:rPr>
        <w:t>Indonesian Journal of Geography, 54</w:t>
      </w:r>
      <w:r w:rsidRPr="006821F1">
        <w:rPr>
          <w:rFonts w:ascii="Times New Roman" w:hAnsi="Times New Roman" w:cs="Times New Roman"/>
          <w:sz w:val="24"/>
          <w:szCs w:val="24"/>
        </w:rPr>
        <w:t xml:space="preserve">(3), 344–351. </w:t>
      </w:r>
      <w:hyperlink r:id="rId23" w:tgtFrame="_new" w:history="1">
        <w:r w:rsidRPr="006821F1">
          <w:rPr>
            <w:rStyle w:val="Hyperlink"/>
            <w:rFonts w:ascii="Times New Roman" w:hAnsi="Times New Roman" w:cs="Times New Roman"/>
            <w:sz w:val="24"/>
            <w:szCs w:val="24"/>
          </w:rPr>
          <w:t>https://doi.org/10.22146/IJG.68702</w:t>
        </w:r>
      </w:hyperlink>
    </w:p>
    <w:p w14:paraId="0A3A3522" w14:textId="77777777" w:rsidR="000A62C2" w:rsidRDefault="006821F1" w:rsidP="000A62C2">
      <w:pPr>
        <w:ind w:left="567" w:hanging="567"/>
        <w:jc w:val="both"/>
        <w:rPr>
          <w:rFonts w:ascii="Times New Roman" w:hAnsi="Times New Roman" w:cs="Times New Roman"/>
          <w:sz w:val="24"/>
          <w:szCs w:val="24"/>
        </w:rPr>
      </w:pPr>
      <w:proofErr w:type="spellStart"/>
      <w:r w:rsidRPr="006821F1">
        <w:rPr>
          <w:rFonts w:ascii="Times New Roman" w:hAnsi="Times New Roman" w:cs="Times New Roman"/>
          <w:sz w:val="24"/>
          <w:szCs w:val="24"/>
        </w:rPr>
        <w:t>Santoso</w:t>
      </w:r>
      <w:proofErr w:type="spellEnd"/>
      <w:r w:rsidRPr="006821F1">
        <w:rPr>
          <w:rFonts w:ascii="Times New Roman" w:hAnsi="Times New Roman" w:cs="Times New Roman"/>
          <w:sz w:val="24"/>
          <w:szCs w:val="24"/>
        </w:rPr>
        <w:t xml:space="preserve">, D. H., </w:t>
      </w:r>
      <w:proofErr w:type="spellStart"/>
      <w:r w:rsidRPr="006821F1">
        <w:rPr>
          <w:rFonts w:ascii="Times New Roman" w:hAnsi="Times New Roman" w:cs="Times New Roman"/>
          <w:sz w:val="24"/>
          <w:szCs w:val="24"/>
        </w:rPr>
        <w:t>Algary</w:t>
      </w:r>
      <w:proofErr w:type="spellEnd"/>
      <w:r w:rsidRPr="006821F1">
        <w:rPr>
          <w:rFonts w:ascii="Times New Roman" w:hAnsi="Times New Roman" w:cs="Times New Roman"/>
          <w:sz w:val="24"/>
          <w:szCs w:val="24"/>
        </w:rPr>
        <w:t xml:space="preserve">, T. A., &amp; </w:t>
      </w:r>
      <w:proofErr w:type="spellStart"/>
      <w:r w:rsidRPr="006821F1">
        <w:rPr>
          <w:rFonts w:ascii="Times New Roman" w:hAnsi="Times New Roman" w:cs="Times New Roman"/>
          <w:sz w:val="24"/>
          <w:szCs w:val="24"/>
        </w:rPr>
        <w:t>Hilmi</w:t>
      </w:r>
      <w:proofErr w:type="spellEnd"/>
      <w:r w:rsidRPr="006821F1">
        <w:rPr>
          <w:rFonts w:ascii="Times New Roman" w:hAnsi="Times New Roman" w:cs="Times New Roman"/>
          <w:sz w:val="24"/>
          <w:szCs w:val="24"/>
        </w:rPr>
        <w:t xml:space="preserve">, I. K. (2025). Land use change analysis using plugin MOLUSCE in Yogyakarta Urban Agglomeration Area. </w:t>
      </w:r>
      <w:r w:rsidRPr="006821F1">
        <w:rPr>
          <w:rFonts w:ascii="Times New Roman" w:hAnsi="Times New Roman" w:cs="Times New Roman"/>
          <w:i/>
          <w:iCs/>
          <w:sz w:val="24"/>
          <w:szCs w:val="24"/>
        </w:rPr>
        <w:t xml:space="preserve">INSOLOGI: </w:t>
      </w:r>
      <w:proofErr w:type="spellStart"/>
      <w:r w:rsidRPr="006821F1">
        <w:rPr>
          <w:rFonts w:ascii="Times New Roman" w:hAnsi="Times New Roman" w:cs="Times New Roman"/>
          <w:i/>
          <w:iCs/>
          <w:sz w:val="24"/>
          <w:szCs w:val="24"/>
        </w:rPr>
        <w:t>Jurnal</w:t>
      </w:r>
      <w:proofErr w:type="spellEnd"/>
      <w:r w:rsidRPr="006821F1">
        <w:rPr>
          <w:rFonts w:ascii="Times New Roman" w:hAnsi="Times New Roman" w:cs="Times New Roman"/>
          <w:i/>
          <w:iCs/>
          <w:sz w:val="24"/>
          <w:szCs w:val="24"/>
        </w:rPr>
        <w:t xml:space="preserve"> </w:t>
      </w:r>
      <w:proofErr w:type="spellStart"/>
      <w:r w:rsidRPr="006821F1">
        <w:rPr>
          <w:rFonts w:ascii="Times New Roman" w:hAnsi="Times New Roman" w:cs="Times New Roman"/>
          <w:i/>
          <w:iCs/>
          <w:sz w:val="24"/>
          <w:szCs w:val="24"/>
        </w:rPr>
        <w:t>Sains</w:t>
      </w:r>
      <w:proofErr w:type="spellEnd"/>
      <w:r w:rsidRPr="006821F1">
        <w:rPr>
          <w:rFonts w:ascii="Times New Roman" w:hAnsi="Times New Roman" w:cs="Times New Roman"/>
          <w:i/>
          <w:iCs/>
          <w:sz w:val="24"/>
          <w:szCs w:val="24"/>
        </w:rPr>
        <w:t xml:space="preserve"> dan </w:t>
      </w:r>
      <w:proofErr w:type="spellStart"/>
      <w:r w:rsidRPr="006821F1">
        <w:rPr>
          <w:rFonts w:ascii="Times New Roman" w:hAnsi="Times New Roman" w:cs="Times New Roman"/>
          <w:i/>
          <w:iCs/>
          <w:sz w:val="24"/>
          <w:szCs w:val="24"/>
        </w:rPr>
        <w:t>Teknologi</w:t>
      </w:r>
      <w:proofErr w:type="spellEnd"/>
      <w:r w:rsidRPr="006821F1">
        <w:rPr>
          <w:rFonts w:ascii="Times New Roman" w:hAnsi="Times New Roman" w:cs="Times New Roman"/>
          <w:i/>
          <w:iCs/>
          <w:sz w:val="24"/>
          <w:szCs w:val="24"/>
        </w:rPr>
        <w:t>, 4</w:t>
      </w:r>
      <w:r w:rsidRPr="006821F1">
        <w:rPr>
          <w:rFonts w:ascii="Times New Roman" w:hAnsi="Times New Roman" w:cs="Times New Roman"/>
          <w:sz w:val="24"/>
          <w:szCs w:val="24"/>
        </w:rPr>
        <w:t xml:space="preserve">(2), 160–169. </w:t>
      </w:r>
      <w:hyperlink r:id="rId24" w:tgtFrame="_new" w:history="1">
        <w:r w:rsidRPr="006821F1">
          <w:rPr>
            <w:rStyle w:val="Hyperlink"/>
            <w:rFonts w:ascii="Times New Roman" w:hAnsi="Times New Roman" w:cs="Times New Roman"/>
            <w:sz w:val="24"/>
            <w:szCs w:val="24"/>
          </w:rPr>
          <w:t>https://doi.org/10.55123/insologi.v4i2.5032</w:t>
        </w:r>
      </w:hyperlink>
    </w:p>
    <w:p w14:paraId="7DB3FD8C" w14:textId="77777777" w:rsidR="000A62C2" w:rsidRDefault="006821F1" w:rsidP="000A62C2">
      <w:pPr>
        <w:ind w:left="567" w:hanging="567"/>
        <w:jc w:val="both"/>
        <w:rPr>
          <w:rFonts w:ascii="Times New Roman" w:hAnsi="Times New Roman" w:cs="Times New Roman"/>
          <w:sz w:val="24"/>
          <w:szCs w:val="24"/>
        </w:rPr>
      </w:pPr>
      <w:proofErr w:type="spellStart"/>
      <w:r w:rsidRPr="006821F1">
        <w:rPr>
          <w:rFonts w:ascii="Times New Roman" w:hAnsi="Times New Roman" w:cs="Times New Roman"/>
          <w:sz w:val="24"/>
          <w:szCs w:val="24"/>
        </w:rPr>
        <w:t>Speich</w:t>
      </w:r>
      <w:proofErr w:type="spellEnd"/>
      <w:r w:rsidRPr="006821F1">
        <w:rPr>
          <w:rFonts w:ascii="Times New Roman" w:hAnsi="Times New Roman" w:cs="Times New Roman"/>
          <w:sz w:val="24"/>
          <w:szCs w:val="24"/>
        </w:rPr>
        <w:t xml:space="preserve">, M. J., Zappa, M., </w:t>
      </w:r>
      <w:proofErr w:type="spellStart"/>
      <w:r w:rsidRPr="006821F1">
        <w:rPr>
          <w:rFonts w:ascii="Times New Roman" w:hAnsi="Times New Roman" w:cs="Times New Roman"/>
          <w:sz w:val="24"/>
          <w:szCs w:val="24"/>
        </w:rPr>
        <w:t>Scherstjanoi</w:t>
      </w:r>
      <w:proofErr w:type="spellEnd"/>
      <w:r w:rsidRPr="006821F1">
        <w:rPr>
          <w:rFonts w:ascii="Times New Roman" w:hAnsi="Times New Roman" w:cs="Times New Roman"/>
          <w:sz w:val="24"/>
          <w:szCs w:val="24"/>
        </w:rPr>
        <w:t xml:space="preserve">, M., &amp; </w:t>
      </w:r>
      <w:proofErr w:type="spellStart"/>
      <w:r w:rsidRPr="006821F1">
        <w:rPr>
          <w:rFonts w:ascii="Times New Roman" w:hAnsi="Times New Roman" w:cs="Times New Roman"/>
          <w:sz w:val="24"/>
          <w:szCs w:val="24"/>
        </w:rPr>
        <w:t>Lischke</w:t>
      </w:r>
      <w:proofErr w:type="spellEnd"/>
      <w:r w:rsidRPr="006821F1">
        <w:rPr>
          <w:rFonts w:ascii="Times New Roman" w:hAnsi="Times New Roman" w:cs="Times New Roman"/>
          <w:sz w:val="24"/>
          <w:szCs w:val="24"/>
        </w:rPr>
        <w:t xml:space="preserve">, H. (2020). </w:t>
      </w:r>
      <w:proofErr w:type="spellStart"/>
      <w:r w:rsidRPr="006821F1">
        <w:rPr>
          <w:rFonts w:ascii="Times New Roman" w:hAnsi="Times New Roman" w:cs="Times New Roman"/>
          <w:sz w:val="24"/>
          <w:szCs w:val="24"/>
        </w:rPr>
        <w:t>FORests</w:t>
      </w:r>
      <w:proofErr w:type="spellEnd"/>
      <w:r w:rsidRPr="006821F1">
        <w:rPr>
          <w:rFonts w:ascii="Times New Roman" w:hAnsi="Times New Roman" w:cs="Times New Roman"/>
          <w:sz w:val="24"/>
          <w:szCs w:val="24"/>
        </w:rPr>
        <w:t xml:space="preserve"> and </w:t>
      </w:r>
      <w:proofErr w:type="spellStart"/>
      <w:r w:rsidRPr="006821F1">
        <w:rPr>
          <w:rFonts w:ascii="Times New Roman" w:hAnsi="Times New Roman" w:cs="Times New Roman"/>
          <w:sz w:val="24"/>
          <w:szCs w:val="24"/>
        </w:rPr>
        <w:t>HYdrology</w:t>
      </w:r>
      <w:proofErr w:type="spellEnd"/>
      <w:r w:rsidRPr="006821F1">
        <w:rPr>
          <w:rFonts w:ascii="Times New Roman" w:hAnsi="Times New Roman" w:cs="Times New Roman"/>
          <w:sz w:val="24"/>
          <w:szCs w:val="24"/>
        </w:rPr>
        <w:t xml:space="preserve"> under climate change in Switzerland v1.0. </w:t>
      </w:r>
      <w:r w:rsidRPr="006821F1">
        <w:rPr>
          <w:rFonts w:ascii="Times New Roman" w:hAnsi="Times New Roman" w:cs="Times New Roman"/>
          <w:i/>
          <w:iCs/>
          <w:sz w:val="24"/>
          <w:szCs w:val="24"/>
        </w:rPr>
        <w:t>Geoscientific Model Development, 13</w:t>
      </w:r>
      <w:r w:rsidRPr="006821F1">
        <w:rPr>
          <w:rFonts w:ascii="Times New Roman" w:hAnsi="Times New Roman" w:cs="Times New Roman"/>
          <w:sz w:val="24"/>
          <w:szCs w:val="24"/>
        </w:rPr>
        <w:t xml:space="preserve">(2), 537–564. </w:t>
      </w:r>
      <w:hyperlink r:id="rId25" w:tgtFrame="_new" w:history="1">
        <w:r w:rsidRPr="006821F1">
          <w:rPr>
            <w:rStyle w:val="Hyperlink"/>
            <w:rFonts w:ascii="Times New Roman" w:hAnsi="Times New Roman" w:cs="Times New Roman"/>
            <w:sz w:val="24"/>
            <w:szCs w:val="24"/>
          </w:rPr>
          <w:t>https://doi.org/10.5194/gmd-13-537-2020</w:t>
        </w:r>
      </w:hyperlink>
    </w:p>
    <w:p w14:paraId="08BCBC44" w14:textId="7D12ECD3" w:rsidR="006821F1" w:rsidRPr="006821F1" w:rsidRDefault="006821F1" w:rsidP="000A62C2">
      <w:pPr>
        <w:ind w:left="567" w:hanging="567"/>
        <w:jc w:val="both"/>
        <w:rPr>
          <w:rFonts w:ascii="Times New Roman" w:hAnsi="Times New Roman" w:cs="Times New Roman"/>
          <w:sz w:val="24"/>
          <w:szCs w:val="24"/>
        </w:rPr>
      </w:pPr>
      <w:proofErr w:type="spellStart"/>
      <w:r w:rsidRPr="006821F1">
        <w:rPr>
          <w:rFonts w:ascii="Times New Roman" w:hAnsi="Times New Roman" w:cs="Times New Roman"/>
          <w:sz w:val="24"/>
          <w:szCs w:val="24"/>
        </w:rPr>
        <w:t>Sugiarto</w:t>
      </w:r>
      <w:proofErr w:type="spellEnd"/>
      <w:r w:rsidRPr="006821F1">
        <w:rPr>
          <w:rFonts w:ascii="Times New Roman" w:hAnsi="Times New Roman" w:cs="Times New Roman"/>
          <w:sz w:val="24"/>
          <w:szCs w:val="24"/>
        </w:rPr>
        <w:t xml:space="preserve">, I. D. (2018). </w:t>
      </w:r>
      <w:proofErr w:type="spellStart"/>
      <w:r w:rsidRPr="006821F1">
        <w:rPr>
          <w:rFonts w:ascii="Times New Roman" w:hAnsi="Times New Roman" w:cs="Times New Roman"/>
          <w:i/>
          <w:iCs/>
          <w:sz w:val="24"/>
          <w:szCs w:val="24"/>
        </w:rPr>
        <w:t>Pemetaan</w:t>
      </w:r>
      <w:proofErr w:type="spellEnd"/>
      <w:r w:rsidRPr="006821F1">
        <w:rPr>
          <w:rFonts w:ascii="Times New Roman" w:hAnsi="Times New Roman" w:cs="Times New Roman"/>
          <w:i/>
          <w:iCs/>
          <w:sz w:val="24"/>
          <w:szCs w:val="24"/>
        </w:rPr>
        <w:t xml:space="preserve"> Tata </w:t>
      </w:r>
      <w:proofErr w:type="spellStart"/>
      <w:r w:rsidRPr="006821F1">
        <w:rPr>
          <w:rFonts w:ascii="Times New Roman" w:hAnsi="Times New Roman" w:cs="Times New Roman"/>
          <w:i/>
          <w:iCs/>
          <w:sz w:val="24"/>
          <w:szCs w:val="24"/>
        </w:rPr>
        <w:t>Guna</w:t>
      </w:r>
      <w:proofErr w:type="spellEnd"/>
      <w:r w:rsidRPr="006821F1">
        <w:rPr>
          <w:rFonts w:ascii="Times New Roman" w:hAnsi="Times New Roman" w:cs="Times New Roman"/>
          <w:i/>
          <w:iCs/>
          <w:sz w:val="24"/>
          <w:szCs w:val="24"/>
        </w:rPr>
        <w:t xml:space="preserve"> </w:t>
      </w:r>
      <w:proofErr w:type="spellStart"/>
      <w:r w:rsidRPr="006821F1">
        <w:rPr>
          <w:rFonts w:ascii="Times New Roman" w:hAnsi="Times New Roman" w:cs="Times New Roman"/>
          <w:i/>
          <w:iCs/>
          <w:sz w:val="24"/>
          <w:szCs w:val="24"/>
        </w:rPr>
        <w:t>Lahan</w:t>
      </w:r>
      <w:proofErr w:type="spellEnd"/>
      <w:r w:rsidRPr="006821F1">
        <w:rPr>
          <w:rFonts w:ascii="Times New Roman" w:hAnsi="Times New Roman" w:cs="Times New Roman"/>
          <w:i/>
          <w:iCs/>
          <w:sz w:val="24"/>
          <w:szCs w:val="24"/>
        </w:rPr>
        <w:t xml:space="preserve"> Kota </w:t>
      </w:r>
      <w:proofErr w:type="spellStart"/>
      <w:r w:rsidRPr="006821F1">
        <w:rPr>
          <w:rFonts w:ascii="Times New Roman" w:hAnsi="Times New Roman" w:cs="Times New Roman"/>
          <w:i/>
          <w:iCs/>
          <w:sz w:val="24"/>
          <w:szCs w:val="24"/>
        </w:rPr>
        <w:t>Batu</w:t>
      </w:r>
      <w:proofErr w:type="spellEnd"/>
      <w:r w:rsidRPr="006821F1">
        <w:rPr>
          <w:rFonts w:ascii="Times New Roman" w:hAnsi="Times New Roman" w:cs="Times New Roman"/>
          <w:i/>
          <w:iCs/>
          <w:sz w:val="24"/>
          <w:szCs w:val="24"/>
        </w:rPr>
        <w:t xml:space="preserve"> </w:t>
      </w:r>
      <w:proofErr w:type="spellStart"/>
      <w:r w:rsidRPr="006821F1">
        <w:rPr>
          <w:rFonts w:ascii="Times New Roman" w:hAnsi="Times New Roman" w:cs="Times New Roman"/>
          <w:i/>
          <w:iCs/>
          <w:sz w:val="24"/>
          <w:szCs w:val="24"/>
        </w:rPr>
        <w:t>dengan</w:t>
      </w:r>
      <w:proofErr w:type="spellEnd"/>
      <w:r w:rsidRPr="006821F1">
        <w:rPr>
          <w:rFonts w:ascii="Times New Roman" w:hAnsi="Times New Roman" w:cs="Times New Roman"/>
          <w:i/>
          <w:iCs/>
          <w:sz w:val="24"/>
          <w:szCs w:val="24"/>
        </w:rPr>
        <w:t xml:space="preserve"> Data </w:t>
      </w:r>
      <w:proofErr w:type="spellStart"/>
      <w:r w:rsidRPr="006821F1">
        <w:rPr>
          <w:rFonts w:ascii="Times New Roman" w:hAnsi="Times New Roman" w:cs="Times New Roman"/>
          <w:i/>
          <w:iCs/>
          <w:sz w:val="24"/>
          <w:szCs w:val="24"/>
        </w:rPr>
        <w:t>Penginderaan</w:t>
      </w:r>
      <w:proofErr w:type="spellEnd"/>
      <w:r w:rsidRPr="006821F1">
        <w:rPr>
          <w:rFonts w:ascii="Times New Roman" w:hAnsi="Times New Roman" w:cs="Times New Roman"/>
          <w:i/>
          <w:iCs/>
          <w:sz w:val="24"/>
          <w:szCs w:val="24"/>
        </w:rPr>
        <w:t xml:space="preserve"> </w:t>
      </w:r>
      <w:proofErr w:type="spellStart"/>
      <w:r w:rsidRPr="006821F1">
        <w:rPr>
          <w:rFonts w:ascii="Times New Roman" w:hAnsi="Times New Roman" w:cs="Times New Roman"/>
          <w:i/>
          <w:iCs/>
          <w:sz w:val="24"/>
          <w:szCs w:val="24"/>
        </w:rPr>
        <w:t>Jauh</w:t>
      </w:r>
      <w:proofErr w:type="spellEnd"/>
      <w:r w:rsidRPr="006821F1">
        <w:rPr>
          <w:rFonts w:ascii="Times New Roman" w:hAnsi="Times New Roman" w:cs="Times New Roman"/>
          <w:sz w:val="24"/>
          <w:szCs w:val="24"/>
        </w:rPr>
        <w:t xml:space="preserve"> (Undergraduate thesis). </w:t>
      </w:r>
      <w:proofErr w:type="spellStart"/>
      <w:r w:rsidRPr="006821F1">
        <w:rPr>
          <w:rFonts w:ascii="Times New Roman" w:hAnsi="Times New Roman" w:cs="Times New Roman"/>
          <w:sz w:val="24"/>
          <w:szCs w:val="24"/>
        </w:rPr>
        <w:t>Universitas</w:t>
      </w:r>
      <w:proofErr w:type="spellEnd"/>
      <w:r w:rsidRPr="006821F1">
        <w:rPr>
          <w:rFonts w:ascii="Times New Roman" w:hAnsi="Times New Roman" w:cs="Times New Roman"/>
          <w:sz w:val="24"/>
          <w:szCs w:val="24"/>
        </w:rPr>
        <w:t xml:space="preserve"> </w:t>
      </w:r>
      <w:proofErr w:type="spellStart"/>
      <w:r w:rsidRPr="006821F1">
        <w:rPr>
          <w:rFonts w:ascii="Times New Roman" w:hAnsi="Times New Roman" w:cs="Times New Roman"/>
          <w:sz w:val="24"/>
          <w:szCs w:val="24"/>
        </w:rPr>
        <w:t>Airlangga</w:t>
      </w:r>
      <w:proofErr w:type="spellEnd"/>
      <w:r w:rsidRPr="006821F1">
        <w:rPr>
          <w:rFonts w:ascii="Times New Roman" w:hAnsi="Times New Roman" w:cs="Times New Roman"/>
          <w:sz w:val="24"/>
          <w:szCs w:val="24"/>
        </w:rPr>
        <w:t>.</w:t>
      </w:r>
    </w:p>
    <w:p w14:paraId="6715A203" w14:textId="77777777" w:rsidR="00456BAD" w:rsidRDefault="00456BAD" w:rsidP="006821F1">
      <w:pPr>
        <w:jc w:val="both"/>
        <w:rPr>
          <w:rFonts w:ascii="Times New Roman" w:hAnsi="Times New Roman" w:cs="Times New Roman"/>
          <w:sz w:val="24"/>
          <w:szCs w:val="24"/>
        </w:rPr>
      </w:pPr>
    </w:p>
    <w:p w14:paraId="60005CA7" w14:textId="77777777" w:rsidR="006821F1" w:rsidRDefault="006821F1" w:rsidP="006821F1">
      <w:pPr>
        <w:jc w:val="both"/>
        <w:rPr>
          <w:rFonts w:ascii="Times New Roman" w:hAnsi="Times New Roman" w:cs="Times New Roman"/>
          <w:sz w:val="24"/>
          <w:szCs w:val="24"/>
        </w:rPr>
      </w:pPr>
    </w:p>
    <w:p w14:paraId="610055C2" w14:textId="77777777" w:rsidR="006821F1" w:rsidRDefault="006821F1" w:rsidP="006821F1">
      <w:pPr>
        <w:jc w:val="both"/>
        <w:rPr>
          <w:rFonts w:ascii="Times New Roman" w:hAnsi="Times New Roman" w:cs="Times New Roman"/>
          <w:sz w:val="24"/>
          <w:szCs w:val="24"/>
        </w:rPr>
      </w:pPr>
    </w:p>
    <w:p w14:paraId="05E3A827" w14:textId="77777777" w:rsidR="006821F1" w:rsidRDefault="006821F1" w:rsidP="006821F1">
      <w:pPr>
        <w:jc w:val="both"/>
        <w:rPr>
          <w:rFonts w:ascii="Times New Roman" w:hAnsi="Times New Roman" w:cs="Times New Roman"/>
          <w:sz w:val="24"/>
          <w:szCs w:val="24"/>
        </w:rPr>
      </w:pPr>
    </w:p>
    <w:p w14:paraId="3C8FEF83" w14:textId="77777777" w:rsidR="006821F1" w:rsidRDefault="006821F1" w:rsidP="006821F1">
      <w:pPr>
        <w:jc w:val="both"/>
        <w:rPr>
          <w:rFonts w:ascii="Times New Roman" w:hAnsi="Times New Roman" w:cs="Times New Roman"/>
          <w:sz w:val="24"/>
          <w:szCs w:val="24"/>
        </w:rPr>
      </w:pPr>
    </w:p>
    <w:p w14:paraId="663D8AB0" w14:textId="77777777" w:rsidR="006821F1" w:rsidRDefault="006821F1" w:rsidP="006821F1">
      <w:pPr>
        <w:jc w:val="both"/>
        <w:rPr>
          <w:rFonts w:ascii="Times New Roman" w:hAnsi="Times New Roman" w:cs="Times New Roman"/>
          <w:sz w:val="24"/>
          <w:szCs w:val="24"/>
        </w:rPr>
      </w:pPr>
    </w:p>
    <w:p w14:paraId="788C1683" w14:textId="77777777" w:rsidR="006821F1" w:rsidRDefault="006821F1" w:rsidP="006821F1">
      <w:pPr>
        <w:jc w:val="both"/>
        <w:rPr>
          <w:rFonts w:ascii="Times New Roman" w:hAnsi="Times New Roman" w:cs="Times New Roman"/>
          <w:sz w:val="24"/>
          <w:szCs w:val="24"/>
        </w:rPr>
      </w:pPr>
    </w:p>
    <w:p w14:paraId="46726B2C" w14:textId="77777777" w:rsidR="006821F1" w:rsidRDefault="006821F1" w:rsidP="006821F1">
      <w:pPr>
        <w:jc w:val="both"/>
        <w:rPr>
          <w:rFonts w:ascii="Times New Roman" w:hAnsi="Times New Roman" w:cs="Times New Roman"/>
          <w:sz w:val="24"/>
          <w:szCs w:val="24"/>
        </w:rPr>
      </w:pPr>
    </w:p>
    <w:p w14:paraId="6FA6F98A" w14:textId="77777777" w:rsidR="006821F1" w:rsidRDefault="006821F1" w:rsidP="006821F1">
      <w:pPr>
        <w:jc w:val="both"/>
        <w:rPr>
          <w:rFonts w:ascii="Times New Roman" w:hAnsi="Times New Roman" w:cs="Times New Roman"/>
          <w:sz w:val="24"/>
          <w:szCs w:val="24"/>
        </w:rPr>
      </w:pPr>
    </w:p>
    <w:p w14:paraId="2CB99055" w14:textId="77777777" w:rsidR="006821F1" w:rsidRDefault="006821F1" w:rsidP="006821F1">
      <w:pPr>
        <w:jc w:val="both"/>
        <w:rPr>
          <w:rFonts w:ascii="Times New Roman" w:hAnsi="Times New Roman" w:cs="Times New Roman"/>
          <w:sz w:val="24"/>
          <w:szCs w:val="24"/>
        </w:rPr>
      </w:pPr>
    </w:p>
    <w:p w14:paraId="4C24793D" w14:textId="77777777" w:rsidR="006821F1" w:rsidRDefault="006821F1" w:rsidP="006821F1">
      <w:pPr>
        <w:jc w:val="both"/>
        <w:rPr>
          <w:rFonts w:ascii="Times New Roman" w:hAnsi="Times New Roman" w:cs="Times New Roman"/>
          <w:sz w:val="24"/>
          <w:szCs w:val="24"/>
        </w:rPr>
      </w:pPr>
    </w:p>
    <w:p w14:paraId="360332A7" w14:textId="77777777" w:rsidR="006821F1" w:rsidRDefault="006821F1" w:rsidP="006821F1">
      <w:pPr>
        <w:jc w:val="both"/>
        <w:rPr>
          <w:rFonts w:ascii="Times New Roman" w:hAnsi="Times New Roman" w:cs="Times New Roman"/>
          <w:sz w:val="24"/>
          <w:szCs w:val="24"/>
        </w:rPr>
      </w:pPr>
    </w:p>
    <w:p w14:paraId="26251637" w14:textId="77777777" w:rsidR="006821F1" w:rsidRDefault="006821F1" w:rsidP="006821F1">
      <w:pPr>
        <w:jc w:val="both"/>
        <w:rPr>
          <w:rFonts w:ascii="Times New Roman" w:hAnsi="Times New Roman" w:cs="Times New Roman"/>
          <w:sz w:val="24"/>
          <w:szCs w:val="24"/>
        </w:rPr>
      </w:pPr>
    </w:p>
    <w:p w14:paraId="4F90C27F" w14:textId="77777777" w:rsidR="006821F1" w:rsidRDefault="006821F1" w:rsidP="006821F1">
      <w:pPr>
        <w:jc w:val="both"/>
        <w:rPr>
          <w:rFonts w:ascii="Times New Roman" w:hAnsi="Times New Roman" w:cs="Times New Roman"/>
          <w:sz w:val="24"/>
          <w:szCs w:val="24"/>
        </w:rPr>
      </w:pPr>
    </w:p>
    <w:p w14:paraId="4A28B3CC" w14:textId="77777777" w:rsidR="006821F1" w:rsidRDefault="006821F1" w:rsidP="006821F1">
      <w:pPr>
        <w:jc w:val="both"/>
        <w:rPr>
          <w:rFonts w:ascii="Times New Roman" w:hAnsi="Times New Roman" w:cs="Times New Roman"/>
          <w:sz w:val="24"/>
          <w:szCs w:val="24"/>
        </w:rPr>
      </w:pPr>
    </w:p>
    <w:p w14:paraId="40EE8F30" w14:textId="77777777" w:rsidR="006821F1" w:rsidRDefault="006821F1" w:rsidP="006821F1">
      <w:pPr>
        <w:jc w:val="both"/>
        <w:rPr>
          <w:rFonts w:ascii="Times New Roman" w:hAnsi="Times New Roman" w:cs="Times New Roman"/>
          <w:sz w:val="24"/>
          <w:szCs w:val="24"/>
        </w:rPr>
      </w:pPr>
    </w:p>
    <w:p w14:paraId="375B7609" w14:textId="77777777" w:rsidR="006821F1" w:rsidRDefault="006821F1" w:rsidP="006821F1">
      <w:pPr>
        <w:jc w:val="both"/>
        <w:rPr>
          <w:rFonts w:ascii="Times New Roman" w:hAnsi="Times New Roman" w:cs="Times New Roman"/>
          <w:sz w:val="24"/>
          <w:szCs w:val="24"/>
        </w:rPr>
      </w:pPr>
    </w:p>
    <w:p w14:paraId="0EB6D382" w14:textId="77777777" w:rsidR="006821F1" w:rsidRDefault="006821F1" w:rsidP="006821F1">
      <w:pPr>
        <w:jc w:val="both"/>
        <w:rPr>
          <w:rFonts w:ascii="Times New Roman" w:hAnsi="Times New Roman" w:cs="Times New Roman"/>
          <w:sz w:val="24"/>
          <w:szCs w:val="24"/>
        </w:rPr>
      </w:pPr>
    </w:p>
    <w:p w14:paraId="2FB77ACF" w14:textId="77777777" w:rsidR="006821F1" w:rsidRDefault="006821F1" w:rsidP="006821F1">
      <w:pPr>
        <w:jc w:val="both"/>
        <w:rPr>
          <w:rFonts w:ascii="Times New Roman" w:hAnsi="Times New Roman" w:cs="Times New Roman"/>
          <w:sz w:val="24"/>
          <w:szCs w:val="24"/>
        </w:rPr>
      </w:pPr>
    </w:p>
    <w:p w14:paraId="6AD25100" w14:textId="77777777" w:rsidR="006821F1" w:rsidRDefault="006821F1" w:rsidP="006821F1">
      <w:pPr>
        <w:jc w:val="both"/>
        <w:rPr>
          <w:rFonts w:ascii="Times New Roman" w:hAnsi="Times New Roman" w:cs="Times New Roman"/>
          <w:sz w:val="24"/>
          <w:szCs w:val="24"/>
        </w:rPr>
      </w:pPr>
    </w:p>
    <w:p w14:paraId="6B8C3162" w14:textId="77777777" w:rsidR="006821F1" w:rsidRDefault="006821F1" w:rsidP="006821F1">
      <w:pPr>
        <w:jc w:val="both"/>
        <w:rPr>
          <w:rFonts w:ascii="Times New Roman" w:hAnsi="Times New Roman" w:cs="Times New Roman"/>
          <w:sz w:val="24"/>
          <w:szCs w:val="24"/>
        </w:rPr>
      </w:pPr>
    </w:p>
    <w:p w14:paraId="0F4BA9D5" w14:textId="77777777" w:rsidR="006821F1" w:rsidRDefault="006821F1" w:rsidP="006821F1">
      <w:pPr>
        <w:jc w:val="both"/>
        <w:rPr>
          <w:rFonts w:ascii="Times New Roman" w:hAnsi="Times New Roman" w:cs="Times New Roman"/>
          <w:sz w:val="24"/>
          <w:szCs w:val="24"/>
        </w:rPr>
      </w:pPr>
    </w:p>
    <w:p w14:paraId="0F54369D" w14:textId="77777777" w:rsidR="006821F1" w:rsidRDefault="006821F1" w:rsidP="006821F1">
      <w:pPr>
        <w:jc w:val="both"/>
        <w:rPr>
          <w:rFonts w:ascii="Times New Roman" w:hAnsi="Times New Roman" w:cs="Times New Roman"/>
          <w:sz w:val="24"/>
          <w:szCs w:val="24"/>
        </w:rPr>
      </w:pPr>
    </w:p>
    <w:p w14:paraId="56C52C8E" w14:textId="77777777" w:rsidR="006821F1" w:rsidRDefault="006821F1" w:rsidP="006821F1">
      <w:pPr>
        <w:jc w:val="both"/>
        <w:rPr>
          <w:rFonts w:ascii="Times New Roman" w:hAnsi="Times New Roman" w:cs="Times New Roman"/>
          <w:sz w:val="24"/>
          <w:szCs w:val="24"/>
        </w:rPr>
      </w:pPr>
    </w:p>
    <w:p w14:paraId="0E10AC22" w14:textId="77777777" w:rsidR="006821F1" w:rsidRDefault="006821F1" w:rsidP="006821F1">
      <w:pPr>
        <w:jc w:val="both"/>
        <w:rPr>
          <w:rFonts w:ascii="Times New Roman" w:hAnsi="Times New Roman" w:cs="Times New Roman"/>
          <w:sz w:val="24"/>
          <w:szCs w:val="24"/>
        </w:rPr>
      </w:pPr>
    </w:p>
    <w:p w14:paraId="4602FD38" w14:textId="77777777" w:rsidR="006821F1" w:rsidRDefault="006821F1" w:rsidP="006821F1">
      <w:pPr>
        <w:jc w:val="both"/>
        <w:rPr>
          <w:rFonts w:ascii="Times New Roman" w:hAnsi="Times New Roman" w:cs="Times New Roman"/>
          <w:sz w:val="24"/>
          <w:szCs w:val="24"/>
        </w:rPr>
      </w:pPr>
    </w:p>
    <w:p w14:paraId="07609BED" w14:textId="77777777" w:rsidR="006821F1" w:rsidRDefault="006821F1" w:rsidP="006821F1">
      <w:pPr>
        <w:jc w:val="both"/>
        <w:rPr>
          <w:rFonts w:ascii="Times New Roman" w:hAnsi="Times New Roman" w:cs="Times New Roman"/>
          <w:sz w:val="24"/>
          <w:szCs w:val="24"/>
        </w:rPr>
      </w:pPr>
    </w:p>
    <w:p w14:paraId="64A997A0" w14:textId="77777777" w:rsidR="006821F1" w:rsidRDefault="006821F1" w:rsidP="006821F1">
      <w:pPr>
        <w:jc w:val="both"/>
        <w:rPr>
          <w:rFonts w:ascii="Times New Roman" w:hAnsi="Times New Roman" w:cs="Times New Roman"/>
          <w:sz w:val="24"/>
          <w:szCs w:val="24"/>
        </w:rPr>
      </w:pPr>
    </w:p>
    <w:p w14:paraId="59C59A84" w14:textId="77777777" w:rsidR="006821F1" w:rsidRDefault="006821F1" w:rsidP="006821F1">
      <w:pPr>
        <w:jc w:val="both"/>
        <w:rPr>
          <w:rFonts w:ascii="Times New Roman" w:hAnsi="Times New Roman" w:cs="Times New Roman"/>
          <w:sz w:val="24"/>
          <w:szCs w:val="24"/>
        </w:rPr>
      </w:pPr>
    </w:p>
    <w:p w14:paraId="14F70B13" w14:textId="77777777" w:rsidR="006821F1" w:rsidRDefault="006821F1" w:rsidP="006821F1">
      <w:pPr>
        <w:jc w:val="both"/>
        <w:rPr>
          <w:rFonts w:ascii="Times New Roman" w:hAnsi="Times New Roman" w:cs="Times New Roman"/>
          <w:sz w:val="24"/>
          <w:szCs w:val="24"/>
        </w:rPr>
      </w:pPr>
    </w:p>
    <w:p w14:paraId="4C3E1E4F" w14:textId="77777777" w:rsidR="006821F1" w:rsidRDefault="006821F1" w:rsidP="006821F1">
      <w:pPr>
        <w:jc w:val="both"/>
        <w:rPr>
          <w:rFonts w:ascii="Times New Roman" w:hAnsi="Times New Roman" w:cs="Times New Roman"/>
          <w:sz w:val="24"/>
          <w:szCs w:val="24"/>
        </w:rPr>
      </w:pPr>
    </w:p>
    <w:p w14:paraId="3614159A" w14:textId="77777777" w:rsidR="006821F1" w:rsidRDefault="006821F1" w:rsidP="006821F1">
      <w:pPr>
        <w:jc w:val="both"/>
        <w:rPr>
          <w:rFonts w:ascii="Times New Roman" w:hAnsi="Times New Roman" w:cs="Times New Roman"/>
          <w:sz w:val="24"/>
          <w:szCs w:val="24"/>
        </w:rPr>
      </w:pPr>
    </w:p>
    <w:p w14:paraId="3F4156FD" w14:textId="77777777" w:rsidR="006821F1" w:rsidRDefault="006821F1" w:rsidP="006821F1">
      <w:pPr>
        <w:jc w:val="both"/>
        <w:rPr>
          <w:rFonts w:ascii="Times New Roman" w:hAnsi="Times New Roman" w:cs="Times New Roman"/>
          <w:sz w:val="24"/>
          <w:szCs w:val="24"/>
        </w:rPr>
      </w:pPr>
    </w:p>
    <w:p w14:paraId="139993FB" w14:textId="77777777" w:rsidR="006821F1" w:rsidRDefault="006821F1" w:rsidP="006821F1">
      <w:pPr>
        <w:jc w:val="both"/>
        <w:rPr>
          <w:rFonts w:ascii="Times New Roman" w:hAnsi="Times New Roman" w:cs="Times New Roman"/>
          <w:sz w:val="24"/>
          <w:szCs w:val="24"/>
        </w:rPr>
      </w:pPr>
    </w:p>
    <w:p w14:paraId="678DD2DF" w14:textId="77777777" w:rsidR="006821F1" w:rsidRDefault="006821F1" w:rsidP="006821F1">
      <w:pPr>
        <w:jc w:val="both"/>
        <w:rPr>
          <w:rFonts w:ascii="Times New Roman" w:hAnsi="Times New Roman" w:cs="Times New Roman"/>
          <w:sz w:val="24"/>
          <w:szCs w:val="24"/>
        </w:rPr>
      </w:pPr>
    </w:p>
    <w:p w14:paraId="0F65CE96" w14:textId="77777777" w:rsidR="006821F1" w:rsidRDefault="006821F1" w:rsidP="006821F1">
      <w:pPr>
        <w:jc w:val="both"/>
        <w:rPr>
          <w:rFonts w:ascii="Times New Roman" w:hAnsi="Times New Roman" w:cs="Times New Roman"/>
          <w:sz w:val="24"/>
          <w:szCs w:val="24"/>
        </w:rPr>
      </w:pPr>
    </w:p>
    <w:p w14:paraId="2338C0EC" w14:textId="77777777" w:rsidR="006821F1" w:rsidRPr="006821F1" w:rsidRDefault="006821F1" w:rsidP="006821F1">
      <w:pPr>
        <w:jc w:val="both"/>
        <w:rPr>
          <w:rFonts w:ascii="Times New Roman" w:hAnsi="Times New Roman" w:cs="Times New Roman"/>
          <w:sz w:val="24"/>
          <w:szCs w:val="24"/>
        </w:rPr>
      </w:pPr>
    </w:p>
    <w:sectPr w:rsidR="006821F1" w:rsidRPr="006821F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E125C" w14:textId="77777777" w:rsidR="00C3479B" w:rsidRDefault="00C3479B" w:rsidP="007A676C">
      <w:pPr>
        <w:spacing w:after="0" w:line="240" w:lineRule="auto"/>
      </w:pPr>
      <w:r>
        <w:separator/>
      </w:r>
    </w:p>
  </w:endnote>
  <w:endnote w:type="continuationSeparator" w:id="0">
    <w:p w14:paraId="186C81A2" w14:textId="77777777" w:rsidR="00C3479B" w:rsidRDefault="00C3479B" w:rsidP="007A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E88A9" w14:textId="77777777" w:rsidR="007A676C" w:rsidRDefault="007A6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1C17" w14:textId="77777777" w:rsidR="007A676C" w:rsidRDefault="007A67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C0C0" w14:textId="77777777" w:rsidR="007A676C" w:rsidRDefault="007A6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0E2F9" w14:textId="77777777" w:rsidR="00C3479B" w:rsidRDefault="00C3479B" w:rsidP="007A676C">
      <w:pPr>
        <w:spacing w:after="0" w:line="240" w:lineRule="auto"/>
      </w:pPr>
      <w:r>
        <w:separator/>
      </w:r>
    </w:p>
  </w:footnote>
  <w:footnote w:type="continuationSeparator" w:id="0">
    <w:p w14:paraId="2CF369DB" w14:textId="77777777" w:rsidR="00C3479B" w:rsidRDefault="00C3479B" w:rsidP="007A6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C0A4" w14:textId="7FEAC9AE" w:rsidR="007A676C" w:rsidRDefault="007A676C">
    <w:pPr>
      <w:pStyle w:val="Header"/>
    </w:pPr>
    <w:r>
      <w:rPr>
        <w:noProof/>
      </w:rPr>
      <w:pict w14:anchorId="36052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7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C0A5" w14:textId="654E9B5C" w:rsidR="007A676C" w:rsidRDefault="007A676C">
    <w:pPr>
      <w:pStyle w:val="Header"/>
    </w:pPr>
    <w:r>
      <w:rPr>
        <w:noProof/>
      </w:rPr>
      <w:pict w14:anchorId="43F69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7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C7D6" w14:textId="4E8A6185" w:rsidR="007A676C" w:rsidRDefault="007A676C">
    <w:pPr>
      <w:pStyle w:val="Header"/>
    </w:pPr>
    <w:r>
      <w:rPr>
        <w:noProof/>
      </w:rPr>
      <w:pict w14:anchorId="115D9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7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09AD"/>
    <w:multiLevelType w:val="multilevel"/>
    <w:tmpl w:val="C8D8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4762A"/>
    <w:multiLevelType w:val="multilevel"/>
    <w:tmpl w:val="F000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357CC"/>
    <w:multiLevelType w:val="multilevel"/>
    <w:tmpl w:val="DD02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03C76"/>
    <w:multiLevelType w:val="multilevel"/>
    <w:tmpl w:val="5C62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27FAA"/>
    <w:multiLevelType w:val="multilevel"/>
    <w:tmpl w:val="EB98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27E29"/>
    <w:multiLevelType w:val="multilevel"/>
    <w:tmpl w:val="A004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DC1BFF"/>
    <w:multiLevelType w:val="multilevel"/>
    <w:tmpl w:val="90B6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1F1"/>
    <w:rsid w:val="00057C5F"/>
    <w:rsid w:val="000A62C2"/>
    <w:rsid w:val="00220DE7"/>
    <w:rsid w:val="00297123"/>
    <w:rsid w:val="00456BAD"/>
    <w:rsid w:val="00492EA7"/>
    <w:rsid w:val="004A171E"/>
    <w:rsid w:val="004D3F4C"/>
    <w:rsid w:val="005C025D"/>
    <w:rsid w:val="0065182D"/>
    <w:rsid w:val="00670C7C"/>
    <w:rsid w:val="006821F1"/>
    <w:rsid w:val="006A7E12"/>
    <w:rsid w:val="006D7199"/>
    <w:rsid w:val="007A676C"/>
    <w:rsid w:val="00831741"/>
    <w:rsid w:val="00B4553D"/>
    <w:rsid w:val="00C3479B"/>
    <w:rsid w:val="00D460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C9AE0"/>
  <w15:chartTrackingRefBased/>
  <w15:docId w15:val="{737533DA-3244-41E3-98D5-0B9CA584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1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21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21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21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21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21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1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1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1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1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21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21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21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21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21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1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1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1F1"/>
    <w:rPr>
      <w:rFonts w:eastAsiaTheme="majorEastAsia" w:cstheme="majorBidi"/>
      <w:color w:val="272727" w:themeColor="text1" w:themeTint="D8"/>
    </w:rPr>
  </w:style>
  <w:style w:type="paragraph" w:styleId="Title">
    <w:name w:val="Title"/>
    <w:basedOn w:val="Normal"/>
    <w:next w:val="Normal"/>
    <w:link w:val="TitleChar"/>
    <w:uiPriority w:val="10"/>
    <w:qFormat/>
    <w:rsid w:val="006821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1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1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1F1"/>
    <w:pPr>
      <w:spacing w:before="160"/>
      <w:jc w:val="center"/>
    </w:pPr>
    <w:rPr>
      <w:i/>
      <w:iCs/>
      <w:color w:val="404040" w:themeColor="text1" w:themeTint="BF"/>
    </w:rPr>
  </w:style>
  <w:style w:type="character" w:customStyle="1" w:styleId="QuoteChar">
    <w:name w:val="Quote Char"/>
    <w:basedOn w:val="DefaultParagraphFont"/>
    <w:link w:val="Quote"/>
    <w:uiPriority w:val="29"/>
    <w:rsid w:val="006821F1"/>
    <w:rPr>
      <w:i/>
      <w:iCs/>
      <w:color w:val="404040" w:themeColor="text1" w:themeTint="BF"/>
    </w:rPr>
  </w:style>
  <w:style w:type="paragraph" w:styleId="ListParagraph">
    <w:name w:val="List Paragraph"/>
    <w:basedOn w:val="Normal"/>
    <w:uiPriority w:val="34"/>
    <w:qFormat/>
    <w:rsid w:val="006821F1"/>
    <w:pPr>
      <w:ind w:left="720"/>
      <w:contextualSpacing/>
    </w:pPr>
  </w:style>
  <w:style w:type="character" w:styleId="IntenseEmphasis">
    <w:name w:val="Intense Emphasis"/>
    <w:basedOn w:val="DefaultParagraphFont"/>
    <w:uiPriority w:val="21"/>
    <w:qFormat/>
    <w:rsid w:val="006821F1"/>
    <w:rPr>
      <w:i/>
      <w:iCs/>
      <w:color w:val="2F5496" w:themeColor="accent1" w:themeShade="BF"/>
    </w:rPr>
  </w:style>
  <w:style w:type="paragraph" w:styleId="IntenseQuote">
    <w:name w:val="Intense Quote"/>
    <w:basedOn w:val="Normal"/>
    <w:next w:val="Normal"/>
    <w:link w:val="IntenseQuoteChar"/>
    <w:uiPriority w:val="30"/>
    <w:qFormat/>
    <w:rsid w:val="006821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21F1"/>
    <w:rPr>
      <w:i/>
      <w:iCs/>
      <w:color w:val="2F5496" w:themeColor="accent1" w:themeShade="BF"/>
    </w:rPr>
  </w:style>
  <w:style w:type="character" w:styleId="IntenseReference">
    <w:name w:val="Intense Reference"/>
    <w:basedOn w:val="DefaultParagraphFont"/>
    <w:uiPriority w:val="32"/>
    <w:qFormat/>
    <w:rsid w:val="006821F1"/>
    <w:rPr>
      <w:b/>
      <w:bCs/>
      <w:smallCaps/>
      <w:color w:val="2F5496" w:themeColor="accent1" w:themeShade="BF"/>
      <w:spacing w:val="5"/>
    </w:rPr>
  </w:style>
  <w:style w:type="character" w:styleId="Hyperlink">
    <w:name w:val="Hyperlink"/>
    <w:basedOn w:val="DefaultParagraphFont"/>
    <w:uiPriority w:val="99"/>
    <w:unhideWhenUsed/>
    <w:rsid w:val="006821F1"/>
    <w:rPr>
      <w:color w:val="0563C1" w:themeColor="hyperlink"/>
      <w:u w:val="single"/>
    </w:rPr>
  </w:style>
  <w:style w:type="character" w:styleId="UnresolvedMention">
    <w:name w:val="Unresolved Mention"/>
    <w:basedOn w:val="DefaultParagraphFont"/>
    <w:uiPriority w:val="99"/>
    <w:semiHidden/>
    <w:unhideWhenUsed/>
    <w:rsid w:val="006821F1"/>
    <w:rPr>
      <w:color w:val="605E5C"/>
      <w:shd w:val="clear" w:color="auto" w:fill="E1DFDD"/>
    </w:rPr>
  </w:style>
  <w:style w:type="table" w:styleId="TableGrid">
    <w:name w:val="Table Grid"/>
    <w:basedOn w:val="TableNormal"/>
    <w:uiPriority w:val="39"/>
    <w:rsid w:val="00682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76C"/>
  </w:style>
  <w:style w:type="paragraph" w:styleId="Footer">
    <w:name w:val="footer"/>
    <w:basedOn w:val="Normal"/>
    <w:link w:val="FooterChar"/>
    <w:uiPriority w:val="99"/>
    <w:unhideWhenUsed/>
    <w:rsid w:val="007A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23960/jsl.v12i2.734"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3390/land1103041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land12020340" TargetMode="External"/><Relationship Id="rId25" Type="http://schemas.openxmlformats.org/officeDocument/2006/relationships/hyperlink" Target="https://doi.org/10.5194/gmd-13-537-202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23887/mkg.v21i2.28121" TargetMode="External"/><Relationship Id="rId20" Type="http://schemas.openxmlformats.org/officeDocument/2006/relationships/hyperlink" Target="https://doi.org/10.1007/978-3-319-44234-1_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5123/insologi.v4i2.503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22146/IJG.68702"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5194/isprs-archives-XLVIII-M-5-2024-81-2025"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2017/jti.v0i31.22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3062</Words>
  <Characters>17459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1180</cp:lastModifiedBy>
  <cp:revision>14</cp:revision>
  <dcterms:created xsi:type="dcterms:W3CDTF">2025-12-19T14:19:00Z</dcterms:created>
  <dcterms:modified xsi:type="dcterms:W3CDTF">2025-12-20T11:59:00Z</dcterms:modified>
</cp:coreProperties>
</file>