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E9E4F" w14:textId="77777777" w:rsidR="004112EA" w:rsidRPr="00E47F73" w:rsidRDefault="004112EA" w:rsidP="3E10F8E4">
      <w:pPr>
        <w:shd w:val="clear" w:color="auto" w:fill="FFFFFF" w:themeFill="background1"/>
        <w:spacing w:before="195" w:after="195"/>
        <w:rPr>
          <w:rFonts w:ascii="Arial" w:eastAsia="Arial" w:hAnsi="Arial" w:cs="Arial"/>
          <w:color w:val="222222"/>
          <w:lang w:val="en-US"/>
        </w:rPr>
      </w:pPr>
      <w:r w:rsidRPr="00E47F73">
        <w:rPr>
          <w:rFonts w:ascii="Arial" w:eastAsia="Arial" w:hAnsi="Arial" w:cs="Arial"/>
          <w:color w:val="222222"/>
          <w:lang w:val="en-US"/>
        </w:rPr>
        <w:t>Minireview Article</w:t>
      </w:r>
    </w:p>
    <w:p w14:paraId="009B0380" w14:textId="77777777" w:rsidR="004112EA" w:rsidRPr="00E47F73" w:rsidRDefault="004112EA" w:rsidP="3E10F8E4">
      <w:pPr>
        <w:shd w:val="clear" w:color="auto" w:fill="FFFFFF" w:themeFill="background1"/>
        <w:spacing w:before="195" w:after="195"/>
        <w:rPr>
          <w:rFonts w:ascii="Arial" w:eastAsia="Arial" w:hAnsi="Arial" w:cs="Arial"/>
          <w:color w:val="222222"/>
          <w:lang w:val="en-US"/>
        </w:rPr>
      </w:pPr>
    </w:p>
    <w:p w14:paraId="698B29C4" w14:textId="77777777" w:rsidR="002F6488" w:rsidRPr="00E47F73" w:rsidRDefault="72345BF6" w:rsidP="3E10F8E4">
      <w:pPr>
        <w:shd w:val="clear" w:color="auto" w:fill="FFFFFF" w:themeFill="background1"/>
        <w:spacing w:before="195" w:after="195"/>
        <w:rPr>
          <w:rFonts w:ascii="Arial" w:eastAsia="Arial" w:hAnsi="Arial" w:cs="Arial"/>
          <w:color w:val="222222"/>
          <w:lang w:val="en-US"/>
        </w:rPr>
      </w:pPr>
      <w:r w:rsidRPr="00E47F73">
        <w:rPr>
          <w:rFonts w:ascii="Arial" w:eastAsia="Arial" w:hAnsi="Arial" w:cs="Arial"/>
          <w:color w:val="222222"/>
          <w:lang w:val="en-US"/>
        </w:rPr>
        <w:t xml:space="preserve">Is There Truly a Hidden Diversity of Environmental Yeasts—and Can </w:t>
      </w:r>
      <w:proofErr w:type="gramStart"/>
      <w:r w:rsidRPr="00E47F73">
        <w:rPr>
          <w:rFonts w:ascii="Arial" w:eastAsia="Arial" w:hAnsi="Arial" w:cs="Arial"/>
          <w:color w:val="222222"/>
          <w:lang w:val="en-US"/>
        </w:rPr>
        <w:t>In</w:t>
      </w:r>
      <w:proofErr w:type="gramEnd"/>
      <w:r w:rsidRPr="00E47F73">
        <w:rPr>
          <w:rFonts w:ascii="Arial" w:eastAsia="Arial" w:hAnsi="Arial" w:cs="Arial"/>
          <w:color w:val="222222"/>
          <w:lang w:val="en-US"/>
        </w:rPr>
        <w:t xml:space="preserve"> Situ Cultivation Help Reveal It?</w:t>
      </w:r>
    </w:p>
    <w:p w14:paraId="63B8BBC0" w14:textId="77777777" w:rsidR="002F6488" w:rsidRPr="00E47F73" w:rsidRDefault="002F6488" w:rsidP="3E10F8E4">
      <w:pPr>
        <w:shd w:val="clear" w:color="auto" w:fill="FFFFFF" w:themeFill="background1"/>
        <w:spacing w:before="195" w:after="195"/>
        <w:rPr>
          <w:rFonts w:ascii="Arial" w:eastAsia="Arial" w:hAnsi="Arial" w:cs="Arial"/>
          <w:color w:val="222222"/>
          <w:lang w:val="en-US"/>
        </w:rPr>
      </w:pPr>
    </w:p>
    <w:p w14:paraId="5C1B2A76" w14:textId="1AA0FE57" w:rsidR="005660D6" w:rsidRPr="00E47F73" w:rsidRDefault="005660D6" w:rsidP="3E10F8E4">
      <w:pPr>
        <w:shd w:val="clear" w:color="auto" w:fill="FFFFFF" w:themeFill="background1"/>
        <w:spacing w:before="195" w:after="195"/>
        <w:rPr>
          <w:rFonts w:ascii="Arial" w:eastAsia="Arial" w:hAnsi="Arial" w:cs="Arial"/>
          <w:color w:val="1155CC"/>
          <w:lang w:val="en-US"/>
        </w:rPr>
      </w:pPr>
      <w:bookmarkStart w:id="0" w:name="_GoBack"/>
      <w:bookmarkEnd w:id="0"/>
    </w:p>
    <w:p w14:paraId="5B19A309" w14:textId="40635C38" w:rsidR="005660D6" w:rsidRPr="00E47F73" w:rsidRDefault="72345BF6" w:rsidP="3E10F8E4">
      <w:pPr>
        <w:shd w:val="clear" w:color="auto" w:fill="FFFFFF" w:themeFill="background1"/>
        <w:spacing w:before="195" w:after="195"/>
      </w:pPr>
      <w:r w:rsidRPr="00E47F73">
        <w:rPr>
          <w:rFonts w:ascii="Arial" w:eastAsia="Arial" w:hAnsi="Arial" w:cs="Arial"/>
          <w:color w:val="222222"/>
        </w:rPr>
        <w:t>Abstract</w:t>
      </w:r>
      <w:r w:rsidRPr="00E47F73">
        <w:br/>
      </w:r>
      <w:r w:rsidRPr="00E47F73">
        <w:rPr>
          <w:rFonts w:ascii="Arial" w:eastAsia="Arial" w:hAnsi="Arial" w:cs="Arial"/>
          <w:color w:val="222222"/>
        </w:rPr>
        <w:t>Yeasts are widespread fungi occurring across soils, decaying wood, plant tissues, aquatic systems, insects, and host-associated habitats, where they contribute to decomposition, nutrient fluxes, and chemically mediated interactions. Yet, whether environmental yeasts harbor a “hidden diversity” comparable in magnitude to the broader fungal “dark taxa” signal remains debated. A key complication is conceptual and methodological: “yeast” is a growth form and life strategy rather than a barcode category, and most high-throughput sequencing (HTS) surveys (commonly ITS-based) do not identify growth forms at the sequencing step. Thus, fungal dark-taxa patterns cannot be automatically translated into yeast-specific conclusions without yeast-focused analyses and recovery experiments. This minireview revisits the hidden-yeast question by synthesizing methodological and ecological drivers that shape observed yeast inventories, including sampling design and microhabitat heterogeneity, primer/reference bias and marker resolution limits, low-abundance dynamics and competitive suppression during isolation, and cryptic physiological states such as viable-but-nonculturable (VBNC)-like behavior. Recent yeast-centered re-analyses of global datasets illustrate both promise and caution: yeast signals can be a small fraction of broad fungal inventories and many operational taxonomic units remain unresolved at species level, reflecting reference gaps and marker constraints rather than true absence. We argue that progress requires moving beyond sequence-first inference toward designed recovery tests that manipulate the early growth context. In situ cultivation and microhabitat-mimicking devices—adapted to yeast cell sizes, diffusion needs, and matrix constraints—offer a realistic path to reduce the detection–recovery gap in substrates where yeasts are rare, stressed, or interaction-dependent (e.g., soil microaggregates, decaying wood, plant tissues, marine sediments). When integrated with culture-assisted omics, shotgun metagenomics, and data-driven prioritization, these approaches can refine biodiversity assessments and accelerate the recovery of novel taxa and functions while clarifying how much “hidden” diversity reflects biology versus methodology.</w:t>
      </w:r>
    </w:p>
    <w:p w14:paraId="4DA5D866" w14:textId="641FF511" w:rsidR="005660D6" w:rsidRPr="00E47F73" w:rsidRDefault="72345BF6" w:rsidP="3E10F8E4">
      <w:pPr>
        <w:shd w:val="clear" w:color="auto" w:fill="FFFFFF" w:themeFill="background1"/>
        <w:spacing w:before="195" w:after="195"/>
      </w:pPr>
      <w:r w:rsidRPr="00E47F73">
        <w:rPr>
          <w:rFonts w:ascii="Arial" w:eastAsia="Arial" w:hAnsi="Arial" w:cs="Arial"/>
          <w:color w:val="222222"/>
        </w:rPr>
        <w:t>Keywords: hidden yeast diversity; environmental yeasts; culturomics; in situ cultivation; VBNC; fungal dark taxa; yeast ecology; biodiversity discovery</w:t>
      </w:r>
    </w:p>
    <w:p w14:paraId="3852605F" w14:textId="68311B84" w:rsidR="005660D6" w:rsidRPr="00E47F73" w:rsidRDefault="72345BF6" w:rsidP="3E10F8E4">
      <w:pPr>
        <w:shd w:val="clear" w:color="auto" w:fill="FFFFFF" w:themeFill="background1"/>
        <w:spacing w:before="195" w:after="195"/>
      </w:pPr>
      <w:r w:rsidRPr="00E47F73">
        <w:rPr>
          <w:rFonts w:ascii="Arial" w:eastAsia="Arial" w:hAnsi="Arial" w:cs="Arial"/>
          <w:color w:val="222222"/>
        </w:rPr>
        <w:lastRenderedPageBreak/>
        <w:t>Introduction</w:t>
      </w:r>
      <w:r w:rsidRPr="00E47F73">
        <w:br/>
      </w:r>
      <w:r w:rsidRPr="00E47F73">
        <w:rPr>
          <w:rFonts w:ascii="Arial" w:eastAsia="Arial" w:hAnsi="Arial" w:cs="Arial"/>
          <w:color w:val="222222"/>
        </w:rPr>
        <w:t>Environmental yeasts have long been recognized as widely distributed and ecologically versatile fungi. They inhabit soils, plant surfaces, decaying wood, aquatic systems, insect-associated niches, and extreme environments, where they contribute to decomposition, nutrient turnover, and microbially mediated chemical interactions (Kurtzman et al., 2011; Botha, 2011; Brysch-Herzberg et al., 2004; Fell, 2011; Boekhout et al., 2022). At the same time, contemporary high-throughput sequencing (HTS) continues to expand the perceived scope of fungal diversity, repeatedly yielding sequence-defined lineages that lack cultured representatives or formal taxonomic placement (Blackwell, 2011; Hyde et al., 2022; Abarenkov et al., 2024). These observations fuel the broader “fungal dark taxa” framing and sharpen the central question considered here: is there truly a hidden diversity of environmental yeasts, and if so, what mechanisms—ecological or methodological—explain its apparent invisibility?</w:t>
      </w:r>
    </w:p>
    <w:p w14:paraId="49DC6FE8" w14:textId="4F33A212" w:rsidR="005660D6" w:rsidRPr="00E47F73" w:rsidRDefault="72345BF6" w:rsidP="3E10F8E4">
      <w:pPr>
        <w:shd w:val="clear" w:color="auto" w:fill="FFFFFF" w:themeFill="background1"/>
        <w:spacing w:before="195" w:after="195"/>
      </w:pPr>
      <w:r w:rsidRPr="00E47F73">
        <w:rPr>
          <w:rFonts w:ascii="Arial" w:eastAsia="Arial" w:hAnsi="Arial" w:cs="Arial"/>
          <w:color w:val="222222"/>
        </w:rPr>
        <w:t>A critical nuance is definitional. In practical ecological usage, “yeasts” are often described as unicellular fungi; however, yeast is primarily a growth form rather than a monophyletic unit. Multiple lineages include species that grow predominantly as single cells, species that are dimorphic (switching between yeast-like and filamentous states), and filamentous fungi that can adopt yeast-like morphologies under specific conditions (e.g., thermally dimorphic pathogens). This morphological plasticity reinforces the methodological point that community HTS workflows do not distinguish “yeast versus filamentous” at the sequencing step. “Yeast” is not a barcode category; downstream attribution depends on taxonomic classification, reference database coverage, and imperfect links between detected lineages and growth form or life history (Abarenkov et al., 2024; Boekhout et al., 2022).</w:t>
      </w:r>
    </w:p>
    <w:p w14:paraId="56FBA363" w14:textId="54077E21" w:rsidR="005660D6" w:rsidRPr="00E47F73" w:rsidRDefault="72345BF6" w:rsidP="3E10F8E4">
      <w:pPr>
        <w:shd w:val="clear" w:color="auto" w:fill="FFFFFF" w:themeFill="background1"/>
        <w:spacing w:before="195" w:after="195"/>
      </w:pPr>
      <w:r w:rsidRPr="00E47F73">
        <w:rPr>
          <w:rFonts w:ascii="Arial" w:eastAsia="Arial" w:hAnsi="Arial" w:cs="Arial"/>
          <w:color w:val="222222"/>
        </w:rPr>
        <w:t>For this reason, general claims about fungal “dark matter” cannot, by themselves, establish hidden diversity specifically among yeasts. Broad fungal metabarcoding detects fungal sequences, and any inference that “many of these are yeasts” must be grounded in lineage-aware annotation and yeast-focused benchmarking. The hidden-yeast question is therefore best treated as an empirical problem: under what conditions do yeast-focused surveys and recovery pipelines produce a consistent detection–recovery gap that remains after controlling for sampling depth, marker/reference bias, and viability uncertainty?</w:t>
      </w:r>
    </w:p>
    <w:p w14:paraId="6611795D" w14:textId="1B4521FC" w:rsidR="005660D6" w:rsidRPr="00E47F73" w:rsidRDefault="72345BF6" w:rsidP="3E10F8E4">
      <w:pPr>
        <w:shd w:val="clear" w:color="auto" w:fill="FFFFFF" w:themeFill="background1"/>
        <w:spacing w:before="195" w:after="195"/>
      </w:pPr>
      <w:r w:rsidRPr="00E47F73">
        <w:rPr>
          <w:rFonts w:ascii="Arial" w:eastAsia="Arial" w:hAnsi="Arial" w:cs="Arial"/>
          <w:color w:val="222222"/>
        </w:rPr>
        <w:t xml:space="preserve">Several arguments nonetheless support the plausibility of yeast underestimation. First, yeasts can be low-abundance members within communities dominated by bacteria and filamentous fungi, amplifying stochastic detection effects and complicating isolation (Fierer, 2017; Boekhout et al., 2022). Second, conventional culture media may fail to reproduce the nutritional and physicochemical constraints of many microhabitats, particularly in substrates with narrow substrate chemistry, inhibitory compounds, fluctuating osmolarity, or strong diffusion gradients (Botha, 2011; Díaz et al., 2020). Third, yeast populations may enter cryptic physiological </w:t>
      </w:r>
      <w:r w:rsidRPr="00E47F73">
        <w:rPr>
          <w:rFonts w:ascii="Arial" w:eastAsia="Arial" w:hAnsi="Arial" w:cs="Arial"/>
          <w:color w:val="222222"/>
        </w:rPr>
        <w:lastRenderedPageBreak/>
        <w:t>states—including VBNC-like or low-culturability forms—under stress, reducing colony formation on standard media despite retained viability markers (Xie et al., 2021; Salma et al., 2013; Xiao et al., 2025). Finally, the taxonomic and ecological breadth of yeasts continues to expand, with structured syntheses emphasizing ongoing discovery, persistent reference gaps, and the need for ecology-informed recovery strategies (Boekhout et al., 2022).</w:t>
      </w:r>
    </w:p>
    <w:p w14:paraId="099166AD" w14:textId="142DA016" w:rsidR="005660D6" w:rsidRPr="00E47F73" w:rsidRDefault="72345BF6" w:rsidP="3E10F8E4">
      <w:pPr>
        <w:shd w:val="clear" w:color="auto" w:fill="FFFFFF" w:themeFill="background1"/>
        <w:spacing w:before="195" w:after="195"/>
      </w:pPr>
      <w:r w:rsidRPr="00E47F73">
        <w:rPr>
          <w:rFonts w:ascii="Arial" w:eastAsia="Arial" w:hAnsi="Arial" w:cs="Arial"/>
          <w:color w:val="222222"/>
        </w:rPr>
        <w:t>Conversely, caution remains warranted when interpreting sequencing–cultivation gaps. Amplicon-based surveys can be influenced by primer bias, variable rDNA copy numbers, incomplete reference databases, and detection of relic or transient DNA, so sequence abundance does not necessarily map to viable biomass or ecological activity at the time of sampling (Abarenkov et al., 2024; Boekhout et al., 2022). Activity-proximal approaches—such as RNA-based profiling, metabolomics, and culture-assisted frameworks—can therefore help connect barcode-defined diversity to cultivation priorities, especially in low-biomass or highly heterogeneous habitats where methodological bias is amplified (Fierer, 2017).</w:t>
      </w:r>
    </w:p>
    <w:p w14:paraId="7B5912CE" w14:textId="4840E917" w:rsidR="005660D6" w:rsidRPr="00E47F73" w:rsidRDefault="72345BF6" w:rsidP="3E10F8E4">
      <w:pPr>
        <w:shd w:val="clear" w:color="auto" w:fill="FFFFFF" w:themeFill="background1"/>
        <w:spacing w:before="195" w:after="195"/>
      </w:pPr>
      <w:r w:rsidRPr="00E47F73">
        <w:rPr>
          <w:rFonts w:ascii="Arial" w:eastAsia="Arial" w:hAnsi="Arial" w:cs="Arial"/>
          <w:color w:val="222222"/>
        </w:rPr>
        <w:t>Methodological innovation is also narrowing the gap between sequence-first discovery and culture-first validation. Single-cell and low-input genomics can recover genomes from previously inaccessible fungal lineages, improving marker design and enabling cultivation hypotheses grounded in genomic inference (Ahrendt et al., 2018). Parallel advances in omics-guided cultivation emphasize that conditions can be rationally informed by habitat chemistry, community context, and genomic signals rather than standardized laboratory media alone (Zhang et al., 2024). In yeast-specific contexts, the emergence of dedicated discussions around yeast metagenomics and analytical challenges further underscores both the opportunity and complexity of making yeast biodiversity claims from sequence data alone (Renzi et al., 2023; Péter et al., 2023).</w:t>
      </w:r>
    </w:p>
    <w:p w14:paraId="56BB791E" w14:textId="4082C444" w:rsidR="005660D6" w:rsidRPr="00E47F73" w:rsidRDefault="72345BF6" w:rsidP="3E10F8E4">
      <w:pPr>
        <w:shd w:val="clear" w:color="auto" w:fill="FFFFFF" w:themeFill="background1"/>
        <w:spacing w:before="195" w:after="195"/>
      </w:pPr>
      <w:r w:rsidRPr="00E47F73">
        <w:rPr>
          <w:rFonts w:ascii="Arial" w:eastAsia="Arial" w:hAnsi="Arial" w:cs="Arial"/>
          <w:color w:val="222222"/>
        </w:rPr>
        <w:t>Is there truly a hidden yeast diversity? What culture-independent signals can—and cannot—tell us</w:t>
      </w:r>
      <w:r w:rsidRPr="00E47F73">
        <w:br/>
      </w:r>
      <w:r w:rsidRPr="00E47F73">
        <w:rPr>
          <w:rFonts w:ascii="Arial" w:eastAsia="Arial" w:hAnsi="Arial" w:cs="Arial"/>
          <w:color w:val="222222"/>
        </w:rPr>
        <w:t>A common shortcut in the “dark taxa” discussion is to move from “sequencing reveals many unnamed fungi” to “there must be similarly vast hidden diversity among yeasts.” That jump is not logically safe. Broad fungal metabarcoding does not directly encode morphology or growth form, and many “uncultured fungus” assignments reflect reference gaps and classifier uncertainty rather than yeast-specific under-sampling (Abarenkov et al., 2024; Boekhout et al., 2022). Culture-independent surveys are therefore best treated as evidence that fungal diversity is under-resolved overall—not as yeast-specific proof.</w:t>
      </w:r>
    </w:p>
    <w:p w14:paraId="16827308" w14:textId="0BE5060C" w:rsidR="005660D6" w:rsidRPr="00E47F73" w:rsidRDefault="72345BF6" w:rsidP="3E10F8E4">
      <w:pPr>
        <w:shd w:val="clear" w:color="auto" w:fill="FFFFFF" w:themeFill="background1"/>
        <w:spacing w:before="195" w:after="195"/>
      </w:pPr>
      <w:r w:rsidRPr="00E47F73">
        <w:rPr>
          <w:rFonts w:ascii="Arial" w:eastAsia="Arial" w:hAnsi="Arial" w:cs="Arial"/>
          <w:color w:val="222222"/>
        </w:rPr>
        <w:t xml:space="preserve">At the same time, yeast-focused re-analyses illustrate why the hidden-yeast question remains plausible and testable. In global soil datasets, yeasts can represent only a small fraction of OTUs classified across taxonomic ranks, and a large share of yeast-associated OTUs may remain unresolved at the species level even after reclassification with curated yeast barcode resources. In one such yeast-centered </w:t>
      </w:r>
      <w:r w:rsidRPr="00E47F73">
        <w:rPr>
          <w:rFonts w:ascii="Arial" w:eastAsia="Arial" w:hAnsi="Arial" w:cs="Arial"/>
          <w:color w:val="222222"/>
        </w:rPr>
        <w:lastRenderedPageBreak/>
        <w:t>assessment, the majority of yeast OTUs were not identified to species level and the authors argued that a substantial portion of soil yeast diversity remains undescribed under conservative assumptions (Boekhout et al., 2022). These patterns underscore a methodological reality: yeast signals can be diluted in broad fungal surveys, while reference gaps and marker constraints can inflate “unknown” categories in ways that are not uniquely yeast-driven.</w:t>
      </w:r>
    </w:p>
    <w:p w14:paraId="3D914DFD" w14:textId="3B9CCB58" w:rsidR="005660D6" w:rsidRPr="00E47F73" w:rsidRDefault="72345BF6" w:rsidP="3E10F8E4">
      <w:pPr>
        <w:shd w:val="clear" w:color="auto" w:fill="FFFFFF" w:themeFill="background1"/>
        <w:spacing w:before="195" w:after="195"/>
      </w:pPr>
      <w:r w:rsidRPr="00E47F73">
        <w:rPr>
          <w:rFonts w:ascii="Arial" w:eastAsia="Arial" w:hAnsi="Arial" w:cs="Arial"/>
          <w:color w:val="222222"/>
        </w:rPr>
        <w:t>Marker resolution further complicates inference. Even within yeast-focused datasets, a non-trivial fraction of yeast species can be indistinguishable by ITS2, and lineage-specific similarity thresholds are recommended over arbitrary global cutoffs; taxonomy should be supported by ecology, genetics, and physiology rather than sequence similarity alone (Boekhout et al., 2022). As a result, the presence of many unassigned OTUs can reflect a mixture of missing references, marker limits, artifacts, and genuinely novel taxa.</w:t>
      </w:r>
    </w:p>
    <w:p w14:paraId="1DAF09D9" w14:textId="16F9C108" w:rsidR="005660D6" w:rsidRPr="00E47F73" w:rsidRDefault="72345BF6" w:rsidP="3E10F8E4">
      <w:pPr>
        <w:shd w:val="clear" w:color="auto" w:fill="FFFFFF" w:themeFill="background1"/>
        <w:spacing w:before="195" w:after="195"/>
      </w:pPr>
      <w:r w:rsidRPr="00E47F73">
        <w:rPr>
          <w:rFonts w:ascii="Arial" w:eastAsia="Arial" w:hAnsi="Arial" w:cs="Arial"/>
          <w:color w:val="222222"/>
        </w:rPr>
        <w:t>Even so, culture-independent data remain highly informative when used to guide recovery rather than to substitute for it. First, in settings where yeasts plausibly dominate functional processes—such as fermentations or yeast-enriched fractions—culture-independent profiling can provide yeast-proximal community signals and reveal taxa that routine isolation misses (Ercolini, 2004; Sun et al., 2014; Mendoza et al., 2017; Sha et al., 2018; Li et al., 2019). Second, when culture-dependent and culture-independent methods are applied side-by-side to the same samples, the direction of disagreement—what is repeatedly detected but not recovered—can guide recovery experiments that test whether low abundance, slow growth, competition, missing cues, or VBNC-like physiology plausibly explain the gap (Boekhout et al., 2022; Zhang et al., 2024).</w:t>
      </w:r>
    </w:p>
    <w:p w14:paraId="5C4E2FF3" w14:textId="7D387FE5" w:rsidR="005660D6" w:rsidRPr="00E47F73" w:rsidRDefault="72345BF6" w:rsidP="3E10F8E4">
      <w:pPr>
        <w:shd w:val="clear" w:color="auto" w:fill="FFFFFF" w:themeFill="background1"/>
        <w:spacing w:before="195" w:after="195"/>
      </w:pPr>
      <w:r w:rsidRPr="00E47F73">
        <w:rPr>
          <w:rFonts w:ascii="Arial" w:eastAsia="Arial" w:hAnsi="Arial" w:cs="Arial"/>
          <w:color w:val="222222"/>
        </w:rPr>
        <w:t>Fermentation studies illustrate this logic clearly because yeasts are central functional players and communities can be enriched for yeast-forming taxa by process conditions. In wine-associated environments, culture-independent profiling has been used to argue that a more complete picture of yeast assemblages emerges even when culturing is performed in parallel (Ercolini, 2004; Sun et al., 2014). In traditional maize-based fermentations such as chicha, HTS inferred substantial yeast richness while culturing recovered only a subset, emphasizing a sequencing–cultivation asymmetry under real-world conditions (Mendoza et al., 2017). Similar disparities have been described in other starter systems, where routine plating preferentially recovers fast-growing or medium-tolerant taxa and underdetects low-abundance or slow-recovering members (Sha et al., 2018; Li et al., 2019).</w:t>
      </w:r>
    </w:p>
    <w:p w14:paraId="43D9ED2D" w14:textId="522B0A04" w:rsidR="005660D6" w:rsidRPr="00E47F73" w:rsidRDefault="72345BF6" w:rsidP="3E10F8E4">
      <w:pPr>
        <w:shd w:val="clear" w:color="auto" w:fill="FFFFFF" w:themeFill="background1"/>
        <w:spacing w:before="195" w:after="195"/>
      </w:pPr>
      <w:r w:rsidRPr="00E47F73">
        <w:rPr>
          <w:rFonts w:ascii="Arial" w:eastAsia="Arial" w:hAnsi="Arial" w:cs="Arial"/>
          <w:color w:val="222222"/>
        </w:rPr>
        <w:t xml:space="preserve">Natural substrates are more challenging because broad community sequencing captures fungi across growth forms and yeast signals can be diluted by filamentous fungi and bacteria. Nonetheless, yeast recovery from soils remains strongly shaped by habitat and geography, and ecological syntheses emphasize that microhabitat heterogeneity and sampling design can dominate observed community patterns (Xu et al., 2018; Fierer, 2017; Boekhout et al., 2022). In such settings, the most </w:t>
      </w:r>
      <w:r w:rsidRPr="00E47F73">
        <w:rPr>
          <w:rFonts w:ascii="Arial" w:eastAsia="Arial" w:hAnsi="Arial" w:cs="Arial"/>
          <w:color w:val="222222"/>
        </w:rPr>
        <w:lastRenderedPageBreak/>
        <w:t>defensible inference is modest but actionable: when yeast-proximal signals and yeast-focused re-annotation consistently suggest lineages that could plausibly include yeast-forming taxa, yet cultivation systematically yields only a narrow subset, the detection–recovery gap becomes a rational target for experimental reduction rather than a claim to be asserted.</w:t>
      </w:r>
    </w:p>
    <w:p w14:paraId="1330D1CD" w14:textId="6C9CF019" w:rsidR="005660D6" w:rsidRPr="00E47F73" w:rsidRDefault="72345BF6" w:rsidP="3E10F8E4">
      <w:pPr>
        <w:shd w:val="clear" w:color="auto" w:fill="FFFFFF" w:themeFill="background1"/>
        <w:spacing w:before="195" w:after="195"/>
      </w:pPr>
      <w:r w:rsidRPr="00E47F73">
        <w:rPr>
          <w:rFonts w:ascii="Arial" w:eastAsia="Arial" w:hAnsi="Arial" w:cs="Arial"/>
          <w:color w:val="222222"/>
        </w:rPr>
        <w:t>Shotgun metagenomics provides a complementary angle by recovering functional gene content and, in favorable cases, genome fragments that can support cultivation hypotheses and trait inference even when marker-based classification is ambiguous. Yeast-focused discussions of metagenomic analysis emphasize both potential and analytical challenges for eukaryotic microbiomes, reinforcing that sequence-first approaches are powerful but not a substitute for isolates when taxonomy, phenotype, and physiology must be validated (Ahrendt et al., 2018; Renzi et al., 2023). A pragmatic culture-assisted omics view is therefore warranted: sequence-based signals guide where and how to search, while recovery provides the material needed to confirm novelty, test physiology, and connect biodiversity to function.</w:t>
      </w:r>
    </w:p>
    <w:p w14:paraId="55A362CB" w14:textId="29223932" w:rsidR="005660D6" w:rsidRPr="00E47F73" w:rsidRDefault="72345BF6" w:rsidP="3E10F8E4">
      <w:pPr>
        <w:shd w:val="clear" w:color="auto" w:fill="FFFFFF" w:themeFill="background1"/>
        <w:spacing w:before="195" w:after="195"/>
      </w:pPr>
      <w:r w:rsidRPr="00E47F73">
        <w:rPr>
          <w:rFonts w:ascii="Arial" w:eastAsia="Arial" w:hAnsi="Arial" w:cs="Arial"/>
          <w:color w:val="222222"/>
        </w:rPr>
        <w:t>Yeast ecology: microhabitats, competition, and VBNC-like states</w:t>
      </w:r>
      <w:r w:rsidRPr="00E47F73">
        <w:br/>
      </w:r>
      <w:r w:rsidRPr="00E47F73">
        <w:rPr>
          <w:rFonts w:ascii="Arial" w:eastAsia="Arial" w:hAnsi="Arial" w:cs="Arial"/>
          <w:color w:val="222222"/>
        </w:rPr>
        <w:t>If hidden yeast diversity exists in a given habitat, ecology provides parsimonious reasons for why recovery is difficult. Yeast communities are shaped by substrate availability, seasonal flux, dispersal vectors, and interactions with bacteria and filamentous fungi; many substrates impose strong microenvironmental gradients that are poorly reproduced by standard laboratory media (Botha, 2011; Díaz et al., 2020; Fierer, 2017; Boekhout et al., 2022). Some yeast species appear to be generalists capable of utilizing broad carbon spectra, whereas others show microhabitat-linked specialization that can translate into narrow growth windows in vitro (Botha, 2011; Boekhout et al., 2022). This microhabitat logic is especially relevant for decaying wood, soil microaggregates, and plant tissues, where diffusion constraints, inhibitory chemistry, and intimate microbial interactions can determine whether cells are actively dividing, dormant, or physiologically stalled at the time of sampling.</w:t>
      </w:r>
    </w:p>
    <w:p w14:paraId="6292D5B5" w14:textId="2375B4FC" w:rsidR="005660D6" w:rsidRPr="00E47F73" w:rsidRDefault="72345BF6" w:rsidP="3E10F8E4">
      <w:pPr>
        <w:shd w:val="clear" w:color="auto" w:fill="FFFFFF" w:themeFill="background1"/>
        <w:spacing w:before="195" w:after="195"/>
      </w:pPr>
      <w:r w:rsidRPr="00E47F73">
        <w:rPr>
          <w:rFonts w:ascii="Arial" w:eastAsia="Arial" w:hAnsi="Arial" w:cs="Arial"/>
          <w:color w:val="222222"/>
        </w:rPr>
        <w:t>Competition is a persistent, often underappreciated contributor to “missing” yeasts in routine isolation. Even when viable yeast cells are present, fast-growing fungi or bacteria can suppress colony formation or mask rare morphotypes, and standard incubation windows may be too short for slow outgrowth. This is one reason why expanded incubation times and diversified media panels can increase recovery even without sophisticated devices, especially when the goal is to reduce competitive exclusion and allow slow-growing taxa to emerge (Ercolini, 2004; Sha et al., 2018).</w:t>
      </w:r>
    </w:p>
    <w:p w14:paraId="56A47B27" w14:textId="42ABF600" w:rsidR="005660D6" w:rsidRPr="00E47F73" w:rsidRDefault="72345BF6" w:rsidP="3E10F8E4">
      <w:pPr>
        <w:shd w:val="clear" w:color="auto" w:fill="FFFFFF" w:themeFill="background1"/>
        <w:spacing w:before="195" w:after="195"/>
      </w:pPr>
      <w:r w:rsidRPr="00E47F73">
        <w:rPr>
          <w:rFonts w:ascii="Arial" w:eastAsia="Arial" w:hAnsi="Arial" w:cs="Arial"/>
          <w:color w:val="222222"/>
        </w:rPr>
        <w:t xml:space="preserve">One important factor that may further obscure yeast diversity is VBNC-like behavior. While VBNC has been extensively developed in bacterial systems, yeast VBNC frameworks have gained attention as evidence accumulates that stress can induce nonculturable or low-culturability states in multiple yeast contexts. Experimental work has documented VBNC-like behavior in yeasts under defined stressors, and broader syntheses highlight implications for detection, surveillance, and recovery (Salma et </w:t>
      </w:r>
      <w:r w:rsidRPr="00E47F73">
        <w:rPr>
          <w:rFonts w:ascii="Arial" w:eastAsia="Arial" w:hAnsi="Arial" w:cs="Arial"/>
          <w:color w:val="222222"/>
        </w:rPr>
        <w:lastRenderedPageBreak/>
        <w:t>al., 2013; Xie et al., 2021; Xiao et al., 2025). Cells in such states may retain membrane integrity and metabolic activity yet fail to form colonies under routine conditions, creating both a surveillance problem and a biodiversity discovery problem: viable cells may be present but operationally invisible to standard plating (Xiao et al., 2025). At the same time, the yeast VBNC concept carries limitations and heterogeneity across taxa and conditions; operational definitions and resuscitation requirements may differ from classic bacterial frameworks, and recovery success may depend on staged transitions and appropriate cues rather than a single resuscitation switch.</w:t>
      </w:r>
    </w:p>
    <w:p w14:paraId="3621B26D" w14:textId="28891781" w:rsidR="005660D6" w:rsidRPr="00E47F73" w:rsidRDefault="72345BF6" w:rsidP="3E10F8E4">
      <w:pPr>
        <w:shd w:val="clear" w:color="auto" w:fill="FFFFFF" w:themeFill="background1"/>
        <w:spacing w:before="195" w:after="195"/>
      </w:pPr>
      <w:r w:rsidRPr="00E47F73">
        <w:rPr>
          <w:rFonts w:ascii="Arial" w:eastAsia="Arial" w:hAnsi="Arial" w:cs="Arial"/>
          <w:color w:val="222222"/>
        </w:rPr>
        <w:t>VBNC-like behavior is not the only explanation for apparent uncultivability. Some yeasts may require specific symbiotic interactions or growth factors provided by other microorganisms, including vitamins, siderophores, lipids, or signaling molecules absent in axenic media (Botha, 2011; Fierer, 2017; Boekhout et al., 2022). A particularly illustrative example is the genus Malassezia: many species are lipid-dependent and can be difficult to isolate in axenic culture without appropriate lipid supplementation. These examples emphasize that “no colonies” can reflect multiple hidden layers—rare cells, slow recovery, competition, missing cues, or VBNC-like physiology—rather than a single barrier.</w:t>
      </w:r>
    </w:p>
    <w:p w14:paraId="5C23FF0A" w14:textId="6D37FE34" w:rsidR="005660D6" w:rsidRPr="00E47F73" w:rsidRDefault="72345BF6" w:rsidP="3E10F8E4">
      <w:pPr>
        <w:shd w:val="clear" w:color="auto" w:fill="FFFFFF" w:themeFill="background1"/>
        <w:spacing w:before="195" w:after="195"/>
      </w:pPr>
      <w:r w:rsidRPr="00E47F73">
        <w:rPr>
          <w:rFonts w:ascii="Arial" w:eastAsia="Arial" w:hAnsi="Arial" w:cs="Arial"/>
          <w:color w:val="222222"/>
        </w:rPr>
        <w:t>Within this landscape, it is useful to distinguish at least three operational contributors to apparent “uncultivability”: taxa that are cultivable in principle but are missed because laboratory conditions poorly match their nutritional, physicochemical, or biotic requirements; taxa that enter VBNC-like or low-activity states under stress, requiring resuscitation cues or extended recovery periods; and taxa that are detectable primarily through environmental DNA, including potentially inactive or transient signatures (Abarenkov et al., 2024; Boekhout et al., 2022; Xiao et al., 2025). Making these distinctions explicit aligns sequencing inventories with realistic recovery strategies and mitigates overinterpretation of sequencing–cultivation gaps.</w:t>
      </w:r>
    </w:p>
    <w:p w14:paraId="140848D1" w14:textId="1E53959F" w:rsidR="005660D6" w:rsidRPr="00E47F73" w:rsidRDefault="72345BF6" w:rsidP="3E10F8E4">
      <w:pPr>
        <w:shd w:val="clear" w:color="auto" w:fill="FFFFFF" w:themeFill="background1"/>
        <w:spacing w:before="195" w:after="195"/>
      </w:pPr>
      <w:r w:rsidRPr="00E47F73">
        <w:rPr>
          <w:rFonts w:ascii="Arial" w:eastAsia="Arial" w:hAnsi="Arial" w:cs="Arial"/>
          <w:color w:val="222222"/>
        </w:rPr>
        <w:t>Why recovery matters: functional, biotechnological, and clinical motivations</w:t>
      </w:r>
      <w:r w:rsidRPr="00E47F73">
        <w:br/>
      </w:r>
      <w:r w:rsidRPr="00E47F73">
        <w:rPr>
          <w:rFonts w:ascii="Arial" w:eastAsia="Arial" w:hAnsi="Arial" w:cs="Arial"/>
          <w:color w:val="222222"/>
        </w:rPr>
        <w:t>The hidden-yeast discussion is not purely taxonomic. Recovering isolates is essential because function, physiology, and ecological roles are often not inferable with confidence from markers alone—especially under reference gaps, ambiguous growth-form inference, and uncertain viability. From an ecological perspective, yeast isolates enable mechanistic tests of microhabitat specialization, stress tolerance, dispersal strategies, and interactions with bacteria and filamentous fungi that shape community structure in soils, wood, and plant tissues (Botha, 2011; Díaz et al., 2020; Fierer, 2017; Boekhout et al., 2022). They also enable direct mapping between genotype and phenotype, including substrate utilization spectra, growth constraints, and interaction dependencies.</w:t>
      </w:r>
    </w:p>
    <w:p w14:paraId="0413C0FB" w14:textId="71884398" w:rsidR="005660D6" w:rsidRPr="00E47F73" w:rsidRDefault="72345BF6" w:rsidP="3E10F8E4">
      <w:pPr>
        <w:shd w:val="clear" w:color="auto" w:fill="FFFFFF" w:themeFill="background1"/>
        <w:spacing w:before="195" w:after="195"/>
      </w:pPr>
      <w:r w:rsidRPr="00E47F73">
        <w:rPr>
          <w:rFonts w:ascii="Arial" w:eastAsia="Arial" w:hAnsi="Arial" w:cs="Arial"/>
          <w:color w:val="222222"/>
        </w:rPr>
        <w:t xml:space="preserve">Biotechnologically, environmental yeasts remain a reservoir of metabolic novelty. Yeasts contribute to industrial fermentation, enzyme production, lipid accumulation, and biotransformations, and the expansion of nonconventional yeast platforms </w:t>
      </w:r>
      <w:r w:rsidRPr="00E47F73">
        <w:rPr>
          <w:rFonts w:ascii="Arial" w:eastAsia="Arial" w:hAnsi="Arial" w:cs="Arial"/>
          <w:color w:val="222222"/>
        </w:rPr>
        <w:lastRenderedPageBreak/>
        <w:t>continues to broaden metabolic space for biofuels, biosurfactants, and high-value chemicals (Botha, 2011; Ledesma-Amaro &amp; Nicaud, 2016). Importantly, many traits of applied interest—stress resilience, unusual carbon utilization, bioconversion pathways, and secretion profiles—require cultivation and experimental validation. This is particularly true for rare biosphere candidates that may not dominate sequence libraries but can hold high-value phenotypes once isolated.</w:t>
      </w:r>
    </w:p>
    <w:p w14:paraId="78BE9F9A" w14:textId="1CA76041" w:rsidR="005660D6" w:rsidRPr="00E47F73" w:rsidRDefault="72345BF6" w:rsidP="3E10F8E4">
      <w:pPr>
        <w:shd w:val="clear" w:color="auto" w:fill="FFFFFF" w:themeFill="background1"/>
        <w:spacing w:before="195" w:after="195"/>
      </w:pPr>
      <w:r w:rsidRPr="00E47F73">
        <w:rPr>
          <w:rFonts w:ascii="Arial" w:eastAsia="Arial" w:hAnsi="Arial" w:cs="Arial"/>
          <w:color w:val="222222"/>
        </w:rPr>
        <w:t>Yeast functional diversity is also relevant to chemical ecology and cross-kingdom interactions. Yeast-produced metabolites and volatiles can shape insect behavior, feeding, and dispersal, illustrating that yeast traits can structure ecological networks that are rarely captured by cultivation-limited inventories (Becher et al., 2012; Starmer &amp; Lachance, 2001). Recovering isolates is often the only route to experimentally validate such interactions and to link ecological function to specific taxa and metabolites.</w:t>
      </w:r>
    </w:p>
    <w:p w14:paraId="7E8C054A" w14:textId="64ECE582" w:rsidR="005660D6" w:rsidRPr="00E47F73" w:rsidRDefault="72345BF6" w:rsidP="3E10F8E4">
      <w:pPr>
        <w:shd w:val="clear" w:color="auto" w:fill="FFFFFF" w:themeFill="background1"/>
        <w:spacing w:before="195" w:after="195"/>
      </w:pPr>
      <w:r w:rsidRPr="00E47F73">
        <w:rPr>
          <w:rFonts w:ascii="Arial" w:eastAsia="Arial" w:hAnsi="Arial" w:cs="Arial"/>
          <w:color w:val="222222"/>
        </w:rPr>
        <w:t>Clinically, yeast recovery has direct translational value. Yeasts include commensals, opportunists, and lineages capable of severe disease; accurate detection and recovery support surveillance, antifungal susceptibility testing, and mechanistic follow-up. The World Health Organization has highlighted fungal priority pathogens, underscoring the urgency of fungal disease surveillance and research capacity (World Health Organization, 2022). Modern diagnostics increasingly use molecular approaches, improving sensitivity but also generating scenarios where signatures are detected without cultures, complicating isolate-based susceptibility testing and clinical interpretation (Kidd et al., 2020). Environmental reservoirs and exposure pathways remain relevant to the emergence and spread of pathogenic yeasts; Cryptococcus gattii is often cited as an environmentally associated lineage capable of disease in immunocompetent hosts, underscoring that environmental yeast ecology can have clinical relevance (Chen et al., 2014).</w:t>
      </w:r>
    </w:p>
    <w:p w14:paraId="513185AA" w14:textId="3083015F" w:rsidR="005660D6" w:rsidRPr="00E47F73" w:rsidRDefault="72345BF6" w:rsidP="3E10F8E4">
      <w:pPr>
        <w:shd w:val="clear" w:color="auto" w:fill="FFFFFF" w:themeFill="background1"/>
        <w:spacing w:before="195" w:after="195"/>
      </w:pPr>
      <w:r w:rsidRPr="00E47F73">
        <w:rPr>
          <w:rFonts w:ascii="Arial" w:eastAsia="Arial" w:hAnsi="Arial" w:cs="Arial"/>
          <w:color w:val="222222"/>
        </w:rPr>
        <w:t>Finally, omics and metagenomics deepen the motivation for recovery rather than replacing it. Shotgun metagenomics can reveal functional potential and, in some cases, genome fragments associated with yeast lineages, but analytical challenges for eukaryotic microbiomes remain substantial and many predictions require cultivation for validation (Ahrendt et al., 2018; Renzi et al., 2023). In short, recovery is the bridge between “signals” and “knowledge”: it enables taxonomy, physiology, ecological tests, and translational exploitation.</w:t>
      </w:r>
    </w:p>
    <w:p w14:paraId="287BC2B4" w14:textId="1EFBA216" w:rsidR="005660D6" w:rsidRPr="00E47F73" w:rsidRDefault="72345BF6" w:rsidP="3E10F8E4">
      <w:pPr>
        <w:shd w:val="clear" w:color="auto" w:fill="FFFFFF" w:themeFill="background1"/>
        <w:spacing w:before="195" w:after="195"/>
      </w:pPr>
      <w:r w:rsidRPr="00E47F73">
        <w:rPr>
          <w:rFonts w:ascii="Arial" w:eastAsia="Arial" w:hAnsi="Arial" w:cs="Arial"/>
          <w:color w:val="222222"/>
        </w:rPr>
        <w:t>In situ cultivation: a prospective avenue?</w:t>
      </w:r>
      <w:r w:rsidRPr="00E47F73">
        <w:br/>
      </w:r>
      <w:r w:rsidRPr="00E47F73">
        <w:rPr>
          <w:rFonts w:ascii="Arial" w:eastAsia="Arial" w:hAnsi="Arial" w:cs="Arial"/>
          <w:color w:val="222222"/>
        </w:rPr>
        <w:t xml:space="preserve">In situ cultivation refers to strategies that allow microorganisms to grow within or close to their natural environment while still enabling physical recovery. For bacteria, in situ devices such as diffusion chambers, iChip, and other microhabitat-mimicking systems have expanded cultivation success by enabling access to natural nutrients and signaling factors under constrained, retrievable conditions (Bollmann et al., 2007; Berdy et al., 2017; Nichols et al., 2010). Similar approaches are increasingly considered for fungi and yeasts, based on the rationale that many difficult-to-culture </w:t>
      </w:r>
      <w:r w:rsidRPr="00E47F73">
        <w:rPr>
          <w:rFonts w:ascii="Arial" w:eastAsia="Arial" w:hAnsi="Arial" w:cs="Arial"/>
          <w:color w:val="222222"/>
        </w:rPr>
        <w:lastRenderedPageBreak/>
        <w:t>taxa fail in vitro because key environmental cues are absent rather than because growth is impossible.</w:t>
      </w:r>
    </w:p>
    <w:p w14:paraId="0C4CADDF" w14:textId="4C19268C" w:rsidR="005660D6" w:rsidRPr="00E47F73" w:rsidRDefault="72345BF6" w:rsidP="3E10F8E4">
      <w:pPr>
        <w:shd w:val="clear" w:color="auto" w:fill="FFFFFF" w:themeFill="background1"/>
        <w:spacing w:before="195" w:after="195"/>
      </w:pPr>
      <w:r w:rsidRPr="00E47F73">
        <w:rPr>
          <w:rFonts w:ascii="Arial" w:eastAsia="Arial" w:hAnsi="Arial" w:cs="Arial"/>
          <w:color w:val="222222"/>
        </w:rPr>
        <w:t>For yeasts, the translation is promising but not plug-and-play. Yeast cell sizes, budding morphologies, and the physical properties of solid matrices (wood fibers, soil aggregates) impose design constraints on pore sizes, membranes, and chamber geometries. Devices developed for bacteria may introduce biases: membrane cutoffs, diffusion distances, and microcompartment dimensions can preferentially support certain cell sizes or growth rates, potentially underrepresenting larger or slower-growing eukaryotic cells if not adapted. Thus, yeast-facing designs should explicitly consider membrane pore size, antifouling behavior, and microcompartment dimensions to maintain diffusion while preventing washout or ingress of competing hyphae and fast-growing bacteria.</w:t>
      </w:r>
    </w:p>
    <w:p w14:paraId="44B33885" w14:textId="0B252743" w:rsidR="005660D6" w:rsidRPr="00E47F73" w:rsidRDefault="72345BF6" w:rsidP="3E10F8E4">
      <w:pPr>
        <w:shd w:val="clear" w:color="auto" w:fill="FFFFFF" w:themeFill="background1"/>
        <w:spacing w:before="195" w:after="195"/>
      </w:pPr>
      <w:r w:rsidRPr="00E47F73">
        <w:rPr>
          <w:rFonts w:ascii="Arial" w:eastAsia="Arial" w:hAnsi="Arial" w:cs="Arial"/>
          <w:color w:val="222222"/>
        </w:rPr>
        <w:t>In situ cultivation may be particularly valuable in substrates such as decaying wood, soil microaggregates, and plant tissues, where cells may exist in structured microhabitats and interact with complex consortia (Botha, 2011; Díaz et al., 2020). In situ incubation can provide environmental cues while maintaining containment and retrievability, and it may support gradual resuscitation dynamics for low-activity or VBNC-like cells when the transition from habitat to laboratory is staged rather than abrupt (Bollmann et al., 2007; Berdy et al., 2017; Xiao et al., 2025). Beyond physical devices, in situ cultivation can be paired with culturomics logic—systematic screening of incubation regimes and media—implemented in microstructured formats that better approximate microhabitat constraints.</w:t>
      </w:r>
    </w:p>
    <w:p w14:paraId="173E405D" w14:textId="73DA1DA0" w:rsidR="005660D6" w:rsidRPr="00E47F73" w:rsidRDefault="72345BF6" w:rsidP="3E10F8E4">
      <w:pPr>
        <w:shd w:val="clear" w:color="auto" w:fill="FFFFFF" w:themeFill="background1"/>
        <w:spacing w:before="195" w:after="195"/>
      </w:pPr>
      <w:r w:rsidRPr="00E47F73">
        <w:rPr>
          <w:rFonts w:ascii="Arial" w:eastAsia="Arial" w:hAnsi="Arial" w:cs="Arial"/>
          <w:color w:val="222222"/>
        </w:rPr>
        <w:t>Recent culturomics developments illustrate how device engineering and iterative condition screening can expand fungal recovery from complex environments. A fungal isolation chip (FiChip) applied to mangrove sediments enabled high-throughput recovery of diverse isolates and reported multiple taxa new to science, underscoring the value of microstructured platforms for matching microhabitat-like growth constraints while maintaining scalability (Li et al., 2023). At the same time, chip-based approaches can face practical limits when translated to solid, heterogeneous matrices such as decaying wood or compacted soils: insertion and retrieval can disrupt microstructure, diffusion fields may be anisotropic, and chamber clogging or biofouling can reduce effective exchange. These constraints do not negate value but motivate matrix-aware device adaptations and careful controls.</w:t>
      </w:r>
    </w:p>
    <w:p w14:paraId="16F8C0CA" w14:textId="7E10E3D1" w:rsidR="005660D6" w:rsidRPr="00E47F73" w:rsidRDefault="72345BF6" w:rsidP="3E10F8E4">
      <w:pPr>
        <w:shd w:val="clear" w:color="auto" w:fill="FFFFFF" w:themeFill="background1"/>
        <w:spacing w:before="195" w:after="195"/>
      </w:pPr>
      <w:r w:rsidRPr="00E47F73">
        <w:rPr>
          <w:rFonts w:ascii="Arial" w:eastAsia="Arial" w:hAnsi="Arial" w:cs="Arial"/>
          <w:color w:val="222222"/>
        </w:rPr>
        <w:t>Integrating in situ cultivation with modern culture-assisted omics offers a pragmatic path to triangulate diversity, function, and recovery. Genomic and community signals can guide media composition and co-culture hypotheses, while recovery outputs provide the material required for taxonomy, physiology, and mechanistic validation (Ahrendt et al., 2018; Zhang et al., 2024; Renzi et al., 2023).</w:t>
      </w:r>
    </w:p>
    <w:p w14:paraId="675FA53B" w14:textId="5F583323" w:rsidR="005660D6" w:rsidRPr="00E47F73" w:rsidRDefault="72345BF6" w:rsidP="3E10F8E4">
      <w:pPr>
        <w:shd w:val="clear" w:color="auto" w:fill="FFFFFF" w:themeFill="background1"/>
        <w:spacing w:before="195" w:after="195"/>
      </w:pPr>
      <w:r w:rsidRPr="00E47F73">
        <w:rPr>
          <w:rFonts w:ascii="Arial" w:eastAsia="Arial" w:hAnsi="Arial" w:cs="Arial"/>
          <w:color w:val="222222"/>
        </w:rPr>
        <w:t>Suggested in situ cultivation approach to test whether recovery expands yeast diversity</w:t>
      </w:r>
      <w:r w:rsidRPr="00E47F73">
        <w:br/>
      </w:r>
      <w:r w:rsidRPr="00E47F73">
        <w:rPr>
          <w:rFonts w:ascii="Arial" w:eastAsia="Arial" w:hAnsi="Arial" w:cs="Arial"/>
          <w:color w:val="222222"/>
        </w:rPr>
        <w:lastRenderedPageBreak/>
        <w:t>A practical way to operationalize the in situ argument is to treat it explicitly as a recovery experiment designed to measure whether microhabitat-faithful incubation increases the breadth of cultivable yeasts relative to direct plating. The core idea is to keep sampling constant while changing the early growth context. The same source material can be split into a conventional culture arm and an in situ arm, so that any gain can be interpreted as a recovery effect rather than a sampling artifact.</w:t>
      </w:r>
    </w:p>
    <w:p w14:paraId="20005578" w14:textId="01E1F70E" w:rsidR="005660D6" w:rsidRPr="00E47F73" w:rsidRDefault="72345BF6" w:rsidP="3E10F8E4">
      <w:pPr>
        <w:shd w:val="clear" w:color="auto" w:fill="FFFFFF" w:themeFill="background1"/>
        <w:spacing w:before="195" w:after="195"/>
      </w:pPr>
      <w:r w:rsidRPr="00E47F73">
        <w:rPr>
          <w:rFonts w:ascii="Arial" w:eastAsia="Arial" w:hAnsi="Arial" w:cs="Arial"/>
          <w:color w:val="222222"/>
        </w:rPr>
        <w:t>In the in situ arm, retrievable microchambers (diffusion-chamber–like devices or chip-based compartments) can be inoculated with diluted or fractionated material and incubated within the target microhabitat—embedded in soil, inserted into decaying wood, placed in the rhizosphere, or positioned in marine sediment—so that cells experience native diffusible nutrients and signaling molecules while being physically contained (Bollmann et al., 2007; Berdy et al., 2017; Nichols et al., 2010). For yeasts, device parameters should be tuned to cell size and matrix properties: membrane pore size should allow small-molecule diffusion while minimizing intrusion by hyphae and limiting bacterial overgrowth; compartment volumes and geometries should accommodate yeast budding and microcolony formation; and retrieval should minimize contamination while preserving microcolonies.</w:t>
      </w:r>
    </w:p>
    <w:p w14:paraId="46F55DA3" w14:textId="182FA3C8" w:rsidR="005660D6" w:rsidRPr="00E47F73" w:rsidRDefault="72345BF6" w:rsidP="3E10F8E4">
      <w:pPr>
        <w:shd w:val="clear" w:color="auto" w:fill="FFFFFF" w:themeFill="background1"/>
        <w:spacing w:before="195" w:after="195"/>
      </w:pPr>
      <w:r w:rsidRPr="00E47F73">
        <w:rPr>
          <w:rFonts w:ascii="Arial" w:eastAsia="Arial" w:hAnsi="Arial" w:cs="Arial"/>
          <w:color w:val="222222"/>
        </w:rPr>
        <w:t>Controls are essential for interpretability. Negative device controls (sterile chambers deployed and retrieved alongside inoculated units) should be included to monitor environmental contamination during deployment and recovery. In addition, matrix controls (devices incubated in the environment but physically isolated from direct contact, when feasible) can help separate the effect of diffusible cues from effects of matrix colonization. To address competition within microchambers—still possible even in situ—dilution-to-extinction inocula, selective antifungal/antibacterial supplements in staged transfers, and multiple incubation windows can be used to reduce dominance by fast-growing taxa while preserving yeast recovery potential (Ercolini, 2004; Sha et al., 2018). Where VBNC-like states are suspected, gradual soft-landing transfers through low-nutrient or habitat-informed media before richer formulations may reduce abrupt osmotic and chemical shifts and permit gradual re-entry into growth (Xie et al., 2021; Xiao et al., 2025). Lipid supplementation can be explicitly considered in protocols targeting lipid-dependent lineages (e.g., Malassezia) or other physiologically constrained taxa (Boekhout et al., 2022).</w:t>
      </w:r>
    </w:p>
    <w:p w14:paraId="5BC90380" w14:textId="7156C016" w:rsidR="005660D6" w:rsidRPr="00E47F73" w:rsidRDefault="72345BF6" w:rsidP="3E10F8E4">
      <w:pPr>
        <w:shd w:val="clear" w:color="auto" w:fill="FFFFFF" w:themeFill="background1"/>
        <w:spacing w:before="195" w:after="195"/>
      </w:pPr>
      <w:r w:rsidRPr="00E47F73">
        <w:rPr>
          <w:rFonts w:ascii="Arial" w:eastAsia="Arial" w:hAnsi="Arial" w:cs="Arial"/>
          <w:color w:val="222222"/>
        </w:rPr>
        <w:t xml:space="preserve">In parallel, the conventional arm can apply a small but diverse media panel and longer incubation windows than typical yeast isolation protocols, explicitly aiming to reduce competitive exclusion and allow slow outgrowth. The point is not to create a weak control, but a reasonable baseline representing a careful modern isolation effort without in situ incubation. Both arms can then be evaluated by sequencing recovered isolates and comparing taxonomic breadth and novelty across arms, while interpreting amplicon data conservatively as a community context map rather than yeast-specific proof (Abarenkov et al., 2024; Boekhout et al., 2022). Where resources allow, shotgun metagenomics or targeted genome recovery can add </w:t>
      </w:r>
      <w:r w:rsidRPr="00E47F73">
        <w:rPr>
          <w:rFonts w:ascii="Arial" w:eastAsia="Arial" w:hAnsi="Arial" w:cs="Arial"/>
          <w:color w:val="222222"/>
        </w:rPr>
        <w:lastRenderedPageBreak/>
        <w:t>functional context and help prioritize lineages for cultivation optimization, while recognizing analytic constraints for eukaryotic microbiomes (Ahrendt et al., 2018; Renzi et al., 2023).</w:t>
      </w:r>
    </w:p>
    <w:p w14:paraId="7832CC2B" w14:textId="23C9FF9F" w:rsidR="005660D6" w:rsidRPr="00E47F73" w:rsidRDefault="72345BF6" w:rsidP="3E10F8E4">
      <w:pPr>
        <w:shd w:val="clear" w:color="auto" w:fill="FFFFFF" w:themeFill="background1"/>
        <w:spacing w:before="195" w:after="195"/>
      </w:pPr>
      <w:r w:rsidRPr="00E47F73">
        <w:rPr>
          <w:rFonts w:ascii="Arial" w:eastAsia="Arial" w:hAnsi="Arial" w:cs="Arial"/>
          <w:color w:val="222222"/>
        </w:rPr>
        <w:t>If the in situ arm repeatedly yields isolates absent from direct plating—especially from substrates where yeasts are expected to be low-abundance, stressed, or interaction-dependent—this would provide direct evidence that recovery constraints contribute to the apparent gap in those habitats. Conversely, if gains are modest, the experiment still clarifies which constraints dominate (sampling depth, marker limits, reference gaps, competition, or physiology) and helps refine both yeast biodiversity claims and practical recovery pipelines. Finally, scalability and logistics should be discussed explicitly: deploying device arrays in remote or under-resourced settings may introduce cost and handling constraints. Lightweight, reusable formats and simplified retrieval workflows are therefore crucial for field realism and broad adoption.</w:t>
      </w:r>
    </w:p>
    <w:p w14:paraId="1BDD6366" w14:textId="7B8094BE" w:rsidR="005660D6" w:rsidRPr="00E47F73" w:rsidRDefault="72345BF6" w:rsidP="3E10F8E4">
      <w:pPr>
        <w:shd w:val="clear" w:color="auto" w:fill="FFFFFF" w:themeFill="background1"/>
        <w:spacing w:before="195" w:after="195"/>
      </w:pPr>
      <w:r w:rsidRPr="00E47F73">
        <w:rPr>
          <w:rFonts w:ascii="Arial" w:eastAsia="Arial" w:hAnsi="Arial" w:cs="Arial"/>
          <w:color w:val="222222"/>
        </w:rPr>
        <w:t>Conclusion</w:t>
      </w:r>
      <w:r w:rsidRPr="00E47F73">
        <w:br/>
      </w:r>
      <w:r w:rsidRPr="00E47F73">
        <w:rPr>
          <w:rFonts w:ascii="Arial" w:eastAsia="Arial" w:hAnsi="Arial" w:cs="Arial"/>
          <w:color w:val="222222"/>
        </w:rPr>
        <w:t>The question of hidden yeast diversity remains nuanced. HTS surveys strongly support that fungal diversity is vast and includes many taxa without cultured representatives, but the extent to which this general dark-taxa signal applies to yeasts is constrained by taxonomy, database completeness, marker resolution limits, and the fact that sequencing signals do not necessarily imply viable, active organisms at the time of sampling (Blackwell, 2011; Hyde et al., 2022; Abarenkov et al., 2024; Boekhout et al., 2022). Broad metabarcoding does not inherently distinguish yeasts from filamentous fungi, so “hidden yeast diversity” cannot be claimed on sequencing alone.</w:t>
      </w:r>
    </w:p>
    <w:p w14:paraId="61A28E0F" w14:textId="6144A787" w:rsidR="005660D6" w:rsidRPr="00E47F73" w:rsidRDefault="72345BF6" w:rsidP="3E10F8E4">
      <w:pPr>
        <w:shd w:val="clear" w:color="auto" w:fill="FFFFFF" w:themeFill="background1"/>
        <w:spacing w:before="195" w:after="195"/>
      </w:pPr>
      <w:r w:rsidRPr="00E47F73">
        <w:rPr>
          <w:rFonts w:ascii="Arial" w:eastAsia="Arial" w:hAnsi="Arial" w:cs="Arial"/>
          <w:color w:val="222222"/>
        </w:rPr>
        <w:t>Nonetheless, substantial underestimation of environmental yeasts is plausible due to sampling bias, microhabitat specificity, competitive suppression during isolation, VBNC-like physiology, and protocol limitations that fail to reproduce habitat constraints (Botha, 2011; Díaz et al., 2020; Salma et al., 2013; Xie et al., 2021; Xiao et al., 2025; Boekhout et al., 2022). Yeast diversity in underexplored substrates and heterogeneous matrices is therefore likely not fully characterized, and recovery-focused strategies are essential to connect sequence-defined diversity to cultivable material. Accordingly, the search for hidden yeast diversity should evolve from sequencing-driven inference toward intelligently designed recovery experiments, in which in situ cultivation and omics-guided condition design are applied in tandem within prioritized microhabitats—explicitly testing when “missing” yeasts reflect biology (stress states, dependencies, rarity) versus methodology (markers, references, competition, and sampling structure).</w:t>
      </w:r>
    </w:p>
    <w:p w14:paraId="686D7D2A" w14:textId="7A9088A0" w:rsidR="005660D6" w:rsidRPr="00E47F73" w:rsidRDefault="72345BF6" w:rsidP="3E10F8E4">
      <w:pPr>
        <w:shd w:val="clear" w:color="auto" w:fill="FFFFFF" w:themeFill="background1"/>
        <w:spacing w:before="195" w:after="195"/>
      </w:pPr>
      <w:r w:rsidRPr="00E47F73">
        <w:rPr>
          <w:rFonts w:ascii="Arial" w:eastAsia="Arial" w:hAnsi="Arial" w:cs="Arial"/>
          <w:color w:val="222222"/>
        </w:rPr>
        <w:t>AI Assistance Declaration</w:t>
      </w:r>
      <w:r w:rsidRPr="00E47F73">
        <w:br/>
      </w:r>
      <w:r w:rsidRPr="00E47F73">
        <w:rPr>
          <w:rFonts w:ascii="Arial" w:eastAsia="Arial" w:hAnsi="Arial" w:cs="Arial"/>
          <w:color w:val="222222"/>
        </w:rPr>
        <w:t xml:space="preserve">The author declares that generative artificial intelligence was used to assist with literature organization and language editing. All scientific interpretations, claims, and </w:t>
      </w:r>
      <w:r w:rsidRPr="00E47F73">
        <w:rPr>
          <w:rFonts w:ascii="Arial" w:eastAsia="Arial" w:hAnsi="Arial" w:cs="Arial"/>
          <w:color w:val="222222"/>
        </w:rPr>
        <w:lastRenderedPageBreak/>
        <w:t>final manuscript content were reviewed and approved by the author, who assumes full responsibility for the work.</w:t>
      </w:r>
    </w:p>
    <w:p w14:paraId="79F01DDF" w14:textId="48257934" w:rsidR="006A39FC" w:rsidRDefault="72345BF6" w:rsidP="3E10F8E4">
      <w:pPr>
        <w:shd w:val="clear" w:color="auto" w:fill="FFFFFF" w:themeFill="background1"/>
        <w:spacing w:before="195" w:after="195"/>
        <w:rPr>
          <w:rFonts w:ascii="Arial" w:eastAsia="Times New Roman" w:hAnsi="Arial" w:cs="Arial"/>
          <w:sz w:val="18"/>
          <w:szCs w:val="18"/>
        </w:rPr>
      </w:pPr>
      <w:r w:rsidRPr="00E47F73">
        <w:rPr>
          <w:rFonts w:ascii="Arial" w:eastAsia="Arial" w:hAnsi="Arial" w:cs="Arial"/>
          <w:color w:val="222222"/>
        </w:rPr>
        <w:t xml:space="preserve">References </w:t>
      </w:r>
      <w:r w:rsidRPr="00E47F73">
        <w:br/>
      </w:r>
      <w:r w:rsidRPr="00E47F73">
        <w:rPr>
          <w:rFonts w:ascii="Arial" w:eastAsia="Arial" w:hAnsi="Arial" w:cs="Arial"/>
          <w:color w:val="222222"/>
        </w:rPr>
        <w:t>Abarenkov, K., Nilsson, R. H., Larsson, K.-H., et al. (2024). The UNITE database: All fungal DNA barcodes, reference sequences and taxonomic hypotheses in one place. Nucleic Acids Research, 52(D1), D791–D802.</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https://doi.org/10.1093/nar/gkad1039</w:t>
      </w:r>
      <w:r w:rsidRPr="00E47F73">
        <w:br/>
      </w:r>
      <w:r w:rsidRPr="00E47F73">
        <w:rPr>
          <w:rFonts w:ascii="Arial" w:eastAsia="Arial" w:hAnsi="Arial" w:cs="Arial"/>
          <w:color w:val="222222"/>
        </w:rPr>
        <w:t xml:space="preserve">Ahrendt, S. R., Quandt, C. A., Ciobanu, D., et al. (2018). Leveraging single-cell genomics to expand the fungal tree of life. Nature Microbiology, 3(12), 1417–1428. </w:t>
      </w:r>
      <w:hyperlink r:id="rId6">
        <w:r w:rsidRPr="00E47F73">
          <w:rPr>
            <w:rStyle w:val="Hyperlink"/>
            <w:rFonts w:ascii="Arial" w:eastAsia="Arial" w:hAnsi="Arial" w:cs="Arial"/>
            <w:color w:val="1155CC"/>
          </w:rPr>
          <w:t>https://doi.org/10.1038/s41564-018-0261-0</w:t>
        </w:r>
        <w:r w:rsidRPr="00E47F73">
          <w:br/>
        </w:r>
      </w:hyperlink>
      <w:r w:rsidRPr="00E47F73">
        <w:rPr>
          <w:rFonts w:ascii="Arial" w:eastAsia="Arial" w:hAnsi="Arial" w:cs="Arial"/>
          <w:color w:val="222222"/>
        </w:rPr>
        <w:t xml:space="preserve">Becher, P. G., Flick, G., Rozpędowska, E., et al. (2012). Yeast, not fruit volatiles, mediate Drosophila melanogaster attraction, oviposition and development. Functional Ecology, 26(4), 822–828. </w:t>
      </w:r>
      <w:hyperlink r:id="rId7">
        <w:r w:rsidRPr="00E47F73">
          <w:rPr>
            <w:rStyle w:val="Hyperlink"/>
            <w:rFonts w:ascii="Arial" w:eastAsia="Arial" w:hAnsi="Arial" w:cs="Arial"/>
            <w:color w:val="1155CC"/>
          </w:rPr>
          <w:t>https://doi.org/10.1111/j.1365-2435.2012.02006.x</w:t>
        </w:r>
        <w:r w:rsidRPr="00E47F73">
          <w:br/>
        </w:r>
      </w:hyperlink>
      <w:r w:rsidRPr="00E47F73">
        <w:rPr>
          <w:rFonts w:ascii="Arial" w:eastAsia="Arial" w:hAnsi="Arial" w:cs="Arial"/>
          <w:color w:val="222222"/>
        </w:rPr>
        <w:t xml:space="preserve">Berdy, B., Spoering, A. L., Ling, L. L., &amp; Epstein, S. S. (2017). In situ cultivation of previously uncultivable microorganisms using the iChip. Nature Protocols, 12(10), 2232–2242. </w:t>
      </w:r>
      <w:hyperlink r:id="rId8">
        <w:r w:rsidRPr="00E47F73">
          <w:rPr>
            <w:rStyle w:val="Hyperlink"/>
            <w:rFonts w:ascii="Arial" w:eastAsia="Arial" w:hAnsi="Arial" w:cs="Arial"/>
            <w:color w:val="1155CC"/>
          </w:rPr>
          <w:t>https://doi.org/10.1038/nprot.2017.074</w:t>
        </w:r>
        <w:r w:rsidRPr="00E47F73">
          <w:br/>
        </w:r>
      </w:hyperlink>
      <w:r w:rsidRPr="00E47F73">
        <w:rPr>
          <w:rFonts w:ascii="Arial" w:eastAsia="Arial" w:hAnsi="Arial" w:cs="Arial"/>
          <w:color w:val="222222"/>
        </w:rPr>
        <w:t>Blackwell, M. (2011). The fungi: 1, 2, 3… 5.1 million species? American Journal of Botany, 98(3), 426–438.</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https://doi.org/10.3732/ajb.1000298</w:t>
      </w:r>
      <w:r w:rsidRPr="00E47F73">
        <w:br/>
      </w:r>
      <w:r w:rsidRPr="00E47F73">
        <w:rPr>
          <w:rFonts w:ascii="Arial" w:eastAsia="Arial" w:hAnsi="Arial" w:cs="Arial"/>
          <w:color w:val="222222"/>
        </w:rPr>
        <w:t xml:space="preserve">Boekhout, T., et al. (2022). Trends in yeast diversity discovery. Fungal Diversity, 114(1), 491–537. </w:t>
      </w:r>
      <w:hyperlink r:id="rId9">
        <w:r w:rsidRPr="00E47F73">
          <w:rPr>
            <w:rStyle w:val="Hyperlink"/>
            <w:rFonts w:ascii="Arial" w:eastAsia="Arial" w:hAnsi="Arial" w:cs="Arial"/>
            <w:color w:val="1155CC"/>
          </w:rPr>
          <w:t>https://doi.org/10.1007/s13225-021-00494-6</w:t>
        </w:r>
        <w:r w:rsidRPr="00E47F73">
          <w:br/>
        </w:r>
      </w:hyperlink>
      <w:r w:rsidRPr="00E47F73">
        <w:rPr>
          <w:rFonts w:ascii="Arial" w:eastAsia="Arial" w:hAnsi="Arial" w:cs="Arial"/>
          <w:color w:val="222222"/>
        </w:rPr>
        <w:t xml:space="preserve">Bollmann, A., Lewis, K., &amp; Epstein, S. S. (2007). Incubation of environmental samples in a diffusion chamber increases the diversity of recovered isolates. Applied and Environmental Microbiology, 73(20), 6386–6390. </w:t>
      </w:r>
      <w:hyperlink r:id="rId10">
        <w:r w:rsidRPr="00E47F73">
          <w:rPr>
            <w:rStyle w:val="Hyperlink"/>
            <w:rFonts w:ascii="Arial" w:eastAsia="Arial" w:hAnsi="Arial" w:cs="Arial"/>
            <w:color w:val="1155CC"/>
          </w:rPr>
          <w:t>https://doi.org/10.1128/AEM.01309-07</w:t>
        </w:r>
        <w:r w:rsidRPr="00E47F73">
          <w:br/>
        </w:r>
      </w:hyperlink>
      <w:r w:rsidRPr="00E47F73">
        <w:rPr>
          <w:rFonts w:ascii="Arial" w:eastAsia="Arial" w:hAnsi="Arial" w:cs="Arial"/>
          <w:color w:val="222222"/>
        </w:rPr>
        <w:t xml:space="preserve">Botha, A. (2011). The importance and ecology of yeasts in soil. Soil Biology &amp; Biochemistry, 43(1), 1–8. </w:t>
      </w:r>
      <w:hyperlink r:id="rId11">
        <w:r w:rsidRPr="00E47F73">
          <w:rPr>
            <w:rStyle w:val="Hyperlink"/>
            <w:rFonts w:ascii="Arial" w:eastAsia="Arial" w:hAnsi="Arial" w:cs="Arial"/>
            <w:color w:val="1155CC"/>
          </w:rPr>
          <w:t>https://doi.org/10.1016/j.soilbio.2010.10.001</w:t>
        </w:r>
        <w:r w:rsidRPr="00E47F73">
          <w:br/>
        </w:r>
      </w:hyperlink>
      <w:r w:rsidRPr="00E47F73">
        <w:rPr>
          <w:rFonts w:ascii="Arial" w:eastAsia="Arial" w:hAnsi="Arial" w:cs="Arial"/>
          <w:color w:val="222222"/>
        </w:rPr>
        <w:t>Brysch-Herzberg, M., et al. (2004). Yeast diversity in freshwater and marine environments. FEMS Yeast Research, 4(3), 255–264.</w:t>
      </w:r>
      <w:r w:rsidRPr="00E47F73">
        <w:br/>
      </w:r>
      <w:r w:rsidRPr="00E47F73">
        <w:rPr>
          <w:rFonts w:ascii="Arial" w:eastAsia="Arial" w:hAnsi="Arial" w:cs="Arial"/>
          <w:color w:val="222222"/>
        </w:rPr>
        <w:t xml:space="preserve">Chen, S. C.-A., Meyer, W., &amp; Sorrell, T. C. (2014). Cryptococcus gattii infections. Clinical Microbiology Reviews, 27(4), 980–1024. </w:t>
      </w:r>
      <w:hyperlink r:id="rId12">
        <w:r w:rsidRPr="00E47F73">
          <w:rPr>
            <w:rStyle w:val="Hyperlink"/>
            <w:rFonts w:ascii="Arial" w:eastAsia="Arial" w:hAnsi="Arial" w:cs="Arial"/>
            <w:color w:val="1155CC"/>
          </w:rPr>
          <w:t>https://doi.org/10.1128/CMR.00126-13</w:t>
        </w:r>
        <w:r w:rsidRPr="00E47F73">
          <w:br/>
        </w:r>
      </w:hyperlink>
      <w:r w:rsidRPr="00E47F73">
        <w:rPr>
          <w:rFonts w:ascii="Arial" w:eastAsia="Arial" w:hAnsi="Arial" w:cs="Arial"/>
          <w:color w:val="222222"/>
        </w:rPr>
        <w:t>Díaz, M. R., et al. (2020). Yeasts in forest soils and decaying wood: Diversity and ecological roles. Fungal Ecology, 44, 100913.</w:t>
      </w:r>
      <w:r w:rsidRPr="00E47F73">
        <w:br/>
      </w:r>
      <w:r w:rsidRPr="00E47F73">
        <w:rPr>
          <w:rFonts w:ascii="Arial" w:eastAsia="Arial" w:hAnsi="Arial" w:cs="Arial"/>
          <w:color w:val="222222"/>
        </w:rPr>
        <w:t xml:space="preserve">Ercolini, D. (2004). PCR-DGGE fingerprinting: Novel strategies for detection of microbes in food. International Journal of Food Microbiology, 90(3), 297–314. </w:t>
      </w:r>
      <w:hyperlink r:id="rId13" w:history="1">
        <w:r w:rsidR="006A39FC" w:rsidRPr="00605F9E">
          <w:rPr>
            <w:rStyle w:val="Hyperlink"/>
            <w:rFonts w:ascii="Arial" w:eastAsia="Times New Roman" w:hAnsi="Arial" w:cs="Arial"/>
            <w:sz w:val="18"/>
            <w:szCs w:val="18"/>
          </w:rPr>
          <w:t>https://doi.org/10.1016/j.mimet.2003.11.006</w:t>
        </w:r>
        <w:r w:rsidR="006A39FC" w:rsidRPr="00605F9E">
          <w:rPr>
            <w:rStyle w:val="Hyperlink"/>
          </w:rPr>
          <w:br/>
        </w:r>
      </w:hyperlink>
      <w:r w:rsidRPr="00E47F73">
        <w:rPr>
          <w:rFonts w:ascii="Arial" w:eastAsia="Arial" w:hAnsi="Arial" w:cs="Arial"/>
          <w:color w:val="222222"/>
        </w:rPr>
        <w:t>Fell, J. W. (2011). Yeasts in marine environments. In C. P. Kurtzman, J. W. Fell, &amp; T. Boekhout (Eds.), The Yeasts: A Taxonomic Study (5th ed.). Elsevier.</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yeasts/kurtzman/978-0-08-093127-2</w:t>
      </w:r>
      <w:r w:rsidRPr="00E47F73">
        <w:br/>
      </w:r>
      <w:r w:rsidRPr="00E47F73">
        <w:rPr>
          <w:rFonts w:ascii="Arial" w:eastAsia="Arial" w:hAnsi="Arial" w:cs="Arial"/>
          <w:color w:val="222222"/>
        </w:rPr>
        <w:t>Fierer, N. (2017). Embracing the unknown: Disentangling the complexities of the soil microbiome. Nature Reviews Microbiology, 15(10), 579–590.</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https://doi.org/10.1038/nrmicro.2017.87</w:t>
      </w:r>
      <w:r w:rsidRPr="00E47F73">
        <w:br/>
      </w:r>
      <w:r w:rsidRPr="00E47F73">
        <w:rPr>
          <w:rFonts w:ascii="Arial" w:eastAsia="Arial" w:hAnsi="Arial" w:cs="Arial"/>
          <w:color w:val="222222"/>
        </w:rPr>
        <w:t xml:space="preserve">Hyde, K. D., et al. (2022). The numbers of fungi: Are there alternatives to the 1:6 </w:t>
      </w:r>
      <w:r w:rsidRPr="00E47F73">
        <w:rPr>
          <w:rFonts w:ascii="Arial" w:eastAsia="Arial" w:hAnsi="Arial" w:cs="Arial"/>
          <w:color w:val="222222"/>
        </w:rPr>
        <w:lastRenderedPageBreak/>
        <w:t>ratio? Fungal Diversity, 114, 1–43.</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https://link.springer.com/journal/13225</w:t>
      </w:r>
      <w:r w:rsidRPr="00E47F73">
        <w:br/>
      </w:r>
      <w:r w:rsidRPr="00E47F73">
        <w:rPr>
          <w:rFonts w:ascii="Arial" w:eastAsia="Arial" w:hAnsi="Arial" w:cs="Arial"/>
          <w:color w:val="222222"/>
        </w:rPr>
        <w:t xml:space="preserve">Kidd, S. E., Chen, S. C.-A., Meyer, W., &amp; Halliday, C. L. (2020). A new age in molecular diagnostics for invasive fungal disease: Are we ready? Frontiers in Microbiology, 10, 2903. </w:t>
      </w:r>
      <w:hyperlink r:id="rId14">
        <w:r w:rsidR="006A39FC">
          <w:rPr>
            <w:rFonts w:ascii="Arial" w:eastAsia="Times New Roman" w:hAnsi="Arial" w:cs="Arial"/>
            <w:sz w:val="18"/>
            <w:szCs w:val="18"/>
          </w:rPr>
          <w:t>https://doi.org/10.3389/fmicb.2019.02903</w:t>
        </w:r>
        <w:r w:rsidRPr="00E47F73">
          <w:br/>
        </w:r>
      </w:hyperlink>
      <w:r w:rsidRPr="00E47F73">
        <w:rPr>
          <w:rFonts w:ascii="Arial" w:eastAsia="Arial" w:hAnsi="Arial" w:cs="Arial"/>
          <w:color w:val="222222"/>
        </w:rPr>
        <w:t>Kurtzman, C. P., Fell, J. W., &amp; Boekhout, T. (Eds.). (2011). The Yeasts: A Taxonomic Study (5th ed.). Elsevier.</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https://doi.org/10.1016/B978-0-444-52149-1</w:t>
      </w:r>
      <w:r w:rsidRPr="00E47F73">
        <w:br/>
      </w:r>
      <w:r w:rsidRPr="00E47F73">
        <w:rPr>
          <w:rFonts w:ascii="Arial" w:eastAsia="Arial" w:hAnsi="Arial" w:cs="Arial"/>
          <w:color w:val="222222"/>
        </w:rPr>
        <w:t xml:space="preserve">Ledesma-Amaro, R., &amp; Nicaud, J.-M. (2016). Yarrowia lipolytica as a biotechnological chassis. Trends in Biotechnology, 34(9), 766–778. </w:t>
      </w:r>
      <w:hyperlink r:id="rId15">
        <w:r w:rsidRPr="00E47F73">
          <w:rPr>
            <w:rStyle w:val="Hyperlink"/>
            <w:rFonts w:ascii="Arial" w:eastAsia="Arial" w:hAnsi="Arial" w:cs="Arial"/>
            <w:color w:val="1155CC"/>
          </w:rPr>
          <w:t>https://doi.org/10.1016/j.tibtech.2016.05.007</w:t>
        </w:r>
        <w:r w:rsidRPr="00E47F73">
          <w:br/>
        </w:r>
      </w:hyperlink>
      <w:r w:rsidRPr="00E47F73">
        <w:rPr>
          <w:rFonts w:ascii="Arial" w:eastAsia="Arial" w:hAnsi="Arial" w:cs="Arial"/>
          <w:color w:val="222222"/>
        </w:rPr>
        <w:t xml:space="preserve">Li, Y., et al. (2019). Mycobiome analysis of traditional starters reveals different communities dominated by fungi and yeasts. Frontiers in Microbiology, 10, 1588. </w:t>
      </w:r>
      <w:hyperlink r:id="rId16" w:history="1">
        <w:r w:rsidR="006A39FC" w:rsidRPr="00605F9E">
          <w:rPr>
            <w:rStyle w:val="Hyperlink"/>
            <w:rFonts w:ascii="Arial" w:eastAsia="Times New Roman" w:hAnsi="Arial" w:cs="Arial"/>
            <w:sz w:val="18"/>
            <w:szCs w:val="18"/>
          </w:rPr>
          <w:t>https://doi.org/10.3389/fmicb.2019.00409</w:t>
        </w:r>
      </w:hyperlink>
    </w:p>
    <w:p w14:paraId="1533C240" w14:textId="6FC9C7F7" w:rsidR="005660D6" w:rsidRDefault="72345BF6" w:rsidP="3E10F8E4">
      <w:pPr>
        <w:shd w:val="clear" w:color="auto" w:fill="FFFFFF" w:themeFill="background1"/>
        <w:spacing w:before="195" w:after="195"/>
      </w:pPr>
      <w:r w:rsidRPr="00E47F73">
        <w:rPr>
          <w:rFonts w:ascii="Arial" w:eastAsia="Arial" w:hAnsi="Arial" w:cs="Arial"/>
          <w:color w:val="222222"/>
        </w:rPr>
        <w:t xml:space="preserve">Li, M., Raza, M., et al. (2023). Application of culturomics in fungal isolation from mangrove sediments. Microbiome, 11, 272. </w:t>
      </w:r>
      <w:hyperlink r:id="rId17" w:history="1">
        <w:r w:rsidR="006A39FC" w:rsidRPr="00605F9E">
          <w:rPr>
            <w:rStyle w:val="Hyperlink"/>
            <w:rFonts w:ascii="Arial" w:eastAsia="Times New Roman" w:hAnsi="Arial" w:cs="Arial"/>
            <w:sz w:val="18"/>
            <w:szCs w:val="18"/>
          </w:rPr>
          <w:t>https://doi.org/10.1186/s40168-023-01708-6</w:t>
        </w:r>
        <w:r w:rsidR="006A39FC" w:rsidRPr="00605F9E">
          <w:rPr>
            <w:rStyle w:val="Hyperlink"/>
          </w:rPr>
          <w:br/>
        </w:r>
      </w:hyperlink>
      <w:r w:rsidRPr="00E47F73">
        <w:rPr>
          <w:rFonts w:ascii="Arial" w:eastAsia="Arial" w:hAnsi="Arial" w:cs="Arial"/>
          <w:color w:val="222222"/>
        </w:rPr>
        <w:t xml:space="preserve">Mendoza, L. M., Neef, A., Vignolo, G., &amp; Belloch, C. (2017). Yeast diversity during the fermentation of an artisanal beverage: A culture-independent approach. Food Microbiology, 67, 54–62. </w:t>
      </w:r>
      <w:hyperlink r:id="rId18">
        <w:r w:rsidRPr="00E47F73">
          <w:rPr>
            <w:rStyle w:val="Hyperlink"/>
            <w:rFonts w:ascii="Arial" w:eastAsia="Arial" w:hAnsi="Arial" w:cs="Arial"/>
            <w:color w:val="1155CC"/>
          </w:rPr>
          <w:t>https://doi.org/10.1016/j.fm.2017.08.012</w:t>
        </w:r>
        <w:r w:rsidRPr="00E47F73">
          <w:br/>
        </w:r>
      </w:hyperlink>
      <w:r w:rsidRPr="00E47F73">
        <w:rPr>
          <w:rFonts w:ascii="Arial" w:eastAsia="Arial" w:hAnsi="Arial" w:cs="Arial"/>
          <w:color w:val="222222"/>
        </w:rPr>
        <w:t xml:space="preserve">Nichols, D., Cahoon, N., Trakhtenberg, E. M., et al. (2010). Use of iChip for high-throughput in situ cultivation of “uncultivable” microbial species. Applied and Environmental Microbiology, 76(8), 2445–2450. </w:t>
      </w:r>
      <w:hyperlink r:id="rId19">
        <w:r w:rsidRPr="00E47F73">
          <w:rPr>
            <w:rStyle w:val="Hyperlink"/>
            <w:rFonts w:ascii="Arial" w:eastAsia="Arial" w:hAnsi="Arial" w:cs="Arial"/>
            <w:color w:val="1155CC"/>
          </w:rPr>
          <w:t>https://doi.org/10.1128/AEM.01754-09</w:t>
        </w:r>
        <w:r w:rsidRPr="00E47F73">
          <w:br/>
        </w:r>
      </w:hyperlink>
      <w:r w:rsidRPr="00E47F73">
        <w:rPr>
          <w:rFonts w:ascii="Arial" w:eastAsia="Arial" w:hAnsi="Arial" w:cs="Arial"/>
          <w:color w:val="222222"/>
        </w:rPr>
        <w:t>Péter, G., et al. (2023). Hidden yeast biodiversity: Pitfalls and promises. Yeast, 40, 71–85.</w:t>
      </w:r>
      <w:r w:rsidRPr="00E47F73">
        <w:br/>
      </w:r>
      <w:r w:rsidRPr="00E47F73">
        <w:rPr>
          <w:rFonts w:ascii="Arial" w:eastAsia="Arial" w:hAnsi="Arial" w:cs="Arial"/>
          <w:color w:val="222222"/>
        </w:rPr>
        <w:t>Renzi, S., Nenciarini, S., Bacci, G., &amp; Cavalieri, D. (2023). Yeast metagenomics: Analytical challenges in the analysis of the eukaryotic microbiome. Microbiome Research Reports, 3(1), 2.</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https://doi.org/10.20517/mrr.2023.27</w:t>
      </w:r>
      <w:r w:rsidRPr="00E47F73">
        <w:br/>
      </w:r>
      <w:r w:rsidRPr="00E47F73">
        <w:rPr>
          <w:rFonts w:ascii="Arial" w:eastAsia="Arial" w:hAnsi="Arial" w:cs="Arial"/>
          <w:color w:val="222222"/>
        </w:rPr>
        <w:t>Salma, M., Rousseaux, S., Sequeira-Le Grand, A., Divol, B., &amp; Alexandre, H. (2013). Characterization of the viable but nonculturable (VBNC) state in Saccharomyces cerevisiae. PLOS ONE, 8(10), e77600.</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https://doi.org/10.1371/journal.pone.0077600</w:t>
      </w:r>
      <w:r w:rsidRPr="00E47F73">
        <w:br/>
      </w:r>
      <w:r w:rsidRPr="00E47F73">
        <w:rPr>
          <w:rFonts w:ascii="Arial" w:eastAsia="Arial" w:hAnsi="Arial" w:cs="Arial"/>
          <w:color w:val="222222"/>
        </w:rPr>
        <w:t xml:space="preserve">Sha, S., et al. (2018). Diverse yeasts and molds revealed by culture-dependent and culture-independent methods. Frontiers in Microbiology, 9, 2237. </w:t>
      </w:r>
      <w:hyperlink r:id="rId20">
        <w:r w:rsidRPr="00E47F73">
          <w:rPr>
            <w:rStyle w:val="Hyperlink"/>
            <w:rFonts w:ascii="Arial" w:eastAsia="Arial" w:hAnsi="Arial" w:cs="Arial"/>
            <w:color w:val="1155CC"/>
          </w:rPr>
          <w:t>https://doi.org/10.3389/fmicb.2018.02237</w:t>
        </w:r>
        <w:r w:rsidRPr="00E47F73">
          <w:br/>
        </w:r>
      </w:hyperlink>
      <w:r w:rsidRPr="00E47F73">
        <w:rPr>
          <w:rFonts w:ascii="Arial" w:eastAsia="Arial" w:hAnsi="Arial" w:cs="Arial"/>
          <w:color w:val="222222"/>
        </w:rPr>
        <w:t>Starmer, W. T., &amp; Lachance, M. A. (2001). The Drosophila–yeast mutualism. FEMS Yeast Research, 1, 113–123.</w:t>
      </w:r>
      <w:r w:rsidRPr="00E47F73">
        <w:br/>
      </w:r>
      <w:r w:rsidRPr="00E47F73">
        <w:rPr>
          <w:rFonts w:ascii="Arial" w:eastAsia="Arial" w:hAnsi="Arial" w:cs="Arial"/>
          <w:color w:val="222222"/>
        </w:rPr>
        <w:t xml:space="preserve">Sun, N., et al. (2014). Profiling yeast communities using terminal restriction fragment length polymorphism analysis. Food Microbiology, 41, 21–27. </w:t>
      </w:r>
      <w:hyperlink r:id="rId21">
        <w:r w:rsidRPr="00E47F73">
          <w:rPr>
            <w:rStyle w:val="Hyperlink"/>
            <w:rFonts w:ascii="Arial" w:eastAsia="Arial" w:hAnsi="Arial" w:cs="Arial"/>
            <w:color w:val="1155CC"/>
          </w:rPr>
          <w:t>https://doi.org/10.1016/j.fm.2013.09.001</w:t>
        </w:r>
        <w:r w:rsidRPr="00E47F73">
          <w:br/>
        </w:r>
      </w:hyperlink>
      <w:r w:rsidRPr="00E47F73">
        <w:rPr>
          <w:rFonts w:ascii="Arial" w:eastAsia="Arial" w:hAnsi="Arial" w:cs="Arial"/>
          <w:color w:val="222222"/>
        </w:rPr>
        <w:t>World Health Organization. (2022). WHO fungal priority pathogens list to guide research, development and public health action. World Health Organization.</w:t>
      </w:r>
      <w:r w:rsidR="006A39FC" w:rsidRPr="006A39FC">
        <w:rPr>
          <w:rFonts w:ascii="Arial" w:eastAsia="Times New Roman" w:hAnsi="Arial" w:cs="Arial"/>
          <w:sz w:val="18"/>
          <w:szCs w:val="18"/>
        </w:rPr>
        <w:t xml:space="preserve"> </w:t>
      </w:r>
      <w:r w:rsidR="006A39FC">
        <w:rPr>
          <w:rFonts w:ascii="Arial" w:eastAsia="Times New Roman" w:hAnsi="Arial" w:cs="Arial"/>
          <w:sz w:val="18"/>
          <w:szCs w:val="18"/>
        </w:rPr>
        <w:t>https://www.who.int/publications/i/item/9789240060241</w:t>
      </w:r>
      <w:r w:rsidRPr="00E47F73">
        <w:br/>
      </w:r>
      <w:r w:rsidRPr="00E47F73">
        <w:rPr>
          <w:rFonts w:ascii="Arial" w:eastAsia="Arial" w:hAnsi="Arial" w:cs="Arial"/>
          <w:color w:val="222222"/>
        </w:rPr>
        <w:t xml:space="preserve">Xie, M., Chen, S., Pan, Y., et al. (2021). A viable but nonculturable state in Candida sp. induced by high phenol stress. Applied and Environmental Microbiology, 87(24), e01110-21. </w:t>
      </w:r>
      <w:hyperlink r:id="rId22">
        <w:r w:rsidRPr="00E47F73">
          <w:rPr>
            <w:rStyle w:val="Hyperlink"/>
            <w:rFonts w:ascii="Arial" w:eastAsia="Arial" w:hAnsi="Arial" w:cs="Arial"/>
            <w:color w:val="1155CC"/>
          </w:rPr>
          <w:t>https://doi.org/10.1128/AEM.01110-21</w:t>
        </w:r>
        <w:r w:rsidRPr="00E47F73">
          <w:br/>
        </w:r>
      </w:hyperlink>
      <w:r w:rsidRPr="00E47F73">
        <w:rPr>
          <w:rFonts w:ascii="Arial" w:eastAsia="Arial" w:hAnsi="Arial" w:cs="Arial"/>
          <w:color w:val="222222"/>
        </w:rPr>
        <w:t xml:space="preserve">Xiao, X., et al. (2025). Formation and resuscitation of viable but non-culturable (VBNC) yeast in the food industry: A review. International Journal of Food Microbiology, 426, 110901. </w:t>
      </w:r>
      <w:hyperlink r:id="rId23">
        <w:r w:rsidRPr="00E47F73">
          <w:rPr>
            <w:rStyle w:val="Hyperlink"/>
            <w:rFonts w:ascii="Arial" w:eastAsia="Arial" w:hAnsi="Arial" w:cs="Arial"/>
            <w:color w:val="1155CC"/>
          </w:rPr>
          <w:t>https://doi.org/10.1016/j.ijfoodmicro.2024.110901</w:t>
        </w:r>
        <w:r w:rsidRPr="00E47F73">
          <w:br/>
        </w:r>
      </w:hyperlink>
      <w:r w:rsidRPr="00E47F73">
        <w:rPr>
          <w:rFonts w:ascii="Arial" w:eastAsia="Arial" w:hAnsi="Arial" w:cs="Arial"/>
          <w:color w:val="222222"/>
        </w:rPr>
        <w:t xml:space="preserve">Xu, J., et al. (2018). Diversity and relationships among strains of culturable yeasts in agricultural soils in Cameroon. Scientific Reports, 8, 16545. </w:t>
      </w:r>
      <w:hyperlink r:id="rId24">
        <w:r w:rsidRPr="00E47F73">
          <w:rPr>
            <w:rStyle w:val="Hyperlink"/>
            <w:rFonts w:ascii="Arial" w:eastAsia="Arial" w:hAnsi="Arial" w:cs="Arial"/>
            <w:color w:val="1155CC"/>
          </w:rPr>
          <w:t>https://doi.org/10.1038/s41598-018-34122-2</w:t>
        </w:r>
        <w:r w:rsidRPr="00E47F73">
          <w:br/>
        </w:r>
      </w:hyperlink>
      <w:r w:rsidRPr="00E47F73">
        <w:rPr>
          <w:rFonts w:ascii="Arial" w:eastAsia="Arial" w:hAnsi="Arial" w:cs="Arial"/>
          <w:color w:val="222222"/>
        </w:rPr>
        <w:t xml:space="preserve">Zhang, Y., et al. (2024). Culturing the uncultured marine fungi in the omics age. Fungal Biology Reviews, 49, 100308. </w:t>
      </w:r>
      <w:r w:rsidR="006A39FC">
        <w:rPr>
          <w:rFonts w:ascii="Arial" w:eastAsia="Times New Roman" w:hAnsi="Arial" w:cs="Arial"/>
          <w:sz w:val="18"/>
          <w:szCs w:val="18"/>
        </w:rPr>
        <w:t>https://doi.org/10.1016/j.fbr.2023.100353</w:t>
      </w:r>
    </w:p>
    <w:p w14:paraId="1E207724" w14:textId="2091B749" w:rsidR="005660D6" w:rsidRDefault="005660D6"/>
    <w:sectPr w:rsidR="005660D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DB536" w14:textId="77777777" w:rsidR="004A70B2" w:rsidRDefault="004A70B2" w:rsidP="004A590B">
      <w:pPr>
        <w:spacing w:after="0" w:line="240" w:lineRule="auto"/>
      </w:pPr>
      <w:r>
        <w:separator/>
      </w:r>
    </w:p>
  </w:endnote>
  <w:endnote w:type="continuationSeparator" w:id="0">
    <w:p w14:paraId="186A0622" w14:textId="77777777" w:rsidR="004A70B2" w:rsidRDefault="004A70B2" w:rsidP="004A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BDB6" w14:textId="77777777" w:rsidR="004A590B" w:rsidRDefault="004A5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4B86" w14:textId="77777777" w:rsidR="004A590B" w:rsidRDefault="004A5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38C3" w14:textId="77777777" w:rsidR="004A590B" w:rsidRDefault="004A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07709" w14:textId="77777777" w:rsidR="004A70B2" w:rsidRDefault="004A70B2" w:rsidP="004A590B">
      <w:pPr>
        <w:spacing w:after="0" w:line="240" w:lineRule="auto"/>
      </w:pPr>
      <w:r>
        <w:separator/>
      </w:r>
    </w:p>
  </w:footnote>
  <w:footnote w:type="continuationSeparator" w:id="0">
    <w:p w14:paraId="2F222DB0" w14:textId="77777777" w:rsidR="004A70B2" w:rsidRDefault="004A70B2" w:rsidP="004A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BF86" w14:textId="4BEB6CA7" w:rsidR="004A590B" w:rsidRDefault="004A590B">
    <w:pPr>
      <w:pStyle w:val="Header"/>
    </w:pPr>
    <w:r>
      <w:rPr>
        <w:noProof/>
      </w:rPr>
      <w:pict w14:anchorId="40D87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9697" w14:textId="50EBF002" w:rsidR="004A590B" w:rsidRDefault="004A590B">
    <w:pPr>
      <w:pStyle w:val="Header"/>
    </w:pPr>
    <w:r>
      <w:rPr>
        <w:noProof/>
      </w:rPr>
      <w:pict w14:anchorId="7381A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E400" w14:textId="18739BBA" w:rsidR="004A590B" w:rsidRDefault="004A590B">
    <w:pPr>
      <w:pStyle w:val="Header"/>
    </w:pPr>
    <w:r>
      <w:rPr>
        <w:noProof/>
      </w:rPr>
      <w:pict w14:anchorId="676E9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724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2F726B"/>
    <w:rsid w:val="00095714"/>
    <w:rsid w:val="000F4F58"/>
    <w:rsid w:val="00175DC6"/>
    <w:rsid w:val="0027127C"/>
    <w:rsid w:val="002F6488"/>
    <w:rsid w:val="004112EA"/>
    <w:rsid w:val="004A590B"/>
    <w:rsid w:val="004A70B2"/>
    <w:rsid w:val="005660D6"/>
    <w:rsid w:val="006A39FC"/>
    <w:rsid w:val="00A86B13"/>
    <w:rsid w:val="00B03806"/>
    <w:rsid w:val="00CD4587"/>
    <w:rsid w:val="00D76CF6"/>
    <w:rsid w:val="00E47F73"/>
    <w:rsid w:val="212F726B"/>
    <w:rsid w:val="3E10F8E4"/>
    <w:rsid w:val="72345B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F726B"/>
  <w15:chartTrackingRefBased/>
  <w15:docId w15:val="{27A9ACC1-1E49-400F-83F3-2F7BC97B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E10F8E4"/>
    <w:rPr>
      <w:color w:val="467886"/>
      <w:u w:val="single"/>
    </w:rPr>
  </w:style>
  <w:style w:type="character" w:styleId="UnresolvedMention">
    <w:name w:val="Unresolved Mention"/>
    <w:basedOn w:val="DefaultParagraphFont"/>
    <w:uiPriority w:val="99"/>
    <w:semiHidden/>
    <w:unhideWhenUsed/>
    <w:rsid w:val="002F6488"/>
    <w:rPr>
      <w:color w:val="605E5C"/>
      <w:shd w:val="clear" w:color="auto" w:fill="E1DFDD"/>
    </w:rPr>
  </w:style>
  <w:style w:type="paragraph" w:styleId="Header">
    <w:name w:val="header"/>
    <w:basedOn w:val="Normal"/>
    <w:link w:val="HeaderChar"/>
    <w:uiPriority w:val="99"/>
    <w:unhideWhenUsed/>
    <w:rsid w:val="004A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0B"/>
  </w:style>
  <w:style w:type="paragraph" w:styleId="Footer">
    <w:name w:val="footer"/>
    <w:basedOn w:val="Normal"/>
    <w:link w:val="FooterChar"/>
    <w:uiPriority w:val="99"/>
    <w:unhideWhenUsed/>
    <w:rsid w:val="004A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nprot.2017.074" TargetMode="External"/><Relationship Id="rId13" Type="http://schemas.openxmlformats.org/officeDocument/2006/relationships/hyperlink" Target="https://doi.org/10.1016/j.mimet.2003.11.006" TargetMode="External"/><Relationship Id="rId18" Type="http://schemas.openxmlformats.org/officeDocument/2006/relationships/hyperlink" Target="https://doi.org/10.1016/j.fm.2017.08.012"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1016/j.fm.2013.09.001" TargetMode="External"/><Relationship Id="rId7" Type="http://schemas.openxmlformats.org/officeDocument/2006/relationships/hyperlink" Target="https://doi.org/10.1111/j.1365-2435.2012.02006.x" TargetMode="External"/><Relationship Id="rId12" Type="http://schemas.openxmlformats.org/officeDocument/2006/relationships/hyperlink" Target="https://doi.org/10.1128/CMR.00126-13" TargetMode="External"/><Relationship Id="rId17" Type="http://schemas.openxmlformats.org/officeDocument/2006/relationships/hyperlink" Target="https://doi.org/10.1186/s40168-023-01708-6"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3389/fmicb.2019.00409" TargetMode="External"/><Relationship Id="rId20" Type="http://schemas.openxmlformats.org/officeDocument/2006/relationships/hyperlink" Target="https://doi.org/10.3389/fmicb.2018.02237"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38/s41564-018-0261-0" TargetMode="External"/><Relationship Id="rId11" Type="http://schemas.openxmlformats.org/officeDocument/2006/relationships/hyperlink" Target="https://doi.org/10.1016/j.soilbio.2010.10.001" TargetMode="External"/><Relationship Id="rId24" Type="http://schemas.openxmlformats.org/officeDocument/2006/relationships/hyperlink" Target="https://doi.org/10.1038/s41598-018-34122-2"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tibtech.2016.05.007" TargetMode="External"/><Relationship Id="rId23" Type="http://schemas.openxmlformats.org/officeDocument/2006/relationships/hyperlink" Target="https://doi.org/10.1016/j.ijfoodmicro.2024.110901" TargetMode="External"/><Relationship Id="rId28" Type="http://schemas.openxmlformats.org/officeDocument/2006/relationships/footer" Target="footer2.xml"/><Relationship Id="rId10" Type="http://schemas.openxmlformats.org/officeDocument/2006/relationships/hyperlink" Target="https://doi.org/10.1128/AEM.01309-07" TargetMode="External"/><Relationship Id="rId19" Type="http://schemas.openxmlformats.org/officeDocument/2006/relationships/hyperlink" Target="https://doi.org/10.1128/AEM.01754-09"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07/s13225-021-00494-6" TargetMode="External"/><Relationship Id="rId14" Type="http://schemas.openxmlformats.org/officeDocument/2006/relationships/hyperlink" Target="https://doi.org/10.3389/fmicb.2019.02903" TargetMode="External"/><Relationship Id="rId22" Type="http://schemas.openxmlformats.org/officeDocument/2006/relationships/hyperlink" Target="https://doi.org/10.1128/AEM.01110-2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5747</Words>
  <Characters>32759</Characters>
  <Application>Microsoft Office Word</Application>
  <DocSecurity>0</DocSecurity>
  <Lines>272</Lines>
  <Paragraphs>76</Paragraphs>
  <ScaleCrop>false</ScaleCrop>
  <Company/>
  <LinksUpToDate>false</LinksUpToDate>
  <CharactersWithSpaces>38430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Kibelle Iama Dos Santos</dc:creator>
  <cp:keywords/>
  <dc:description/>
  <cp:lastModifiedBy>SDI 1084</cp:lastModifiedBy>
  <cp:revision>10</cp:revision>
  <dcterms:created xsi:type="dcterms:W3CDTF">2025-12-29T03:07:00Z</dcterms:created>
  <dcterms:modified xsi:type="dcterms:W3CDTF">2025-12-30T07:05:00Z</dcterms:modified>
</cp:coreProperties>
</file>