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AC3CB" w14:textId="77777777" w:rsidR="00DA78B2" w:rsidRDefault="00DA78B2" w:rsidP="00CF56D3">
      <w:pPr>
        <w:pStyle w:val="Heading1"/>
        <w:shd w:val="clear" w:color="auto" w:fill="FFFFFF"/>
        <w:spacing w:after="240" w:line="360" w:lineRule="auto"/>
        <w:jc w:val="both"/>
        <w:rPr>
          <w:rStyle w:val="Strong"/>
          <w:rFonts w:asciiTheme="majorBidi" w:hAnsiTheme="majorBidi"/>
          <w:color w:val="0F1115"/>
          <w:sz w:val="24"/>
          <w:szCs w:val="24"/>
        </w:rPr>
      </w:pPr>
      <w:r w:rsidRPr="00DA78B2">
        <w:rPr>
          <w:rStyle w:val="Strong"/>
          <w:rFonts w:asciiTheme="majorBidi" w:hAnsiTheme="majorBidi"/>
          <w:color w:val="0F1115"/>
          <w:sz w:val="24"/>
          <w:szCs w:val="24"/>
        </w:rPr>
        <w:t>Original Research Article</w:t>
      </w:r>
    </w:p>
    <w:p w14:paraId="3164C1CB" w14:textId="77777777" w:rsidR="00DA78B2" w:rsidRDefault="00DA78B2" w:rsidP="00CF56D3">
      <w:pPr>
        <w:pStyle w:val="Heading1"/>
        <w:shd w:val="clear" w:color="auto" w:fill="FFFFFF"/>
        <w:spacing w:after="240" w:line="360" w:lineRule="auto"/>
        <w:jc w:val="both"/>
        <w:rPr>
          <w:rStyle w:val="Strong"/>
          <w:rFonts w:asciiTheme="majorBidi" w:hAnsiTheme="majorBidi"/>
          <w:color w:val="0F1115"/>
          <w:sz w:val="24"/>
          <w:szCs w:val="24"/>
        </w:rPr>
      </w:pPr>
    </w:p>
    <w:p w14:paraId="43DEBFB5" w14:textId="52B6298C" w:rsidR="00AC4CFF" w:rsidRDefault="008D6E22" w:rsidP="00CF56D3">
      <w:pPr>
        <w:pStyle w:val="Heading1"/>
        <w:shd w:val="clear" w:color="auto" w:fill="FFFFFF"/>
        <w:spacing w:after="240" w:line="360" w:lineRule="auto"/>
        <w:jc w:val="both"/>
        <w:rPr>
          <w:rStyle w:val="Strong"/>
          <w:rFonts w:asciiTheme="majorBidi" w:hAnsiTheme="majorBidi"/>
          <w:color w:val="0F1115"/>
          <w:sz w:val="24"/>
          <w:szCs w:val="24"/>
        </w:rPr>
      </w:pPr>
      <w:r w:rsidRPr="008D6E22">
        <w:rPr>
          <w:rStyle w:val="Strong"/>
          <w:rFonts w:asciiTheme="majorBidi" w:hAnsiTheme="majorBidi"/>
          <w:color w:val="0F1115"/>
          <w:sz w:val="24"/>
          <w:szCs w:val="24"/>
        </w:rPr>
        <w:t>Transfusion-Transmissible Viral Infections Among Blood Donors in Sudan During Armed Conflict: A Cross-Sectional Study, 2024</w:t>
      </w:r>
    </w:p>
    <w:p w14:paraId="536D5ACB" w14:textId="77777777" w:rsidR="00CF56D3" w:rsidRPr="00CF56D3" w:rsidRDefault="00CF56D3" w:rsidP="00CF56D3"/>
    <w:p w14:paraId="1AAA2A4E"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ABSTRACT</w:t>
      </w:r>
    </w:p>
    <w:p w14:paraId="0D25A85D" w14:textId="77777777" w:rsidR="00141D7B" w:rsidRPr="00141D7B" w:rsidRDefault="00141D7B" w:rsidP="00141D7B">
      <w:pPr>
        <w:spacing w:after="0" w:line="360" w:lineRule="auto"/>
        <w:jc w:val="both"/>
        <w:rPr>
          <w:rFonts w:ascii="Times New Roman" w:eastAsia="Times New Roman" w:hAnsi="Times New Roman" w:cs="Times New Roman"/>
          <w:sz w:val="24"/>
          <w:szCs w:val="24"/>
        </w:rPr>
      </w:pPr>
      <w:r w:rsidRPr="00141D7B">
        <w:rPr>
          <w:rFonts w:ascii="Times New Roman" w:eastAsia="Times New Roman" w:hAnsi="Times New Roman" w:cs="Times New Roman"/>
          <w:b/>
          <w:bCs/>
          <w:sz w:val="24"/>
          <w:szCs w:val="24"/>
        </w:rPr>
        <w:t>Background:</w:t>
      </w:r>
      <w:r w:rsidRPr="00141D7B">
        <w:rPr>
          <w:rFonts w:ascii="Times New Roman" w:eastAsia="Times New Roman" w:hAnsi="Times New Roman" w:cs="Times New Roman"/>
          <w:sz w:val="24"/>
          <w:szCs w:val="24"/>
        </w:rPr>
        <w:t xml:space="preserve"> Blood transfusion safety remains a major public health concern due to the risk of transfusion-transmissible infections (TTIs), particularly hepatitis B virus (HBV), hepatitis C virus (HCV), and human immunodeficiency virus (HIV). In Sudan, the ongoing armed conflict has severely disrupted healthcare services, potentially increasing transfusion-related risks. This study aimed to assess the seroprevalence of major TTIs among blood donors in a conflict-affected region of Sudan during 2024.</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Methods:</w:t>
      </w:r>
      <w:r w:rsidRPr="00141D7B">
        <w:rPr>
          <w:rFonts w:ascii="Times New Roman" w:eastAsia="Times New Roman" w:hAnsi="Times New Roman" w:cs="Times New Roman"/>
          <w:sz w:val="24"/>
          <w:szCs w:val="24"/>
        </w:rPr>
        <w:t xml:space="preserve"> A retrospective cross-sectional study was conducted using blood donor records from Al-Naw Hospital, Omdurman, Sudan, between March and August 2024. A total of 6,531 donors were screened for HBsAg, anti-HCV, and anti-HIV using rapid diagnostic tests. Data were analyzed using descriptive statistics to determine overall and monthly seroprevalence rates, and findings were compared with previous studies conducted in Sudan.</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Results:</w:t>
      </w:r>
      <w:r w:rsidRPr="00141D7B">
        <w:rPr>
          <w:rFonts w:ascii="Times New Roman" w:eastAsia="Times New Roman" w:hAnsi="Times New Roman" w:cs="Times New Roman"/>
          <w:sz w:val="24"/>
          <w:szCs w:val="24"/>
        </w:rPr>
        <w:t xml:space="preserve"> Among the screened donors, 235 (3.6%) tested positive for at least one TTI. HBV was the most prevalent infection, detected in 142 donors (2.17%), followed by HCV in 57 donors (0.87%) and HIV in 36 donors (0.55%). No co-infections were identified. Monthly analysis showed fluctuating prevalence rates, with the highest overall TTI prevalence observed in March (4.56%) and August (4.42%). Compared with pre-conflict studies from other regions of Sudan, the prevalence of HBV and HCV was generally lower, while HIV prevalence showed variable patterns.</w:t>
      </w:r>
      <w:r>
        <w:rPr>
          <w:rFonts w:ascii="Times New Roman" w:eastAsia="Times New Roman" w:hAnsi="Times New Roman" w:cs="Times New Roman"/>
          <w:sz w:val="24"/>
          <w:szCs w:val="24"/>
        </w:rPr>
        <w:t xml:space="preserve"> </w:t>
      </w:r>
      <w:r w:rsidRPr="00141D7B">
        <w:rPr>
          <w:rFonts w:ascii="Times New Roman" w:eastAsia="Times New Roman" w:hAnsi="Times New Roman" w:cs="Times New Roman"/>
          <w:b/>
          <w:bCs/>
          <w:sz w:val="24"/>
          <w:szCs w:val="24"/>
        </w:rPr>
        <w:t>Conclusion:</w:t>
      </w:r>
      <w:r w:rsidRPr="00141D7B">
        <w:rPr>
          <w:rFonts w:ascii="Times New Roman" w:eastAsia="Times New Roman" w:hAnsi="Times New Roman" w:cs="Times New Roman"/>
          <w:sz w:val="24"/>
          <w:szCs w:val="24"/>
        </w:rPr>
        <w:t xml:space="preserve"> Transfusion-transmissible infections remain a significant threat to blood safety in conflict-affected settings of Sudan, with HBV constituting the predominant infection among blood donors. Despite healthcare system disruptions, sustained transmission risks persist, underscoring the urgent need for strengthened blood screening strategies, improved quality </w:t>
      </w:r>
      <w:r w:rsidRPr="00141D7B">
        <w:rPr>
          <w:rFonts w:ascii="Times New Roman" w:eastAsia="Times New Roman" w:hAnsi="Times New Roman" w:cs="Times New Roman"/>
          <w:sz w:val="24"/>
          <w:szCs w:val="24"/>
        </w:rPr>
        <w:lastRenderedPageBreak/>
        <w:t>assurance, and context-specific interventions to ensure safe blood transfusion during humanitarian emergencies.</w:t>
      </w:r>
    </w:p>
    <w:p w14:paraId="78B8A9D6" w14:textId="77777777" w:rsidR="00C94A8F" w:rsidRPr="006452C4" w:rsidRDefault="00102092" w:rsidP="006452C4">
      <w:pPr>
        <w:pStyle w:val="ds-markdown-paragraph"/>
        <w:shd w:val="clear" w:color="auto" w:fill="FFFFFF"/>
        <w:spacing w:before="240" w:beforeAutospacing="0" w:after="240" w:afterAutospacing="0" w:line="360" w:lineRule="auto"/>
        <w:jc w:val="both"/>
        <w:rPr>
          <w:rFonts w:asciiTheme="majorBidi" w:hAnsiTheme="majorBidi" w:cstheme="majorBidi"/>
          <w:i/>
          <w:iCs/>
          <w:color w:val="0F1115"/>
        </w:rPr>
      </w:pPr>
      <w:r w:rsidRPr="00497697">
        <w:rPr>
          <w:rStyle w:val="Strong"/>
          <w:rFonts w:asciiTheme="majorBidi" w:hAnsiTheme="majorBidi" w:cstheme="majorBidi"/>
          <w:i/>
          <w:iCs/>
          <w:color w:val="0F1115"/>
        </w:rPr>
        <w:t>Keywords:</w:t>
      </w:r>
      <w:r w:rsidRPr="00497697">
        <w:rPr>
          <w:rFonts w:asciiTheme="majorBidi" w:hAnsiTheme="majorBidi" w:cstheme="majorBidi"/>
          <w:i/>
          <w:iCs/>
          <w:color w:val="0F1115"/>
        </w:rPr>
        <w:t> Blood safety, Hepatitis B, Hepatitis C, HIV, Transfusion-transmissible infections, Conflict settings, Sudan</w:t>
      </w:r>
      <w:r w:rsidR="00497697">
        <w:rPr>
          <w:rFonts w:asciiTheme="majorBidi" w:hAnsiTheme="majorBidi" w:cstheme="majorBidi" w:hint="cs"/>
          <w:i/>
          <w:iCs/>
          <w:color w:val="0F1115"/>
          <w:rtl/>
        </w:rPr>
        <w:t>.</w:t>
      </w:r>
    </w:p>
    <w:p w14:paraId="5F585D78"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1. </w:t>
      </w:r>
      <w:r w:rsidRPr="00780438">
        <w:rPr>
          <w:rStyle w:val="Strong"/>
          <w:rFonts w:asciiTheme="majorBidi" w:hAnsiTheme="majorBidi" w:cstheme="majorBidi"/>
          <w:b/>
          <w:bCs/>
          <w:color w:val="0F1115"/>
          <w:sz w:val="24"/>
          <w:szCs w:val="24"/>
        </w:rPr>
        <w:t>INTRODUCTION</w:t>
      </w:r>
    </w:p>
    <w:p w14:paraId="5C069FA1" w14:textId="77777777" w:rsidR="00497697" w:rsidRPr="006452C4" w:rsidRDefault="00102092" w:rsidP="006452C4">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t xml:space="preserve">Blood transfusion, while lifesaving, poses significant risks for transmitting viral pathogens, including hepatitis B virus (HBV), hepatitis C virus (HCV), and human immunodeficiency virus (HIV) </w:t>
      </w:r>
      <w:r w:rsidRPr="00497697">
        <w:rPr>
          <w:rFonts w:asciiTheme="majorBidi" w:hAnsiTheme="majorBidi" w:cstheme="majorBidi"/>
          <w:b/>
          <w:bCs/>
          <w:color w:val="0F1115"/>
        </w:rPr>
        <w:t>[1].</w:t>
      </w:r>
      <w:r w:rsidRPr="00780438">
        <w:rPr>
          <w:rFonts w:asciiTheme="majorBidi" w:hAnsiTheme="majorBidi" w:cstheme="majorBidi"/>
          <w:color w:val="0F1115"/>
        </w:rPr>
        <w:t xml:space="preserve"> These transfusion-transmissible infections (TTIs) constitute a persistent global health challenge, particularly in resource-limited settings where screening infrastructure and quality assurance may be inadequate </w:t>
      </w:r>
      <w:r w:rsidRPr="00497697">
        <w:rPr>
          <w:rFonts w:asciiTheme="majorBidi" w:hAnsiTheme="majorBidi" w:cstheme="majorBidi"/>
          <w:b/>
          <w:bCs/>
          <w:color w:val="0F1115"/>
        </w:rPr>
        <w:t>[2].</w:t>
      </w:r>
      <w:r w:rsidR="00497697">
        <w:rPr>
          <w:rFonts w:asciiTheme="majorBidi" w:hAnsiTheme="majorBidi" w:cstheme="majorBidi"/>
          <w:color w:val="0F1115"/>
        </w:rPr>
        <w:t xml:space="preserve"> </w:t>
      </w:r>
      <w:r w:rsidRPr="00780438">
        <w:rPr>
          <w:rFonts w:asciiTheme="majorBidi" w:hAnsiTheme="majorBidi" w:cstheme="majorBidi"/>
          <w:color w:val="0F1115"/>
        </w:rPr>
        <w:t xml:space="preserve">The epidemiology of TTIs exhibits substantial geographical variation, influenced by regional endemicity, donor demographics, vaccination coverage, and sensitivity of screening methodologies </w:t>
      </w:r>
      <w:r w:rsidRPr="00497697">
        <w:rPr>
          <w:rFonts w:asciiTheme="majorBidi" w:hAnsiTheme="majorBidi" w:cstheme="majorBidi"/>
          <w:b/>
          <w:bCs/>
          <w:color w:val="0F1115"/>
        </w:rPr>
        <w:t>[3].</w:t>
      </w:r>
      <w:r w:rsidRPr="00780438">
        <w:rPr>
          <w:rFonts w:asciiTheme="majorBidi" w:hAnsiTheme="majorBidi" w:cstheme="majorBidi"/>
          <w:color w:val="0F1115"/>
        </w:rPr>
        <w:t xml:space="preserve"> In Sudan, pre-conflict studies reported heterogeneous seroprevalence across states: HBV ranged from 1.3% to 11.7%, HCV from 0% to 3.4%, and HIV from 0.05% to 3.0% among blood donors </w:t>
      </w:r>
      <w:r w:rsidRPr="00497697">
        <w:rPr>
          <w:rFonts w:asciiTheme="majorBidi" w:hAnsiTheme="majorBidi" w:cstheme="majorBidi"/>
          <w:b/>
          <w:bCs/>
          <w:color w:val="0F1115"/>
        </w:rPr>
        <w:t>[4-8].</w:t>
      </w:r>
      <w:r w:rsidRPr="00780438">
        <w:rPr>
          <w:rFonts w:asciiTheme="majorBidi" w:hAnsiTheme="majorBidi" w:cstheme="majorBidi"/>
          <w:color w:val="0F1115"/>
        </w:rPr>
        <w:t xml:space="preserve"> However, since April 2023, Sudan has experienced a devastating armed conflict that has precipitated a humanitarian catastrophe characterized by mass displacement, healthcare system collapse, and destruction of public health infrastructure </w:t>
      </w:r>
      <w:r w:rsidRPr="00497697">
        <w:rPr>
          <w:rFonts w:asciiTheme="majorBidi" w:hAnsiTheme="majorBidi" w:cstheme="majorBidi"/>
          <w:b/>
          <w:bCs/>
          <w:color w:val="0F1115"/>
        </w:rPr>
        <w:t>[9].</w:t>
      </w:r>
      <w:r w:rsidR="00497697">
        <w:rPr>
          <w:rFonts w:asciiTheme="majorBidi" w:hAnsiTheme="majorBidi" w:cstheme="majorBidi"/>
          <w:color w:val="0F1115"/>
        </w:rPr>
        <w:t xml:space="preserve"> </w:t>
      </w:r>
      <w:r w:rsidRPr="00780438">
        <w:rPr>
          <w:rFonts w:asciiTheme="majorBidi" w:hAnsiTheme="majorBidi" w:cstheme="majorBidi"/>
          <w:color w:val="0F1115"/>
        </w:rPr>
        <w:t xml:space="preserve">This conflict has created a paradoxical situation for blood transfusion services: demand has surged due to conflict-related trauma and surgical emergencies, while the capacity to ensure blood safety has been severely compromised by shortages of medical supplies, trained personnel, and functional laboratories </w:t>
      </w:r>
      <w:r w:rsidRPr="00497697">
        <w:rPr>
          <w:rFonts w:asciiTheme="majorBidi" w:hAnsiTheme="majorBidi" w:cstheme="majorBidi"/>
          <w:b/>
          <w:bCs/>
          <w:color w:val="0F1115"/>
        </w:rPr>
        <w:t>[10].</w:t>
      </w:r>
      <w:r w:rsidRPr="00780438">
        <w:rPr>
          <w:rFonts w:asciiTheme="majorBidi" w:hAnsiTheme="majorBidi" w:cstheme="majorBidi"/>
          <w:color w:val="0F1115"/>
        </w:rPr>
        <w:t xml:space="preserve"> Al-</w:t>
      </w:r>
      <w:proofErr w:type="spellStart"/>
      <w:r w:rsidRPr="00780438">
        <w:rPr>
          <w:rFonts w:asciiTheme="majorBidi" w:hAnsiTheme="majorBidi" w:cstheme="majorBidi"/>
          <w:color w:val="0F1115"/>
        </w:rPr>
        <w:t>Naw</w:t>
      </w:r>
      <w:proofErr w:type="spellEnd"/>
      <w:r w:rsidRPr="00780438">
        <w:rPr>
          <w:rFonts w:asciiTheme="majorBidi" w:hAnsiTheme="majorBidi" w:cstheme="majorBidi"/>
          <w:color w:val="0F1115"/>
        </w:rPr>
        <w:t xml:space="preserve"> Hospital in </w:t>
      </w:r>
      <w:proofErr w:type="spellStart"/>
      <w:r w:rsidRPr="00780438">
        <w:rPr>
          <w:rFonts w:asciiTheme="majorBidi" w:hAnsiTheme="majorBidi" w:cstheme="majorBidi"/>
          <w:color w:val="0F1115"/>
        </w:rPr>
        <w:t>Karari</w:t>
      </w:r>
      <w:proofErr w:type="spellEnd"/>
      <w:r w:rsidRPr="00780438">
        <w:rPr>
          <w:rFonts w:asciiTheme="majorBidi" w:hAnsiTheme="majorBidi" w:cstheme="majorBidi"/>
          <w:color w:val="0F1115"/>
        </w:rPr>
        <w:t xml:space="preserve"> locality, Omdurman, serves as a critical referral center for war-injured patients, placing extraordinary pressure on its blood bank operations </w:t>
      </w:r>
      <w:r w:rsidRPr="00497697">
        <w:rPr>
          <w:rFonts w:asciiTheme="majorBidi" w:hAnsiTheme="majorBidi" w:cstheme="majorBidi"/>
          <w:b/>
          <w:bCs/>
          <w:color w:val="0F1115"/>
        </w:rPr>
        <w:t>[11].</w:t>
      </w:r>
      <w:r w:rsidR="00497697">
        <w:rPr>
          <w:rFonts w:asciiTheme="majorBidi" w:hAnsiTheme="majorBidi" w:cstheme="majorBidi"/>
          <w:color w:val="0F1115"/>
        </w:rPr>
        <w:t xml:space="preserve"> </w:t>
      </w:r>
      <w:r w:rsidRPr="00780438">
        <w:rPr>
          <w:rFonts w:asciiTheme="majorBidi" w:hAnsiTheme="majorBidi" w:cstheme="majorBidi"/>
          <w:color w:val="0F1115"/>
        </w:rPr>
        <w:t xml:space="preserve">Contemporary data on TTIs during this humanitarian emergency are critically lacking. The absence of current epidemiological information impedes the development of evidence-based interventions to mitigate transfusion risks. This study was therefore conducted to determine the seroprevalence of HBV, HCV, and HIV among blood donors at Al-Naw Hospital during </w:t>
      </w:r>
      <w:r w:rsidR="00896850">
        <w:rPr>
          <w:rFonts w:asciiTheme="majorBidi" w:hAnsiTheme="majorBidi" w:cstheme="majorBidi"/>
          <w:color w:val="0F1115"/>
        </w:rPr>
        <w:t>six months</w:t>
      </w:r>
      <w:r w:rsidRPr="00780438">
        <w:rPr>
          <w:rFonts w:asciiTheme="majorBidi" w:hAnsiTheme="majorBidi" w:cstheme="majorBidi"/>
          <w:color w:val="0F1115"/>
        </w:rPr>
        <w:t xml:space="preserve"> in 2024, </w:t>
      </w:r>
      <w:r w:rsidR="00896850">
        <w:rPr>
          <w:rFonts w:asciiTheme="majorBidi" w:hAnsiTheme="majorBidi" w:cstheme="majorBidi"/>
          <w:color w:val="0F1115"/>
        </w:rPr>
        <w:t>to inform</w:t>
      </w:r>
      <w:r w:rsidRPr="00780438">
        <w:rPr>
          <w:rFonts w:asciiTheme="majorBidi" w:hAnsiTheme="majorBidi" w:cstheme="majorBidi"/>
          <w:color w:val="0F1115"/>
        </w:rPr>
        <w:t xml:space="preserve"> urgent blood safety strategies in conflict-affected regions of Sudan.</w:t>
      </w:r>
    </w:p>
    <w:p w14:paraId="0526D7EE" w14:textId="77777777" w:rsidR="006452C4" w:rsidRDefault="006452C4" w:rsidP="00896850">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3E368347" w14:textId="77777777" w:rsidR="00102092" w:rsidRPr="00780438" w:rsidRDefault="0018008F" w:rsidP="00896850">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Pr>
      </w:pPr>
      <w:r w:rsidRPr="0018008F">
        <w:rPr>
          <w:rStyle w:val="Strong"/>
          <w:rFonts w:asciiTheme="majorBidi" w:hAnsiTheme="majorBidi" w:cstheme="majorBidi"/>
          <w:b/>
          <w:bCs/>
          <w:color w:val="0F1115"/>
          <w:sz w:val="24"/>
          <w:szCs w:val="24"/>
        </w:rPr>
        <w:t>2. MATERIALS AND METHODS</w:t>
      </w:r>
    </w:p>
    <w:p w14:paraId="4C570F03"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Study Design and Setting</w:t>
      </w:r>
    </w:p>
    <w:p w14:paraId="42E7C639" w14:textId="77777777" w:rsidR="00102092" w:rsidRPr="00780438" w:rsidRDefault="00102092"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lastRenderedPageBreak/>
        <w:t>A retrospective, descriptive cross-sectional study was conducted by reviewing blood donor records at Al-</w:t>
      </w:r>
      <w:proofErr w:type="spellStart"/>
      <w:r w:rsidRPr="00780438">
        <w:rPr>
          <w:rFonts w:asciiTheme="majorBidi" w:hAnsiTheme="majorBidi" w:cstheme="majorBidi"/>
          <w:color w:val="0F1115"/>
        </w:rPr>
        <w:t>Naw</w:t>
      </w:r>
      <w:proofErr w:type="spellEnd"/>
      <w:r w:rsidRPr="00780438">
        <w:rPr>
          <w:rFonts w:asciiTheme="majorBidi" w:hAnsiTheme="majorBidi" w:cstheme="majorBidi"/>
          <w:color w:val="0F1115"/>
        </w:rPr>
        <w:t xml:space="preserve"> Hospital, </w:t>
      </w:r>
      <w:proofErr w:type="spellStart"/>
      <w:r w:rsidRPr="00780438">
        <w:rPr>
          <w:rFonts w:asciiTheme="majorBidi" w:hAnsiTheme="majorBidi" w:cstheme="majorBidi"/>
          <w:color w:val="0F1115"/>
        </w:rPr>
        <w:t>Karari</w:t>
      </w:r>
      <w:proofErr w:type="spellEnd"/>
      <w:r w:rsidRPr="00780438">
        <w:rPr>
          <w:rFonts w:asciiTheme="majorBidi" w:hAnsiTheme="majorBidi" w:cstheme="majorBidi"/>
          <w:color w:val="0F1115"/>
        </w:rPr>
        <w:t xml:space="preserve"> locality, Omdurman State, Sudan. This facility operates as a primary trauma center serving a population severely affected by ongoing armed conflict.</w:t>
      </w:r>
    </w:p>
    <w:p w14:paraId="50AC5445"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Study Population and Sampling</w:t>
      </w:r>
    </w:p>
    <w:p w14:paraId="7E29B38E" w14:textId="77777777" w:rsidR="00102092" w:rsidRPr="00780438" w:rsidRDefault="00102092"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t>The study population comprised all blood donors (n=6,531) who presented for donation between March 1 and August 31, 2024. A convenience sampling approach was used, including all available records from this period. All donors were male, reflecting cultural norms and practical constraints on female donation in this setting.</w:t>
      </w:r>
    </w:p>
    <w:p w14:paraId="20DA3C48"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Data Collection and Laboratory Procedures</w:t>
      </w:r>
    </w:p>
    <w:p w14:paraId="6F476CFF" w14:textId="77777777" w:rsidR="00102092" w:rsidRPr="00780438" w:rsidRDefault="00102092"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t>Data were extracted from standardized blood bank registers. All prospective donors underwent preliminary assessment through a structured questionnaire (medical history, risk behaviors) and basic physical examination. Approximately 5 mL of venous blood was collected by venipuncture, and serum was separated by centrifugation. Screening was performed using commercially available immunochromatographic rapid diagnostic test (RDT) cassettes (Model: HBsAg/HCV/HIV Combo Test) for simultaneous detection of HBsAg, anti-HCV, and anti-HIV antibodies. Tests were conducted according to manufacturer specifications by trained laboratory technicians. No confirmatory testing (ELISA or NAT) was performed due to resource constraints.</w:t>
      </w:r>
    </w:p>
    <w:p w14:paraId="222D607C" w14:textId="77777777" w:rsidR="00102092" w:rsidRPr="00780438" w:rsidRDefault="00102092" w:rsidP="00896850">
      <w:pPr>
        <w:pStyle w:val="Heading3"/>
        <w:shd w:val="clear" w:color="auto" w:fill="FFFFFF"/>
        <w:spacing w:before="0" w:beforeAutospacing="0" w:after="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Data Analysis</w:t>
      </w:r>
    </w:p>
    <w:p w14:paraId="41DB339D" w14:textId="77777777" w:rsidR="00896850" w:rsidRPr="007A5D79" w:rsidRDefault="00102092" w:rsidP="007A5D79">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t>Extracted data were entered into Microsoft Excel 2019 and analyzed using descriptive statistics. Frequencies and percentages were calculated for each TTI marker. Monthly prevalence trends were analyzed, and results were compared with previous Sudanese studies through narrative synthesis.</w:t>
      </w:r>
    </w:p>
    <w:p w14:paraId="1157DB37" w14:textId="77777777" w:rsidR="00102092" w:rsidRDefault="007A5D79" w:rsidP="001E41CD">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tl/>
        </w:rPr>
      </w:pPr>
      <w:r w:rsidRPr="007A5D79">
        <w:rPr>
          <w:rStyle w:val="Strong"/>
          <w:rFonts w:asciiTheme="majorBidi" w:hAnsiTheme="majorBidi" w:cstheme="majorBidi"/>
          <w:b/>
          <w:bCs/>
          <w:color w:val="0F1115"/>
          <w:sz w:val="24"/>
          <w:szCs w:val="24"/>
        </w:rPr>
        <w:t>3. RESULTS</w:t>
      </w:r>
    </w:p>
    <w:p w14:paraId="728183E6" w14:textId="77777777" w:rsidR="001E41CD" w:rsidRPr="009249B6" w:rsidRDefault="001E41CD" w:rsidP="009249B6">
      <w:pPr>
        <w:spacing w:after="0" w:line="360" w:lineRule="auto"/>
        <w:jc w:val="both"/>
        <w:rPr>
          <w:rFonts w:ascii="Times New Roman" w:eastAsia="Times New Roman" w:hAnsi="Times New Roman" w:cs="Times New Roman"/>
          <w:sz w:val="24"/>
          <w:szCs w:val="24"/>
        </w:rPr>
      </w:pPr>
      <w:r w:rsidRPr="001E41CD">
        <w:rPr>
          <w:rFonts w:ascii="Times New Roman" w:eastAsia="Times New Roman" w:hAnsi="Times New Roman" w:cs="Times New Roman"/>
          <w:sz w:val="24"/>
          <w:szCs w:val="24"/>
        </w:rPr>
        <w:t>A total of 6,531 blood donors were screened at Al-Naw Hospital blood bank between March and August 2024. All donors were male, with a median age of 41.5 years (range: 18–65 years). Overall, 235 donors (3.6%) tested positive for at least one transfusion-transmissible infection (TTI). Hepatitis B virus (HBV) was the most frequently detected infection, identified in 142 donors (2.17%), followed by hepatitis C virus (HCV) in 57 donors (0.87%) and human immunodeficiency virus (HIV) in 36 donors (0.55%). No cases of co-infection with more than one TTI marker were observed among the study population.</w:t>
      </w:r>
      <w:r>
        <w:rPr>
          <w:rFonts w:ascii="Times New Roman" w:eastAsia="Times New Roman" w:hAnsi="Times New Roman" w:cs="Times New Roman"/>
          <w:sz w:val="24"/>
          <w:szCs w:val="24"/>
        </w:rPr>
        <w:t xml:space="preserve"> </w:t>
      </w:r>
      <w:r w:rsidRPr="001E41CD">
        <w:rPr>
          <w:rFonts w:ascii="Times New Roman" w:eastAsia="Times New Roman" w:hAnsi="Times New Roman" w:cs="Times New Roman"/>
          <w:sz w:val="24"/>
          <w:szCs w:val="24"/>
        </w:rPr>
        <w:t xml:space="preserve">The distribution of TTIs showed temporal variation over the six-month study period (Table 1). HBV prevalence remained relatively stable, ranging from </w:t>
      </w:r>
      <w:r w:rsidRPr="001E41CD">
        <w:rPr>
          <w:rFonts w:ascii="Times New Roman" w:eastAsia="Times New Roman" w:hAnsi="Times New Roman" w:cs="Times New Roman"/>
          <w:sz w:val="24"/>
          <w:szCs w:val="24"/>
        </w:rPr>
        <w:lastRenderedPageBreak/>
        <w:t xml:space="preserve">1.21% to 2.80%, with the highest rate recorded in May (2.80%). HCV seropositivity was highest in March (2.01%), followed by a marked decline to below 1% in the subsequent months. HIV prevalence remained low throughout most of the study period (0.11%–0.55%), except for a noticeable increase in August (1.40%). The overall monthly TTI prevalence ranged from 2.52% in April to 4.56% in March, indicating persistent but fluctuating exposure risk among blood donors during the study period </w:t>
      </w:r>
      <w:r w:rsidRPr="001E41CD">
        <w:rPr>
          <w:rFonts w:ascii="Times New Roman" w:eastAsia="Times New Roman" w:hAnsi="Times New Roman" w:cs="Times New Roman"/>
          <w:b/>
          <w:bCs/>
          <w:sz w:val="24"/>
          <w:szCs w:val="24"/>
        </w:rPr>
        <w:t>(Table 1).</w:t>
      </w:r>
      <w:r w:rsidR="009249B6">
        <w:rPr>
          <w:rFonts w:ascii="Times New Roman" w:eastAsia="Times New Roman" w:hAnsi="Times New Roman" w:cs="Times New Roman"/>
          <w:sz w:val="24"/>
          <w:szCs w:val="24"/>
        </w:rPr>
        <w:t xml:space="preserve"> </w:t>
      </w:r>
      <w:r w:rsidRPr="001E41CD">
        <w:rPr>
          <w:rFonts w:ascii="Times New Roman" w:eastAsia="Times New Roman" w:hAnsi="Times New Roman" w:cs="Times New Roman"/>
          <w:sz w:val="24"/>
          <w:szCs w:val="24"/>
        </w:rPr>
        <w:t xml:space="preserve">When compared with findings from previous studies conducted in different regions of Sudan (Table 2), the HBV prevalence observed in the current study (2.17%) was lower than rates reported in El-Obeid, Kassala, Kosti, and Port Sudan, but higher than those documented in Dongola. Similarly, HCV prevalence (0.87%) was lower than that reported in Kassala and Kosti, while HIV prevalence (0.55%) exceeded that observed in Dongola but remained lower than rates reported in Kassala and El-Obeid </w:t>
      </w:r>
      <w:r w:rsidRPr="001E41CD">
        <w:rPr>
          <w:rFonts w:ascii="Times New Roman" w:eastAsia="Times New Roman" w:hAnsi="Times New Roman" w:cs="Times New Roman"/>
          <w:b/>
          <w:bCs/>
          <w:sz w:val="24"/>
          <w:szCs w:val="24"/>
        </w:rPr>
        <w:t>(Table 2).</w:t>
      </w:r>
    </w:p>
    <w:p w14:paraId="6DAE1439" w14:textId="77777777" w:rsidR="009249B6" w:rsidRDefault="009249B6" w:rsidP="00C3667B">
      <w:pPr>
        <w:pStyle w:val="ds-markdown-paragraph"/>
        <w:shd w:val="clear" w:color="auto" w:fill="FFFFFF"/>
        <w:spacing w:before="240" w:beforeAutospacing="0" w:after="0" w:afterAutospacing="0" w:line="360" w:lineRule="auto"/>
        <w:jc w:val="both"/>
        <w:rPr>
          <w:b/>
          <w:bCs/>
        </w:rPr>
      </w:pPr>
      <w:r w:rsidRPr="009249B6">
        <w:rPr>
          <w:b/>
          <w:bCs/>
        </w:rPr>
        <w:t>Table 1. Overall and Monthly Distribution of Transfusion-Transmissibl</w:t>
      </w:r>
      <w:r>
        <w:rPr>
          <w:b/>
          <w:bCs/>
        </w:rPr>
        <w:t>e Infections Among Blood Donors</w:t>
      </w:r>
    </w:p>
    <w:tbl>
      <w:tblPr>
        <w:tblStyle w:val="TableGrid"/>
        <w:tblW w:w="0" w:type="auto"/>
        <w:jc w:val="center"/>
        <w:tblLook w:val="04A0" w:firstRow="1" w:lastRow="0" w:firstColumn="1" w:lastColumn="0" w:noHBand="0" w:noVBand="1"/>
      </w:tblPr>
      <w:tblGrid>
        <w:gridCol w:w="910"/>
        <w:gridCol w:w="1956"/>
        <w:gridCol w:w="1390"/>
        <w:gridCol w:w="1403"/>
        <w:gridCol w:w="1323"/>
        <w:gridCol w:w="1890"/>
      </w:tblGrid>
      <w:tr w:rsidR="009249B6" w:rsidRPr="009249B6" w14:paraId="32A3D39D" w14:textId="77777777" w:rsidTr="009249B6">
        <w:trPr>
          <w:jc w:val="center"/>
        </w:trPr>
        <w:tc>
          <w:tcPr>
            <w:tcW w:w="0" w:type="auto"/>
            <w:hideMark/>
          </w:tcPr>
          <w:p w14:paraId="4A4AD0B5"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Month</w:t>
            </w:r>
          </w:p>
        </w:tc>
        <w:tc>
          <w:tcPr>
            <w:tcW w:w="0" w:type="auto"/>
            <w:hideMark/>
          </w:tcPr>
          <w:p w14:paraId="33358F4A"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Donors Screened</w:t>
            </w:r>
          </w:p>
        </w:tc>
        <w:tc>
          <w:tcPr>
            <w:tcW w:w="0" w:type="auto"/>
            <w:hideMark/>
          </w:tcPr>
          <w:p w14:paraId="28C6D410"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HBV n (%)</w:t>
            </w:r>
          </w:p>
        </w:tc>
        <w:tc>
          <w:tcPr>
            <w:tcW w:w="0" w:type="auto"/>
            <w:hideMark/>
          </w:tcPr>
          <w:p w14:paraId="6EC23CE8"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HCV n (%)</w:t>
            </w:r>
          </w:p>
        </w:tc>
        <w:tc>
          <w:tcPr>
            <w:tcW w:w="0" w:type="auto"/>
            <w:hideMark/>
          </w:tcPr>
          <w:p w14:paraId="2CA77AFB"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HIV n (%)</w:t>
            </w:r>
          </w:p>
        </w:tc>
        <w:tc>
          <w:tcPr>
            <w:tcW w:w="0" w:type="auto"/>
            <w:hideMark/>
          </w:tcPr>
          <w:p w14:paraId="3025BBD6" w14:textId="77777777" w:rsidR="009249B6" w:rsidRPr="009249B6" w:rsidRDefault="009249B6" w:rsidP="009249B6">
            <w:pPr>
              <w:spacing w:line="360" w:lineRule="auto"/>
              <w:jc w:val="center"/>
              <w:rPr>
                <w:rFonts w:asciiTheme="majorBidi" w:eastAsia="Times New Roman" w:hAnsiTheme="majorBidi" w:cstheme="majorBidi"/>
                <w:b/>
                <w:bCs/>
                <w:sz w:val="24"/>
                <w:szCs w:val="24"/>
              </w:rPr>
            </w:pPr>
            <w:r w:rsidRPr="009249B6">
              <w:rPr>
                <w:rFonts w:asciiTheme="majorBidi" w:eastAsia="Times New Roman" w:hAnsiTheme="majorBidi" w:cstheme="majorBidi"/>
                <w:b/>
                <w:bCs/>
                <w:sz w:val="24"/>
                <w:szCs w:val="24"/>
              </w:rPr>
              <w:t>Total TTI n (%)</w:t>
            </w:r>
          </w:p>
        </w:tc>
      </w:tr>
      <w:tr w:rsidR="009249B6" w:rsidRPr="009249B6" w14:paraId="77EF94FB" w14:textId="77777777" w:rsidTr="009249B6">
        <w:trPr>
          <w:jc w:val="center"/>
        </w:trPr>
        <w:tc>
          <w:tcPr>
            <w:tcW w:w="0" w:type="auto"/>
            <w:hideMark/>
          </w:tcPr>
          <w:p w14:paraId="51FA03D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March</w:t>
            </w:r>
          </w:p>
        </w:tc>
        <w:tc>
          <w:tcPr>
            <w:tcW w:w="0" w:type="auto"/>
            <w:hideMark/>
          </w:tcPr>
          <w:p w14:paraId="7F71B50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1,095</w:t>
            </w:r>
          </w:p>
        </w:tc>
        <w:tc>
          <w:tcPr>
            <w:tcW w:w="0" w:type="auto"/>
            <w:hideMark/>
          </w:tcPr>
          <w:p w14:paraId="483AC5A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22 (2.01)</w:t>
            </w:r>
          </w:p>
        </w:tc>
        <w:tc>
          <w:tcPr>
            <w:tcW w:w="0" w:type="auto"/>
            <w:hideMark/>
          </w:tcPr>
          <w:p w14:paraId="11BD781B"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22 (2.01)</w:t>
            </w:r>
          </w:p>
        </w:tc>
        <w:tc>
          <w:tcPr>
            <w:tcW w:w="0" w:type="auto"/>
            <w:hideMark/>
          </w:tcPr>
          <w:p w14:paraId="2CB54E85"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6 (0.55)</w:t>
            </w:r>
          </w:p>
        </w:tc>
        <w:tc>
          <w:tcPr>
            <w:tcW w:w="0" w:type="auto"/>
            <w:hideMark/>
          </w:tcPr>
          <w:p w14:paraId="42920C5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50 (4.56)</w:t>
            </w:r>
          </w:p>
        </w:tc>
      </w:tr>
      <w:tr w:rsidR="009249B6" w:rsidRPr="009249B6" w14:paraId="11EABB03" w14:textId="77777777" w:rsidTr="009249B6">
        <w:trPr>
          <w:jc w:val="center"/>
        </w:trPr>
        <w:tc>
          <w:tcPr>
            <w:tcW w:w="0" w:type="auto"/>
            <w:hideMark/>
          </w:tcPr>
          <w:p w14:paraId="3D33504E"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April</w:t>
            </w:r>
          </w:p>
        </w:tc>
        <w:tc>
          <w:tcPr>
            <w:tcW w:w="0" w:type="auto"/>
            <w:hideMark/>
          </w:tcPr>
          <w:p w14:paraId="749C8232"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911</w:t>
            </w:r>
          </w:p>
        </w:tc>
        <w:tc>
          <w:tcPr>
            <w:tcW w:w="0" w:type="auto"/>
            <w:hideMark/>
          </w:tcPr>
          <w:p w14:paraId="333BAB68"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 (1.21)</w:t>
            </w:r>
          </w:p>
        </w:tc>
        <w:tc>
          <w:tcPr>
            <w:tcW w:w="0" w:type="auto"/>
            <w:hideMark/>
          </w:tcPr>
          <w:p w14:paraId="132B765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 (1.21)</w:t>
            </w:r>
          </w:p>
        </w:tc>
        <w:tc>
          <w:tcPr>
            <w:tcW w:w="0" w:type="auto"/>
            <w:hideMark/>
          </w:tcPr>
          <w:p w14:paraId="0567E55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 (0.11)</w:t>
            </w:r>
          </w:p>
        </w:tc>
        <w:tc>
          <w:tcPr>
            <w:tcW w:w="0" w:type="auto"/>
            <w:hideMark/>
          </w:tcPr>
          <w:p w14:paraId="7DD5E62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23 (2.52)</w:t>
            </w:r>
          </w:p>
        </w:tc>
      </w:tr>
      <w:tr w:rsidR="009249B6" w:rsidRPr="009249B6" w14:paraId="361B9395" w14:textId="77777777" w:rsidTr="009249B6">
        <w:trPr>
          <w:jc w:val="center"/>
        </w:trPr>
        <w:tc>
          <w:tcPr>
            <w:tcW w:w="0" w:type="auto"/>
            <w:hideMark/>
          </w:tcPr>
          <w:p w14:paraId="751523F3"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May</w:t>
            </w:r>
          </w:p>
        </w:tc>
        <w:tc>
          <w:tcPr>
            <w:tcW w:w="0" w:type="auto"/>
            <w:hideMark/>
          </w:tcPr>
          <w:p w14:paraId="4711148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820</w:t>
            </w:r>
          </w:p>
        </w:tc>
        <w:tc>
          <w:tcPr>
            <w:tcW w:w="0" w:type="auto"/>
            <w:hideMark/>
          </w:tcPr>
          <w:p w14:paraId="754CF3E0"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23 (2.80)</w:t>
            </w:r>
          </w:p>
        </w:tc>
        <w:tc>
          <w:tcPr>
            <w:tcW w:w="0" w:type="auto"/>
            <w:hideMark/>
          </w:tcPr>
          <w:p w14:paraId="2434D61B"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7 (0.85)</w:t>
            </w:r>
          </w:p>
        </w:tc>
        <w:tc>
          <w:tcPr>
            <w:tcW w:w="0" w:type="auto"/>
            <w:hideMark/>
          </w:tcPr>
          <w:p w14:paraId="1A069BDC"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(0.36)</w:t>
            </w:r>
          </w:p>
        </w:tc>
        <w:tc>
          <w:tcPr>
            <w:tcW w:w="0" w:type="auto"/>
            <w:hideMark/>
          </w:tcPr>
          <w:p w14:paraId="0A95F66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33 (4.02)</w:t>
            </w:r>
          </w:p>
        </w:tc>
      </w:tr>
      <w:tr w:rsidR="009249B6" w:rsidRPr="009249B6" w14:paraId="7DDDBB5C" w14:textId="77777777" w:rsidTr="009249B6">
        <w:trPr>
          <w:jc w:val="center"/>
        </w:trPr>
        <w:tc>
          <w:tcPr>
            <w:tcW w:w="0" w:type="auto"/>
            <w:hideMark/>
          </w:tcPr>
          <w:p w14:paraId="5AF988C1"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June</w:t>
            </w:r>
          </w:p>
        </w:tc>
        <w:tc>
          <w:tcPr>
            <w:tcW w:w="0" w:type="auto"/>
            <w:hideMark/>
          </w:tcPr>
          <w:p w14:paraId="320034D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1,150</w:t>
            </w:r>
          </w:p>
        </w:tc>
        <w:tc>
          <w:tcPr>
            <w:tcW w:w="0" w:type="auto"/>
            <w:hideMark/>
          </w:tcPr>
          <w:p w14:paraId="4CF82F6A"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21 (1.83)</w:t>
            </w:r>
          </w:p>
        </w:tc>
        <w:tc>
          <w:tcPr>
            <w:tcW w:w="0" w:type="auto"/>
            <w:hideMark/>
          </w:tcPr>
          <w:p w14:paraId="683FD36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10 (0.87)</w:t>
            </w:r>
          </w:p>
        </w:tc>
        <w:tc>
          <w:tcPr>
            <w:tcW w:w="0" w:type="auto"/>
            <w:hideMark/>
          </w:tcPr>
          <w:p w14:paraId="739D940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(0.26)</w:t>
            </w:r>
          </w:p>
        </w:tc>
        <w:tc>
          <w:tcPr>
            <w:tcW w:w="0" w:type="auto"/>
            <w:hideMark/>
          </w:tcPr>
          <w:p w14:paraId="7F4464D8"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34 (2.96)</w:t>
            </w:r>
          </w:p>
        </w:tc>
      </w:tr>
      <w:tr w:rsidR="009249B6" w:rsidRPr="009249B6" w14:paraId="4670E810" w14:textId="77777777" w:rsidTr="009249B6">
        <w:trPr>
          <w:jc w:val="center"/>
        </w:trPr>
        <w:tc>
          <w:tcPr>
            <w:tcW w:w="0" w:type="auto"/>
            <w:hideMark/>
          </w:tcPr>
          <w:p w14:paraId="3E69B33B"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July</w:t>
            </w:r>
          </w:p>
        </w:tc>
        <w:tc>
          <w:tcPr>
            <w:tcW w:w="0" w:type="auto"/>
            <w:hideMark/>
          </w:tcPr>
          <w:p w14:paraId="780DAD2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1,198</w:t>
            </w:r>
          </w:p>
        </w:tc>
        <w:tc>
          <w:tcPr>
            <w:tcW w:w="0" w:type="auto"/>
            <w:hideMark/>
          </w:tcPr>
          <w:p w14:paraId="3FB9BA3E"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28 (2.34)</w:t>
            </w:r>
          </w:p>
        </w:tc>
        <w:tc>
          <w:tcPr>
            <w:tcW w:w="0" w:type="auto"/>
            <w:hideMark/>
          </w:tcPr>
          <w:p w14:paraId="532AB22A"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 (0.25)</w:t>
            </w:r>
          </w:p>
        </w:tc>
        <w:tc>
          <w:tcPr>
            <w:tcW w:w="0" w:type="auto"/>
            <w:hideMark/>
          </w:tcPr>
          <w:p w14:paraId="2801E6B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4 (0.33)</w:t>
            </w:r>
          </w:p>
        </w:tc>
        <w:tc>
          <w:tcPr>
            <w:tcW w:w="0" w:type="auto"/>
            <w:hideMark/>
          </w:tcPr>
          <w:p w14:paraId="6BFC3B04"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35 (2.92)</w:t>
            </w:r>
          </w:p>
        </w:tc>
      </w:tr>
      <w:tr w:rsidR="009249B6" w:rsidRPr="009249B6" w14:paraId="3213658C" w14:textId="77777777" w:rsidTr="009249B6">
        <w:trPr>
          <w:jc w:val="center"/>
        </w:trPr>
        <w:tc>
          <w:tcPr>
            <w:tcW w:w="0" w:type="auto"/>
            <w:hideMark/>
          </w:tcPr>
          <w:p w14:paraId="74837EF5"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August</w:t>
            </w:r>
          </w:p>
        </w:tc>
        <w:tc>
          <w:tcPr>
            <w:tcW w:w="0" w:type="auto"/>
            <w:hideMark/>
          </w:tcPr>
          <w:p w14:paraId="73AA7257"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1,357</w:t>
            </w:r>
          </w:p>
        </w:tc>
        <w:tc>
          <w:tcPr>
            <w:tcW w:w="0" w:type="auto"/>
            <w:hideMark/>
          </w:tcPr>
          <w:p w14:paraId="6CF15ED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37 (2.73)</w:t>
            </w:r>
          </w:p>
        </w:tc>
        <w:tc>
          <w:tcPr>
            <w:tcW w:w="0" w:type="auto"/>
            <w:hideMark/>
          </w:tcPr>
          <w:p w14:paraId="02CFC229"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4 (0.29)</w:t>
            </w:r>
          </w:p>
        </w:tc>
        <w:tc>
          <w:tcPr>
            <w:tcW w:w="0" w:type="auto"/>
            <w:hideMark/>
          </w:tcPr>
          <w:p w14:paraId="77585BF5"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19 (1.40)</w:t>
            </w:r>
          </w:p>
        </w:tc>
        <w:tc>
          <w:tcPr>
            <w:tcW w:w="0" w:type="auto"/>
            <w:hideMark/>
          </w:tcPr>
          <w:p w14:paraId="13CCC7A3" w14:textId="77777777" w:rsidR="009249B6" w:rsidRPr="009249B6" w:rsidRDefault="009249B6" w:rsidP="009249B6">
            <w:pPr>
              <w:spacing w:line="360" w:lineRule="auto"/>
              <w:jc w:val="center"/>
              <w:rPr>
                <w:rFonts w:asciiTheme="majorBidi" w:eastAsia="Times New Roman" w:hAnsiTheme="majorBidi" w:cstheme="majorBidi"/>
                <w:sz w:val="24"/>
                <w:szCs w:val="24"/>
              </w:rPr>
            </w:pPr>
            <w:r w:rsidRPr="009249B6">
              <w:rPr>
                <w:rFonts w:asciiTheme="majorBidi" w:eastAsia="Times New Roman" w:hAnsiTheme="majorBidi" w:cstheme="majorBidi"/>
                <w:sz w:val="24"/>
                <w:szCs w:val="24"/>
              </w:rPr>
              <w:t>60 (4.42)</w:t>
            </w:r>
          </w:p>
        </w:tc>
      </w:tr>
      <w:tr w:rsidR="009249B6" w:rsidRPr="009249B6" w14:paraId="0F1D48AE" w14:textId="77777777" w:rsidTr="009249B6">
        <w:trPr>
          <w:jc w:val="center"/>
        </w:trPr>
        <w:tc>
          <w:tcPr>
            <w:tcW w:w="0" w:type="auto"/>
            <w:hideMark/>
          </w:tcPr>
          <w:p w14:paraId="2D2B819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Total</w:t>
            </w:r>
          </w:p>
        </w:tc>
        <w:tc>
          <w:tcPr>
            <w:tcW w:w="0" w:type="auto"/>
            <w:hideMark/>
          </w:tcPr>
          <w:p w14:paraId="7916DCCF"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6,531</w:t>
            </w:r>
          </w:p>
        </w:tc>
        <w:tc>
          <w:tcPr>
            <w:tcW w:w="0" w:type="auto"/>
            <w:hideMark/>
          </w:tcPr>
          <w:p w14:paraId="7D21ED6D"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142 (2.17)</w:t>
            </w:r>
          </w:p>
        </w:tc>
        <w:tc>
          <w:tcPr>
            <w:tcW w:w="0" w:type="auto"/>
            <w:hideMark/>
          </w:tcPr>
          <w:p w14:paraId="199E7519"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57 (0.87)</w:t>
            </w:r>
          </w:p>
        </w:tc>
        <w:tc>
          <w:tcPr>
            <w:tcW w:w="0" w:type="auto"/>
            <w:hideMark/>
          </w:tcPr>
          <w:p w14:paraId="6EFEF55A"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36 (0.55)</w:t>
            </w:r>
          </w:p>
        </w:tc>
        <w:tc>
          <w:tcPr>
            <w:tcW w:w="0" w:type="auto"/>
            <w:hideMark/>
          </w:tcPr>
          <w:p w14:paraId="46178384" w14:textId="77777777" w:rsidR="009249B6" w:rsidRPr="009249B6" w:rsidRDefault="009249B6" w:rsidP="009249B6">
            <w:pPr>
              <w:spacing w:line="360" w:lineRule="auto"/>
              <w:rPr>
                <w:rFonts w:asciiTheme="majorBidi" w:eastAsia="Times New Roman" w:hAnsiTheme="majorBidi" w:cstheme="majorBidi"/>
                <w:sz w:val="24"/>
                <w:szCs w:val="24"/>
              </w:rPr>
            </w:pPr>
            <w:r w:rsidRPr="009249B6">
              <w:rPr>
                <w:rFonts w:asciiTheme="majorBidi" w:eastAsia="Times New Roman" w:hAnsiTheme="majorBidi" w:cstheme="majorBidi"/>
                <w:b/>
                <w:bCs/>
                <w:sz w:val="24"/>
                <w:szCs w:val="24"/>
              </w:rPr>
              <w:t>235 (3.60)</w:t>
            </w:r>
          </w:p>
        </w:tc>
      </w:tr>
    </w:tbl>
    <w:p w14:paraId="7179FA00" w14:textId="77777777" w:rsidR="00E10F56" w:rsidRDefault="00E10F56" w:rsidP="00F675ED">
      <w:pPr>
        <w:pStyle w:val="Heading3"/>
        <w:spacing w:after="0" w:afterAutospacing="0" w:line="360" w:lineRule="auto"/>
        <w:jc w:val="both"/>
        <w:rPr>
          <w:rStyle w:val="Strong"/>
          <w:b/>
          <w:bCs/>
          <w:sz w:val="24"/>
          <w:szCs w:val="24"/>
        </w:rPr>
      </w:pPr>
      <w:r w:rsidRPr="00E10F56">
        <w:rPr>
          <w:rStyle w:val="Strong"/>
          <w:b/>
          <w:bCs/>
          <w:sz w:val="24"/>
          <w:szCs w:val="24"/>
        </w:rPr>
        <w:t>Table 2. Comparative Seroprevalence of Transfusion-Transmissible Viral Infections Among Blood Donors in Different Regions of Sudan</w:t>
      </w:r>
      <w:r>
        <w:rPr>
          <w:rStyle w:val="Strong"/>
          <w:b/>
          <w:bCs/>
          <w:sz w:val="24"/>
          <w:szCs w:val="24"/>
        </w:rPr>
        <w:t>.</w:t>
      </w:r>
    </w:p>
    <w:tbl>
      <w:tblPr>
        <w:tblStyle w:val="TableGrid"/>
        <w:tblW w:w="0" w:type="auto"/>
        <w:jc w:val="center"/>
        <w:tblLook w:val="04A0" w:firstRow="1" w:lastRow="0" w:firstColumn="1" w:lastColumn="0" w:noHBand="0" w:noVBand="1"/>
      </w:tblPr>
      <w:tblGrid>
        <w:gridCol w:w="2343"/>
        <w:gridCol w:w="1196"/>
        <w:gridCol w:w="1210"/>
        <w:gridCol w:w="1130"/>
        <w:gridCol w:w="1530"/>
      </w:tblGrid>
      <w:tr w:rsidR="00F675ED" w:rsidRPr="00F675ED" w14:paraId="3744D654" w14:textId="77777777" w:rsidTr="00F675ED">
        <w:trPr>
          <w:jc w:val="center"/>
        </w:trPr>
        <w:tc>
          <w:tcPr>
            <w:tcW w:w="0" w:type="auto"/>
            <w:hideMark/>
          </w:tcPr>
          <w:p w14:paraId="6F78B414"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State (Study Period)</w:t>
            </w:r>
          </w:p>
        </w:tc>
        <w:tc>
          <w:tcPr>
            <w:tcW w:w="0" w:type="auto"/>
            <w:hideMark/>
          </w:tcPr>
          <w:p w14:paraId="04A15AA1"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HBV (%)</w:t>
            </w:r>
          </w:p>
        </w:tc>
        <w:tc>
          <w:tcPr>
            <w:tcW w:w="0" w:type="auto"/>
            <w:hideMark/>
          </w:tcPr>
          <w:p w14:paraId="3D1E939A"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HCV (%)</w:t>
            </w:r>
          </w:p>
        </w:tc>
        <w:tc>
          <w:tcPr>
            <w:tcW w:w="0" w:type="auto"/>
            <w:hideMark/>
          </w:tcPr>
          <w:p w14:paraId="59114EDD"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HIV (%)</w:t>
            </w:r>
          </w:p>
        </w:tc>
        <w:tc>
          <w:tcPr>
            <w:tcW w:w="0" w:type="auto"/>
            <w:hideMark/>
          </w:tcPr>
          <w:p w14:paraId="080B5EE9" w14:textId="77777777" w:rsidR="00F675ED" w:rsidRPr="00F675ED" w:rsidRDefault="00F675ED" w:rsidP="00F675ED">
            <w:pPr>
              <w:spacing w:line="360" w:lineRule="auto"/>
              <w:jc w:val="center"/>
              <w:rPr>
                <w:rFonts w:ascii="Times New Roman" w:eastAsia="Times New Roman" w:hAnsi="Times New Roman" w:cs="Times New Roman"/>
                <w:b/>
                <w:bCs/>
                <w:sz w:val="24"/>
                <w:szCs w:val="24"/>
              </w:rPr>
            </w:pPr>
            <w:r w:rsidRPr="00F675ED">
              <w:rPr>
                <w:rFonts w:ascii="Times New Roman" w:eastAsia="Times New Roman" w:hAnsi="Times New Roman" w:cs="Times New Roman"/>
                <w:b/>
                <w:bCs/>
                <w:sz w:val="24"/>
                <w:szCs w:val="24"/>
              </w:rPr>
              <w:t>Reference</w:t>
            </w:r>
          </w:p>
        </w:tc>
      </w:tr>
      <w:tr w:rsidR="00F675ED" w:rsidRPr="00F675ED" w14:paraId="5DB0C4CE" w14:textId="77777777" w:rsidTr="00F675ED">
        <w:trPr>
          <w:jc w:val="center"/>
        </w:trPr>
        <w:tc>
          <w:tcPr>
            <w:tcW w:w="0" w:type="auto"/>
            <w:hideMark/>
          </w:tcPr>
          <w:p w14:paraId="66DF2B81"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El-Obeid (2008)</w:t>
            </w:r>
          </w:p>
        </w:tc>
        <w:tc>
          <w:tcPr>
            <w:tcW w:w="0" w:type="auto"/>
            <w:hideMark/>
          </w:tcPr>
          <w:p w14:paraId="1A94EFA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10.0</w:t>
            </w:r>
          </w:p>
        </w:tc>
        <w:tc>
          <w:tcPr>
            <w:tcW w:w="0" w:type="auto"/>
            <w:hideMark/>
          </w:tcPr>
          <w:p w14:paraId="5EBA697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0.0</w:t>
            </w:r>
          </w:p>
        </w:tc>
        <w:tc>
          <w:tcPr>
            <w:tcW w:w="0" w:type="auto"/>
            <w:hideMark/>
          </w:tcPr>
          <w:p w14:paraId="306D53AC"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0.8</w:t>
            </w:r>
          </w:p>
        </w:tc>
        <w:tc>
          <w:tcPr>
            <w:tcW w:w="0" w:type="auto"/>
            <w:hideMark/>
          </w:tcPr>
          <w:p w14:paraId="6D2FCBF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[12]</w:t>
            </w:r>
          </w:p>
        </w:tc>
      </w:tr>
      <w:tr w:rsidR="00F675ED" w:rsidRPr="00F675ED" w14:paraId="2FAA0573" w14:textId="77777777" w:rsidTr="00F675ED">
        <w:trPr>
          <w:jc w:val="center"/>
        </w:trPr>
        <w:tc>
          <w:tcPr>
            <w:tcW w:w="0" w:type="auto"/>
            <w:hideMark/>
          </w:tcPr>
          <w:p w14:paraId="617AF943"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Kassala (2010)</w:t>
            </w:r>
          </w:p>
        </w:tc>
        <w:tc>
          <w:tcPr>
            <w:tcW w:w="0" w:type="auto"/>
            <w:hideMark/>
          </w:tcPr>
          <w:p w14:paraId="45B964C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4.3</w:t>
            </w:r>
          </w:p>
        </w:tc>
        <w:tc>
          <w:tcPr>
            <w:tcW w:w="0" w:type="auto"/>
            <w:hideMark/>
          </w:tcPr>
          <w:p w14:paraId="745C975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3.1</w:t>
            </w:r>
          </w:p>
        </w:tc>
        <w:tc>
          <w:tcPr>
            <w:tcW w:w="0" w:type="auto"/>
            <w:hideMark/>
          </w:tcPr>
          <w:p w14:paraId="1F26A50C"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3.0</w:t>
            </w:r>
          </w:p>
        </w:tc>
        <w:tc>
          <w:tcPr>
            <w:tcW w:w="0" w:type="auto"/>
            <w:hideMark/>
          </w:tcPr>
          <w:p w14:paraId="289678E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[4]</w:t>
            </w:r>
          </w:p>
        </w:tc>
      </w:tr>
      <w:tr w:rsidR="00F675ED" w:rsidRPr="00F675ED" w14:paraId="76B66CBA" w14:textId="77777777" w:rsidTr="00F675ED">
        <w:trPr>
          <w:jc w:val="center"/>
        </w:trPr>
        <w:tc>
          <w:tcPr>
            <w:tcW w:w="0" w:type="auto"/>
            <w:hideMark/>
          </w:tcPr>
          <w:p w14:paraId="289FCF17"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Dongola (2010–2015)</w:t>
            </w:r>
          </w:p>
        </w:tc>
        <w:tc>
          <w:tcPr>
            <w:tcW w:w="0" w:type="auto"/>
            <w:hideMark/>
          </w:tcPr>
          <w:p w14:paraId="15D875A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1.3</w:t>
            </w:r>
          </w:p>
        </w:tc>
        <w:tc>
          <w:tcPr>
            <w:tcW w:w="0" w:type="auto"/>
            <w:hideMark/>
          </w:tcPr>
          <w:p w14:paraId="2C276343"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0.7</w:t>
            </w:r>
          </w:p>
        </w:tc>
        <w:tc>
          <w:tcPr>
            <w:tcW w:w="0" w:type="auto"/>
            <w:hideMark/>
          </w:tcPr>
          <w:p w14:paraId="7E17CD04"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0.05</w:t>
            </w:r>
          </w:p>
        </w:tc>
        <w:tc>
          <w:tcPr>
            <w:tcW w:w="0" w:type="auto"/>
            <w:hideMark/>
          </w:tcPr>
          <w:p w14:paraId="7220FDD3"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[13]</w:t>
            </w:r>
          </w:p>
        </w:tc>
      </w:tr>
      <w:tr w:rsidR="00F675ED" w:rsidRPr="00F675ED" w14:paraId="70366B48" w14:textId="77777777" w:rsidTr="00F675ED">
        <w:trPr>
          <w:jc w:val="center"/>
        </w:trPr>
        <w:tc>
          <w:tcPr>
            <w:tcW w:w="0" w:type="auto"/>
            <w:hideMark/>
          </w:tcPr>
          <w:p w14:paraId="4F761D1F"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Kosti (2014)</w:t>
            </w:r>
          </w:p>
        </w:tc>
        <w:tc>
          <w:tcPr>
            <w:tcW w:w="0" w:type="auto"/>
            <w:hideMark/>
          </w:tcPr>
          <w:p w14:paraId="01480A5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5.5</w:t>
            </w:r>
          </w:p>
        </w:tc>
        <w:tc>
          <w:tcPr>
            <w:tcW w:w="0" w:type="auto"/>
            <w:hideMark/>
          </w:tcPr>
          <w:p w14:paraId="43C1DB3D"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3.4</w:t>
            </w:r>
          </w:p>
        </w:tc>
        <w:tc>
          <w:tcPr>
            <w:tcW w:w="0" w:type="auto"/>
            <w:hideMark/>
          </w:tcPr>
          <w:p w14:paraId="7F048401"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0.7</w:t>
            </w:r>
          </w:p>
        </w:tc>
        <w:tc>
          <w:tcPr>
            <w:tcW w:w="0" w:type="auto"/>
            <w:hideMark/>
          </w:tcPr>
          <w:p w14:paraId="6B4925A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[14]</w:t>
            </w:r>
          </w:p>
        </w:tc>
      </w:tr>
      <w:tr w:rsidR="00F675ED" w:rsidRPr="00F675ED" w14:paraId="6A1A3D8D" w14:textId="77777777" w:rsidTr="00F675ED">
        <w:trPr>
          <w:jc w:val="center"/>
        </w:trPr>
        <w:tc>
          <w:tcPr>
            <w:tcW w:w="0" w:type="auto"/>
            <w:hideMark/>
          </w:tcPr>
          <w:p w14:paraId="72BE8D7C"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Khartoum (2015)</w:t>
            </w:r>
          </w:p>
        </w:tc>
        <w:tc>
          <w:tcPr>
            <w:tcW w:w="0" w:type="auto"/>
            <w:hideMark/>
          </w:tcPr>
          <w:p w14:paraId="1346B048"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6.0</w:t>
            </w:r>
          </w:p>
        </w:tc>
        <w:tc>
          <w:tcPr>
            <w:tcW w:w="0" w:type="auto"/>
            <w:hideMark/>
          </w:tcPr>
          <w:p w14:paraId="19E572B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0.2</w:t>
            </w:r>
          </w:p>
        </w:tc>
        <w:tc>
          <w:tcPr>
            <w:tcW w:w="0" w:type="auto"/>
            <w:hideMark/>
          </w:tcPr>
          <w:p w14:paraId="126F28BB"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4D7A5BA2"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[5]</w:t>
            </w:r>
          </w:p>
        </w:tc>
      </w:tr>
      <w:tr w:rsidR="00F675ED" w:rsidRPr="00F675ED" w14:paraId="14155D2F" w14:textId="77777777" w:rsidTr="00F675ED">
        <w:trPr>
          <w:jc w:val="center"/>
        </w:trPr>
        <w:tc>
          <w:tcPr>
            <w:tcW w:w="0" w:type="auto"/>
            <w:hideMark/>
          </w:tcPr>
          <w:p w14:paraId="0BB8330D"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lastRenderedPageBreak/>
              <w:t>Port Sudan (2017)</w:t>
            </w:r>
          </w:p>
        </w:tc>
        <w:tc>
          <w:tcPr>
            <w:tcW w:w="0" w:type="auto"/>
            <w:hideMark/>
          </w:tcPr>
          <w:p w14:paraId="348B319F"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11.7</w:t>
            </w:r>
          </w:p>
        </w:tc>
        <w:tc>
          <w:tcPr>
            <w:tcW w:w="0" w:type="auto"/>
            <w:hideMark/>
          </w:tcPr>
          <w:p w14:paraId="5AFB6791"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79C1187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0.4</w:t>
            </w:r>
          </w:p>
        </w:tc>
        <w:tc>
          <w:tcPr>
            <w:tcW w:w="0" w:type="auto"/>
            <w:hideMark/>
          </w:tcPr>
          <w:p w14:paraId="7FD4718E"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[8]</w:t>
            </w:r>
          </w:p>
        </w:tc>
      </w:tr>
      <w:tr w:rsidR="00F675ED" w:rsidRPr="00F675ED" w14:paraId="1D38C441" w14:textId="77777777" w:rsidTr="00F675ED">
        <w:trPr>
          <w:jc w:val="center"/>
        </w:trPr>
        <w:tc>
          <w:tcPr>
            <w:tcW w:w="0" w:type="auto"/>
            <w:hideMark/>
          </w:tcPr>
          <w:p w14:paraId="12A48CA6" w14:textId="77777777" w:rsidR="00F675ED" w:rsidRPr="00F675ED" w:rsidRDefault="00F675ED" w:rsidP="00F675ED">
            <w:pPr>
              <w:spacing w:line="360" w:lineRule="auto"/>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Omdurman (2024)</w:t>
            </w:r>
          </w:p>
        </w:tc>
        <w:tc>
          <w:tcPr>
            <w:tcW w:w="0" w:type="auto"/>
            <w:hideMark/>
          </w:tcPr>
          <w:p w14:paraId="4DB4751A"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2.17</w:t>
            </w:r>
          </w:p>
        </w:tc>
        <w:tc>
          <w:tcPr>
            <w:tcW w:w="0" w:type="auto"/>
            <w:hideMark/>
          </w:tcPr>
          <w:p w14:paraId="1EFD3426"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0.87</w:t>
            </w:r>
          </w:p>
        </w:tc>
        <w:tc>
          <w:tcPr>
            <w:tcW w:w="0" w:type="auto"/>
            <w:hideMark/>
          </w:tcPr>
          <w:p w14:paraId="72C65724"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0.55</w:t>
            </w:r>
          </w:p>
        </w:tc>
        <w:tc>
          <w:tcPr>
            <w:tcW w:w="0" w:type="auto"/>
            <w:hideMark/>
          </w:tcPr>
          <w:p w14:paraId="3E09E8E7" w14:textId="77777777" w:rsidR="00F675ED" w:rsidRPr="00F675ED" w:rsidRDefault="00F675ED" w:rsidP="00F675ED">
            <w:pPr>
              <w:spacing w:line="360" w:lineRule="auto"/>
              <w:jc w:val="center"/>
              <w:rPr>
                <w:rFonts w:ascii="Times New Roman" w:eastAsia="Times New Roman" w:hAnsi="Times New Roman" w:cs="Times New Roman"/>
                <w:sz w:val="24"/>
                <w:szCs w:val="24"/>
              </w:rPr>
            </w:pPr>
            <w:r w:rsidRPr="00F675ED">
              <w:rPr>
                <w:rFonts w:ascii="Times New Roman" w:eastAsia="Times New Roman" w:hAnsi="Times New Roman" w:cs="Times New Roman"/>
                <w:sz w:val="24"/>
                <w:szCs w:val="24"/>
              </w:rPr>
              <w:t>Current study</w:t>
            </w:r>
          </w:p>
        </w:tc>
      </w:tr>
    </w:tbl>
    <w:p w14:paraId="25CDBF64" w14:textId="77777777" w:rsidR="009249B6" w:rsidRDefault="009249B6" w:rsidP="00780438">
      <w:pPr>
        <w:pStyle w:val="Heading3"/>
        <w:shd w:val="clear" w:color="auto" w:fill="FFFFFF"/>
        <w:spacing w:before="480" w:beforeAutospacing="0" w:after="240" w:afterAutospacing="0" w:line="360" w:lineRule="auto"/>
        <w:jc w:val="both"/>
        <w:rPr>
          <w:rStyle w:val="Strong"/>
          <w:rFonts w:asciiTheme="majorBidi" w:hAnsiTheme="majorBidi" w:cstheme="majorBidi"/>
          <w:b/>
          <w:bCs/>
          <w:color w:val="0F1115"/>
          <w:sz w:val="24"/>
          <w:szCs w:val="24"/>
        </w:rPr>
      </w:pPr>
    </w:p>
    <w:p w14:paraId="613427A2" w14:textId="77777777" w:rsidR="00102092" w:rsidRPr="00780438" w:rsidRDefault="00536110"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 </w:t>
      </w:r>
      <w:r w:rsidRPr="00536110">
        <w:rPr>
          <w:rStyle w:val="Strong"/>
          <w:rFonts w:asciiTheme="majorBidi" w:hAnsiTheme="majorBidi" w:cstheme="majorBidi"/>
          <w:b/>
          <w:bCs/>
          <w:color w:val="0F1115"/>
          <w:sz w:val="24"/>
          <w:szCs w:val="24"/>
        </w:rPr>
        <w:t>4. DISCUSSION</w:t>
      </w:r>
    </w:p>
    <w:p w14:paraId="28E1568F" w14:textId="77777777" w:rsidR="00102092" w:rsidRDefault="00102092" w:rsidP="002103A2">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t>This study provides crucial epidemiological data on TTIs among blood donors in Omdurman, Sudan, during a period of severe humanitarian crisis. The overall TTI prevalence of 3.6%, with HBV being predominant (2.17%), indicates persistent threats to blood safety in this conflict-affected region.</w:t>
      </w:r>
      <w:r w:rsidR="001E41CD">
        <w:rPr>
          <w:rFonts w:asciiTheme="majorBidi" w:hAnsiTheme="majorBidi" w:cstheme="majorBidi" w:hint="cs"/>
          <w:color w:val="0F1115"/>
          <w:rtl/>
        </w:rPr>
        <w:t xml:space="preserve"> </w:t>
      </w:r>
      <w:r w:rsidRPr="00780438">
        <w:rPr>
          <w:rFonts w:asciiTheme="majorBidi" w:hAnsiTheme="majorBidi" w:cstheme="majorBidi"/>
          <w:color w:val="0F1115"/>
        </w:rPr>
        <w:t xml:space="preserve">The finding of HBV as the most prevalent TTI (2.17%) aligns with the established epidemiology of hepatitis B in sub-Saharan Africa, where the virus remains hyperendemic with an estimated 6.1% prevalence in the general population </w:t>
      </w:r>
      <w:r w:rsidRPr="003A6A0E">
        <w:rPr>
          <w:rFonts w:asciiTheme="majorBidi" w:hAnsiTheme="majorBidi" w:cstheme="majorBidi"/>
          <w:b/>
          <w:bCs/>
          <w:color w:val="0F1115"/>
        </w:rPr>
        <w:t>[15].</w:t>
      </w:r>
      <w:r w:rsidRPr="00780438">
        <w:rPr>
          <w:rFonts w:asciiTheme="majorBidi" w:hAnsiTheme="majorBidi" w:cstheme="majorBidi"/>
          <w:color w:val="0F1115"/>
        </w:rPr>
        <w:t xml:space="preserve"> This persistent high prevalence underscores the critical need for expanded hepatitis B vaccination programs in Sudan, particularly targeting high-risk groups including healthcare workers, family contacts of infected individuals, and newborns through birth-dose vaccination </w:t>
      </w:r>
      <w:r w:rsidRPr="003A6A0E">
        <w:rPr>
          <w:rFonts w:asciiTheme="majorBidi" w:hAnsiTheme="majorBidi" w:cstheme="majorBidi"/>
          <w:b/>
          <w:bCs/>
          <w:color w:val="0F1115"/>
        </w:rPr>
        <w:t>[16].</w:t>
      </w:r>
      <w:r w:rsidR="003A6A0E">
        <w:rPr>
          <w:rFonts w:asciiTheme="majorBidi" w:hAnsiTheme="majorBidi" w:cstheme="majorBidi"/>
          <w:color w:val="0F1115"/>
        </w:rPr>
        <w:t xml:space="preserve"> </w:t>
      </w:r>
      <w:r w:rsidRPr="00780438">
        <w:rPr>
          <w:rFonts w:asciiTheme="majorBidi" w:hAnsiTheme="majorBidi" w:cstheme="majorBidi"/>
          <w:color w:val="0F1115"/>
        </w:rPr>
        <w:t xml:space="preserve">The observed HBV prevalence is notably lower than rates reported in several pre-conflict Sudanese studies (Table 2). While this might suggest epidemiological improvement, it more likely reflects methodological differences. Our exclusive reliance on RDTs—known to have variable sensitivity (51.5-100%) for HBV detection compared to ELISA or NAT </w:t>
      </w:r>
      <w:r w:rsidRPr="003A6A0E">
        <w:rPr>
          <w:rFonts w:asciiTheme="majorBidi" w:hAnsiTheme="majorBidi" w:cstheme="majorBidi"/>
          <w:b/>
          <w:bCs/>
          <w:color w:val="0F1115"/>
        </w:rPr>
        <w:t>[17]—</w:t>
      </w:r>
      <w:r w:rsidRPr="00780438">
        <w:rPr>
          <w:rFonts w:asciiTheme="majorBidi" w:hAnsiTheme="majorBidi" w:cstheme="majorBidi"/>
          <w:color w:val="0F1115"/>
        </w:rPr>
        <w:t>probably resulted in underestimation. Additionally, the all-male donor population in our study (versus mixed populations in earlier studies) and potential changes in donor demographics during conflict may contribute to observed differences.</w:t>
      </w:r>
      <w:r w:rsidR="003A6A0E">
        <w:rPr>
          <w:rFonts w:asciiTheme="majorBidi" w:hAnsiTheme="majorBidi" w:cstheme="majorBidi"/>
          <w:color w:val="0F1115"/>
        </w:rPr>
        <w:t xml:space="preserve"> </w:t>
      </w:r>
      <w:r w:rsidRPr="00780438">
        <w:rPr>
          <w:rFonts w:asciiTheme="majorBidi" w:hAnsiTheme="majorBidi" w:cstheme="majorBidi"/>
          <w:color w:val="0F1115"/>
        </w:rPr>
        <w:t xml:space="preserve">HCV prevalence (0.87%) was substantially lower than rates reported in Kassala (3.1%) and Kosti (3.4%) </w:t>
      </w:r>
      <w:r w:rsidRPr="003A6A0E">
        <w:rPr>
          <w:rFonts w:asciiTheme="majorBidi" w:hAnsiTheme="majorBidi" w:cstheme="majorBidi"/>
          <w:b/>
          <w:bCs/>
          <w:color w:val="0F1115"/>
        </w:rPr>
        <w:t>[4,14].</w:t>
      </w:r>
      <w:r w:rsidRPr="00780438">
        <w:rPr>
          <w:rFonts w:asciiTheme="majorBidi" w:hAnsiTheme="majorBidi" w:cstheme="majorBidi"/>
          <w:color w:val="0F1115"/>
        </w:rPr>
        <w:t xml:space="preserve"> This variation likely reflects regional differences in HCV transmission dynamics, influenced by factors such as healthcare practices, injection safety, surgical procedures, and cultural norms </w:t>
      </w:r>
      <w:r w:rsidRPr="003A6A0E">
        <w:rPr>
          <w:rFonts w:asciiTheme="majorBidi" w:hAnsiTheme="majorBidi" w:cstheme="majorBidi"/>
          <w:b/>
          <w:bCs/>
          <w:color w:val="0F1115"/>
        </w:rPr>
        <w:t>[18].</w:t>
      </w:r>
      <w:r w:rsidRPr="00780438">
        <w:rPr>
          <w:rFonts w:asciiTheme="majorBidi" w:hAnsiTheme="majorBidi" w:cstheme="majorBidi"/>
          <w:color w:val="0F1115"/>
        </w:rPr>
        <w:t xml:space="preserve"> The relatively low HCV prevalence in our study, despite conflict conditions, warrants further investigation into potential protective factors or detection limitations.</w:t>
      </w:r>
      <w:r w:rsidR="003A6A0E">
        <w:rPr>
          <w:rFonts w:asciiTheme="majorBidi" w:hAnsiTheme="majorBidi" w:cstheme="majorBidi"/>
          <w:color w:val="0F1115"/>
        </w:rPr>
        <w:t xml:space="preserve"> </w:t>
      </w:r>
      <w:r w:rsidRPr="00780438">
        <w:rPr>
          <w:rFonts w:asciiTheme="majorBidi" w:hAnsiTheme="majorBidi" w:cstheme="majorBidi"/>
          <w:color w:val="0F1115"/>
        </w:rPr>
        <w:t xml:space="preserve">HIV prevalence (0.55%) represents a concerning risk for transfusion safety, though it is lower than rates in some neighboring countries during stable periods </w:t>
      </w:r>
      <w:r w:rsidRPr="003A6A0E">
        <w:rPr>
          <w:rFonts w:asciiTheme="majorBidi" w:hAnsiTheme="majorBidi" w:cstheme="majorBidi"/>
          <w:b/>
          <w:bCs/>
          <w:color w:val="0F1115"/>
        </w:rPr>
        <w:t>[19].</w:t>
      </w:r>
      <w:r w:rsidRPr="00780438">
        <w:rPr>
          <w:rFonts w:asciiTheme="majorBidi" w:hAnsiTheme="majorBidi" w:cstheme="majorBidi"/>
          <w:color w:val="0F1115"/>
        </w:rPr>
        <w:t xml:space="preserve"> The absence of co-infections in our study differs from some previous reports </w:t>
      </w:r>
      <w:r w:rsidRPr="003A6A0E">
        <w:rPr>
          <w:rFonts w:asciiTheme="majorBidi" w:hAnsiTheme="majorBidi" w:cstheme="majorBidi"/>
          <w:b/>
          <w:bCs/>
          <w:color w:val="0F1115"/>
        </w:rPr>
        <w:t>[4,20],</w:t>
      </w:r>
      <w:r w:rsidRPr="00780438">
        <w:rPr>
          <w:rFonts w:asciiTheme="majorBidi" w:hAnsiTheme="majorBidi" w:cstheme="majorBidi"/>
          <w:color w:val="0F1115"/>
        </w:rPr>
        <w:t xml:space="preserve"> possibly reflecting different epidemiological patterns or limitations in RDT sensitivity for multiple infections.</w:t>
      </w:r>
      <w:r w:rsidR="001E41CD">
        <w:rPr>
          <w:rFonts w:asciiTheme="majorBidi" w:hAnsiTheme="majorBidi" w:cstheme="majorBidi" w:hint="cs"/>
          <w:color w:val="0F1115"/>
          <w:rtl/>
        </w:rPr>
        <w:t xml:space="preserve"> </w:t>
      </w:r>
      <w:r w:rsidRPr="00780438">
        <w:rPr>
          <w:rFonts w:asciiTheme="majorBidi" w:hAnsiTheme="majorBidi" w:cstheme="majorBidi"/>
          <w:color w:val="0F1115"/>
        </w:rPr>
        <w:t xml:space="preserve">The ongoing conflict in Sudan has created </w:t>
      </w:r>
      <w:r w:rsidRPr="00780438">
        <w:rPr>
          <w:rFonts w:asciiTheme="majorBidi" w:hAnsiTheme="majorBidi" w:cstheme="majorBidi"/>
          <w:color w:val="0F1115"/>
        </w:rPr>
        <w:lastRenderedPageBreak/>
        <w:t xml:space="preserve">unprecedented challenges for blood transfusion services. The surge in trauma cases requiring urgent transfusion has coincided with the collapse of medical supply chains, electricity shortages, and depletion of trained personnel </w:t>
      </w:r>
      <w:r w:rsidRPr="0074054C">
        <w:rPr>
          <w:rFonts w:asciiTheme="majorBidi" w:hAnsiTheme="majorBidi" w:cstheme="majorBidi"/>
          <w:b/>
          <w:bCs/>
          <w:color w:val="0F1115"/>
        </w:rPr>
        <w:t>[9,10].</w:t>
      </w:r>
      <w:r w:rsidRPr="00780438">
        <w:rPr>
          <w:rFonts w:asciiTheme="majorBidi" w:hAnsiTheme="majorBidi" w:cstheme="majorBidi"/>
          <w:color w:val="0F1115"/>
        </w:rPr>
        <w:t xml:space="preserve"> In such contexts, blood banks face extreme pressure to provide life-saving transfusions while operating with compromised screening capabilities.</w:t>
      </w:r>
    </w:p>
    <w:p w14:paraId="67C26438" w14:textId="77777777" w:rsidR="002103A2" w:rsidRPr="002103A2" w:rsidRDefault="00104332" w:rsidP="002103A2">
      <w:pPr>
        <w:pStyle w:val="ds-markdown-paragraph"/>
        <w:shd w:val="clear" w:color="auto" w:fill="FFFFFF"/>
        <w:spacing w:before="0" w:beforeAutospacing="0" w:after="0" w:afterAutospacing="0" w:line="360" w:lineRule="auto"/>
        <w:jc w:val="both"/>
        <w:rPr>
          <w:rFonts w:asciiTheme="majorBidi" w:hAnsiTheme="majorBidi" w:cstheme="majorBidi"/>
          <w:b/>
          <w:bCs/>
          <w:color w:val="0F1115"/>
          <w:rtl/>
          <w:lang w:bidi="ar-QA"/>
        </w:rPr>
      </w:pPr>
      <w:r>
        <w:rPr>
          <w:rFonts w:asciiTheme="majorBidi" w:hAnsiTheme="majorBidi" w:cstheme="majorBidi"/>
          <w:b/>
          <w:bCs/>
          <w:color w:val="0F1115"/>
        </w:rPr>
        <w:t xml:space="preserve">5. </w:t>
      </w:r>
      <w:r w:rsidRPr="002103A2">
        <w:rPr>
          <w:rFonts w:asciiTheme="majorBidi" w:hAnsiTheme="majorBidi" w:cstheme="majorBidi"/>
          <w:b/>
          <w:bCs/>
          <w:color w:val="0F1115"/>
        </w:rPr>
        <w:t xml:space="preserve">LIMITATIONS </w:t>
      </w:r>
    </w:p>
    <w:p w14:paraId="278BA1FF" w14:textId="77777777" w:rsidR="002103A2" w:rsidRPr="00780438" w:rsidRDefault="002103A2" w:rsidP="002103A2">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2103A2">
        <w:rPr>
          <w:rFonts w:asciiTheme="majorBidi" w:hAnsiTheme="majorBidi" w:cstheme="majorBidi"/>
          <w:color w:val="0F1115"/>
        </w:rPr>
        <w:t>This study is limited by its retrospective design and reliance on rapid diagnostic tests without confirmatory assays, which may have resulted in underestimation of transfusion-transmissible infection prevalence. The inclusion of only male donors and the single-center study setting limit the generalizability of the findings. Additionally, the lack of detailed donor demographic and risk factor data and operational challenges related to the ongoing conflict may have affected data completeness and interpretation.</w:t>
      </w:r>
    </w:p>
    <w:p w14:paraId="32D26B76" w14:textId="77777777" w:rsidR="00102092" w:rsidRPr="00780438" w:rsidRDefault="000231FE" w:rsidP="001E6704">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tl/>
          <w:lang w:bidi="ar-QA"/>
        </w:rPr>
      </w:pPr>
      <w:r>
        <w:rPr>
          <w:rStyle w:val="Strong"/>
          <w:rFonts w:asciiTheme="majorBidi" w:hAnsiTheme="majorBidi" w:cstheme="majorBidi"/>
          <w:b/>
          <w:bCs/>
          <w:color w:val="0F1115"/>
          <w:sz w:val="24"/>
          <w:szCs w:val="24"/>
        </w:rPr>
        <w:t xml:space="preserve">6. </w:t>
      </w:r>
      <w:r w:rsidRPr="00780438">
        <w:rPr>
          <w:rStyle w:val="Strong"/>
          <w:rFonts w:asciiTheme="majorBidi" w:hAnsiTheme="majorBidi" w:cstheme="majorBidi"/>
          <w:b/>
          <w:bCs/>
          <w:color w:val="0F1115"/>
          <w:sz w:val="24"/>
          <w:szCs w:val="24"/>
        </w:rPr>
        <w:t>CONCLUSION</w:t>
      </w:r>
    </w:p>
    <w:p w14:paraId="4D714DB5" w14:textId="77777777" w:rsidR="008B701F" w:rsidRPr="00780438" w:rsidRDefault="008B701F" w:rsidP="001E6704">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8B701F">
        <w:rPr>
          <w:rFonts w:asciiTheme="majorBidi" w:hAnsiTheme="majorBidi" w:cstheme="majorBidi"/>
          <w:color w:val="0F1115"/>
        </w:rPr>
        <w:t>Transfusion-transmissible viral infections remain a persistent threat to blood safety in conflict-affected regions of Sudan. Hepatitis B virus was the most prevalent infection among blood donors in Omdurman during 2024, followed by hepatitis C virus and human immunodeficiency virus. Despite severe healthcare system disruptions caused by ongoing armed conflict, the continued presence of these infections highlights the urgent need for strengthened and context-appropriate blood screening strategies to ensure transfusion safety in humanitarian settings.</w:t>
      </w:r>
    </w:p>
    <w:p w14:paraId="0EBEE94E" w14:textId="77777777" w:rsidR="00102092" w:rsidRDefault="00B63784" w:rsidP="001E6704">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r>
        <w:rPr>
          <w:rStyle w:val="Strong"/>
          <w:rFonts w:asciiTheme="majorBidi" w:hAnsiTheme="majorBidi" w:cstheme="majorBidi"/>
          <w:b/>
          <w:bCs/>
          <w:color w:val="0F1115"/>
          <w:sz w:val="24"/>
          <w:szCs w:val="24"/>
        </w:rPr>
        <w:t xml:space="preserve">7. </w:t>
      </w:r>
      <w:r w:rsidRPr="00780438">
        <w:rPr>
          <w:rStyle w:val="Strong"/>
          <w:rFonts w:asciiTheme="majorBidi" w:hAnsiTheme="majorBidi" w:cstheme="majorBidi"/>
          <w:b/>
          <w:bCs/>
          <w:color w:val="0F1115"/>
          <w:sz w:val="24"/>
          <w:szCs w:val="24"/>
        </w:rPr>
        <w:t>RECOMMENDATIONS</w:t>
      </w:r>
    </w:p>
    <w:p w14:paraId="4D0912ED" w14:textId="77777777" w:rsidR="001E6704" w:rsidRDefault="004F7EAB" w:rsidP="00C37945">
      <w:pPr>
        <w:spacing w:after="0" w:line="360" w:lineRule="auto"/>
        <w:jc w:val="both"/>
        <w:rPr>
          <w:rFonts w:ascii="Times New Roman" w:eastAsia="Times New Roman" w:hAnsi="Times New Roman" w:cs="Times New Roman"/>
          <w:sz w:val="24"/>
          <w:szCs w:val="24"/>
        </w:rPr>
      </w:pPr>
      <w:r w:rsidRPr="004F7EAB">
        <w:rPr>
          <w:rFonts w:ascii="Times New Roman" w:eastAsia="Times New Roman" w:hAnsi="Times New Roman" w:cs="Times New Roman"/>
          <w:sz w:val="24"/>
          <w:szCs w:val="24"/>
        </w:rPr>
        <w:t>Blood transfusion safety in conflict-affected areas should be strengthened through the consistent availability of quality-assured screening tests, improved quality control of rapid diagnostic testing, and expansion of hepatitis B vaccination programs. Incorporating emergency preparedness into national blood transfusion policies and enhancing donor screening and surveillance systems are essential to reduce transfusion-transmissible infection risks. Continued collaboration with international health organizations is crucial to support sustainable blood safety interventions during humanitarian crises.</w:t>
      </w:r>
    </w:p>
    <w:p w14:paraId="7027F3C6" w14:textId="77777777" w:rsidR="00FB187F" w:rsidRPr="004E5360" w:rsidRDefault="00FB187F" w:rsidP="00C37945">
      <w:pPr>
        <w:spacing w:after="0" w:line="360" w:lineRule="auto"/>
        <w:jc w:val="both"/>
        <w:rPr>
          <w:rFonts w:asciiTheme="majorBidi" w:eastAsia="Times New Roman" w:hAnsiTheme="majorBidi" w:cstheme="majorBidi"/>
          <w:sz w:val="24"/>
          <w:szCs w:val="24"/>
        </w:rPr>
      </w:pPr>
      <w:r w:rsidRPr="004E5360">
        <w:rPr>
          <w:rStyle w:val="fontstyle01"/>
          <w:rFonts w:asciiTheme="majorBidi" w:hAnsiTheme="majorBidi" w:cstheme="majorBidi"/>
          <w:sz w:val="24"/>
          <w:szCs w:val="24"/>
        </w:rPr>
        <w:t>CONSENT</w:t>
      </w:r>
      <w:r w:rsidRPr="004E5360">
        <w:rPr>
          <w:rFonts w:asciiTheme="majorBidi" w:hAnsiTheme="majorBidi" w:cstheme="majorBidi"/>
          <w:b/>
          <w:bCs/>
          <w:color w:val="000000"/>
          <w:sz w:val="24"/>
          <w:szCs w:val="24"/>
        </w:rPr>
        <w:br/>
      </w:r>
      <w:r w:rsidRPr="004E5360">
        <w:rPr>
          <w:rStyle w:val="fontstyle11"/>
          <w:rFonts w:asciiTheme="majorBidi" w:hAnsiTheme="majorBidi" w:cstheme="majorBidi"/>
          <w:sz w:val="24"/>
          <w:szCs w:val="24"/>
        </w:rPr>
        <w:t>The patient’s written consent has been collected</w:t>
      </w:r>
      <w:r w:rsidRPr="004E5360">
        <w:rPr>
          <w:rFonts w:asciiTheme="majorBidi" w:hAnsiTheme="majorBidi" w:cstheme="majorBidi"/>
          <w:sz w:val="24"/>
          <w:szCs w:val="24"/>
        </w:rPr>
        <w:t xml:space="preserve"> </w:t>
      </w:r>
    </w:p>
    <w:p w14:paraId="47BFDF6D" w14:textId="77777777" w:rsidR="00896850" w:rsidRPr="00896850" w:rsidRDefault="00FB187F" w:rsidP="00C37945">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FB187F">
        <w:rPr>
          <w:rStyle w:val="Strong"/>
          <w:rFonts w:asciiTheme="majorBidi" w:hAnsiTheme="majorBidi" w:cstheme="majorBidi"/>
          <w:color w:val="0F1115"/>
        </w:rPr>
        <w:t>ETHICAL APPROVAL</w:t>
      </w:r>
    </w:p>
    <w:p w14:paraId="26EB330A" w14:textId="77777777" w:rsidR="00102092" w:rsidRDefault="00896850" w:rsidP="00896850">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rsidRPr="00780438">
        <w:rPr>
          <w:rFonts w:asciiTheme="majorBidi" w:hAnsiTheme="majorBidi" w:cstheme="majorBidi"/>
          <w:color w:val="0F1115"/>
        </w:rPr>
        <w:t xml:space="preserve">Ethical approval was obtained from the Khartoum State Ministry of Health Research Ethics Committee </w:t>
      </w:r>
      <w:r w:rsidRPr="002103A2">
        <w:rPr>
          <w:rFonts w:asciiTheme="majorBidi" w:hAnsiTheme="majorBidi" w:cstheme="majorBidi"/>
          <w:b/>
          <w:bCs/>
          <w:color w:val="0F1115"/>
        </w:rPr>
        <w:t>(Reference: KSREC-2024-018)</w:t>
      </w:r>
      <w:r w:rsidRPr="00780438">
        <w:rPr>
          <w:rFonts w:asciiTheme="majorBidi" w:hAnsiTheme="majorBidi" w:cstheme="majorBidi"/>
          <w:color w:val="0F1115"/>
        </w:rPr>
        <w:t xml:space="preserve"> and the administrative board of Al-Naw Hospital. </w:t>
      </w:r>
      <w:r w:rsidRPr="00780438">
        <w:rPr>
          <w:rFonts w:asciiTheme="majorBidi" w:hAnsiTheme="majorBidi" w:cstheme="majorBidi"/>
          <w:color w:val="0F1115"/>
        </w:rPr>
        <w:lastRenderedPageBreak/>
        <w:t>The study utilized anonymized secondary data from existing records; individual informed consent was waived due to the retrospective design. All procedures complied with the Declaration of Helsinki principles.</w:t>
      </w:r>
    </w:p>
    <w:p w14:paraId="2811C354" w14:textId="77777777" w:rsidR="000701D5" w:rsidRPr="000701D5" w:rsidRDefault="000701D5" w:rsidP="000701D5">
      <w:pPr>
        <w:pStyle w:val="ds-markdown-paragraph"/>
        <w:shd w:val="clear" w:color="auto" w:fill="FFFFFF"/>
        <w:spacing w:before="0" w:beforeAutospacing="0" w:after="0" w:afterAutospacing="0" w:line="360" w:lineRule="auto"/>
        <w:jc w:val="both"/>
        <w:rPr>
          <w:rFonts w:asciiTheme="majorBidi" w:hAnsiTheme="majorBidi" w:cstheme="majorBidi"/>
          <w:b/>
          <w:bCs/>
          <w:color w:val="0F1115"/>
        </w:rPr>
      </w:pPr>
      <w:r w:rsidRPr="000701D5">
        <w:rPr>
          <w:rFonts w:asciiTheme="majorBidi" w:hAnsiTheme="majorBidi" w:cstheme="majorBidi"/>
          <w:b/>
          <w:bCs/>
          <w:color w:val="0F1115"/>
        </w:rPr>
        <w:t>DISCLAIMER (ARTIFICIAL INTELLIGENCE)</w:t>
      </w:r>
    </w:p>
    <w:p w14:paraId="4C7F25F0" w14:textId="77777777" w:rsidR="000701D5" w:rsidRDefault="000701D5" w:rsidP="000701D5">
      <w:pPr>
        <w:pStyle w:val="ds-markdown-paragraph"/>
        <w:shd w:val="clear" w:color="auto" w:fill="FFFFFF"/>
        <w:spacing w:before="0" w:beforeAutospacing="0" w:after="0" w:line="360" w:lineRule="auto"/>
        <w:rPr>
          <w:rFonts w:asciiTheme="majorBidi" w:hAnsiTheme="majorBidi" w:cstheme="majorBidi"/>
          <w:color w:val="0F1115"/>
        </w:rPr>
      </w:pPr>
      <w:r w:rsidRPr="000701D5">
        <w:rPr>
          <w:rFonts w:asciiTheme="majorBidi" w:hAnsiTheme="majorBidi" w:cstheme="majorBidi"/>
          <w:color w:val="0F1115"/>
        </w:rPr>
        <w:t>As a result, the Author (s) declare that NO</w:t>
      </w:r>
      <w:r>
        <w:rPr>
          <w:rFonts w:asciiTheme="majorBidi" w:hAnsiTheme="majorBidi" w:cstheme="majorBidi"/>
          <w:color w:val="0F1115"/>
        </w:rPr>
        <w:t xml:space="preserve"> </w:t>
      </w:r>
      <w:r w:rsidRPr="000701D5">
        <w:rPr>
          <w:rFonts w:asciiTheme="majorBidi" w:hAnsiTheme="majorBidi" w:cstheme="majorBidi"/>
          <w:color w:val="0F1115"/>
        </w:rPr>
        <w:t xml:space="preserve">generative AI technologies such as </w:t>
      </w:r>
      <w:proofErr w:type="spellStart"/>
      <w:r w:rsidRPr="000701D5">
        <w:rPr>
          <w:rFonts w:asciiTheme="majorBidi" w:hAnsiTheme="majorBidi" w:cstheme="majorBidi"/>
          <w:color w:val="0F1115"/>
        </w:rPr>
        <w:t>LargeLanguage</w:t>
      </w:r>
      <w:proofErr w:type="spellEnd"/>
      <w:r w:rsidRPr="000701D5">
        <w:rPr>
          <w:rFonts w:asciiTheme="majorBidi" w:hAnsiTheme="majorBidi" w:cstheme="majorBidi"/>
          <w:color w:val="0F1115"/>
        </w:rPr>
        <w:t xml:space="preserve"> Models (</w:t>
      </w:r>
      <w:proofErr w:type="spellStart"/>
      <w:r w:rsidRPr="000701D5">
        <w:rPr>
          <w:rFonts w:asciiTheme="majorBidi" w:hAnsiTheme="majorBidi" w:cstheme="majorBidi"/>
          <w:color w:val="0F1115"/>
        </w:rPr>
        <w:t>ChatGPT</w:t>
      </w:r>
      <w:proofErr w:type="spellEnd"/>
      <w:r w:rsidRPr="000701D5">
        <w:rPr>
          <w:rFonts w:asciiTheme="majorBidi" w:hAnsiTheme="majorBidi" w:cstheme="majorBidi"/>
          <w:color w:val="0F1115"/>
        </w:rPr>
        <w:t xml:space="preserve">, COPILOT, </w:t>
      </w:r>
      <w:proofErr w:type="spellStart"/>
      <w:r w:rsidRPr="000701D5">
        <w:rPr>
          <w:rFonts w:asciiTheme="majorBidi" w:hAnsiTheme="majorBidi" w:cstheme="majorBidi"/>
          <w:color w:val="0F1115"/>
        </w:rPr>
        <w:t>etc</w:t>
      </w:r>
      <w:proofErr w:type="spellEnd"/>
      <w:r w:rsidRPr="000701D5">
        <w:rPr>
          <w:rFonts w:asciiTheme="majorBidi" w:hAnsiTheme="majorBidi" w:cstheme="majorBidi"/>
          <w:color w:val="0F1115"/>
        </w:rPr>
        <w:t>)</w:t>
      </w:r>
      <w:r>
        <w:rPr>
          <w:rFonts w:asciiTheme="majorBidi" w:hAnsiTheme="majorBidi" w:cstheme="majorBidi"/>
          <w:color w:val="0F1115"/>
        </w:rPr>
        <w:t xml:space="preserve"> </w:t>
      </w:r>
      <w:r w:rsidRPr="000701D5">
        <w:rPr>
          <w:rFonts w:asciiTheme="majorBidi" w:hAnsiTheme="majorBidi" w:cstheme="majorBidi"/>
          <w:color w:val="0F1115"/>
        </w:rPr>
        <w:t>and text-to-image generators have been</w:t>
      </w:r>
      <w:r>
        <w:rPr>
          <w:rFonts w:asciiTheme="majorBidi" w:hAnsiTheme="majorBidi" w:cstheme="majorBidi"/>
          <w:color w:val="0F1115"/>
        </w:rPr>
        <w:t xml:space="preserve"> </w:t>
      </w:r>
      <w:r w:rsidRPr="000701D5">
        <w:rPr>
          <w:rFonts w:asciiTheme="majorBidi" w:hAnsiTheme="majorBidi" w:cstheme="majorBidi"/>
          <w:color w:val="0F1115"/>
        </w:rPr>
        <w:t>used during the writing or editing of</w:t>
      </w:r>
      <w:r>
        <w:rPr>
          <w:rFonts w:asciiTheme="majorBidi" w:hAnsiTheme="majorBidi" w:cstheme="majorBidi"/>
          <w:color w:val="0F1115"/>
        </w:rPr>
        <w:t xml:space="preserve"> </w:t>
      </w:r>
      <w:r w:rsidRPr="000701D5">
        <w:rPr>
          <w:rFonts w:asciiTheme="majorBidi" w:hAnsiTheme="majorBidi" w:cstheme="majorBidi"/>
          <w:color w:val="0F1115"/>
        </w:rPr>
        <w:t>manuscripts.</w:t>
      </w:r>
    </w:p>
    <w:p w14:paraId="6296D92A" w14:textId="77777777" w:rsidR="00102092" w:rsidRPr="00780438" w:rsidRDefault="00102092"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References</w:t>
      </w:r>
    </w:p>
    <w:p w14:paraId="13C07562" w14:textId="6DB03E66" w:rsidR="001A07B9" w:rsidRDefault="001A07B9" w:rsidP="00141770">
      <w:pPr>
        <w:pStyle w:val="ds-markdown-paragraph"/>
        <w:numPr>
          <w:ilvl w:val="0"/>
          <w:numId w:val="17"/>
        </w:numPr>
        <w:shd w:val="clear" w:color="auto" w:fill="FFFFFF"/>
        <w:spacing w:after="0" w:afterAutospacing="0" w:line="360" w:lineRule="auto"/>
        <w:ind w:left="540"/>
        <w:jc w:val="both"/>
        <w:rPr>
          <w:rFonts w:asciiTheme="majorBidi" w:hAnsiTheme="majorBidi" w:cstheme="majorBidi"/>
          <w:color w:val="0F1115"/>
        </w:rPr>
      </w:pPr>
      <w:r w:rsidRPr="001A07B9">
        <w:rPr>
          <w:rFonts w:asciiTheme="majorBidi" w:hAnsiTheme="majorBidi" w:cstheme="majorBidi"/>
          <w:color w:val="0F1115"/>
        </w:rPr>
        <w:t xml:space="preserve">World Health Organization. (2025). Blood safety and availability. </w:t>
      </w:r>
      <w:hyperlink r:id="rId7" w:history="1">
        <w:r w:rsidRPr="006369C3">
          <w:rPr>
            <w:rStyle w:val="Hyperlink"/>
            <w:rFonts w:asciiTheme="majorBidi" w:hAnsiTheme="majorBidi" w:cstheme="majorBidi"/>
          </w:rPr>
          <w:t>https://www.who.int/news-room/fact-sheets/detail/blood-safety-and-availability</w:t>
        </w:r>
      </w:hyperlink>
    </w:p>
    <w:p w14:paraId="11A1D09D" w14:textId="2D82078F"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 xml:space="preserve">Busch, M. P., Kleinman, S. H., &amp; Nemo, G. J. (2003). Current and emerging infectious risks of blood transfusions. JAMA. </w:t>
      </w:r>
      <w:hyperlink r:id="rId8" w:history="1">
        <w:r w:rsidRPr="006369C3">
          <w:rPr>
            <w:rStyle w:val="Hyperlink"/>
            <w:rFonts w:asciiTheme="majorBidi" w:hAnsiTheme="majorBidi" w:cstheme="majorBidi"/>
          </w:rPr>
          <w:t>https://doi.org/10.1001/jama.289.8.959</w:t>
        </w:r>
      </w:hyperlink>
    </w:p>
    <w:p w14:paraId="76F25628" w14:textId="5DF50E4F"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Jayaraman, S., Chalabi, Z., Perel, P., Guerriero, C., &amp; Roberts, I. (2010). The risk of transfusion-transmitted infections in sub-Sah</w:t>
      </w:r>
      <w:bookmarkStart w:id="0" w:name="_GoBack"/>
      <w:bookmarkEnd w:id="0"/>
      <w:r w:rsidRPr="001A07B9">
        <w:rPr>
          <w:rFonts w:asciiTheme="majorBidi" w:hAnsiTheme="majorBidi" w:cstheme="majorBidi"/>
          <w:color w:val="0F1115"/>
        </w:rPr>
        <w:t xml:space="preserve">aran Africa. Transfusion, 50(2), 433-442. </w:t>
      </w:r>
      <w:hyperlink r:id="rId9" w:history="1">
        <w:r w:rsidRPr="006369C3">
          <w:rPr>
            <w:rStyle w:val="Hyperlink"/>
            <w:rFonts w:asciiTheme="majorBidi" w:hAnsiTheme="majorBidi" w:cstheme="majorBidi"/>
          </w:rPr>
          <w:t>https://doi.org/10.1111/j.1537-2995.2009.002402.x</w:t>
        </w:r>
      </w:hyperlink>
    </w:p>
    <w:p w14:paraId="6FBF9068" w14:textId="35062BA0"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 xml:space="preserve">Abdallah, T. M., Mohamed, M. H., &amp; Ali, A. A. (2011). Seroprevalence and epidemiological factors of hepatitis B virus (HBV) infection in Eastern Sudan. International Journal of Medicine and Medical Sciences. </w:t>
      </w:r>
      <w:hyperlink r:id="rId10" w:history="1">
        <w:r w:rsidRPr="006369C3">
          <w:rPr>
            <w:rStyle w:val="Hyperlink"/>
            <w:rFonts w:asciiTheme="majorBidi" w:hAnsiTheme="majorBidi" w:cstheme="majorBidi"/>
          </w:rPr>
          <w:t>https://doi.org/10.5897/IJMMS.B487A6B172</w:t>
        </w:r>
      </w:hyperlink>
    </w:p>
    <w:p w14:paraId="0CDE0BC0" w14:textId="09788629" w:rsidR="00102092" w:rsidRPr="00780438" w:rsidRDefault="00102092"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780438">
        <w:rPr>
          <w:rFonts w:asciiTheme="majorBidi" w:hAnsiTheme="majorBidi" w:cstheme="majorBidi"/>
          <w:color w:val="0F1115"/>
        </w:rPr>
        <w:t xml:space="preserve">Ahmed NOA, Omer ED, Mohammed MAA. Sero-prevalence of transfusion transmissible infections among blood donors in Khartoum Central Sudan. Eur </w:t>
      </w:r>
      <w:proofErr w:type="spellStart"/>
      <w:r w:rsidRPr="00780438">
        <w:rPr>
          <w:rFonts w:asciiTheme="majorBidi" w:hAnsiTheme="majorBidi" w:cstheme="majorBidi"/>
          <w:color w:val="0F1115"/>
        </w:rPr>
        <w:t>Acad</w:t>
      </w:r>
      <w:proofErr w:type="spellEnd"/>
      <w:r w:rsidRPr="00780438">
        <w:rPr>
          <w:rFonts w:asciiTheme="majorBidi" w:hAnsiTheme="majorBidi" w:cstheme="majorBidi"/>
          <w:color w:val="0F1115"/>
        </w:rPr>
        <w:t xml:space="preserve"> Res. 2016;4(3):2234-2246.</w:t>
      </w:r>
    </w:p>
    <w:p w14:paraId="3D75832A" w14:textId="77777777" w:rsidR="00102092" w:rsidRPr="00780438" w:rsidRDefault="00102092"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780438">
        <w:rPr>
          <w:rFonts w:asciiTheme="majorBidi" w:hAnsiTheme="majorBidi" w:cstheme="majorBidi"/>
          <w:color w:val="0F1115"/>
        </w:rPr>
        <w:t xml:space="preserve">Mohammed B, </w:t>
      </w:r>
      <w:proofErr w:type="spellStart"/>
      <w:r w:rsidRPr="00780438">
        <w:rPr>
          <w:rFonts w:asciiTheme="majorBidi" w:hAnsiTheme="majorBidi" w:cstheme="majorBidi"/>
          <w:color w:val="0F1115"/>
        </w:rPr>
        <w:t>Badneen</w:t>
      </w:r>
      <w:proofErr w:type="spellEnd"/>
      <w:r w:rsidRPr="00780438">
        <w:rPr>
          <w:rFonts w:asciiTheme="majorBidi" w:hAnsiTheme="majorBidi" w:cstheme="majorBidi"/>
          <w:color w:val="0F1115"/>
        </w:rPr>
        <w:t xml:space="preserve"> M, </w:t>
      </w:r>
      <w:proofErr w:type="spellStart"/>
      <w:r w:rsidRPr="00780438">
        <w:rPr>
          <w:rFonts w:asciiTheme="majorBidi" w:hAnsiTheme="majorBidi" w:cstheme="majorBidi"/>
          <w:color w:val="0F1115"/>
        </w:rPr>
        <w:t>Gibreel</w:t>
      </w:r>
      <w:proofErr w:type="spellEnd"/>
      <w:r w:rsidRPr="00780438">
        <w:rPr>
          <w:rFonts w:asciiTheme="majorBidi" w:hAnsiTheme="majorBidi" w:cstheme="majorBidi"/>
          <w:color w:val="0F1115"/>
        </w:rPr>
        <w:t xml:space="preserve"> M, Othman S. Prevalence of transfusion-transmissible infections among blood donors in Port Sudan. Egypt J </w:t>
      </w:r>
      <w:proofErr w:type="spellStart"/>
      <w:r w:rsidRPr="00780438">
        <w:rPr>
          <w:rFonts w:asciiTheme="majorBidi" w:hAnsiTheme="majorBidi" w:cstheme="majorBidi"/>
          <w:color w:val="0F1115"/>
        </w:rPr>
        <w:t>Haematol</w:t>
      </w:r>
      <w:proofErr w:type="spellEnd"/>
      <w:r w:rsidRPr="00780438">
        <w:rPr>
          <w:rFonts w:asciiTheme="majorBidi" w:hAnsiTheme="majorBidi" w:cstheme="majorBidi"/>
          <w:color w:val="0F1115"/>
        </w:rPr>
        <w:t>. 2019;44(1):72-76.</w:t>
      </w:r>
    </w:p>
    <w:p w14:paraId="6D8BF589" w14:textId="4177FAEE"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proofErr w:type="spellStart"/>
      <w:r w:rsidRPr="001A07B9">
        <w:rPr>
          <w:rFonts w:asciiTheme="majorBidi" w:hAnsiTheme="majorBidi" w:cstheme="majorBidi"/>
          <w:color w:val="0F1115"/>
        </w:rPr>
        <w:t>Elfaki</w:t>
      </w:r>
      <w:proofErr w:type="spellEnd"/>
      <w:r w:rsidRPr="001A07B9">
        <w:rPr>
          <w:rFonts w:asciiTheme="majorBidi" w:hAnsiTheme="majorBidi" w:cstheme="majorBidi"/>
          <w:color w:val="0F1115"/>
        </w:rPr>
        <w:t xml:space="preserve">, A. M. H., Eldour, A. A. A., &amp; Elsheikh, N. M. H. (2008). Sero-prevalence of immunodeficiency virus, hepatitis B and C and syphilis among blood donors at </w:t>
      </w:r>
      <w:proofErr w:type="spellStart"/>
      <w:r w:rsidRPr="001A07B9">
        <w:rPr>
          <w:rFonts w:asciiTheme="majorBidi" w:hAnsiTheme="majorBidi" w:cstheme="majorBidi"/>
          <w:color w:val="0F1115"/>
        </w:rPr>
        <w:t>ElObeid</w:t>
      </w:r>
      <w:proofErr w:type="spellEnd"/>
      <w:r w:rsidRPr="001A07B9">
        <w:rPr>
          <w:rFonts w:asciiTheme="majorBidi" w:hAnsiTheme="majorBidi" w:cstheme="majorBidi"/>
          <w:color w:val="0F1115"/>
        </w:rPr>
        <w:t xml:space="preserve"> Teaching Hospital, West Sudan. Sudan Journal of Medical Sciences, 3(4), 333-338. </w:t>
      </w:r>
      <w:hyperlink r:id="rId11" w:history="1">
        <w:r w:rsidRPr="006369C3">
          <w:rPr>
            <w:rStyle w:val="Hyperlink"/>
            <w:rFonts w:asciiTheme="majorBidi" w:hAnsiTheme="majorBidi" w:cstheme="majorBidi"/>
          </w:rPr>
          <w:t>https://doi.org/10.52981/sjms.v3i4.1432</w:t>
        </w:r>
      </w:hyperlink>
    </w:p>
    <w:p w14:paraId="7F4292E6" w14:textId="24136865"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Mahmoud, R. A., El-</w:t>
      </w:r>
      <w:proofErr w:type="spellStart"/>
      <w:r w:rsidRPr="001A07B9">
        <w:rPr>
          <w:rFonts w:asciiTheme="majorBidi" w:hAnsiTheme="majorBidi" w:cstheme="majorBidi"/>
          <w:color w:val="0F1115"/>
        </w:rPr>
        <w:t>Mazary</w:t>
      </w:r>
      <w:proofErr w:type="spellEnd"/>
      <w:r w:rsidRPr="001A07B9">
        <w:rPr>
          <w:rFonts w:asciiTheme="majorBidi" w:hAnsiTheme="majorBidi" w:cstheme="majorBidi"/>
          <w:color w:val="0F1115"/>
        </w:rPr>
        <w:t xml:space="preserve">, A. A. M., &amp; </w:t>
      </w:r>
      <w:proofErr w:type="spellStart"/>
      <w:r w:rsidRPr="001A07B9">
        <w:rPr>
          <w:rFonts w:asciiTheme="majorBidi" w:hAnsiTheme="majorBidi" w:cstheme="majorBidi"/>
          <w:color w:val="0F1115"/>
        </w:rPr>
        <w:t>Khodeary</w:t>
      </w:r>
      <w:proofErr w:type="spellEnd"/>
      <w:r w:rsidRPr="001A07B9">
        <w:rPr>
          <w:rFonts w:asciiTheme="majorBidi" w:hAnsiTheme="majorBidi" w:cstheme="majorBidi"/>
          <w:color w:val="0F1115"/>
        </w:rPr>
        <w:t xml:space="preserve">, A. (2016). Seroprevalence of Hepatitis C, Hepatitis B, Cytomegalovirus, and Human Immunodeficiency Viruses in </w:t>
      </w:r>
      <w:proofErr w:type="spellStart"/>
      <w:r w:rsidRPr="001A07B9">
        <w:rPr>
          <w:rFonts w:asciiTheme="majorBidi" w:hAnsiTheme="majorBidi" w:cstheme="majorBidi"/>
          <w:color w:val="0F1115"/>
        </w:rPr>
        <w:t>Multitransfused</w:t>
      </w:r>
      <w:proofErr w:type="spellEnd"/>
      <w:r w:rsidRPr="001A07B9">
        <w:rPr>
          <w:rFonts w:asciiTheme="majorBidi" w:hAnsiTheme="majorBidi" w:cstheme="majorBidi"/>
          <w:color w:val="0F1115"/>
        </w:rPr>
        <w:t xml:space="preserve"> </w:t>
      </w:r>
      <w:r w:rsidRPr="001A07B9">
        <w:rPr>
          <w:rFonts w:asciiTheme="majorBidi" w:hAnsiTheme="majorBidi" w:cstheme="majorBidi"/>
          <w:color w:val="0F1115"/>
        </w:rPr>
        <w:lastRenderedPageBreak/>
        <w:t xml:space="preserve">Thalassemic Children in Upper Egypt. Advances in Hematology. </w:t>
      </w:r>
      <w:hyperlink r:id="rId12" w:history="1">
        <w:r w:rsidRPr="006369C3">
          <w:rPr>
            <w:rStyle w:val="Hyperlink"/>
            <w:rFonts w:asciiTheme="majorBidi" w:hAnsiTheme="majorBidi" w:cstheme="majorBidi"/>
          </w:rPr>
          <w:t>https://doi.org/10.1155/2016/9032627</w:t>
        </w:r>
      </w:hyperlink>
    </w:p>
    <w:p w14:paraId="5A2FFC6B" w14:textId="6E31E643"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 xml:space="preserve">World Health Organization. (2024). Sudan crisis: situation reports. </w:t>
      </w:r>
      <w:hyperlink r:id="rId13" w:history="1">
        <w:r w:rsidRPr="006369C3">
          <w:rPr>
            <w:rStyle w:val="Hyperlink"/>
            <w:rFonts w:asciiTheme="majorBidi" w:hAnsiTheme="majorBidi" w:cstheme="majorBidi"/>
          </w:rPr>
          <w:t>https://www.who.int/emergencies/situations/sudan-crisis</w:t>
        </w:r>
      </w:hyperlink>
    </w:p>
    <w:p w14:paraId="16409F94" w14:textId="40C40FCB"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 xml:space="preserve">United Nations Office for the Coordination of Humanitarian Affairs. (2024). Sudan Humanitarian Needs and Response Plan 2024. </w:t>
      </w:r>
      <w:hyperlink r:id="rId14" w:history="1">
        <w:r w:rsidRPr="006369C3">
          <w:rPr>
            <w:rStyle w:val="Hyperlink"/>
            <w:rFonts w:asciiTheme="majorBidi" w:hAnsiTheme="majorBidi" w:cstheme="majorBidi"/>
          </w:rPr>
          <w:t>https://reports.unocha.org/en/country/sudan</w:t>
        </w:r>
      </w:hyperlink>
    </w:p>
    <w:p w14:paraId="4325030B" w14:textId="3EB73A34" w:rsidR="00102092" w:rsidRPr="00780438" w:rsidRDefault="00102092"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proofErr w:type="spellStart"/>
      <w:r w:rsidRPr="00780438">
        <w:rPr>
          <w:rFonts w:asciiTheme="majorBidi" w:hAnsiTheme="majorBidi" w:cstheme="majorBidi"/>
          <w:color w:val="0F1115"/>
        </w:rPr>
        <w:t>Altayb</w:t>
      </w:r>
      <w:proofErr w:type="spellEnd"/>
      <w:r w:rsidRPr="00780438">
        <w:rPr>
          <w:rFonts w:asciiTheme="majorBidi" w:hAnsiTheme="majorBidi" w:cstheme="majorBidi"/>
          <w:color w:val="0F1115"/>
        </w:rPr>
        <w:t xml:space="preserve"> HN, </w:t>
      </w:r>
      <w:proofErr w:type="spellStart"/>
      <w:r w:rsidRPr="00780438">
        <w:rPr>
          <w:rFonts w:asciiTheme="majorBidi" w:hAnsiTheme="majorBidi" w:cstheme="majorBidi"/>
          <w:color w:val="0F1115"/>
        </w:rPr>
        <w:t>Elagib</w:t>
      </w:r>
      <w:proofErr w:type="spellEnd"/>
      <w:r w:rsidRPr="00780438">
        <w:rPr>
          <w:rFonts w:asciiTheme="majorBidi" w:hAnsiTheme="majorBidi" w:cstheme="majorBidi"/>
          <w:color w:val="0F1115"/>
        </w:rPr>
        <w:t xml:space="preserve"> A, Al-</w:t>
      </w:r>
      <w:proofErr w:type="spellStart"/>
      <w:r w:rsidRPr="00780438">
        <w:rPr>
          <w:rFonts w:asciiTheme="majorBidi" w:hAnsiTheme="majorBidi" w:cstheme="majorBidi"/>
          <w:color w:val="0F1115"/>
        </w:rPr>
        <w:t>Elaagi</w:t>
      </w:r>
      <w:proofErr w:type="spellEnd"/>
      <w:r w:rsidRPr="00780438">
        <w:rPr>
          <w:rFonts w:asciiTheme="majorBidi" w:hAnsiTheme="majorBidi" w:cstheme="majorBidi"/>
          <w:color w:val="0F1115"/>
        </w:rPr>
        <w:t xml:space="preserve"> H, et al. Impact of armed conflict on health services in Sudan: A rapid assessment. </w:t>
      </w:r>
      <w:proofErr w:type="spellStart"/>
      <w:r w:rsidRPr="00780438">
        <w:rPr>
          <w:rFonts w:asciiTheme="majorBidi" w:hAnsiTheme="majorBidi" w:cstheme="majorBidi"/>
          <w:color w:val="0F1115"/>
        </w:rPr>
        <w:t>Confl</w:t>
      </w:r>
      <w:proofErr w:type="spellEnd"/>
      <w:r w:rsidRPr="00780438">
        <w:rPr>
          <w:rFonts w:asciiTheme="majorBidi" w:hAnsiTheme="majorBidi" w:cstheme="majorBidi"/>
          <w:color w:val="0F1115"/>
        </w:rPr>
        <w:t xml:space="preserve"> Health. </w:t>
      </w:r>
      <w:proofErr w:type="gramStart"/>
      <w:r w:rsidRPr="00780438">
        <w:rPr>
          <w:rFonts w:asciiTheme="majorBidi" w:hAnsiTheme="majorBidi" w:cstheme="majorBidi"/>
          <w:color w:val="0F1115"/>
        </w:rPr>
        <w:t>2024;18:15</w:t>
      </w:r>
      <w:proofErr w:type="gramEnd"/>
      <w:r w:rsidRPr="00780438">
        <w:rPr>
          <w:rFonts w:asciiTheme="majorBidi" w:hAnsiTheme="majorBidi" w:cstheme="majorBidi"/>
          <w:color w:val="0F1115"/>
        </w:rPr>
        <w:t>.</w:t>
      </w:r>
    </w:p>
    <w:p w14:paraId="486F37DD" w14:textId="7F25FF4F"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proofErr w:type="spellStart"/>
      <w:r w:rsidRPr="001A07B9">
        <w:rPr>
          <w:rFonts w:asciiTheme="majorBidi" w:hAnsiTheme="majorBidi" w:cstheme="majorBidi"/>
          <w:color w:val="0F1115"/>
        </w:rPr>
        <w:t>Elfaki</w:t>
      </w:r>
      <w:proofErr w:type="spellEnd"/>
      <w:r w:rsidRPr="001A07B9">
        <w:rPr>
          <w:rFonts w:asciiTheme="majorBidi" w:hAnsiTheme="majorBidi" w:cstheme="majorBidi"/>
          <w:color w:val="0F1115"/>
        </w:rPr>
        <w:t xml:space="preserve">, A. M. H., </w:t>
      </w:r>
      <w:proofErr w:type="spellStart"/>
      <w:r w:rsidRPr="001A07B9">
        <w:rPr>
          <w:rFonts w:asciiTheme="majorBidi" w:hAnsiTheme="majorBidi" w:cstheme="majorBidi"/>
          <w:color w:val="0F1115"/>
        </w:rPr>
        <w:t>Agab</w:t>
      </w:r>
      <w:proofErr w:type="spellEnd"/>
      <w:r w:rsidRPr="001A07B9">
        <w:rPr>
          <w:rFonts w:asciiTheme="majorBidi" w:hAnsiTheme="majorBidi" w:cstheme="majorBidi"/>
          <w:color w:val="0F1115"/>
        </w:rPr>
        <w:t xml:space="preserve"> </w:t>
      </w:r>
      <w:proofErr w:type="spellStart"/>
      <w:r w:rsidRPr="001A07B9">
        <w:rPr>
          <w:rFonts w:asciiTheme="majorBidi" w:hAnsiTheme="majorBidi" w:cstheme="majorBidi"/>
          <w:color w:val="0F1115"/>
        </w:rPr>
        <w:t>Eldour</w:t>
      </w:r>
      <w:proofErr w:type="spellEnd"/>
      <w:r w:rsidRPr="001A07B9">
        <w:rPr>
          <w:rFonts w:asciiTheme="majorBidi" w:hAnsiTheme="majorBidi" w:cstheme="majorBidi"/>
          <w:color w:val="0F1115"/>
        </w:rPr>
        <w:t xml:space="preserve">, A. A., &amp; Elsheikh, N. M. H. (2008). Sero-prevalence of immunodeficiency virus, hepatitis B and C and syphilis among blood donors at </w:t>
      </w:r>
      <w:proofErr w:type="spellStart"/>
      <w:r w:rsidRPr="001A07B9">
        <w:rPr>
          <w:rFonts w:asciiTheme="majorBidi" w:hAnsiTheme="majorBidi" w:cstheme="majorBidi"/>
          <w:color w:val="0F1115"/>
        </w:rPr>
        <w:t>ElObeid</w:t>
      </w:r>
      <w:proofErr w:type="spellEnd"/>
      <w:r w:rsidRPr="001A07B9">
        <w:rPr>
          <w:rFonts w:asciiTheme="majorBidi" w:hAnsiTheme="majorBidi" w:cstheme="majorBidi"/>
          <w:color w:val="0F1115"/>
        </w:rPr>
        <w:t xml:space="preserve"> Teaching Hospital, West Sudan. Sudan Journal of Medical Sciences, 3(4), 333-338. </w:t>
      </w:r>
      <w:hyperlink r:id="rId15" w:history="1">
        <w:r w:rsidRPr="006369C3">
          <w:rPr>
            <w:rStyle w:val="Hyperlink"/>
            <w:rFonts w:asciiTheme="majorBidi" w:hAnsiTheme="majorBidi" w:cstheme="majorBidi"/>
          </w:rPr>
          <w:t>https://doi.org/10.52981/sjms.v3i4.1432</w:t>
        </w:r>
      </w:hyperlink>
    </w:p>
    <w:p w14:paraId="1E4E299E" w14:textId="57A60ED6"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 xml:space="preserve">Abdelaziz, M. O. (2020). Prevalence of Transfusion Transmissible Infection Among Healthy Blood Donors at Dongola Specialized Hospital, Sudan, 2010–2015. *Sudan Journal of Medical Sciences*, *15*(2), 163-170. </w:t>
      </w:r>
      <w:hyperlink r:id="rId16" w:history="1">
        <w:r w:rsidRPr="006369C3">
          <w:rPr>
            <w:rStyle w:val="Hyperlink"/>
            <w:rFonts w:asciiTheme="majorBidi" w:hAnsiTheme="majorBidi" w:cstheme="majorBidi"/>
          </w:rPr>
          <w:t>https://doi.org/10.18502/sjms.v15i2.6787</w:t>
        </w:r>
      </w:hyperlink>
    </w:p>
    <w:p w14:paraId="3FDD128C" w14:textId="04FDF935" w:rsidR="00102092" w:rsidRPr="00780438" w:rsidRDefault="00102092"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780438">
        <w:rPr>
          <w:rFonts w:asciiTheme="majorBidi" w:hAnsiTheme="majorBidi" w:cstheme="majorBidi"/>
          <w:color w:val="0F1115"/>
        </w:rPr>
        <w:t xml:space="preserve">Bazie EA, Ali MMA, Hamza HB, </w:t>
      </w:r>
      <w:proofErr w:type="spellStart"/>
      <w:r w:rsidRPr="00780438">
        <w:rPr>
          <w:rFonts w:asciiTheme="majorBidi" w:hAnsiTheme="majorBidi" w:cstheme="majorBidi"/>
          <w:color w:val="0F1115"/>
        </w:rPr>
        <w:t>Magzoub</w:t>
      </w:r>
      <w:proofErr w:type="spellEnd"/>
      <w:r w:rsidRPr="00780438">
        <w:rPr>
          <w:rFonts w:asciiTheme="majorBidi" w:hAnsiTheme="majorBidi" w:cstheme="majorBidi"/>
          <w:color w:val="0F1115"/>
        </w:rPr>
        <w:t xml:space="preserve"> OS, Salih MSM, Haroun BE. Sero-Prevalence of Viral Transfusion-transmissible Infections among Blood Donors at Kosti Teaching Hospital, White Nile State/Sudan. Int J </w:t>
      </w:r>
      <w:proofErr w:type="spellStart"/>
      <w:r w:rsidRPr="00780438">
        <w:rPr>
          <w:rFonts w:asciiTheme="majorBidi" w:hAnsiTheme="majorBidi" w:cstheme="majorBidi"/>
          <w:color w:val="0F1115"/>
        </w:rPr>
        <w:t>Curr</w:t>
      </w:r>
      <w:proofErr w:type="spellEnd"/>
      <w:r w:rsidRPr="00780438">
        <w:rPr>
          <w:rFonts w:asciiTheme="majorBidi" w:hAnsiTheme="majorBidi" w:cstheme="majorBidi"/>
          <w:color w:val="0F1115"/>
        </w:rPr>
        <w:t xml:space="preserve"> Microbiol Appl Sci. 2015;4(5):1132-1138.</w:t>
      </w:r>
    </w:p>
    <w:p w14:paraId="504801CC" w14:textId="7C9D26D8"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 xml:space="preserve">Schweitzer, A., Horn, J., Mikolajczyk, R. T., Krause, G., &amp; Ott, J. J. (2015). Estimations of worldwide prevalence of chronic hepatitis B virus infection: a systematic review of data published between 1965 and 2013. Lancet, 386(10003), 1546-1555. </w:t>
      </w:r>
      <w:hyperlink r:id="rId17" w:history="1">
        <w:r w:rsidRPr="006369C3">
          <w:rPr>
            <w:rStyle w:val="Hyperlink"/>
            <w:rFonts w:asciiTheme="majorBidi" w:hAnsiTheme="majorBidi" w:cstheme="majorBidi"/>
          </w:rPr>
          <w:t>https://doi.org/10.1016/S0140-6736(15)61412-X</w:t>
        </w:r>
      </w:hyperlink>
    </w:p>
    <w:p w14:paraId="66F24147" w14:textId="60A2DDAA"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 xml:space="preserve">World Health Organization. (2017). Hepatitis B vaccines: WHO position paper – July 2017. </w:t>
      </w:r>
      <w:proofErr w:type="spellStart"/>
      <w:r w:rsidRPr="001A07B9">
        <w:rPr>
          <w:rFonts w:asciiTheme="majorBidi" w:hAnsiTheme="majorBidi" w:cstheme="majorBidi"/>
          <w:color w:val="0F1115"/>
        </w:rPr>
        <w:t>Wkly</w:t>
      </w:r>
      <w:proofErr w:type="spellEnd"/>
      <w:r w:rsidRPr="001A07B9">
        <w:rPr>
          <w:rFonts w:asciiTheme="majorBidi" w:hAnsiTheme="majorBidi" w:cstheme="majorBidi"/>
          <w:color w:val="0F1115"/>
        </w:rPr>
        <w:t xml:space="preserve"> Epidemiol Rec, 92(27), 369-392. </w:t>
      </w:r>
      <w:hyperlink r:id="rId18" w:history="1">
        <w:r w:rsidRPr="006369C3">
          <w:rPr>
            <w:rStyle w:val="Hyperlink"/>
            <w:rFonts w:asciiTheme="majorBidi" w:hAnsiTheme="majorBidi" w:cstheme="majorBidi"/>
          </w:rPr>
          <w:t>https://www.who.int/publications/i/item/who-wer9227-369-392</w:t>
        </w:r>
      </w:hyperlink>
    </w:p>
    <w:p w14:paraId="72218D3E" w14:textId="301E97CD"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proofErr w:type="spellStart"/>
      <w:r w:rsidRPr="001A07B9">
        <w:rPr>
          <w:rFonts w:asciiTheme="majorBidi" w:hAnsiTheme="majorBidi" w:cstheme="majorBidi"/>
          <w:color w:val="0F1115"/>
        </w:rPr>
        <w:t>Prugger</w:t>
      </w:r>
      <w:proofErr w:type="spellEnd"/>
      <w:r w:rsidRPr="001A07B9">
        <w:rPr>
          <w:rFonts w:asciiTheme="majorBidi" w:hAnsiTheme="majorBidi" w:cstheme="majorBidi"/>
          <w:color w:val="0F1115"/>
        </w:rPr>
        <w:t xml:space="preserve">, C., Laperche, S., Murphy, E. L., Bloch, E. M., Kaidarova, Z., </w:t>
      </w:r>
      <w:proofErr w:type="spellStart"/>
      <w:r w:rsidRPr="001A07B9">
        <w:rPr>
          <w:rFonts w:asciiTheme="majorBidi" w:hAnsiTheme="majorBidi" w:cstheme="majorBidi"/>
          <w:color w:val="0F1115"/>
        </w:rPr>
        <w:t>Tafflet</w:t>
      </w:r>
      <w:proofErr w:type="spellEnd"/>
      <w:r w:rsidRPr="001A07B9">
        <w:rPr>
          <w:rFonts w:asciiTheme="majorBidi" w:hAnsiTheme="majorBidi" w:cstheme="majorBidi"/>
          <w:color w:val="0F1115"/>
        </w:rPr>
        <w:t xml:space="preserve">, M., Lefrère, J.-J., &amp; </w:t>
      </w:r>
      <w:proofErr w:type="spellStart"/>
      <w:r w:rsidRPr="001A07B9">
        <w:rPr>
          <w:rFonts w:asciiTheme="majorBidi" w:hAnsiTheme="majorBidi" w:cstheme="majorBidi"/>
          <w:color w:val="0F1115"/>
        </w:rPr>
        <w:t>Jouven</w:t>
      </w:r>
      <w:proofErr w:type="spellEnd"/>
      <w:r w:rsidRPr="001A07B9">
        <w:rPr>
          <w:rFonts w:asciiTheme="majorBidi" w:hAnsiTheme="majorBidi" w:cstheme="majorBidi"/>
          <w:color w:val="0F1115"/>
        </w:rPr>
        <w:t xml:space="preserve">, X. (2016). Screening for transfusion transmissible infections using rapid diagnostic tests in Africa: a potential hazard to blood safety? *Vox Sanguinis*, *110*(2), 196–198. </w:t>
      </w:r>
      <w:hyperlink r:id="rId19" w:history="1">
        <w:r w:rsidRPr="006369C3">
          <w:rPr>
            <w:rStyle w:val="Hyperlink"/>
            <w:rFonts w:asciiTheme="majorBidi" w:hAnsiTheme="majorBidi" w:cstheme="majorBidi"/>
          </w:rPr>
          <w:t>https://doi.org/10.1111/vox.12327</w:t>
        </w:r>
      </w:hyperlink>
    </w:p>
    <w:p w14:paraId="36C5C9F1" w14:textId="20AABD3C"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r w:rsidRPr="001A07B9">
        <w:rPr>
          <w:rFonts w:asciiTheme="majorBidi" w:hAnsiTheme="majorBidi" w:cstheme="majorBidi"/>
          <w:color w:val="0F1115"/>
        </w:rPr>
        <w:t xml:space="preserve">Hajarizadeh, B., </w:t>
      </w:r>
      <w:proofErr w:type="spellStart"/>
      <w:r w:rsidRPr="001A07B9">
        <w:rPr>
          <w:rFonts w:asciiTheme="majorBidi" w:hAnsiTheme="majorBidi" w:cstheme="majorBidi"/>
          <w:color w:val="0F1115"/>
        </w:rPr>
        <w:t>Grebely</w:t>
      </w:r>
      <w:proofErr w:type="spellEnd"/>
      <w:r w:rsidRPr="001A07B9">
        <w:rPr>
          <w:rFonts w:asciiTheme="majorBidi" w:hAnsiTheme="majorBidi" w:cstheme="majorBidi"/>
          <w:color w:val="0F1115"/>
        </w:rPr>
        <w:t xml:space="preserve">, J., &amp; Dore, G. J. (2013). Epidemiology and natural history of HCV infection. Nat Rev Gastroenterol Hepatol, 10(9), 553-562. </w:t>
      </w:r>
      <w:hyperlink r:id="rId20" w:history="1">
        <w:r w:rsidRPr="006369C3">
          <w:rPr>
            <w:rStyle w:val="Hyperlink"/>
            <w:rFonts w:asciiTheme="majorBidi" w:hAnsiTheme="majorBidi" w:cstheme="majorBidi"/>
          </w:rPr>
          <w:t>https://doi.org/10.1038/nrgastro.2013.107</w:t>
        </w:r>
      </w:hyperlink>
    </w:p>
    <w:p w14:paraId="7904031D" w14:textId="14F175CB" w:rsidR="001A07B9"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proofErr w:type="spellStart"/>
      <w:r w:rsidRPr="001A07B9">
        <w:rPr>
          <w:rFonts w:asciiTheme="majorBidi" w:hAnsiTheme="majorBidi" w:cstheme="majorBidi"/>
          <w:color w:val="0F1115"/>
        </w:rPr>
        <w:lastRenderedPageBreak/>
        <w:t>Biadgo</w:t>
      </w:r>
      <w:proofErr w:type="spellEnd"/>
      <w:r w:rsidRPr="001A07B9">
        <w:rPr>
          <w:rFonts w:asciiTheme="majorBidi" w:hAnsiTheme="majorBidi" w:cstheme="majorBidi"/>
          <w:color w:val="0F1115"/>
        </w:rPr>
        <w:t xml:space="preserve">, B., Shiferaw, E., Woldu, B., Alene, K. A., &amp; </w:t>
      </w:r>
      <w:proofErr w:type="spellStart"/>
      <w:r w:rsidRPr="001A07B9">
        <w:rPr>
          <w:rFonts w:asciiTheme="majorBidi" w:hAnsiTheme="majorBidi" w:cstheme="majorBidi"/>
          <w:color w:val="0F1115"/>
        </w:rPr>
        <w:t>Melku</w:t>
      </w:r>
      <w:proofErr w:type="spellEnd"/>
      <w:r w:rsidRPr="001A07B9">
        <w:rPr>
          <w:rFonts w:asciiTheme="majorBidi" w:hAnsiTheme="majorBidi" w:cstheme="majorBidi"/>
          <w:color w:val="0F1115"/>
        </w:rPr>
        <w:t xml:space="preserve">, M. (2017). Transfusion-transmissible viral infections among blood donors at the North Gondar district blood bank, northwest Ethiopia: A </w:t>
      </w:r>
      <w:proofErr w:type="gramStart"/>
      <w:r w:rsidRPr="001A07B9">
        <w:rPr>
          <w:rFonts w:asciiTheme="majorBidi" w:hAnsiTheme="majorBidi" w:cstheme="majorBidi"/>
          <w:color w:val="0F1115"/>
        </w:rPr>
        <w:t>three year</w:t>
      </w:r>
      <w:proofErr w:type="gramEnd"/>
      <w:r w:rsidRPr="001A07B9">
        <w:rPr>
          <w:rFonts w:asciiTheme="majorBidi" w:hAnsiTheme="majorBidi" w:cstheme="majorBidi"/>
          <w:color w:val="0F1115"/>
        </w:rPr>
        <w:t xml:space="preserve"> retrospective study. </w:t>
      </w:r>
      <w:proofErr w:type="spellStart"/>
      <w:r w:rsidRPr="001A07B9">
        <w:rPr>
          <w:rFonts w:asciiTheme="majorBidi" w:hAnsiTheme="majorBidi" w:cstheme="majorBidi"/>
          <w:color w:val="0F1115"/>
        </w:rPr>
        <w:t>PLoS</w:t>
      </w:r>
      <w:proofErr w:type="spellEnd"/>
      <w:r w:rsidRPr="001A07B9">
        <w:rPr>
          <w:rFonts w:asciiTheme="majorBidi" w:hAnsiTheme="majorBidi" w:cstheme="majorBidi"/>
          <w:color w:val="0F1115"/>
        </w:rPr>
        <w:t xml:space="preserve"> One, 12(7), e0180416. </w:t>
      </w:r>
      <w:hyperlink r:id="rId21" w:history="1">
        <w:r w:rsidRPr="006369C3">
          <w:rPr>
            <w:rStyle w:val="Hyperlink"/>
            <w:rFonts w:asciiTheme="majorBidi" w:hAnsiTheme="majorBidi" w:cstheme="majorBidi"/>
          </w:rPr>
          <w:t>https://doi.org/10.1371/journal.pone.0180416</w:t>
        </w:r>
      </w:hyperlink>
    </w:p>
    <w:p w14:paraId="556F54E9" w14:textId="6A61120C" w:rsidR="00102092" w:rsidRPr="00780438" w:rsidRDefault="001A07B9" w:rsidP="00780438">
      <w:pPr>
        <w:pStyle w:val="ds-markdown-paragraph"/>
        <w:numPr>
          <w:ilvl w:val="0"/>
          <w:numId w:val="17"/>
        </w:numPr>
        <w:shd w:val="clear" w:color="auto" w:fill="FFFFFF"/>
        <w:spacing w:after="0" w:afterAutospacing="0" w:line="360" w:lineRule="auto"/>
        <w:ind w:left="0"/>
        <w:jc w:val="both"/>
        <w:rPr>
          <w:rFonts w:asciiTheme="majorBidi" w:hAnsiTheme="majorBidi" w:cstheme="majorBidi"/>
          <w:color w:val="0F1115"/>
        </w:rPr>
      </w:pPr>
      <w:proofErr w:type="spellStart"/>
      <w:r w:rsidRPr="001A07B9">
        <w:rPr>
          <w:rFonts w:asciiTheme="majorBidi" w:hAnsiTheme="majorBidi" w:cstheme="majorBidi"/>
          <w:color w:val="0F1115"/>
        </w:rPr>
        <w:t>Farshadpour</w:t>
      </w:r>
      <w:proofErr w:type="spellEnd"/>
      <w:r w:rsidRPr="001A07B9">
        <w:rPr>
          <w:rFonts w:asciiTheme="majorBidi" w:hAnsiTheme="majorBidi" w:cstheme="majorBidi"/>
          <w:color w:val="0F1115"/>
        </w:rPr>
        <w:t xml:space="preserve">, F., Taherkhani, R., Tajbakhsh, S., Gholizadeh Tangestani, M., Hajiani, G., Sharifi, N., Taherkhani, S., &amp; </w:t>
      </w:r>
      <w:proofErr w:type="spellStart"/>
      <w:r w:rsidRPr="001A07B9">
        <w:rPr>
          <w:rFonts w:asciiTheme="majorBidi" w:hAnsiTheme="majorBidi" w:cstheme="majorBidi"/>
          <w:color w:val="0F1115"/>
        </w:rPr>
        <w:t>Nejadbolkheyr</w:t>
      </w:r>
      <w:proofErr w:type="spellEnd"/>
      <w:r w:rsidRPr="001A07B9">
        <w:rPr>
          <w:rFonts w:asciiTheme="majorBidi" w:hAnsiTheme="majorBidi" w:cstheme="majorBidi"/>
          <w:color w:val="0F1115"/>
        </w:rPr>
        <w:t xml:space="preserve">, A. (2016). Prevalence and trends of transfusion-transmissible viral infections among blood donors in south of Iran: An eleven-year retrospective study. </w:t>
      </w:r>
      <w:proofErr w:type="spellStart"/>
      <w:r w:rsidRPr="001A07B9">
        <w:rPr>
          <w:rFonts w:asciiTheme="majorBidi" w:hAnsiTheme="majorBidi" w:cstheme="majorBidi"/>
          <w:color w:val="0F1115"/>
        </w:rPr>
        <w:t>PLoS</w:t>
      </w:r>
      <w:proofErr w:type="spellEnd"/>
      <w:r w:rsidRPr="001A07B9">
        <w:rPr>
          <w:rFonts w:asciiTheme="majorBidi" w:hAnsiTheme="majorBidi" w:cstheme="majorBidi"/>
          <w:color w:val="0F1115"/>
        </w:rPr>
        <w:t xml:space="preserve"> One. </w:t>
      </w:r>
      <w:hyperlink r:id="rId22" w:history="1">
        <w:r w:rsidRPr="006369C3">
          <w:rPr>
            <w:rStyle w:val="Hyperlink"/>
            <w:rFonts w:asciiTheme="majorBidi" w:hAnsiTheme="majorBidi" w:cstheme="majorBidi"/>
          </w:rPr>
          <w:t>https://doi.org/10.1371/journal.pone.0157615</w:t>
        </w:r>
      </w:hyperlink>
      <w:r>
        <w:rPr>
          <w:rFonts w:asciiTheme="majorBidi" w:hAnsiTheme="majorBidi" w:cstheme="majorBidi"/>
          <w:color w:val="0F1115"/>
        </w:rPr>
        <w:tab/>
      </w:r>
    </w:p>
    <w:p w14:paraId="2B194EEE" w14:textId="77777777" w:rsidR="007A6987" w:rsidRPr="00780438" w:rsidRDefault="007A6987" w:rsidP="00780438">
      <w:pPr>
        <w:spacing w:line="360" w:lineRule="auto"/>
        <w:jc w:val="both"/>
        <w:rPr>
          <w:rFonts w:asciiTheme="majorBidi" w:hAnsiTheme="majorBidi" w:cstheme="majorBidi"/>
          <w:sz w:val="24"/>
          <w:szCs w:val="24"/>
        </w:rPr>
      </w:pPr>
    </w:p>
    <w:sectPr w:rsidR="007A6987" w:rsidRPr="0078043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DF571" w14:textId="77777777" w:rsidR="00680455" w:rsidRDefault="00680455" w:rsidP="009F42FF">
      <w:pPr>
        <w:spacing w:after="0" w:line="240" w:lineRule="auto"/>
      </w:pPr>
      <w:r>
        <w:separator/>
      </w:r>
    </w:p>
  </w:endnote>
  <w:endnote w:type="continuationSeparator" w:id="0">
    <w:p w14:paraId="3B523A84" w14:textId="77777777" w:rsidR="00680455" w:rsidRDefault="00680455" w:rsidP="009F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BE6C" w14:textId="77777777" w:rsidR="009F42FF" w:rsidRDefault="009F4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F51C" w14:textId="77777777" w:rsidR="009F42FF" w:rsidRDefault="009F4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4C9F" w14:textId="77777777" w:rsidR="009F42FF" w:rsidRDefault="009F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874D" w14:textId="77777777" w:rsidR="00680455" w:rsidRDefault="00680455" w:rsidP="009F42FF">
      <w:pPr>
        <w:spacing w:after="0" w:line="240" w:lineRule="auto"/>
      </w:pPr>
      <w:r>
        <w:separator/>
      </w:r>
    </w:p>
  </w:footnote>
  <w:footnote w:type="continuationSeparator" w:id="0">
    <w:p w14:paraId="2FB89611" w14:textId="77777777" w:rsidR="00680455" w:rsidRDefault="00680455" w:rsidP="009F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E2ED" w14:textId="32A507F9" w:rsidR="009F42FF" w:rsidRDefault="009F42FF">
    <w:pPr>
      <w:pStyle w:val="Header"/>
    </w:pPr>
    <w:r>
      <w:rPr>
        <w:noProof/>
      </w:rPr>
      <w:pict w14:anchorId="7E08C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8FB3" w14:textId="5B395153" w:rsidR="009F42FF" w:rsidRDefault="009F42FF">
    <w:pPr>
      <w:pStyle w:val="Header"/>
    </w:pPr>
    <w:r>
      <w:rPr>
        <w:noProof/>
      </w:rPr>
      <w:pict w14:anchorId="22B37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A12" w14:textId="67E46959" w:rsidR="009F42FF" w:rsidRDefault="009F42FF">
    <w:pPr>
      <w:pStyle w:val="Header"/>
    </w:pPr>
    <w:r>
      <w:rPr>
        <w:noProof/>
      </w:rPr>
      <w:pict w14:anchorId="3AF8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75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F2D"/>
    <w:multiLevelType w:val="multilevel"/>
    <w:tmpl w:val="38A4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F178B"/>
    <w:multiLevelType w:val="multilevel"/>
    <w:tmpl w:val="D17E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7910"/>
    <w:multiLevelType w:val="multilevel"/>
    <w:tmpl w:val="45E4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934AE"/>
    <w:multiLevelType w:val="multilevel"/>
    <w:tmpl w:val="561C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0411D"/>
    <w:multiLevelType w:val="multilevel"/>
    <w:tmpl w:val="B6E85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12F0A"/>
    <w:multiLevelType w:val="multilevel"/>
    <w:tmpl w:val="B5D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03ABF"/>
    <w:multiLevelType w:val="multilevel"/>
    <w:tmpl w:val="FA1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30437"/>
    <w:multiLevelType w:val="multilevel"/>
    <w:tmpl w:val="BDD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811E1"/>
    <w:multiLevelType w:val="multilevel"/>
    <w:tmpl w:val="5306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3791A"/>
    <w:multiLevelType w:val="multilevel"/>
    <w:tmpl w:val="C99290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74F78"/>
    <w:multiLevelType w:val="multilevel"/>
    <w:tmpl w:val="D09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90949"/>
    <w:multiLevelType w:val="multilevel"/>
    <w:tmpl w:val="EA3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2664D"/>
    <w:multiLevelType w:val="multilevel"/>
    <w:tmpl w:val="BCE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827CF"/>
    <w:multiLevelType w:val="multilevel"/>
    <w:tmpl w:val="F97E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CA4A8D"/>
    <w:multiLevelType w:val="multilevel"/>
    <w:tmpl w:val="8208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208E1"/>
    <w:multiLevelType w:val="multilevel"/>
    <w:tmpl w:val="9D06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013D1B"/>
    <w:multiLevelType w:val="multilevel"/>
    <w:tmpl w:val="D4042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4"/>
  </w:num>
  <w:num w:numId="4">
    <w:abstractNumId w:val="8"/>
  </w:num>
  <w:num w:numId="5">
    <w:abstractNumId w:val="2"/>
  </w:num>
  <w:num w:numId="6">
    <w:abstractNumId w:val="16"/>
  </w:num>
  <w:num w:numId="7">
    <w:abstractNumId w:val="7"/>
  </w:num>
  <w:num w:numId="8">
    <w:abstractNumId w:val="9"/>
  </w:num>
  <w:num w:numId="9">
    <w:abstractNumId w:val="0"/>
  </w:num>
  <w:num w:numId="10">
    <w:abstractNumId w:val="1"/>
  </w:num>
  <w:num w:numId="11">
    <w:abstractNumId w:val="5"/>
  </w:num>
  <w:num w:numId="12">
    <w:abstractNumId w:val="3"/>
  </w:num>
  <w:num w:numId="13">
    <w:abstractNumId w:val="15"/>
  </w:num>
  <w:num w:numId="14">
    <w:abstractNumId w:val="10"/>
  </w:num>
  <w:num w:numId="15">
    <w:abstractNumId w:val="1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15"/>
    <w:rsid w:val="000231FE"/>
    <w:rsid w:val="000701D5"/>
    <w:rsid w:val="000B4C14"/>
    <w:rsid w:val="000E7E15"/>
    <w:rsid w:val="00102092"/>
    <w:rsid w:val="00104332"/>
    <w:rsid w:val="00141770"/>
    <w:rsid w:val="00141D7B"/>
    <w:rsid w:val="0015260C"/>
    <w:rsid w:val="0018008F"/>
    <w:rsid w:val="001A07B9"/>
    <w:rsid w:val="001E41CD"/>
    <w:rsid w:val="001E6704"/>
    <w:rsid w:val="002103A2"/>
    <w:rsid w:val="00262389"/>
    <w:rsid w:val="002704B1"/>
    <w:rsid w:val="002A3563"/>
    <w:rsid w:val="002C58D7"/>
    <w:rsid w:val="00307222"/>
    <w:rsid w:val="003A6A0E"/>
    <w:rsid w:val="003C5352"/>
    <w:rsid w:val="004021E0"/>
    <w:rsid w:val="004033C6"/>
    <w:rsid w:val="00497697"/>
    <w:rsid w:val="004E324E"/>
    <w:rsid w:val="004E5360"/>
    <w:rsid w:val="004F7EAB"/>
    <w:rsid w:val="00536110"/>
    <w:rsid w:val="00544C0E"/>
    <w:rsid w:val="00567B1B"/>
    <w:rsid w:val="005923F2"/>
    <w:rsid w:val="006452C4"/>
    <w:rsid w:val="00645965"/>
    <w:rsid w:val="00680455"/>
    <w:rsid w:val="006A6774"/>
    <w:rsid w:val="0074054C"/>
    <w:rsid w:val="00780438"/>
    <w:rsid w:val="007A2B27"/>
    <w:rsid w:val="007A5D79"/>
    <w:rsid w:val="007A6987"/>
    <w:rsid w:val="007D1022"/>
    <w:rsid w:val="00865969"/>
    <w:rsid w:val="00896850"/>
    <w:rsid w:val="008B362D"/>
    <w:rsid w:val="008B701F"/>
    <w:rsid w:val="008D6E22"/>
    <w:rsid w:val="008D71AA"/>
    <w:rsid w:val="009249B6"/>
    <w:rsid w:val="009F42FF"/>
    <w:rsid w:val="009F66C5"/>
    <w:rsid w:val="00AC4CFF"/>
    <w:rsid w:val="00AE0B19"/>
    <w:rsid w:val="00AF117A"/>
    <w:rsid w:val="00B0467F"/>
    <w:rsid w:val="00B41650"/>
    <w:rsid w:val="00B63784"/>
    <w:rsid w:val="00C3667B"/>
    <w:rsid w:val="00C37945"/>
    <w:rsid w:val="00C94A8F"/>
    <w:rsid w:val="00CE13D2"/>
    <w:rsid w:val="00CF3F8E"/>
    <w:rsid w:val="00CF56D3"/>
    <w:rsid w:val="00D95555"/>
    <w:rsid w:val="00DA78B2"/>
    <w:rsid w:val="00DB6112"/>
    <w:rsid w:val="00E10F56"/>
    <w:rsid w:val="00E23BA7"/>
    <w:rsid w:val="00E2724E"/>
    <w:rsid w:val="00F675ED"/>
    <w:rsid w:val="00FB1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AAB9AB"/>
  <w15:chartTrackingRefBased/>
  <w15:docId w15:val="{48BE48B5-9ED3-4589-8DDC-95F7797D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459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9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59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9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9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5965"/>
    <w:rPr>
      <w:rFonts w:ascii="Times New Roman" w:eastAsia="Times New Roman" w:hAnsi="Times New Roman" w:cs="Times New Roman"/>
      <w:b/>
      <w:bCs/>
      <w:sz w:val="24"/>
      <w:szCs w:val="24"/>
    </w:rPr>
  </w:style>
  <w:style w:type="paragraph" w:customStyle="1" w:styleId="ds-markdown-paragraph">
    <w:name w:val="ds-markdown-paragraph"/>
    <w:basedOn w:val="Normal"/>
    <w:rsid w:val="00645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965"/>
    <w:rPr>
      <w:b/>
      <w:bCs/>
    </w:rPr>
  </w:style>
  <w:style w:type="character" w:styleId="Hyperlink">
    <w:name w:val="Hyperlink"/>
    <w:basedOn w:val="DefaultParagraphFont"/>
    <w:uiPriority w:val="99"/>
    <w:unhideWhenUsed/>
    <w:rsid w:val="00645965"/>
    <w:rPr>
      <w:color w:val="0000FF"/>
      <w:u w:val="single"/>
    </w:rPr>
  </w:style>
  <w:style w:type="character" w:styleId="Emphasis">
    <w:name w:val="Emphasis"/>
    <w:basedOn w:val="DefaultParagraphFont"/>
    <w:uiPriority w:val="20"/>
    <w:qFormat/>
    <w:rsid w:val="00645965"/>
    <w:rPr>
      <w:i/>
      <w:iCs/>
    </w:rPr>
  </w:style>
  <w:style w:type="character" w:customStyle="1" w:styleId="Heading1Char">
    <w:name w:val="Heading 1 Char"/>
    <w:basedOn w:val="DefaultParagraphFont"/>
    <w:link w:val="Heading1"/>
    <w:uiPriority w:val="9"/>
    <w:rsid w:val="007A2B2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67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187F"/>
    <w:rPr>
      <w:rFonts w:ascii="Arial-BoldMT" w:hAnsi="Arial-BoldMT" w:hint="default"/>
      <w:b/>
      <w:bCs/>
      <w:i w:val="0"/>
      <w:iCs w:val="0"/>
      <w:color w:val="000000"/>
      <w:sz w:val="22"/>
      <w:szCs w:val="22"/>
    </w:rPr>
  </w:style>
  <w:style w:type="character" w:customStyle="1" w:styleId="fontstyle11">
    <w:name w:val="fontstyle11"/>
    <w:basedOn w:val="DefaultParagraphFont"/>
    <w:rsid w:val="00FB187F"/>
    <w:rPr>
      <w:rFonts w:ascii="ArialMT" w:hAnsi="ArialMT" w:hint="default"/>
      <w:b w:val="0"/>
      <w:bCs w:val="0"/>
      <w:i w:val="0"/>
      <w:iCs w:val="0"/>
      <w:color w:val="0E101A"/>
      <w:sz w:val="20"/>
      <w:szCs w:val="20"/>
    </w:rPr>
  </w:style>
  <w:style w:type="character" w:styleId="UnresolvedMention">
    <w:name w:val="Unresolved Mention"/>
    <w:basedOn w:val="DefaultParagraphFont"/>
    <w:uiPriority w:val="99"/>
    <w:semiHidden/>
    <w:unhideWhenUsed/>
    <w:rsid w:val="00DB6112"/>
    <w:rPr>
      <w:color w:val="605E5C"/>
      <w:shd w:val="clear" w:color="auto" w:fill="E1DFDD"/>
    </w:rPr>
  </w:style>
  <w:style w:type="paragraph" w:styleId="Header">
    <w:name w:val="header"/>
    <w:basedOn w:val="Normal"/>
    <w:link w:val="HeaderChar"/>
    <w:uiPriority w:val="99"/>
    <w:unhideWhenUsed/>
    <w:rsid w:val="009F4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FF"/>
  </w:style>
  <w:style w:type="paragraph" w:styleId="Footer">
    <w:name w:val="footer"/>
    <w:basedOn w:val="Normal"/>
    <w:link w:val="FooterChar"/>
    <w:uiPriority w:val="99"/>
    <w:unhideWhenUsed/>
    <w:rsid w:val="009F4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2589">
      <w:bodyDiv w:val="1"/>
      <w:marLeft w:val="0"/>
      <w:marRight w:val="0"/>
      <w:marTop w:val="0"/>
      <w:marBottom w:val="0"/>
      <w:divBdr>
        <w:top w:val="none" w:sz="0" w:space="0" w:color="auto"/>
        <w:left w:val="none" w:sz="0" w:space="0" w:color="auto"/>
        <w:bottom w:val="none" w:sz="0" w:space="0" w:color="auto"/>
        <w:right w:val="none" w:sz="0" w:space="0" w:color="auto"/>
      </w:divBdr>
    </w:div>
    <w:div w:id="374163570">
      <w:bodyDiv w:val="1"/>
      <w:marLeft w:val="0"/>
      <w:marRight w:val="0"/>
      <w:marTop w:val="0"/>
      <w:marBottom w:val="0"/>
      <w:divBdr>
        <w:top w:val="none" w:sz="0" w:space="0" w:color="auto"/>
        <w:left w:val="none" w:sz="0" w:space="0" w:color="auto"/>
        <w:bottom w:val="none" w:sz="0" w:space="0" w:color="auto"/>
        <w:right w:val="none" w:sz="0" w:space="0" w:color="auto"/>
      </w:divBdr>
      <w:divsChild>
        <w:div w:id="920413874">
          <w:marLeft w:val="0"/>
          <w:marRight w:val="0"/>
          <w:marTop w:val="0"/>
          <w:marBottom w:val="0"/>
          <w:divBdr>
            <w:top w:val="none" w:sz="0" w:space="0" w:color="auto"/>
            <w:left w:val="none" w:sz="0" w:space="0" w:color="auto"/>
            <w:bottom w:val="none" w:sz="0" w:space="0" w:color="auto"/>
            <w:right w:val="none" w:sz="0" w:space="0" w:color="auto"/>
          </w:divBdr>
        </w:div>
        <w:div w:id="1459645706">
          <w:marLeft w:val="0"/>
          <w:marRight w:val="0"/>
          <w:marTop w:val="0"/>
          <w:marBottom w:val="0"/>
          <w:divBdr>
            <w:top w:val="none" w:sz="0" w:space="0" w:color="auto"/>
            <w:left w:val="none" w:sz="0" w:space="0" w:color="auto"/>
            <w:bottom w:val="none" w:sz="0" w:space="0" w:color="auto"/>
            <w:right w:val="none" w:sz="0" w:space="0" w:color="auto"/>
          </w:divBdr>
        </w:div>
      </w:divsChild>
    </w:div>
    <w:div w:id="596326634">
      <w:bodyDiv w:val="1"/>
      <w:marLeft w:val="0"/>
      <w:marRight w:val="0"/>
      <w:marTop w:val="0"/>
      <w:marBottom w:val="0"/>
      <w:divBdr>
        <w:top w:val="none" w:sz="0" w:space="0" w:color="auto"/>
        <w:left w:val="none" w:sz="0" w:space="0" w:color="auto"/>
        <w:bottom w:val="none" w:sz="0" w:space="0" w:color="auto"/>
        <w:right w:val="none" w:sz="0" w:space="0" w:color="auto"/>
      </w:divBdr>
    </w:div>
    <w:div w:id="633028036">
      <w:bodyDiv w:val="1"/>
      <w:marLeft w:val="0"/>
      <w:marRight w:val="0"/>
      <w:marTop w:val="0"/>
      <w:marBottom w:val="0"/>
      <w:divBdr>
        <w:top w:val="none" w:sz="0" w:space="0" w:color="auto"/>
        <w:left w:val="none" w:sz="0" w:space="0" w:color="auto"/>
        <w:bottom w:val="none" w:sz="0" w:space="0" w:color="auto"/>
        <w:right w:val="none" w:sz="0" w:space="0" w:color="auto"/>
      </w:divBdr>
    </w:div>
    <w:div w:id="817956749">
      <w:bodyDiv w:val="1"/>
      <w:marLeft w:val="0"/>
      <w:marRight w:val="0"/>
      <w:marTop w:val="0"/>
      <w:marBottom w:val="0"/>
      <w:divBdr>
        <w:top w:val="none" w:sz="0" w:space="0" w:color="auto"/>
        <w:left w:val="none" w:sz="0" w:space="0" w:color="auto"/>
        <w:bottom w:val="none" w:sz="0" w:space="0" w:color="auto"/>
        <w:right w:val="none" w:sz="0" w:space="0" w:color="auto"/>
      </w:divBdr>
    </w:div>
    <w:div w:id="841894740">
      <w:bodyDiv w:val="1"/>
      <w:marLeft w:val="0"/>
      <w:marRight w:val="0"/>
      <w:marTop w:val="0"/>
      <w:marBottom w:val="0"/>
      <w:divBdr>
        <w:top w:val="none" w:sz="0" w:space="0" w:color="auto"/>
        <w:left w:val="none" w:sz="0" w:space="0" w:color="auto"/>
        <w:bottom w:val="none" w:sz="0" w:space="0" w:color="auto"/>
        <w:right w:val="none" w:sz="0" w:space="0" w:color="auto"/>
      </w:divBdr>
    </w:div>
    <w:div w:id="843277821">
      <w:bodyDiv w:val="1"/>
      <w:marLeft w:val="0"/>
      <w:marRight w:val="0"/>
      <w:marTop w:val="0"/>
      <w:marBottom w:val="0"/>
      <w:divBdr>
        <w:top w:val="none" w:sz="0" w:space="0" w:color="auto"/>
        <w:left w:val="none" w:sz="0" w:space="0" w:color="auto"/>
        <w:bottom w:val="none" w:sz="0" w:space="0" w:color="auto"/>
        <w:right w:val="none" w:sz="0" w:space="0" w:color="auto"/>
      </w:divBdr>
    </w:div>
    <w:div w:id="1020815149">
      <w:bodyDiv w:val="1"/>
      <w:marLeft w:val="0"/>
      <w:marRight w:val="0"/>
      <w:marTop w:val="0"/>
      <w:marBottom w:val="0"/>
      <w:divBdr>
        <w:top w:val="none" w:sz="0" w:space="0" w:color="auto"/>
        <w:left w:val="none" w:sz="0" w:space="0" w:color="auto"/>
        <w:bottom w:val="none" w:sz="0" w:space="0" w:color="auto"/>
        <w:right w:val="none" w:sz="0" w:space="0" w:color="auto"/>
      </w:divBdr>
    </w:div>
    <w:div w:id="1240098611">
      <w:bodyDiv w:val="1"/>
      <w:marLeft w:val="0"/>
      <w:marRight w:val="0"/>
      <w:marTop w:val="0"/>
      <w:marBottom w:val="0"/>
      <w:divBdr>
        <w:top w:val="none" w:sz="0" w:space="0" w:color="auto"/>
        <w:left w:val="none" w:sz="0" w:space="0" w:color="auto"/>
        <w:bottom w:val="none" w:sz="0" w:space="0" w:color="auto"/>
        <w:right w:val="none" w:sz="0" w:space="0" w:color="auto"/>
      </w:divBdr>
    </w:div>
    <w:div w:id="1390036483">
      <w:bodyDiv w:val="1"/>
      <w:marLeft w:val="0"/>
      <w:marRight w:val="0"/>
      <w:marTop w:val="0"/>
      <w:marBottom w:val="0"/>
      <w:divBdr>
        <w:top w:val="none" w:sz="0" w:space="0" w:color="auto"/>
        <w:left w:val="none" w:sz="0" w:space="0" w:color="auto"/>
        <w:bottom w:val="none" w:sz="0" w:space="0" w:color="auto"/>
        <w:right w:val="none" w:sz="0" w:space="0" w:color="auto"/>
      </w:divBdr>
    </w:div>
    <w:div w:id="1808812175">
      <w:bodyDiv w:val="1"/>
      <w:marLeft w:val="0"/>
      <w:marRight w:val="0"/>
      <w:marTop w:val="0"/>
      <w:marBottom w:val="0"/>
      <w:divBdr>
        <w:top w:val="none" w:sz="0" w:space="0" w:color="auto"/>
        <w:left w:val="none" w:sz="0" w:space="0" w:color="auto"/>
        <w:bottom w:val="none" w:sz="0" w:space="0" w:color="auto"/>
        <w:right w:val="none" w:sz="0" w:space="0" w:color="auto"/>
      </w:divBdr>
    </w:div>
    <w:div w:id="1947274471">
      <w:bodyDiv w:val="1"/>
      <w:marLeft w:val="0"/>
      <w:marRight w:val="0"/>
      <w:marTop w:val="0"/>
      <w:marBottom w:val="0"/>
      <w:divBdr>
        <w:top w:val="none" w:sz="0" w:space="0" w:color="auto"/>
        <w:left w:val="none" w:sz="0" w:space="0" w:color="auto"/>
        <w:bottom w:val="none" w:sz="0" w:space="0" w:color="auto"/>
        <w:right w:val="none" w:sz="0" w:space="0" w:color="auto"/>
      </w:divBdr>
      <w:divsChild>
        <w:div w:id="1778214414">
          <w:marLeft w:val="0"/>
          <w:marRight w:val="0"/>
          <w:marTop w:val="0"/>
          <w:marBottom w:val="0"/>
          <w:divBdr>
            <w:top w:val="none" w:sz="0" w:space="0" w:color="auto"/>
            <w:left w:val="none" w:sz="0" w:space="0" w:color="auto"/>
            <w:bottom w:val="none" w:sz="0" w:space="0" w:color="auto"/>
            <w:right w:val="none" w:sz="0" w:space="0" w:color="auto"/>
          </w:divBdr>
        </w:div>
        <w:div w:id="348532465">
          <w:marLeft w:val="0"/>
          <w:marRight w:val="0"/>
          <w:marTop w:val="0"/>
          <w:marBottom w:val="0"/>
          <w:divBdr>
            <w:top w:val="none" w:sz="0" w:space="0" w:color="auto"/>
            <w:left w:val="none" w:sz="0" w:space="0" w:color="auto"/>
            <w:bottom w:val="none" w:sz="0" w:space="0" w:color="auto"/>
            <w:right w:val="none" w:sz="0" w:space="0" w:color="auto"/>
          </w:divBdr>
        </w:div>
      </w:divsChild>
    </w:div>
    <w:div w:id="2044018930">
      <w:bodyDiv w:val="1"/>
      <w:marLeft w:val="0"/>
      <w:marRight w:val="0"/>
      <w:marTop w:val="0"/>
      <w:marBottom w:val="0"/>
      <w:divBdr>
        <w:top w:val="none" w:sz="0" w:space="0" w:color="auto"/>
        <w:left w:val="none" w:sz="0" w:space="0" w:color="auto"/>
        <w:bottom w:val="none" w:sz="0" w:space="0" w:color="auto"/>
        <w:right w:val="none" w:sz="0" w:space="0" w:color="auto"/>
      </w:divBdr>
    </w:div>
    <w:div w:id="2134322501">
      <w:bodyDiv w:val="1"/>
      <w:marLeft w:val="0"/>
      <w:marRight w:val="0"/>
      <w:marTop w:val="0"/>
      <w:marBottom w:val="0"/>
      <w:divBdr>
        <w:top w:val="none" w:sz="0" w:space="0" w:color="auto"/>
        <w:left w:val="none" w:sz="0" w:space="0" w:color="auto"/>
        <w:bottom w:val="none" w:sz="0" w:space="0" w:color="auto"/>
        <w:right w:val="none" w:sz="0" w:space="0" w:color="auto"/>
      </w:divBdr>
      <w:divsChild>
        <w:div w:id="1618414071">
          <w:marLeft w:val="0"/>
          <w:marRight w:val="0"/>
          <w:marTop w:val="0"/>
          <w:marBottom w:val="0"/>
          <w:divBdr>
            <w:top w:val="none" w:sz="0" w:space="0" w:color="auto"/>
            <w:left w:val="none" w:sz="0" w:space="0" w:color="auto"/>
            <w:bottom w:val="none" w:sz="0" w:space="0" w:color="auto"/>
            <w:right w:val="none" w:sz="0" w:space="0" w:color="auto"/>
          </w:divBdr>
        </w:div>
        <w:div w:id="120482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289.8.959" TargetMode="External"/><Relationship Id="rId13" Type="http://schemas.openxmlformats.org/officeDocument/2006/relationships/hyperlink" Target="https://www.who.int/emergencies/situations/sudan-crisis" TargetMode="External"/><Relationship Id="rId18" Type="http://schemas.openxmlformats.org/officeDocument/2006/relationships/hyperlink" Target="https://www.who.int/publications/i/item/who-wer9227-369-39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371/journal.pone.0180416" TargetMode="External"/><Relationship Id="rId7" Type="http://schemas.openxmlformats.org/officeDocument/2006/relationships/hyperlink" Target="https://www.who.int/news-room/fact-sheets/detail/blood-safety-and-availability" TargetMode="External"/><Relationship Id="rId12" Type="http://schemas.openxmlformats.org/officeDocument/2006/relationships/hyperlink" Target="https://doi.org/10.1155/2016/9032627" TargetMode="External"/><Relationship Id="rId17" Type="http://schemas.openxmlformats.org/officeDocument/2006/relationships/hyperlink" Target="https://doi.org/10.1016/S0140-6736(15)61412-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8502/sjms.v15i2.6787" TargetMode="External"/><Relationship Id="rId20" Type="http://schemas.openxmlformats.org/officeDocument/2006/relationships/hyperlink" Target="https://doi.org/10.1038/nrgastro.2013.1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981/sjms.v3i4.143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2981/sjms.v3i4.143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5897/IJMMS.B487A6B172" TargetMode="External"/><Relationship Id="rId19" Type="http://schemas.openxmlformats.org/officeDocument/2006/relationships/hyperlink" Target="https://doi.org/10.1111/vox.12327" TargetMode="External"/><Relationship Id="rId4" Type="http://schemas.openxmlformats.org/officeDocument/2006/relationships/webSettings" Target="webSettings.xml"/><Relationship Id="rId9" Type="http://schemas.openxmlformats.org/officeDocument/2006/relationships/hyperlink" Target="https://doi.org/10.1111/j.1537-2995.2009.002402.x" TargetMode="External"/><Relationship Id="rId14" Type="http://schemas.openxmlformats.org/officeDocument/2006/relationships/hyperlink" Target="https://reports.unocha.org/en/country/sudan" TargetMode="External"/><Relationship Id="rId22" Type="http://schemas.openxmlformats.org/officeDocument/2006/relationships/hyperlink" Target="https://doi.org/10.1371/journal.pone.015761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65</cp:revision>
  <dcterms:created xsi:type="dcterms:W3CDTF">2025-12-18T07:28:00Z</dcterms:created>
  <dcterms:modified xsi:type="dcterms:W3CDTF">2025-12-24T08:44:00Z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f62f620d-069c-45a0-ac46-bff2f029b5ec</vt:lpwstr>
  </property>
</Properties>
</file>