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A0324" w14:textId="598F4D33" w:rsidR="00754C9A" w:rsidRDefault="0024555A" w:rsidP="00441B6F">
      <w:pPr>
        <w:pStyle w:val="Title"/>
        <w:spacing w:after="0"/>
        <w:jc w:val="both"/>
        <w:rPr>
          <w:rFonts w:ascii="Arial" w:hAnsi="Arial" w:cs="Arial"/>
        </w:rPr>
      </w:pPr>
      <w:r w:rsidRPr="0024555A">
        <w:rPr>
          <w:rFonts w:ascii="Arial" w:hAnsi="Arial" w:cs="Arial"/>
        </w:rPr>
        <w:t>Original Research Article</w:t>
      </w:r>
    </w:p>
    <w:p w14:paraId="7FCB6546" w14:textId="77777777" w:rsidR="0024555A" w:rsidRDefault="0024555A" w:rsidP="00441B6F">
      <w:pPr>
        <w:pStyle w:val="Title"/>
        <w:spacing w:after="0"/>
        <w:jc w:val="both"/>
        <w:rPr>
          <w:rFonts w:ascii="Arial" w:hAnsi="Arial" w:cs="Arial"/>
        </w:rPr>
      </w:pPr>
    </w:p>
    <w:p w14:paraId="7CA33D05" w14:textId="77777777" w:rsidR="0024555A" w:rsidRDefault="0024555A" w:rsidP="00441B6F">
      <w:pPr>
        <w:pStyle w:val="Title"/>
        <w:spacing w:after="0"/>
        <w:jc w:val="both"/>
        <w:rPr>
          <w:rFonts w:ascii="Arial" w:hAnsi="Arial" w:cs="Arial"/>
        </w:rPr>
      </w:pPr>
    </w:p>
    <w:p w14:paraId="42C72A16" w14:textId="5A041E58" w:rsidR="00163BC4" w:rsidRPr="00163BC4" w:rsidRDefault="00A3219E" w:rsidP="00441B6F">
      <w:pPr>
        <w:pStyle w:val="Author"/>
        <w:spacing w:line="240" w:lineRule="auto"/>
        <w:rPr>
          <w:rFonts w:ascii="Arial" w:hAnsi="Arial" w:cs="Arial"/>
          <w:bCs/>
          <w:iCs/>
          <w:kern w:val="28"/>
          <w:sz w:val="36"/>
        </w:rPr>
      </w:pPr>
      <w:r>
        <w:rPr>
          <w:rFonts w:ascii="Arial" w:hAnsi="Arial" w:cs="Arial"/>
          <w:bCs/>
          <w:iCs/>
          <w:kern w:val="28"/>
          <w:sz w:val="36"/>
        </w:rPr>
        <w:t>Prevalence and Risk-</w:t>
      </w:r>
      <w:bookmarkStart w:id="0" w:name="_Hlk218162528"/>
      <w:r>
        <w:rPr>
          <w:rFonts w:ascii="Arial" w:hAnsi="Arial" w:cs="Arial"/>
          <w:bCs/>
          <w:iCs/>
          <w:kern w:val="28"/>
          <w:sz w:val="36"/>
        </w:rPr>
        <w:t xml:space="preserve">Factors of Intestinal Parasites among </w:t>
      </w:r>
      <w:bookmarkEnd w:id="0"/>
      <w:r>
        <w:rPr>
          <w:rFonts w:ascii="Arial" w:hAnsi="Arial" w:cs="Arial"/>
          <w:bCs/>
          <w:iCs/>
          <w:kern w:val="28"/>
          <w:sz w:val="36"/>
        </w:rPr>
        <w:t xml:space="preserve">schoolchildren in </w:t>
      </w:r>
      <w:proofErr w:type="spellStart"/>
      <w:r>
        <w:rPr>
          <w:rFonts w:ascii="Arial" w:hAnsi="Arial" w:cs="Arial"/>
          <w:bCs/>
          <w:iCs/>
          <w:kern w:val="28"/>
          <w:sz w:val="36"/>
        </w:rPr>
        <w:t>Mashi</w:t>
      </w:r>
      <w:proofErr w:type="spellEnd"/>
      <w:r>
        <w:rPr>
          <w:rFonts w:ascii="Arial" w:hAnsi="Arial" w:cs="Arial"/>
          <w:bCs/>
          <w:iCs/>
          <w:kern w:val="28"/>
          <w:sz w:val="36"/>
        </w:rPr>
        <w:t xml:space="preserve"> Local Government Area, Katsina State, Nigeria</w:t>
      </w:r>
    </w:p>
    <w:p w14:paraId="6DA655B2" w14:textId="77777777" w:rsidR="00A258C3" w:rsidRPr="00790ADA" w:rsidRDefault="00A258C3" w:rsidP="00441B6F">
      <w:pPr>
        <w:pStyle w:val="Author"/>
        <w:spacing w:line="240" w:lineRule="auto"/>
        <w:jc w:val="both"/>
        <w:rPr>
          <w:rFonts w:ascii="Arial" w:hAnsi="Arial" w:cs="Arial"/>
          <w:sz w:val="36"/>
        </w:rPr>
      </w:pPr>
    </w:p>
    <w:p w14:paraId="33965F61" w14:textId="77777777" w:rsidR="00790ADA" w:rsidRDefault="00790ADA" w:rsidP="00441B6F">
      <w:pPr>
        <w:pStyle w:val="Affiliation"/>
        <w:spacing w:after="0" w:line="240" w:lineRule="auto"/>
        <w:jc w:val="both"/>
        <w:rPr>
          <w:rFonts w:ascii="Arial" w:hAnsi="Arial" w:cs="Arial"/>
        </w:rPr>
      </w:pPr>
    </w:p>
    <w:p w14:paraId="2AD5DE83" w14:textId="77777777" w:rsidR="002C57D2" w:rsidRPr="00FB3A86" w:rsidRDefault="002C57D2" w:rsidP="00441B6F">
      <w:pPr>
        <w:pStyle w:val="Affiliation"/>
        <w:spacing w:after="0" w:line="240" w:lineRule="auto"/>
        <w:jc w:val="both"/>
        <w:rPr>
          <w:rFonts w:ascii="Arial" w:hAnsi="Arial" w:cs="Arial"/>
        </w:rPr>
      </w:pPr>
    </w:p>
    <w:p w14:paraId="69C60BFF" w14:textId="77777777" w:rsidR="00B01FCD" w:rsidRPr="00FB3A86" w:rsidRDefault="00800E1D" w:rsidP="00441B6F">
      <w:pPr>
        <w:pStyle w:val="Copyright"/>
        <w:spacing w:after="0" w:line="240" w:lineRule="auto"/>
        <w:jc w:val="both"/>
        <w:rPr>
          <w:rFonts w:ascii="Arial" w:hAnsi="Arial" w:cs="Arial"/>
        </w:rPr>
        <w:sectPr w:rsidR="00B01FCD" w:rsidRPr="00FB3A86" w:rsidSect="00BA26C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2ECC803" wp14:editId="70C1E052">
                <wp:extent cx="5303520" cy="0"/>
                <wp:effectExtent l="11430" t="16510" r="9525" b="12065"/>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6761B19"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I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PMF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GEKiBB8CAAA8BAAADgAAAAAAAAAAAAAAAAAuAgAAZHJzL2Uyb0RvYy54bWxQSwECLQAUAAYA&#10;CAAAACEAEUgwYNYAAAACAQAADwAAAAAAAAAAAAAAAAB5BAAAZHJzL2Rvd25yZXYueG1sUEsFBgAA&#10;AAAEAAQA8wAAAHwFAAAAAA==&#10;" strokeweight="1.5pt">
                <w10:anchorlock/>
              </v:shape>
            </w:pict>
          </mc:Fallback>
        </mc:AlternateContent>
      </w:r>
      <w:r w:rsidR="00FB3A86">
        <w:rPr>
          <w:rFonts w:ascii="Arial" w:hAnsi="Arial" w:cs="Arial"/>
        </w:rPr>
        <w:t>.</w:t>
      </w:r>
    </w:p>
    <w:p w14:paraId="6DC72F9E"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0D7AB58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50901AB" w14:textId="77777777" w:rsidTr="001E44FE">
        <w:tc>
          <w:tcPr>
            <w:tcW w:w="9576" w:type="dxa"/>
            <w:shd w:val="clear" w:color="auto" w:fill="F2F2F2"/>
          </w:tcPr>
          <w:p w14:paraId="379238D5" w14:textId="77777777" w:rsidR="00B23FD4" w:rsidRPr="00B23FD4" w:rsidRDefault="00B23FD4" w:rsidP="00B23FD4">
            <w:pPr>
              <w:pStyle w:val="Body"/>
              <w:rPr>
                <w:rFonts w:ascii="Arial" w:eastAsia="Calibri" w:hAnsi="Arial" w:cs="Arial"/>
                <w:szCs w:val="22"/>
              </w:rPr>
            </w:pPr>
            <w:r w:rsidRPr="00B23FD4">
              <w:rPr>
                <w:rFonts w:ascii="Arial" w:eastAsia="Calibri" w:hAnsi="Arial" w:cs="Arial"/>
                <w:szCs w:val="22"/>
              </w:rPr>
              <w:t xml:space="preserve">Aim: This study was conducted to determine the prevalence and risk-factors of intestinal parasitic infections among schoolchildren in </w:t>
            </w:r>
            <w:proofErr w:type="spellStart"/>
            <w:r w:rsidRPr="00B23FD4">
              <w:rPr>
                <w:rFonts w:ascii="Arial" w:eastAsia="Calibri" w:hAnsi="Arial" w:cs="Arial"/>
                <w:szCs w:val="22"/>
              </w:rPr>
              <w:t>Mashi</w:t>
            </w:r>
            <w:proofErr w:type="spellEnd"/>
            <w:r w:rsidRPr="00B23FD4">
              <w:rPr>
                <w:rFonts w:ascii="Arial" w:eastAsia="Calibri" w:hAnsi="Arial" w:cs="Arial"/>
                <w:szCs w:val="22"/>
              </w:rPr>
              <w:t xml:space="preserve"> local government Area, Katsina state, Nigeria. </w:t>
            </w:r>
          </w:p>
          <w:p w14:paraId="7F9B1FD6" w14:textId="77777777" w:rsidR="00B23FD4" w:rsidRPr="00B23FD4" w:rsidRDefault="00B23FD4" w:rsidP="00B23FD4">
            <w:pPr>
              <w:pStyle w:val="Body"/>
              <w:rPr>
                <w:rFonts w:ascii="Arial" w:eastAsia="Calibri" w:hAnsi="Arial" w:cs="Arial"/>
                <w:szCs w:val="22"/>
              </w:rPr>
            </w:pPr>
            <w:r w:rsidRPr="00B23FD4">
              <w:rPr>
                <w:rFonts w:ascii="Arial" w:eastAsia="Calibri" w:hAnsi="Arial" w:cs="Arial"/>
                <w:szCs w:val="22"/>
              </w:rPr>
              <w:t xml:space="preserve">Study Design: The research design was a descriptive cross-sectional study involving </w:t>
            </w:r>
            <w:proofErr w:type="gramStart"/>
            <w:r w:rsidRPr="00B23FD4">
              <w:rPr>
                <w:rFonts w:ascii="Arial" w:eastAsia="Calibri" w:hAnsi="Arial" w:cs="Arial"/>
                <w:szCs w:val="22"/>
              </w:rPr>
              <w:t>one time</w:t>
            </w:r>
            <w:proofErr w:type="gramEnd"/>
            <w:r w:rsidRPr="00B23FD4">
              <w:rPr>
                <w:rFonts w:ascii="Arial" w:eastAsia="Calibri" w:hAnsi="Arial" w:cs="Arial"/>
                <w:szCs w:val="22"/>
              </w:rPr>
              <w:t xml:space="preserve"> sampling of public primary schoolchildren within the study Area. </w:t>
            </w:r>
          </w:p>
          <w:p w14:paraId="7D215A7C" w14:textId="77777777" w:rsidR="00B23FD4" w:rsidRPr="00B23FD4" w:rsidRDefault="00B23FD4" w:rsidP="00B23FD4">
            <w:pPr>
              <w:pStyle w:val="Body"/>
              <w:rPr>
                <w:rFonts w:ascii="Arial" w:eastAsia="Calibri" w:hAnsi="Arial" w:cs="Arial"/>
                <w:szCs w:val="22"/>
              </w:rPr>
            </w:pPr>
            <w:r w:rsidRPr="00B23FD4">
              <w:rPr>
                <w:rFonts w:ascii="Arial" w:eastAsia="Calibri" w:hAnsi="Arial" w:cs="Arial"/>
                <w:szCs w:val="22"/>
              </w:rPr>
              <w:t>Duration: The study was conducted between the months of February to May 2024.</w:t>
            </w:r>
          </w:p>
          <w:p w14:paraId="03995018" w14:textId="77777777" w:rsidR="00B23FD4" w:rsidRPr="00B23FD4" w:rsidRDefault="00B23FD4" w:rsidP="00B23FD4">
            <w:pPr>
              <w:pStyle w:val="Body"/>
              <w:rPr>
                <w:rFonts w:ascii="Arial" w:eastAsia="Calibri" w:hAnsi="Arial" w:cs="Arial"/>
                <w:szCs w:val="22"/>
              </w:rPr>
            </w:pPr>
            <w:r w:rsidRPr="00B23FD4">
              <w:rPr>
                <w:rFonts w:ascii="Arial" w:eastAsia="Calibri" w:hAnsi="Arial" w:cs="Arial"/>
                <w:szCs w:val="22"/>
              </w:rPr>
              <w:t xml:space="preserve">Methodology: Four hundred schoolchildren were randomly selected from four public primary schools for this study. Socio-demographic data was collected using structured questionnaire administered to the study participants. </w:t>
            </w:r>
            <w:proofErr w:type="spellStart"/>
            <w:r w:rsidRPr="00B23FD4">
              <w:rPr>
                <w:rFonts w:ascii="Arial" w:eastAsia="Calibri" w:hAnsi="Arial" w:cs="Arial"/>
                <w:szCs w:val="22"/>
              </w:rPr>
              <w:t>Faecal</w:t>
            </w:r>
            <w:proofErr w:type="spellEnd"/>
            <w:r w:rsidRPr="00B23FD4">
              <w:rPr>
                <w:rFonts w:ascii="Arial" w:eastAsia="Calibri" w:hAnsi="Arial" w:cs="Arial"/>
                <w:szCs w:val="22"/>
              </w:rPr>
              <w:t xml:space="preserve"> samples were investigated using Formol-ether concentration technique. </w:t>
            </w:r>
          </w:p>
          <w:p w14:paraId="2BA264BD" w14:textId="77777777" w:rsidR="00B23FD4" w:rsidRPr="00B23FD4" w:rsidRDefault="00B23FD4" w:rsidP="00B23FD4">
            <w:pPr>
              <w:pStyle w:val="Body"/>
              <w:rPr>
                <w:rFonts w:ascii="Arial" w:eastAsia="Calibri" w:hAnsi="Arial" w:cs="Arial"/>
                <w:szCs w:val="22"/>
              </w:rPr>
            </w:pPr>
            <w:r w:rsidRPr="00B23FD4">
              <w:rPr>
                <w:rFonts w:ascii="Arial" w:eastAsia="Calibri" w:hAnsi="Arial" w:cs="Arial"/>
                <w:szCs w:val="22"/>
              </w:rPr>
              <w:t xml:space="preserve">Results: The overall prevalence of intestinal parasitic infections was 38%. The most prevalent parasites were Schistosoma mansoni (29.4%), Hookworm (22.2%), Ascaris lumbricoides (13.1%), </w:t>
            </w:r>
            <w:proofErr w:type="spellStart"/>
            <w:r w:rsidRPr="00B23FD4">
              <w:rPr>
                <w:rFonts w:ascii="Arial" w:eastAsia="Calibri" w:hAnsi="Arial" w:cs="Arial"/>
                <w:szCs w:val="22"/>
              </w:rPr>
              <w:t>Strongyloides</w:t>
            </w:r>
            <w:proofErr w:type="spellEnd"/>
            <w:r w:rsidRPr="00B23FD4">
              <w:rPr>
                <w:rFonts w:ascii="Arial" w:eastAsia="Calibri" w:hAnsi="Arial" w:cs="Arial"/>
                <w:szCs w:val="22"/>
              </w:rPr>
              <w:t xml:space="preserve"> </w:t>
            </w:r>
            <w:proofErr w:type="spellStart"/>
            <w:r w:rsidRPr="00B23FD4">
              <w:rPr>
                <w:rFonts w:ascii="Arial" w:eastAsia="Calibri" w:hAnsi="Arial" w:cs="Arial"/>
                <w:szCs w:val="22"/>
              </w:rPr>
              <w:t>stercoralis</w:t>
            </w:r>
            <w:proofErr w:type="spellEnd"/>
            <w:r w:rsidRPr="00B23FD4">
              <w:rPr>
                <w:rFonts w:ascii="Arial" w:eastAsia="Calibri" w:hAnsi="Arial" w:cs="Arial"/>
                <w:szCs w:val="22"/>
              </w:rPr>
              <w:t xml:space="preserve"> (11.8%), and Trichuris </w:t>
            </w:r>
            <w:proofErr w:type="spellStart"/>
            <w:r w:rsidRPr="00B23FD4">
              <w:rPr>
                <w:rFonts w:ascii="Arial" w:eastAsia="Calibri" w:hAnsi="Arial" w:cs="Arial"/>
                <w:szCs w:val="22"/>
              </w:rPr>
              <w:t>trichiura</w:t>
            </w:r>
            <w:proofErr w:type="spellEnd"/>
            <w:r w:rsidRPr="00B23FD4">
              <w:rPr>
                <w:rFonts w:ascii="Arial" w:eastAsia="Calibri" w:hAnsi="Arial" w:cs="Arial"/>
                <w:szCs w:val="22"/>
              </w:rPr>
              <w:t xml:space="preserve"> (11.1%). Other parasites found in lower frequencies were Entamoeba histolytica (7.8%), </w:t>
            </w:r>
            <w:proofErr w:type="spellStart"/>
            <w:r w:rsidRPr="00B23FD4">
              <w:rPr>
                <w:rFonts w:ascii="Arial" w:eastAsia="Calibri" w:hAnsi="Arial" w:cs="Arial"/>
                <w:szCs w:val="22"/>
              </w:rPr>
              <w:t>Hymenolepis</w:t>
            </w:r>
            <w:proofErr w:type="spellEnd"/>
            <w:r w:rsidRPr="00B23FD4">
              <w:rPr>
                <w:rFonts w:ascii="Arial" w:eastAsia="Calibri" w:hAnsi="Arial" w:cs="Arial"/>
                <w:szCs w:val="22"/>
              </w:rPr>
              <w:t xml:space="preserve"> nana (7.8%), Giardia lamblia (4.6%), Taenia species (2.6%), cryptosporidium spp. (2.0%), Enterobius vermicularis (1.3%), and Balantidium coli (0.65%). 14.4% of the infected children were infected with more than one parasite, indicating polyparasitism. Girls had a slightly higher infection rate (40.6%) compared to boys (35.7%), but the difference was not statistically significant (p = 0.32). Infection rates were relatively consistent across age groups: 39.8% in 5-8 years, 39.3% in 9-11 years, and 34.3% in 12-13 years (p = 0.65). Source of drinking water is the primary significant risk factor for intestinal parasitic infection in this study population. Compared to reservoir water users, pipe-borne water users had a significantly higher risk of infection, with 2.41 times the odds (AOR = 2.41, 95% CI: 1.13-5.15, p = 0.02). </w:t>
            </w:r>
          </w:p>
          <w:p w14:paraId="0FFF6D19" w14:textId="77777777" w:rsidR="00505F06" w:rsidRPr="00BA1B01" w:rsidRDefault="00B23FD4" w:rsidP="00441B6F">
            <w:pPr>
              <w:pStyle w:val="Body"/>
              <w:spacing w:after="0"/>
              <w:rPr>
                <w:rFonts w:ascii="Arial" w:eastAsia="Calibri" w:hAnsi="Arial" w:cs="Arial"/>
                <w:szCs w:val="22"/>
              </w:rPr>
            </w:pPr>
            <w:r w:rsidRPr="00B23FD4">
              <w:rPr>
                <w:rFonts w:ascii="Arial" w:eastAsia="Calibri" w:hAnsi="Arial" w:cs="Arial"/>
                <w:szCs w:val="22"/>
              </w:rPr>
              <w:t xml:space="preserve">Conclusion: This study concludes that intestinal parasitic infections are prevalent among schoolchildren in </w:t>
            </w:r>
            <w:proofErr w:type="spellStart"/>
            <w:r w:rsidRPr="00B23FD4">
              <w:rPr>
                <w:rFonts w:ascii="Arial" w:eastAsia="Calibri" w:hAnsi="Arial" w:cs="Arial"/>
                <w:szCs w:val="22"/>
              </w:rPr>
              <w:t>Mashi</w:t>
            </w:r>
            <w:proofErr w:type="spellEnd"/>
            <w:r w:rsidRPr="00B23FD4">
              <w:rPr>
                <w:rFonts w:ascii="Arial" w:eastAsia="Calibri" w:hAnsi="Arial" w:cs="Arial"/>
                <w:szCs w:val="22"/>
              </w:rPr>
              <w:t xml:space="preserve"> Local Government Area. The findings underscore the urgent need for integrated control measures that combine deworming and health education.</w:t>
            </w:r>
          </w:p>
        </w:tc>
      </w:tr>
    </w:tbl>
    <w:p w14:paraId="5591CFB1" w14:textId="77777777" w:rsidR="00636EB2" w:rsidRDefault="00636EB2" w:rsidP="00441B6F">
      <w:pPr>
        <w:pStyle w:val="Body"/>
        <w:spacing w:after="0"/>
        <w:rPr>
          <w:rFonts w:ascii="Arial" w:hAnsi="Arial" w:cs="Arial"/>
          <w:i/>
        </w:rPr>
      </w:pPr>
    </w:p>
    <w:p w14:paraId="55D99995" w14:textId="77777777" w:rsidR="00A24E7E" w:rsidRDefault="00B23FD4" w:rsidP="00441B6F">
      <w:pPr>
        <w:pStyle w:val="Body"/>
        <w:spacing w:after="0"/>
        <w:rPr>
          <w:rFonts w:ascii="Arial" w:hAnsi="Arial" w:cs="Arial"/>
          <w:i/>
        </w:rPr>
      </w:pPr>
      <w:r>
        <w:rPr>
          <w:rFonts w:ascii="Arial" w:hAnsi="Arial" w:cs="Arial"/>
          <w:i/>
        </w:rPr>
        <w:t xml:space="preserve">Keywords: </w:t>
      </w:r>
      <w:r w:rsidRPr="00B23FD4">
        <w:rPr>
          <w:rFonts w:ascii="Arial" w:hAnsi="Arial" w:cs="Arial"/>
          <w:i/>
        </w:rPr>
        <w:t>Prevalence, Risk-Factors, Intestinal Para</w:t>
      </w:r>
      <w:r>
        <w:rPr>
          <w:rFonts w:ascii="Arial" w:hAnsi="Arial" w:cs="Arial"/>
          <w:i/>
        </w:rPr>
        <w:t xml:space="preserve">sites, Schoolchildren, </w:t>
      </w:r>
      <w:proofErr w:type="spellStart"/>
      <w:r>
        <w:rPr>
          <w:rFonts w:ascii="Arial" w:hAnsi="Arial" w:cs="Arial"/>
          <w:i/>
        </w:rPr>
        <w:t>Mashi</w:t>
      </w:r>
      <w:proofErr w:type="spellEnd"/>
      <w:r>
        <w:rPr>
          <w:rFonts w:ascii="Arial" w:hAnsi="Arial" w:cs="Arial"/>
          <w:i/>
        </w:rPr>
        <w:t xml:space="preserve"> LGA.</w:t>
      </w:r>
    </w:p>
    <w:p w14:paraId="17E5D2A1" w14:textId="77777777" w:rsidR="00505F06" w:rsidRPr="00A24E7E" w:rsidRDefault="00505F06" w:rsidP="00441B6F">
      <w:pPr>
        <w:pStyle w:val="Body"/>
        <w:spacing w:after="0"/>
        <w:rPr>
          <w:rFonts w:ascii="Arial" w:hAnsi="Arial" w:cs="Arial"/>
          <w:i/>
        </w:rPr>
      </w:pPr>
    </w:p>
    <w:p w14:paraId="66CE3ABC"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10B02CBF" w14:textId="77777777" w:rsidR="00790ADA" w:rsidRPr="00FB3A86" w:rsidRDefault="00790ADA" w:rsidP="00441B6F">
      <w:pPr>
        <w:pStyle w:val="AbstHead"/>
        <w:spacing w:after="0"/>
        <w:jc w:val="both"/>
        <w:rPr>
          <w:rFonts w:ascii="Arial" w:hAnsi="Arial" w:cs="Arial"/>
        </w:rPr>
      </w:pPr>
    </w:p>
    <w:p w14:paraId="51B144D2" w14:textId="77777777" w:rsidR="00040B5D" w:rsidRPr="00040B5D" w:rsidRDefault="00040B5D" w:rsidP="00040B5D">
      <w:pPr>
        <w:pStyle w:val="Body"/>
        <w:rPr>
          <w:rFonts w:ascii="Arial" w:hAnsi="Arial" w:cs="Arial"/>
        </w:rPr>
      </w:pPr>
      <w:r w:rsidRPr="00040B5D">
        <w:rPr>
          <w:rFonts w:ascii="Arial" w:hAnsi="Arial" w:cs="Arial"/>
        </w:rPr>
        <w:t>Intestinal parasites comprise a diverse group of microorganisms that inhabit the intestinal tract of both humans and animals (Ahmed, 2023). These parasites are responsible for a wide range of infections that vary in severity, from asymptomatic carriage to clinically significant disease (Eboh et al., 2022). While some species may persist within the host for prolonged periods without inducing overt clinical manifestations or necessitating therapeutic intervention, others may lead to substantial intestinal disturbances and complications (</w:t>
      </w:r>
      <w:proofErr w:type="spellStart"/>
      <w:r w:rsidRPr="00040B5D">
        <w:rPr>
          <w:rFonts w:ascii="Arial" w:hAnsi="Arial" w:cs="Arial"/>
        </w:rPr>
        <w:t>Halliez</w:t>
      </w:r>
      <w:proofErr w:type="spellEnd"/>
      <w:r w:rsidRPr="00040B5D">
        <w:rPr>
          <w:rFonts w:ascii="Arial" w:hAnsi="Arial" w:cs="Arial"/>
        </w:rPr>
        <w:t xml:space="preserve"> and </w:t>
      </w:r>
      <w:proofErr w:type="spellStart"/>
      <w:r w:rsidRPr="00040B5D">
        <w:rPr>
          <w:rFonts w:ascii="Arial" w:hAnsi="Arial" w:cs="Arial"/>
        </w:rPr>
        <w:t>Buret</w:t>
      </w:r>
      <w:proofErr w:type="spellEnd"/>
      <w:r w:rsidRPr="00040B5D">
        <w:rPr>
          <w:rFonts w:ascii="Arial" w:hAnsi="Arial" w:cs="Arial"/>
        </w:rPr>
        <w:t>, 2015).</w:t>
      </w:r>
    </w:p>
    <w:p w14:paraId="18AA174A" w14:textId="77777777" w:rsidR="00040B5D" w:rsidRPr="00040B5D" w:rsidRDefault="00040B5D" w:rsidP="00040B5D">
      <w:pPr>
        <w:pStyle w:val="Body"/>
        <w:rPr>
          <w:rFonts w:ascii="Arial" w:hAnsi="Arial" w:cs="Arial"/>
        </w:rPr>
      </w:pPr>
      <w:r w:rsidRPr="00040B5D">
        <w:rPr>
          <w:rFonts w:ascii="Arial" w:hAnsi="Arial" w:cs="Arial"/>
        </w:rPr>
        <w:t>Among all chronic human diseases, intestinal parasitic infections are considered among the most prevalent worldwide. The distribution and prevalence of intestinal parasitic infections vary significantly across different geographical regions, influenced by a complex interplay of environmental, social, cultural, and climatic factors (</w:t>
      </w:r>
      <w:proofErr w:type="spellStart"/>
      <w:r w:rsidRPr="00040B5D">
        <w:rPr>
          <w:rFonts w:ascii="Arial" w:hAnsi="Arial" w:cs="Arial"/>
        </w:rPr>
        <w:t>Obateru</w:t>
      </w:r>
      <w:proofErr w:type="spellEnd"/>
      <w:r w:rsidRPr="00040B5D">
        <w:rPr>
          <w:rFonts w:ascii="Arial" w:hAnsi="Arial" w:cs="Arial"/>
        </w:rPr>
        <w:t xml:space="preserve"> et al., 2017). The global burden of intestinal parasitic infections is substantial, it is estimated that intestinal parasites infects over one billion individuals worldwide (Ahmed, 2023). </w:t>
      </w:r>
    </w:p>
    <w:p w14:paraId="504C340B" w14:textId="77777777" w:rsidR="00040B5D" w:rsidRPr="00040B5D" w:rsidRDefault="00040B5D" w:rsidP="00040B5D">
      <w:pPr>
        <w:pStyle w:val="Body"/>
        <w:rPr>
          <w:rFonts w:ascii="Arial" w:hAnsi="Arial" w:cs="Arial"/>
        </w:rPr>
      </w:pPr>
      <w:r w:rsidRPr="00040B5D">
        <w:rPr>
          <w:rFonts w:ascii="Arial" w:hAnsi="Arial" w:cs="Arial"/>
        </w:rPr>
        <w:t>This health burden is particularly severe among children in sub-Saharan Africa, many, of whom grow up in unsanitary and high-risk environments. The absence of basic sanitation facilities and hygienic practices significantly increases their susceptibility to intestinal parasites (</w:t>
      </w:r>
      <w:proofErr w:type="spellStart"/>
      <w:r w:rsidRPr="00040B5D">
        <w:rPr>
          <w:rFonts w:ascii="Arial" w:hAnsi="Arial" w:cs="Arial"/>
        </w:rPr>
        <w:t>Elmonir</w:t>
      </w:r>
      <w:proofErr w:type="spellEnd"/>
      <w:r w:rsidRPr="00040B5D">
        <w:rPr>
          <w:rFonts w:ascii="Arial" w:hAnsi="Arial" w:cs="Arial"/>
        </w:rPr>
        <w:t xml:space="preserve"> et al., 2021).  Behaviors such as playing in contaminated soil, drinking untreated water, and eating without proper handwashing are common transmission pathways (Kaminsky et al., 2025). Dietary habits also contribute to the problem; for instance, the consumption of raw or inadequately washed vegetables and fruits, as well as undercooked or poorly handled meat, serves as one of the major </w:t>
      </w:r>
      <w:proofErr w:type="gramStart"/>
      <w:r w:rsidRPr="00040B5D">
        <w:rPr>
          <w:rFonts w:ascii="Arial" w:hAnsi="Arial" w:cs="Arial"/>
        </w:rPr>
        <w:t>route</w:t>
      </w:r>
      <w:proofErr w:type="gramEnd"/>
      <w:r w:rsidRPr="00040B5D">
        <w:rPr>
          <w:rFonts w:ascii="Arial" w:hAnsi="Arial" w:cs="Arial"/>
        </w:rPr>
        <w:t xml:space="preserve"> for introducing parasitic organisms into the human body (</w:t>
      </w:r>
      <w:proofErr w:type="spellStart"/>
      <w:r w:rsidRPr="00040B5D">
        <w:rPr>
          <w:rFonts w:ascii="Arial" w:hAnsi="Arial" w:cs="Arial"/>
        </w:rPr>
        <w:t>Ifeadike</w:t>
      </w:r>
      <w:proofErr w:type="spellEnd"/>
      <w:r w:rsidRPr="00040B5D">
        <w:rPr>
          <w:rFonts w:ascii="Arial" w:hAnsi="Arial" w:cs="Arial"/>
        </w:rPr>
        <w:t xml:space="preserve"> et al., 2012).</w:t>
      </w:r>
    </w:p>
    <w:p w14:paraId="167572C0" w14:textId="77777777" w:rsidR="00040B5D" w:rsidRPr="00040B5D" w:rsidRDefault="00040B5D" w:rsidP="00040B5D">
      <w:pPr>
        <w:pStyle w:val="Body"/>
        <w:rPr>
          <w:rFonts w:ascii="Arial" w:hAnsi="Arial" w:cs="Arial"/>
        </w:rPr>
      </w:pPr>
      <w:r w:rsidRPr="00040B5D">
        <w:rPr>
          <w:rFonts w:ascii="Arial" w:hAnsi="Arial" w:cs="Arial"/>
        </w:rPr>
        <w:t>Ihejirika et al., (2019) assert that poverty is a major determinant of the prevalence and persistence of parasitic infections. Poverty is often characterized by inadequate sanitation, limited access to clean water, poor housing conditions, low levels of education, and overcrowded living environments, all of which contribute to increased exposure and susceptibility to intestinal parasites. These socioeconomic and environmental factors create conditions that facilitate the transmission and maintenance of parasitic diseases within affected communities (</w:t>
      </w:r>
      <w:proofErr w:type="spellStart"/>
      <w:r w:rsidRPr="00040B5D">
        <w:rPr>
          <w:rFonts w:ascii="Arial" w:hAnsi="Arial" w:cs="Arial"/>
        </w:rPr>
        <w:t>Dudlová</w:t>
      </w:r>
      <w:proofErr w:type="spellEnd"/>
      <w:r w:rsidRPr="00040B5D">
        <w:rPr>
          <w:rFonts w:ascii="Arial" w:hAnsi="Arial" w:cs="Arial"/>
        </w:rPr>
        <w:t xml:space="preserve"> et al., 2016). </w:t>
      </w:r>
    </w:p>
    <w:p w14:paraId="32BFE0AE" w14:textId="77777777" w:rsidR="00040B5D" w:rsidRPr="00040B5D" w:rsidRDefault="00040B5D" w:rsidP="00040B5D">
      <w:pPr>
        <w:pStyle w:val="Body"/>
        <w:rPr>
          <w:rFonts w:ascii="Arial" w:hAnsi="Arial" w:cs="Arial"/>
        </w:rPr>
      </w:pPr>
      <w:r w:rsidRPr="00040B5D">
        <w:rPr>
          <w:rFonts w:ascii="Arial" w:hAnsi="Arial" w:cs="Arial"/>
        </w:rPr>
        <w:t xml:space="preserve">Additionally, cultural practices and beliefs, combined with ecological factors further exacerbate vulnerability to infection and reinfection (Ahmed et al., 2012). Developing nations also face systemic limitations in public health infrastructure and resource allocation, insufficient government </w:t>
      </w:r>
      <w:proofErr w:type="gramStart"/>
      <w:r w:rsidRPr="00040B5D">
        <w:rPr>
          <w:rFonts w:ascii="Arial" w:hAnsi="Arial" w:cs="Arial"/>
        </w:rPr>
        <w:t>funding  toward</w:t>
      </w:r>
      <w:proofErr w:type="gramEnd"/>
      <w:r w:rsidRPr="00040B5D">
        <w:rPr>
          <w:rFonts w:ascii="Arial" w:hAnsi="Arial" w:cs="Arial"/>
        </w:rPr>
        <w:t xml:space="preserve"> the control of disease vectors, including the use of chemical pesticides and other control measures (</w:t>
      </w:r>
      <w:proofErr w:type="spellStart"/>
      <w:r w:rsidRPr="00040B5D">
        <w:rPr>
          <w:rFonts w:ascii="Arial" w:hAnsi="Arial" w:cs="Arial"/>
        </w:rPr>
        <w:t>Adenusi</w:t>
      </w:r>
      <w:proofErr w:type="spellEnd"/>
      <w:r w:rsidRPr="00040B5D">
        <w:rPr>
          <w:rFonts w:ascii="Arial" w:hAnsi="Arial" w:cs="Arial"/>
        </w:rPr>
        <w:t xml:space="preserve"> et al., 2018). This lack of investment hampers effective surveillance, containment, and eradication of parasitic diseases, thereby allowing parasites to persist and spread within communities (Cimino et al., 2015).</w:t>
      </w:r>
    </w:p>
    <w:p w14:paraId="061B3E25" w14:textId="77777777" w:rsidR="00040B5D" w:rsidRPr="00040B5D" w:rsidRDefault="00040B5D" w:rsidP="00040B5D">
      <w:pPr>
        <w:pStyle w:val="Body"/>
        <w:rPr>
          <w:rFonts w:ascii="Arial" w:hAnsi="Arial" w:cs="Arial"/>
        </w:rPr>
      </w:pPr>
      <w:r w:rsidRPr="00040B5D">
        <w:rPr>
          <w:rFonts w:ascii="Arial" w:hAnsi="Arial" w:cs="Arial"/>
        </w:rPr>
        <w:t xml:space="preserve">In Nigeria, recent studies report prevalence rates ranging from 22.9% to 86.2% among schoolchildren, with Ascaris lumbricoides, Entamoeba histolytica, Giardia lamblia, and hookworm being the most common </w:t>
      </w:r>
      <w:proofErr w:type="gramStart"/>
      <w:r w:rsidRPr="00040B5D">
        <w:rPr>
          <w:rFonts w:ascii="Arial" w:hAnsi="Arial" w:cs="Arial"/>
        </w:rPr>
        <w:t>parasites  (</w:t>
      </w:r>
      <w:proofErr w:type="spellStart"/>
      <w:proofErr w:type="gramEnd"/>
      <w:r w:rsidRPr="00040B5D">
        <w:rPr>
          <w:rFonts w:ascii="Arial" w:hAnsi="Arial" w:cs="Arial"/>
        </w:rPr>
        <w:t>Onyeka</w:t>
      </w:r>
      <w:proofErr w:type="spellEnd"/>
      <w:r w:rsidRPr="00040B5D">
        <w:rPr>
          <w:rFonts w:ascii="Arial" w:hAnsi="Arial" w:cs="Arial"/>
        </w:rPr>
        <w:t xml:space="preserve"> and </w:t>
      </w:r>
      <w:proofErr w:type="spellStart"/>
      <w:r w:rsidRPr="00040B5D">
        <w:rPr>
          <w:rFonts w:ascii="Arial" w:hAnsi="Arial" w:cs="Arial"/>
        </w:rPr>
        <w:t>Antip</w:t>
      </w:r>
      <w:proofErr w:type="spellEnd"/>
      <w:r w:rsidRPr="00040B5D">
        <w:rPr>
          <w:rFonts w:ascii="Arial" w:hAnsi="Arial" w:cs="Arial"/>
        </w:rPr>
        <w:t xml:space="preserve">, 2025; </w:t>
      </w:r>
      <w:proofErr w:type="spellStart"/>
      <w:r w:rsidRPr="00040B5D">
        <w:rPr>
          <w:rFonts w:ascii="Arial" w:hAnsi="Arial" w:cs="Arial"/>
        </w:rPr>
        <w:t>Isma’il</w:t>
      </w:r>
      <w:proofErr w:type="spellEnd"/>
      <w:r w:rsidRPr="00040B5D">
        <w:rPr>
          <w:rFonts w:ascii="Arial" w:hAnsi="Arial" w:cs="Arial"/>
        </w:rPr>
        <w:t xml:space="preserve"> et al., 2024; Gyang et al., 2017; </w:t>
      </w:r>
      <w:proofErr w:type="spellStart"/>
      <w:r w:rsidRPr="00040B5D">
        <w:rPr>
          <w:rFonts w:ascii="Arial" w:hAnsi="Arial" w:cs="Arial"/>
        </w:rPr>
        <w:t>Gbonhinbor</w:t>
      </w:r>
      <w:proofErr w:type="spellEnd"/>
      <w:r w:rsidRPr="00040B5D">
        <w:rPr>
          <w:rFonts w:ascii="Arial" w:hAnsi="Arial" w:cs="Arial"/>
        </w:rPr>
        <w:t xml:space="preserve"> et al., 2024).</w:t>
      </w:r>
    </w:p>
    <w:p w14:paraId="5E2BB721" w14:textId="77777777" w:rsidR="00040B5D" w:rsidRPr="00040B5D" w:rsidRDefault="00040B5D" w:rsidP="00040B5D">
      <w:pPr>
        <w:pStyle w:val="Body"/>
        <w:rPr>
          <w:rFonts w:ascii="Arial" w:hAnsi="Arial" w:cs="Arial"/>
        </w:rPr>
      </w:pPr>
      <w:r w:rsidRPr="00040B5D">
        <w:rPr>
          <w:rFonts w:ascii="Arial" w:hAnsi="Arial" w:cs="Arial"/>
        </w:rPr>
        <w:t xml:space="preserve">According to the World Health Organization (1995), the definitive diagnosis of intestinal parasitic infections is established through the detection and identification of the parasitic stages, specifically protozoan trophozoites and cysts, as well as helminth eggs and larvae present in stool specimens. This diagnostic approach remains the cornerstone of parasitological examination and is critical for confirming active infections. Stool microscopy, concentration techniques, and staining methods are routinely employed to recover and differentiate these parasitic forms. </w:t>
      </w:r>
    </w:p>
    <w:p w14:paraId="4E1D54D7" w14:textId="77777777" w:rsidR="00790ADA" w:rsidRDefault="00040B5D" w:rsidP="00040B5D">
      <w:pPr>
        <w:pStyle w:val="Body"/>
        <w:spacing w:after="0"/>
        <w:rPr>
          <w:rFonts w:ascii="Arial" w:hAnsi="Arial" w:cs="Arial"/>
        </w:rPr>
      </w:pPr>
      <w:r w:rsidRPr="00040B5D">
        <w:rPr>
          <w:rFonts w:ascii="Arial" w:hAnsi="Arial" w:cs="Arial"/>
        </w:rPr>
        <w:t>In large populations, particularly during epidemiological surveillance or public health interventions, the presence of clinical symptoms may serve as a preliminary criterion for identifying suspected cases of intestinal parasitic infections, warranting further confirmatory diagnostic testing (WHO, 1996). Effective control strategies for intestinal parasitic infections encompass a combination of therapeutic and preventive measures. Chemotherapeutic interventions, primarily involving the administration of anthelmintic or antiparasitic drugs, offer an efficient short-term approach to reducing parasite burden within affected individuals and communities. However, sustainable long-term control relies heavily on improving personal hygiene practices and enhancing environmental sanitation, which help interrupt the cycle of transmission (WHO, 1990).</w:t>
      </w:r>
    </w:p>
    <w:p w14:paraId="564C8C81" w14:textId="77777777" w:rsidR="00040B5D" w:rsidRDefault="00040B5D" w:rsidP="00040B5D">
      <w:pPr>
        <w:pStyle w:val="Body"/>
        <w:spacing w:after="0"/>
        <w:rPr>
          <w:rFonts w:ascii="Arial" w:hAnsi="Arial" w:cs="Arial"/>
        </w:rPr>
      </w:pPr>
    </w:p>
    <w:p w14:paraId="51B706E1" w14:textId="77777777" w:rsidR="00040B5D" w:rsidRPr="00FB3A86" w:rsidRDefault="00040B5D" w:rsidP="00040B5D">
      <w:pPr>
        <w:pStyle w:val="Body"/>
        <w:spacing w:after="0"/>
        <w:rPr>
          <w:rFonts w:ascii="Arial" w:hAnsi="Arial" w:cs="Arial"/>
        </w:rPr>
      </w:pPr>
    </w:p>
    <w:p w14:paraId="758FD3A8" w14:textId="77777777" w:rsidR="007F7B32" w:rsidRDefault="00902823" w:rsidP="00441B6F">
      <w:pPr>
        <w:pStyle w:val="AbstHead"/>
        <w:spacing w:after="0"/>
        <w:jc w:val="both"/>
        <w:rPr>
          <w:rFonts w:ascii="Arial" w:hAnsi="Arial" w:cs="Arial"/>
        </w:rPr>
      </w:pPr>
      <w:r>
        <w:rPr>
          <w:rFonts w:ascii="Arial" w:hAnsi="Arial" w:cs="Arial"/>
        </w:rPr>
        <w:t>2. material and method</w:t>
      </w:r>
      <w:r w:rsidR="00040B5D">
        <w:rPr>
          <w:rFonts w:ascii="Arial" w:hAnsi="Arial" w:cs="Arial"/>
        </w:rPr>
        <w:t>s</w:t>
      </w:r>
    </w:p>
    <w:p w14:paraId="29B7BFC8" w14:textId="77777777" w:rsidR="00040B5D" w:rsidRPr="00FB3A86" w:rsidRDefault="00040B5D" w:rsidP="00441B6F">
      <w:pPr>
        <w:pStyle w:val="AbstHead"/>
        <w:spacing w:after="0"/>
        <w:jc w:val="both"/>
        <w:rPr>
          <w:rFonts w:ascii="Arial" w:hAnsi="Arial" w:cs="Arial"/>
        </w:rPr>
      </w:pPr>
    </w:p>
    <w:p w14:paraId="094516EE" w14:textId="77777777" w:rsidR="00040B5D" w:rsidRDefault="00040B5D" w:rsidP="00040B5D">
      <w:pPr>
        <w:pStyle w:val="Body"/>
        <w:rPr>
          <w:rFonts w:ascii="Arial" w:hAnsi="Arial" w:cs="Arial"/>
        </w:rPr>
      </w:pPr>
      <w:r w:rsidRPr="00040B5D">
        <w:rPr>
          <w:rFonts w:ascii="Arial" w:hAnsi="Arial" w:cs="Arial"/>
        </w:rPr>
        <w:t>2.1 Study Area</w:t>
      </w:r>
    </w:p>
    <w:p w14:paraId="3A8D4F93" w14:textId="77777777" w:rsidR="00040B5D" w:rsidRPr="00040B5D" w:rsidRDefault="00040B5D" w:rsidP="00040B5D">
      <w:pPr>
        <w:pStyle w:val="Body"/>
        <w:rPr>
          <w:rFonts w:ascii="Arial" w:hAnsi="Arial" w:cs="Arial"/>
        </w:rPr>
      </w:pPr>
      <w:r w:rsidRPr="00040B5D">
        <w:rPr>
          <w:rFonts w:ascii="Arial" w:hAnsi="Arial" w:cs="Arial"/>
        </w:rPr>
        <w:lastRenderedPageBreak/>
        <w:t xml:space="preserve">This research was carried out in the </w:t>
      </w:r>
      <w:proofErr w:type="spellStart"/>
      <w:r w:rsidRPr="00040B5D">
        <w:rPr>
          <w:rFonts w:ascii="Arial" w:hAnsi="Arial" w:cs="Arial"/>
        </w:rPr>
        <w:t>Mashi</w:t>
      </w:r>
      <w:proofErr w:type="spellEnd"/>
      <w:r w:rsidRPr="00040B5D">
        <w:rPr>
          <w:rFonts w:ascii="Arial" w:hAnsi="Arial" w:cs="Arial"/>
        </w:rPr>
        <w:t xml:space="preserve"> Local Government Area of Katsina State. </w:t>
      </w:r>
      <w:proofErr w:type="spellStart"/>
      <w:r w:rsidRPr="00040B5D">
        <w:rPr>
          <w:rFonts w:ascii="Arial" w:hAnsi="Arial" w:cs="Arial"/>
        </w:rPr>
        <w:t>Mashi</w:t>
      </w:r>
      <w:proofErr w:type="spellEnd"/>
      <w:r w:rsidRPr="00040B5D">
        <w:rPr>
          <w:rFonts w:ascii="Arial" w:hAnsi="Arial" w:cs="Arial"/>
        </w:rPr>
        <w:t xml:space="preserve">, situated in the far northern part of the state, shares an international boundary with the Republic of Niger to the north. It is bordered by Mani and </w:t>
      </w:r>
      <w:proofErr w:type="spellStart"/>
      <w:r w:rsidRPr="00040B5D">
        <w:rPr>
          <w:rFonts w:ascii="Arial" w:hAnsi="Arial" w:cs="Arial"/>
        </w:rPr>
        <w:t>Dutsi</w:t>
      </w:r>
      <w:proofErr w:type="spellEnd"/>
      <w:r w:rsidRPr="00040B5D">
        <w:rPr>
          <w:rFonts w:ascii="Arial" w:hAnsi="Arial" w:cs="Arial"/>
        </w:rPr>
        <w:t xml:space="preserve"> LGAs to the south and east, </w:t>
      </w:r>
      <w:proofErr w:type="spellStart"/>
      <w:r w:rsidRPr="00040B5D">
        <w:rPr>
          <w:rFonts w:ascii="Arial" w:hAnsi="Arial" w:cs="Arial"/>
        </w:rPr>
        <w:t>Maiadua</w:t>
      </w:r>
      <w:proofErr w:type="spellEnd"/>
      <w:r w:rsidRPr="00040B5D">
        <w:rPr>
          <w:rFonts w:ascii="Arial" w:hAnsi="Arial" w:cs="Arial"/>
        </w:rPr>
        <w:t xml:space="preserve"> LGA also to the east, and Kaita LGA to the west. The administrative headquarters is located in </w:t>
      </w:r>
      <w:proofErr w:type="spellStart"/>
      <w:r w:rsidRPr="00040B5D">
        <w:rPr>
          <w:rFonts w:ascii="Arial" w:hAnsi="Arial" w:cs="Arial"/>
        </w:rPr>
        <w:t>Mashi</w:t>
      </w:r>
      <w:proofErr w:type="spellEnd"/>
      <w:r w:rsidRPr="00040B5D">
        <w:rPr>
          <w:rFonts w:ascii="Arial" w:hAnsi="Arial" w:cs="Arial"/>
        </w:rPr>
        <w:t xml:space="preserve"> town. The area lies between latitudes 12°50′N and 13°10′N and longitudes 7°47′E and 8°00′E. Based on the 2006 national census, </w:t>
      </w:r>
      <w:proofErr w:type="spellStart"/>
      <w:r w:rsidRPr="00040B5D">
        <w:rPr>
          <w:rFonts w:ascii="Arial" w:hAnsi="Arial" w:cs="Arial"/>
        </w:rPr>
        <w:t>Mashi</w:t>
      </w:r>
      <w:proofErr w:type="spellEnd"/>
      <w:r w:rsidRPr="00040B5D">
        <w:rPr>
          <w:rFonts w:ascii="Arial" w:hAnsi="Arial" w:cs="Arial"/>
        </w:rPr>
        <w:t xml:space="preserve"> LGA had a population of 173,134 people and covers a land area of about 905 km². The region experiences a tropical continental (wet–dry) climate, classified as </w:t>
      </w:r>
      <w:proofErr w:type="spellStart"/>
      <w:r w:rsidRPr="00040B5D">
        <w:rPr>
          <w:rFonts w:ascii="Arial" w:hAnsi="Arial" w:cs="Arial"/>
        </w:rPr>
        <w:t>Köppen</w:t>
      </w:r>
      <w:proofErr w:type="spellEnd"/>
      <w:r w:rsidRPr="00040B5D">
        <w:rPr>
          <w:rFonts w:ascii="Arial" w:hAnsi="Arial" w:cs="Arial"/>
        </w:rPr>
        <w:t xml:space="preserve"> Aw (</w:t>
      </w:r>
      <w:proofErr w:type="spellStart"/>
      <w:r w:rsidRPr="00040B5D">
        <w:rPr>
          <w:rFonts w:ascii="Arial" w:hAnsi="Arial" w:cs="Arial"/>
        </w:rPr>
        <w:t>Köppen</w:t>
      </w:r>
      <w:proofErr w:type="spellEnd"/>
      <w:r w:rsidRPr="00040B5D">
        <w:rPr>
          <w:rFonts w:ascii="Arial" w:hAnsi="Arial" w:cs="Arial"/>
        </w:rPr>
        <w:t xml:space="preserve">, 1936). Rainfall typically occurs from May to September, with an annual average of about 500 mm, while the dry season extends from October to May. </w:t>
      </w:r>
      <w:proofErr w:type="spellStart"/>
      <w:r w:rsidRPr="00040B5D">
        <w:rPr>
          <w:rFonts w:ascii="Arial" w:hAnsi="Arial" w:cs="Arial"/>
        </w:rPr>
        <w:t>Mashi</w:t>
      </w:r>
      <w:proofErr w:type="spellEnd"/>
      <w:r w:rsidRPr="00040B5D">
        <w:rPr>
          <w:rFonts w:ascii="Arial" w:hAnsi="Arial" w:cs="Arial"/>
        </w:rPr>
        <w:t xml:space="preserve"> also hosts a major historical market that operates on Tuesdays and Fridays and attracts both rural and urban populations.</w:t>
      </w:r>
    </w:p>
    <w:p w14:paraId="5A328D32" w14:textId="77777777" w:rsidR="00040B5D" w:rsidRPr="00040B5D" w:rsidRDefault="00040B5D" w:rsidP="00040B5D">
      <w:pPr>
        <w:pStyle w:val="Body"/>
        <w:rPr>
          <w:rFonts w:ascii="Arial" w:hAnsi="Arial" w:cs="Arial"/>
        </w:rPr>
      </w:pPr>
      <w:r w:rsidRPr="00040B5D">
        <w:rPr>
          <w:rFonts w:ascii="Arial" w:hAnsi="Arial" w:cs="Arial"/>
        </w:rPr>
        <w:t xml:space="preserve"> </w:t>
      </w:r>
      <w:r>
        <w:rPr>
          <w:rFonts w:ascii="Arial" w:hAnsi="Arial" w:cs="Arial"/>
          <w:noProof/>
        </w:rPr>
        <w:drawing>
          <wp:inline distT="0" distB="0" distL="0" distR="0" wp14:anchorId="58C7A3B2" wp14:editId="7DDFD1E1">
            <wp:extent cx="5212080" cy="6744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2512355_123528651.jpeg"/>
                    <pic:cNvPicPr/>
                  </pic:nvPicPr>
                  <pic:blipFill>
                    <a:blip r:embed="rId14">
                      <a:extLst>
                        <a:ext uri="{28A0092B-C50C-407E-A947-70E740481C1C}">
                          <a14:useLocalDpi xmlns:a14="http://schemas.microsoft.com/office/drawing/2010/main" val="0"/>
                        </a:ext>
                      </a:extLst>
                    </a:blip>
                    <a:stretch>
                      <a:fillRect/>
                    </a:stretch>
                  </pic:blipFill>
                  <pic:spPr>
                    <a:xfrm>
                      <a:off x="0" y="0"/>
                      <a:ext cx="5212080" cy="6744970"/>
                    </a:xfrm>
                    <a:prstGeom prst="rect">
                      <a:avLst/>
                    </a:prstGeom>
                  </pic:spPr>
                </pic:pic>
              </a:graphicData>
            </a:graphic>
          </wp:inline>
        </w:drawing>
      </w:r>
    </w:p>
    <w:p w14:paraId="605FAC5A" w14:textId="77777777" w:rsidR="00040B5D" w:rsidRPr="00040B5D" w:rsidRDefault="00040B5D" w:rsidP="00040B5D">
      <w:pPr>
        <w:pStyle w:val="Body"/>
        <w:rPr>
          <w:rFonts w:ascii="Arial" w:hAnsi="Arial" w:cs="Arial"/>
        </w:rPr>
      </w:pPr>
      <w:r w:rsidRPr="00040B5D">
        <w:rPr>
          <w:rFonts w:ascii="Arial" w:hAnsi="Arial" w:cs="Arial"/>
        </w:rPr>
        <w:t xml:space="preserve">Figure 1: Map of </w:t>
      </w:r>
      <w:proofErr w:type="spellStart"/>
      <w:r w:rsidRPr="00040B5D">
        <w:rPr>
          <w:rFonts w:ascii="Arial" w:hAnsi="Arial" w:cs="Arial"/>
        </w:rPr>
        <w:t>Mashi</w:t>
      </w:r>
      <w:proofErr w:type="spellEnd"/>
      <w:r w:rsidRPr="00040B5D">
        <w:rPr>
          <w:rFonts w:ascii="Arial" w:hAnsi="Arial" w:cs="Arial"/>
        </w:rPr>
        <w:t xml:space="preserve"> LGA </w:t>
      </w:r>
      <w:proofErr w:type="spellStart"/>
      <w:r w:rsidRPr="00040B5D">
        <w:rPr>
          <w:rFonts w:ascii="Arial" w:hAnsi="Arial" w:cs="Arial"/>
        </w:rPr>
        <w:t>Katsina</w:t>
      </w:r>
      <w:proofErr w:type="spellEnd"/>
      <w:r w:rsidRPr="00040B5D">
        <w:rPr>
          <w:rFonts w:ascii="Arial" w:hAnsi="Arial" w:cs="Arial"/>
        </w:rPr>
        <w:t xml:space="preserve"> State Showing the Study Area.</w:t>
      </w:r>
    </w:p>
    <w:p w14:paraId="5163D5D5" w14:textId="77777777" w:rsidR="00544667" w:rsidRDefault="00544667" w:rsidP="00040B5D">
      <w:pPr>
        <w:pStyle w:val="Body"/>
        <w:rPr>
          <w:rFonts w:ascii="Arial" w:hAnsi="Arial" w:cs="Arial"/>
        </w:rPr>
      </w:pPr>
    </w:p>
    <w:p w14:paraId="7E0F1DBF" w14:textId="77777777" w:rsidR="00544667" w:rsidRDefault="00544667" w:rsidP="00040B5D">
      <w:pPr>
        <w:pStyle w:val="Body"/>
        <w:rPr>
          <w:rFonts w:ascii="Arial" w:hAnsi="Arial" w:cs="Arial"/>
        </w:rPr>
      </w:pPr>
    </w:p>
    <w:p w14:paraId="24F532A2" w14:textId="77777777" w:rsidR="00040B5D" w:rsidRPr="00040B5D" w:rsidRDefault="0017332A" w:rsidP="00040B5D">
      <w:pPr>
        <w:pStyle w:val="Body"/>
        <w:rPr>
          <w:rFonts w:ascii="Arial" w:hAnsi="Arial" w:cs="Arial"/>
        </w:rPr>
      </w:pPr>
      <w:r>
        <w:rPr>
          <w:rFonts w:ascii="Arial" w:hAnsi="Arial" w:cs="Arial"/>
        </w:rPr>
        <w:t>2.2</w:t>
      </w:r>
      <w:r w:rsidR="00040B5D" w:rsidRPr="00040B5D">
        <w:rPr>
          <w:rFonts w:ascii="Arial" w:hAnsi="Arial" w:cs="Arial"/>
        </w:rPr>
        <w:t xml:space="preserve"> Sample and Sampling Technique</w:t>
      </w:r>
    </w:p>
    <w:p w14:paraId="6DA42945" w14:textId="77777777" w:rsidR="00040B5D" w:rsidRPr="00040B5D" w:rsidRDefault="00040B5D" w:rsidP="00040B5D">
      <w:pPr>
        <w:pStyle w:val="Body"/>
        <w:rPr>
          <w:rFonts w:ascii="Arial" w:hAnsi="Arial" w:cs="Arial"/>
        </w:rPr>
      </w:pPr>
      <w:r w:rsidRPr="00040B5D">
        <w:rPr>
          <w:rFonts w:ascii="Arial" w:hAnsi="Arial" w:cs="Arial"/>
        </w:rPr>
        <w:t xml:space="preserve">The sample size was calculated using the statistical formula proposed by Daniel (1999) for determining sample size based on population prevalence. A simple random sampling method (balloting) was employed to select the wards and communities, ensuring that each ward had an equal chance of being chosen. Through this process, four wards were selected: </w:t>
      </w:r>
      <w:proofErr w:type="spellStart"/>
      <w:r w:rsidRPr="00040B5D">
        <w:rPr>
          <w:rFonts w:ascii="Arial" w:hAnsi="Arial" w:cs="Arial"/>
        </w:rPr>
        <w:t>Mashi</w:t>
      </w:r>
      <w:proofErr w:type="spellEnd"/>
      <w:r w:rsidRPr="00040B5D">
        <w:rPr>
          <w:rFonts w:ascii="Arial" w:hAnsi="Arial" w:cs="Arial"/>
        </w:rPr>
        <w:t xml:space="preserve">, </w:t>
      </w:r>
      <w:proofErr w:type="spellStart"/>
      <w:r w:rsidRPr="00040B5D">
        <w:rPr>
          <w:rFonts w:ascii="Arial" w:hAnsi="Arial" w:cs="Arial"/>
        </w:rPr>
        <w:t>Gana</w:t>
      </w:r>
      <w:proofErr w:type="spellEnd"/>
      <w:r w:rsidRPr="00040B5D">
        <w:rPr>
          <w:rFonts w:ascii="Arial" w:hAnsi="Arial" w:cs="Arial"/>
        </w:rPr>
        <w:t xml:space="preserve">-Jigawa, Doka, and </w:t>
      </w:r>
      <w:proofErr w:type="spellStart"/>
      <w:r w:rsidRPr="00040B5D">
        <w:rPr>
          <w:rFonts w:ascii="Arial" w:hAnsi="Arial" w:cs="Arial"/>
        </w:rPr>
        <w:t>Tamilo</w:t>
      </w:r>
      <w:proofErr w:type="spellEnd"/>
      <w:r w:rsidRPr="00040B5D">
        <w:rPr>
          <w:rFonts w:ascii="Arial" w:hAnsi="Arial" w:cs="Arial"/>
        </w:rPr>
        <w:t>. In each of the chosen schools, the head teacher provided a comprehensive list of pupils aged 5–13 years. To achieve balanced representation across age groups and sexes, the children were categorized accordingly. Simple random sampling was then applied within each age-and-sex subgroup until one hundred pupils were selected from each school. Children younger than 5 years or older than 13 years were excluded from the study. Children whose parents or guardians did not grant consent, as well as those who declined participation, were not included. Children with a history indicative of chronic health conditions such as sickle cell anemia or HIV infection were also excluded.</w:t>
      </w:r>
    </w:p>
    <w:p w14:paraId="4DD033A7" w14:textId="77777777" w:rsidR="00040B5D" w:rsidRPr="00040B5D" w:rsidRDefault="0017332A" w:rsidP="00040B5D">
      <w:pPr>
        <w:pStyle w:val="Body"/>
        <w:rPr>
          <w:rFonts w:ascii="Arial" w:hAnsi="Arial" w:cs="Arial"/>
        </w:rPr>
      </w:pPr>
      <w:r>
        <w:rPr>
          <w:rFonts w:ascii="Arial" w:hAnsi="Arial" w:cs="Arial"/>
        </w:rPr>
        <w:t>2.3</w:t>
      </w:r>
      <w:r w:rsidR="00040B5D" w:rsidRPr="00040B5D">
        <w:rPr>
          <w:rFonts w:ascii="Arial" w:hAnsi="Arial" w:cs="Arial"/>
        </w:rPr>
        <w:t xml:space="preserve"> Stool Sample Collection and Screening/Examination for Intestinal parasites using Sedimentation Concentration Technique (Formol-ether).</w:t>
      </w:r>
    </w:p>
    <w:p w14:paraId="475A639C" w14:textId="77777777" w:rsidR="00040B5D" w:rsidRPr="00040B5D" w:rsidRDefault="00040B5D" w:rsidP="00040B5D">
      <w:pPr>
        <w:pStyle w:val="Body"/>
        <w:rPr>
          <w:rFonts w:ascii="Arial" w:hAnsi="Arial" w:cs="Arial"/>
        </w:rPr>
      </w:pPr>
      <w:r w:rsidRPr="00040B5D">
        <w:rPr>
          <w:rFonts w:ascii="Arial" w:hAnsi="Arial" w:cs="Arial"/>
        </w:rPr>
        <w:t xml:space="preserve">Prior to the collection of stool specimens in each participating school, all eligible children were duly registered to establish a clear record of participants. For the collection process, each selected child received a clean, dry, tightly capped, and properly labeled specimen container. The participants were given detailed instructions on how to collect a small portion of their stool, approximately 5 grams into the container. Class teachers assisted by supervising the process to ensure that the children followed the instructions correctly and hygienically. During sample collection, important demographic and sample-related information was recorded for every participant. These included the date of sample collection, the participant’s serial number, age, sex, and the physical consistency of the stool (categorized as formed, soft, semi-soft, or watery). Collection activities were scheduled in the morning for each school, and to maintain quality control, no more than fifty (50) samples were collected daily. Following collection, all stool samples were transported under appropriate conditions to the Biology Department Laboratory at Umaru Musa </w:t>
      </w:r>
      <w:proofErr w:type="spellStart"/>
      <w:r w:rsidRPr="00040B5D">
        <w:rPr>
          <w:rFonts w:ascii="Arial" w:hAnsi="Arial" w:cs="Arial"/>
        </w:rPr>
        <w:t>Yar’adua</w:t>
      </w:r>
      <w:proofErr w:type="spellEnd"/>
      <w:r w:rsidRPr="00040B5D">
        <w:rPr>
          <w:rFonts w:ascii="Arial" w:hAnsi="Arial" w:cs="Arial"/>
        </w:rPr>
        <w:t xml:space="preserve"> University, </w:t>
      </w:r>
      <w:proofErr w:type="spellStart"/>
      <w:r w:rsidRPr="00040B5D">
        <w:rPr>
          <w:rFonts w:ascii="Arial" w:hAnsi="Arial" w:cs="Arial"/>
        </w:rPr>
        <w:t>Katsina</w:t>
      </w:r>
      <w:proofErr w:type="spellEnd"/>
      <w:r w:rsidRPr="00040B5D">
        <w:rPr>
          <w:rFonts w:ascii="Arial" w:hAnsi="Arial" w:cs="Arial"/>
        </w:rPr>
        <w:t>. Examination of samples for intestinal parasites was carried out using formol-ether sedimentation concentration technique in accordance with the WHO Bench Aids for the diagnosis of intestinal parasites (WHO, 2019). Each day, approximately twenty (20) samples were processed to ensure thorough and accurate microscopic examination. Samples that could not be examined immediately were preserved in 10% formalin.</w:t>
      </w:r>
    </w:p>
    <w:p w14:paraId="71AC3E9F" w14:textId="77777777" w:rsidR="00040B5D" w:rsidRPr="00040B5D" w:rsidRDefault="0017332A" w:rsidP="00040B5D">
      <w:pPr>
        <w:pStyle w:val="Body"/>
        <w:rPr>
          <w:rFonts w:ascii="Arial" w:hAnsi="Arial" w:cs="Arial"/>
        </w:rPr>
      </w:pPr>
      <w:r>
        <w:rPr>
          <w:rFonts w:ascii="Arial" w:hAnsi="Arial" w:cs="Arial"/>
        </w:rPr>
        <w:t>2.4</w:t>
      </w:r>
      <w:r w:rsidR="00040B5D" w:rsidRPr="00040B5D">
        <w:rPr>
          <w:rFonts w:ascii="Arial" w:hAnsi="Arial" w:cs="Arial"/>
        </w:rPr>
        <w:t xml:space="preserve"> Data Analysis</w:t>
      </w:r>
    </w:p>
    <w:p w14:paraId="77EB49A0" w14:textId="77777777" w:rsidR="00040B5D" w:rsidRPr="00040B5D" w:rsidRDefault="00040B5D" w:rsidP="00040B5D">
      <w:pPr>
        <w:pStyle w:val="Body"/>
        <w:rPr>
          <w:rFonts w:ascii="Arial" w:hAnsi="Arial" w:cs="Arial"/>
        </w:rPr>
      </w:pPr>
      <w:r w:rsidRPr="00040B5D">
        <w:rPr>
          <w:rFonts w:ascii="Arial" w:hAnsi="Arial" w:cs="Arial"/>
        </w:rPr>
        <w:t>Data were analyzed using a combination of descriptive and inferential statistical techniques. Descriptive statistics, including frequencies, percentages, means, and standard deviations (±SD), were employed to summarize demographic characteristics and prevalence of Intestinal parasites. Prevalence rates were also presented with their corresponding 95% confidence intervals (CI).</w:t>
      </w:r>
    </w:p>
    <w:p w14:paraId="187486AC" w14:textId="77777777" w:rsidR="00790ADA" w:rsidRDefault="00040B5D" w:rsidP="00441B6F">
      <w:pPr>
        <w:pStyle w:val="Body"/>
        <w:spacing w:after="0"/>
        <w:rPr>
          <w:rFonts w:ascii="Arial" w:hAnsi="Arial" w:cs="Arial"/>
        </w:rPr>
      </w:pPr>
      <w:r w:rsidRPr="00040B5D">
        <w:rPr>
          <w:rFonts w:ascii="Arial" w:hAnsi="Arial" w:cs="Arial"/>
        </w:rPr>
        <w:t>Inferential analyses were conducted to examine associations between Intestinal parasitic infection and potential risk factors. The Chi-square test (</w:t>
      </w:r>
      <w:r w:rsidRPr="00040B5D">
        <w:rPr>
          <w:rFonts w:ascii="Arial" w:hAnsi="Arial" w:cs="Arial" w:hint="eastAsia"/>
        </w:rPr>
        <w:t>χ²</w:t>
      </w:r>
      <w:r w:rsidRPr="00040B5D">
        <w:rPr>
          <w:rFonts w:ascii="Arial" w:hAnsi="Arial" w:cs="Arial"/>
        </w:rPr>
        <w:t>) was used to assess relationships between categorical variables such as sex, age groups, parental education, occupation, hygiene practices, and environmental factors. For continuous variables such as age, one-way Analysis of Variance (ANOVA) was applied to compare mean differences across schools. To identify independent risk-factors of Intestinal parasitic infections, variables with p &lt; 0.10 in bivariate analyses were entered into a multivariate logistic regression model. Adjusted odds ratios (AOR) with 95% confidence intervals were reported to quantify the strength of associations.</w:t>
      </w:r>
    </w:p>
    <w:p w14:paraId="495F3E97" w14:textId="77777777" w:rsidR="0073671F" w:rsidRPr="00FB3A86" w:rsidRDefault="0073671F" w:rsidP="00441B6F">
      <w:pPr>
        <w:pStyle w:val="Body"/>
        <w:spacing w:after="0"/>
        <w:rPr>
          <w:rFonts w:ascii="Arial" w:hAnsi="Arial" w:cs="Arial"/>
        </w:rPr>
      </w:pPr>
    </w:p>
    <w:p w14:paraId="65F0F2F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9E6508">
        <w:rPr>
          <w:rFonts w:ascii="Arial" w:hAnsi="Arial" w:cs="Arial"/>
        </w:rPr>
        <w:t>results</w:t>
      </w:r>
    </w:p>
    <w:p w14:paraId="67A67600" w14:textId="77777777" w:rsidR="00790ADA" w:rsidRPr="00FB3A86" w:rsidRDefault="00790ADA" w:rsidP="00441B6F">
      <w:pPr>
        <w:pStyle w:val="Head1"/>
        <w:spacing w:after="0"/>
        <w:jc w:val="both"/>
        <w:rPr>
          <w:rFonts w:ascii="Arial" w:hAnsi="Arial" w:cs="Arial"/>
        </w:rPr>
      </w:pPr>
    </w:p>
    <w:p w14:paraId="7809D0A3" w14:textId="77777777" w:rsidR="0073671F" w:rsidRPr="0073671F" w:rsidRDefault="0073671F" w:rsidP="0073671F">
      <w:pPr>
        <w:pStyle w:val="Body"/>
        <w:rPr>
          <w:rFonts w:ascii="Arial" w:hAnsi="Arial" w:cs="Arial"/>
        </w:rPr>
      </w:pPr>
      <w:r w:rsidRPr="0073671F">
        <w:rPr>
          <w:rFonts w:ascii="Arial" w:hAnsi="Arial" w:cs="Arial"/>
        </w:rPr>
        <w:t>3.1 Demographic Characteristics of Study Participants</w:t>
      </w:r>
    </w:p>
    <w:p w14:paraId="2B95F9F9" w14:textId="77777777" w:rsidR="0073671F" w:rsidRPr="0073671F" w:rsidRDefault="0073671F" w:rsidP="0073671F">
      <w:pPr>
        <w:pStyle w:val="Body"/>
        <w:rPr>
          <w:rFonts w:ascii="Arial" w:hAnsi="Arial" w:cs="Arial"/>
        </w:rPr>
      </w:pPr>
      <w:r w:rsidRPr="0073671F">
        <w:rPr>
          <w:rFonts w:ascii="Arial" w:hAnsi="Arial" w:cs="Arial"/>
        </w:rPr>
        <w:t xml:space="preserve">Table 1 presents the demographic characteristics of the 400 Schoolchildren from </w:t>
      </w:r>
      <w:proofErr w:type="spellStart"/>
      <w:r w:rsidRPr="0073671F">
        <w:rPr>
          <w:rFonts w:ascii="Arial" w:hAnsi="Arial" w:cs="Arial"/>
        </w:rPr>
        <w:t>Mashi</w:t>
      </w:r>
      <w:proofErr w:type="spellEnd"/>
      <w:r w:rsidRPr="0073671F">
        <w:rPr>
          <w:rFonts w:ascii="Arial" w:hAnsi="Arial" w:cs="Arial"/>
        </w:rPr>
        <w:t xml:space="preserve"> Local Government Area, Katsina State, who participated in the study. The study population had a relatively balanced gender distribution, with girls accounting for 51.7% (n = 207) and boys 48.2% (n = 193). The mean age of participants was 9.7±2.2 years, with significant variations across schools (p = 0.007). Model Primary School </w:t>
      </w:r>
      <w:proofErr w:type="spellStart"/>
      <w:r w:rsidRPr="0073671F">
        <w:rPr>
          <w:rFonts w:ascii="Arial" w:hAnsi="Arial" w:cs="Arial"/>
        </w:rPr>
        <w:t>Mashi</w:t>
      </w:r>
      <w:proofErr w:type="spellEnd"/>
      <w:r w:rsidRPr="0073671F">
        <w:rPr>
          <w:rFonts w:ascii="Arial" w:hAnsi="Arial" w:cs="Arial"/>
        </w:rPr>
        <w:t xml:space="preserve"> had the oldest participants, with a mean age of 10.3±2.2 years, while </w:t>
      </w:r>
      <w:proofErr w:type="spellStart"/>
      <w:r w:rsidRPr="0073671F">
        <w:rPr>
          <w:rFonts w:ascii="Arial" w:hAnsi="Arial" w:cs="Arial"/>
        </w:rPr>
        <w:t>Tamilo</w:t>
      </w:r>
      <w:proofErr w:type="spellEnd"/>
      <w:r w:rsidRPr="0073671F">
        <w:rPr>
          <w:rFonts w:ascii="Arial" w:hAnsi="Arial" w:cs="Arial"/>
        </w:rPr>
        <w:t xml:space="preserve"> had the youngest at 9.3±2.1 years.</w:t>
      </w:r>
    </w:p>
    <w:p w14:paraId="33A38991" w14:textId="77777777" w:rsidR="0073671F" w:rsidRPr="0073671F" w:rsidRDefault="0073671F" w:rsidP="0073671F">
      <w:pPr>
        <w:pStyle w:val="Body"/>
        <w:rPr>
          <w:rFonts w:ascii="Arial" w:hAnsi="Arial" w:cs="Arial"/>
        </w:rPr>
      </w:pPr>
      <w:r w:rsidRPr="0073671F">
        <w:rPr>
          <w:rFonts w:ascii="Arial" w:hAnsi="Arial" w:cs="Arial"/>
        </w:rPr>
        <w:lastRenderedPageBreak/>
        <w:t xml:space="preserve">Most of the children were in Primary 5 (26%) and Primary 6 (28.5%). The educational levels of the children varied significantly across schools (p &lt; 0.001). Model Primary School </w:t>
      </w:r>
      <w:proofErr w:type="spellStart"/>
      <w:r w:rsidRPr="0073671F">
        <w:rPr>
          <w:rFonts w:ascii="Arial" w:hAnsi="Arial" w:cs="Arial"/>
        </w:rPr>
        <w:t>Mashi</w:t>
      </w:r>
      <w:proofErr w:type="spellEnd"/>
      <w:r w:rsidRPr="0073671F">
        <w:rPr>
          <w:rFonts w:ascii="Arial" w:hAnsi="Arial" w:cs="Arial"/>
        </w:rPr>
        <w:t xml:space="preserve"> had the highest concentration of Primary 6 students (50%), while </w:t>
      </w:r>
      <w:proofErr w:type="spellStart"/>
      <w:r w:rsidRPr="0073671F">
        <w:rPr>
          <w:rFonts w:ascii="Arial" w:hAnsi="Arial" w:cs="Arial"/>
        </w:rPr>
        <w:t>Tamilo</w:t>
      </w:r>
      <w:proofErr w:type="spellEnd"/>
      <w:r w:rsidRPr="0073671F">
        <w:rPr>
          <w:rFonts w:ascii="Arial" w:hAnsi="Arial" w:cs="Arial"/>
        </w:rPr>
        <w:t xml:space="preserve"> had more students in lower primary levels, with 20% in Primary 2 and 24% in Primary 3.</w:t>
      </w:r>
    </w:p>
    <w:p w14:paraId="23E15DCA" w14:textId="77777777" w:rsidR="0073671F" w:rsidRPr="0073671F" w:rsidRDefault="0073671F" w:rsidP="0073671F">
      <w:pPr>
        <w:pStyle w:val="Body"/>
        <w:rPr>
          <w:rFonts w:ascii="Arial" w:hAnsi="Arial" w:cs="Arial"/>
        </w:rPr>
      </w:pPr>
      <w:r w:rsidRPr="0073671F">
        <w:rPr>
          <w:rFonts w:ascii="Arial" w:hAnsi="Arial" w:cs="Arial"/>
        </w:rPr>
        <w:t xml:space="preserve">Overall, close to half of the parents had no formal education (43.2%), with statistically significant variation across the schools (p &lt; 0.001). Doka had the highest proportion of pupils w hose parents lacked formal education (67%), while </w:t>
      </w:r>
      <w:proofErr w:type="spellStart"/>
      <w:r w:rsidRPr="0073671F">
        <w:rPr>
          <w:rFonts w:ascii="Arial" w:hAnsi="Arial" w:cs="Arial"/>
        </w:rPr>
        <w:t>Mashi</w:t>
      </w:r>
      <w:proofErr w:type="spellEnd"/>
      <w:r w:rsidRPr="0073671F">
        <w:rPr>
          <w:rFonts w:ascii="Arial" w:hAnsi="Arial" w:cs="Arial"/>
        </w:rPr>
        <w:t xml:space="preserve"> had the lowest (7%). Model Primary School </w:t>
      </w:r>
      <w:proofErr w:type="spellStart"/>
      <w:r w:rsidRPr="0073671F">
        <w:rPr>
          <w:rFonts w:ascii="Arial" w:hAnsi="Arial" w:cs="Arial"/>
        </w:rPr>
        <w:t>Mashi</w:t>
      </w:r>
      <w:proofErr w:type="spellEnd"/>
      <w:r w:rsidRPr="0073671F">
        <w:rPr>
          <w:rFonts w:ascii="Arial" w:hAnsi="Arial" w:cs="Arial"/>
        </w:rPr>
        <w:t xml:space="preserve"> stood out, with 40% of parents having post-secondary education, compared to other schools where post-secondary education was minimal or absent.</w:t>
      </w:r>
    </w:p>
    <w:p w14:paraId="17D7C742" w14:textId="77777777" w:rsidR="006D0A8C" w:rsidRDefault="0073671F" w:rsidP="009E6508">
      <w:pPr>
        <w:pStyle w:val="Body"/>
        <w:rPr>
          <w:rFonts w:ascii="Arial" w:hAnsi="Arial" w:cs="Arial"/>
        </w:rPr>
      </w:pPr>
      <w:r w:rsidRPr="0073671F">
        <w:rPr>
          <w:rFonts w:ascii="Arial" w:hAnsi="Arial" w:cs="Arial"/>
        </w:rPr>
        <w:t xml:space="preserve">Regarding parental occupation, farming was the predominant profession among parents (67.5%), followed by civil service (17.7%) and business (14.7%). Significant differences were observed across schools (p &lt; 0.001), with </w:t>
      </w:r>
      <w:proofErr w:type="spellStart"/>
      <w:r w:rsidRPr="0073671F">
        <w:rPr>
          <w:rFonts w:ascii="Arial" w:hAnsi="Arial" w:cs="Arial"/>
        </w:rPr>
        <w:t>Tamilo</w:t>
      </w:r>
      <w:proofErr w:type="spellEnd"/>
      <w:r w:rsidRPr="0073671F">
        <w:rPr>
          <w:rFonts w:ascii="Arial" w:hAnsi="Arial" w:cs="Arial"/>
        </w:rPr>
        <w:t xml:space="preserve"> having the highest proportion of farming families (91%) and </w:t>
      </w:r>
      <w:proofErr w:type="spellStart"/>
      <w:r w:rsidRPr="0073671F">
        <w:rPr>
          <w:rFonts w:ascii="Arial" w:hAnsi="Arial" w:cs="Arial"/>
        </w:rPr>
        <w:t>Mashi</w:t>
      </w:r>
      <w:proofErr w:type="spellEnd"/>
      <w:r w:rsidRPr="0073671F">
        <w:rPr>
          <w:rFonts w:ascii="Arial" w:hAnsi="Arial" w:cs="Arial"/>
        </w:rPr>
        <w:t xml:space="preserve"> the lowest (21%), though </w:t>
      </w:r>
      <w:proofErr w:type="spellStart"/>
      <w:r w:rsidRPr="0073671F">
        <w:rPr>
          <w:rFonts w:ascii="Arial" w:hAnsi="Arial" w:cs="Arial"/>
        </w:rPr>
        <w:t>Mashi</w:t>
      </w:r>
      <w:proofErr w:type="spellEnd"/>
      <w:r w:rsidRPr="0073671F">
        <w:rPr>
          <w:rFonts w:ascii="Arial" w:hAnsi="Arial" w:cs="Arial"/>
        </w:rPr>
        <w:t xml:space="preserve"> had the highest proportion of civil servants (50%).</w:t>
      </w:r>
    </w:p>
    <w:p w14:paraId="4C03DD48" w14:textId="77777777" w:rsidR="006D0A8C" w:rsidRPr="006D0A8C" w:rsidRDefault="006D0A8C" w:rsidP="006D0A8C">
      <w:pPr>
        <w:spacing w:line="480" w:lineRule="auto"/>
        <w:jc w:val="both"/>
        <w:rPr>
          <w:rFonts w:ascii="Arial" w:eastAsia="Calibri" w:hAnsi="Arial" w:cs="Arial"/>
          <w:bCs/>
          <w:color w:val="000000"/>
        </w:rPr>
      </w:pPr>
      <w:r w:rsidRPr="006D0A8C">
        <w:rPr>
          <w:rFonts w:ascii="Arial" w:eastAsia="Calibri" w:hAnsi="Arial" w:cs="Arial"/>
          <w:bCs/>
          <w:color w:val="000000"/>
        </w:rPr>
        <w:t xml:space="preserve">Table 1: Demographic Characteristics of Schoolchildren in </w:t>
      </w:r>
      <w:proofErr w:type="spellStart"/>
      <w:r w:rsidRPr="006D0A8C">
        <w:rPr>
          <w:rFonts w:ascii="Arial" w:eastAsia="STIXGeneral-Regular" w:hAnsi="Arial" w:cs="Arial"/>
          <w:bCs/>
          <w:color w:val="000000"/>
        </w:rPr>
        <w:t>Mashi</w:t>
      </w:r>
      <w:proofErr w:type="spellEnd"/>
      <w:r w:rsidRPr="006D0A8C">
        <w:rPr>
          <w:rFonts w:ascii="Arial" w:eastAsia="STIXGeneral-Regular" w:hAnsi="Arial" w:cs="Arial"/>
          <w:bCs/>
          <w:color w:val="000000"/>
        </w:rPr>
        <w:t xml:space="preserve"> Local Government Area, Katsina State, Nigeria,</w:t>
      </w:r>
      <w:r w:rsidRPr="006D0A8C">
        <w:rPr>
          <w:rFonts w:ascii="Arial" w:eastAsia="Calibri" w:hAnsi="Arial" w:cs="Arial"/>
          <w:bCs/>
          <w:color w:val="000000"/>
        </w:rPr>
        <w:t xml:space="preserve"> by School</w:t>
      </w:r>
    </w:p>
    <w:p w14:paraId="4B4CF6BC" w14:textId="77777777" w:rsidR="006D0A8C" w:rsidRPr="006D0A8C" w:rsidRDefault="006D0A8C" w:rsidP="006D0A8C">
      <w:pPr>
        <w:pBdr>
          <w:top w:val="single" w:sz="12" w:space="1" w:color="auto"/>
          <w:bottom w:val="single" w:sz="12" w:space="1" w:color="auto"/>
        </w:pBdr>
        <w:spacing w:line="480" w:lineRule="auto"/>
        <w:contextualSpacing/>
        <w:jc w:val="both"/>
        <w:rPr>
          <w:rFonts w:ascii="Arial" w:eastAsia="Calibri" w:hAnsi="Arial" w:cs="Arial"/>
          <w:bCs/>
          <w:color w:val="000000"/>
          <w:u w:val="single"/>
        </w:rPr>
      </w:pPr>
      <w:r w:rsidRPr="006D0A8C">
        <w:rPr>
          <w:rFonts w:ascii="Arial" w:eastAsia="Calibri" w:hAnsi="Arial" w:cs="Arial"/>
          <w:bCs/>
          <w:color w:val="000000"/>
          <w:u w:val="single"/>
        </w:rPr>
        <w:tab/>
      </w:r>
      <w:r w:rsidRPr="006D0A8C">
        <w:rPr>
          <w:rFonts w:ascii="Arial" w:eastAsia="Calibri" w:hAnsi="Arial" w:cs="Arial"/>
          <w:bCs/>
          <w:color w:val="000000"/>
          <w:u w:val="single"/>
        </w:rPr>
        <w:tab/>
      </w:r>
      <w:r>
        <w:rPr>
          <w:rFonts w:ascii="Arial" w:eastAsia="Calibri" w:hAnsi="Arial" w:cs="Arial"/>
          <w:bCs/>
          <w:color w:val="000000"/>
          <w:u w:val="single"/>
        </w:rPr>
        <w:t xml:space="preserve">                             </w:t>
      </w:r>
      <w:r w:rsidRPr="006D0A8C">
        <w:rPr>
          <w:rFonts w:ascii="Arial" w:eastAsia="Calibri" w:hAnsi="Arial" w:cs="Arial"/>
          <w:bCs/>
          <w:color w:val="000000"/>
          <w:u w:val="single"/>
        </w:rPr>
        <w:t>n (%)</w:t>
      </w:r>
      <w:r w:rsidRPr="006D0A8C">
        <w:rPr>
          <w:rFonts w:ascii="Arial" w:eastAsia="Calibri" w:hAnsi="Arial" w:cs="Arial"/>
          <w:bCs/>
          <w:color w:val="000000"/>
          <w:u w:val="single"/>
        </w:rPr>
        <w:tab/>
      </w:r>
      <w:r w:rsidRPr="006D0A8C">
        <w:rPr>
          <w:rFonts w:ascii="Arial" w:eastAsia="Calibri" w:hAnsi="Arial" w:cs="Arial"/>
          <w:bCs/>
          <w:color w:val="000000"/>
          <w:u w:val="single"/>
        </w:rPr>
        <w:tab/>
      </w:r>
      <w:r w:rsidRPr="006D0A8C">
        <w:rPr>
          <w:rFonts w:ascii="Arial" w:eastAsia="Calibri" w:hAnsi="Arial" w:cs="Arial"/>
          <w:bCs/>
          <w:color w:val="000000"/>
          <w:u w:val="single"/>
        </w:rPr>
        <w:tab/>
      </w:r>
      <w:r w:rsidRPr="006D0A8C">
        <w:rPr>
          <w:rFonts w:ascii="Arial" w:eastAsia="Calibri" w:hAnsi="Arial" w:cs="Arial"/>
          <w:bCs/>
          <w:color w:val="000000"/>
          <w:u w:val="single"/>
        </w:rPr>
        <w:tab/>
      </w:r>
      <w:r w:rsidRPr="006D0A8C">
        <w:rPr>
          <w:rFonts w:ascii="Arial" w:eastAsia="Calibri" w:hAnsi="Arial" w:cs="Arial"/>
          <w:bCs/>
          <w:color w:val="000000"/>
          <w:u w:val="single"/>
        </w:rPr>
        <w:tab/>
      </w:r>
      <w:r w:rsidRPr="006D0A8C">
        <w:rPr>
          <w:rFonts w:ascii="Arial" w:eastAsia="Calibri" w:hAnsi="Arial" w:cs="Arial"/>
          <w:bCs/>
          <w:color w:val="000000"/>
          <w:u w:val="single"/>
        </w:rPr>
        <w:tab/>
      </w:r>
      <w:r w:rsidRPr="006D0A8C">
        <w:rPr>
          <w:rFonts w:ascii="Arial" w:eastAsia="Calibri" w:hAnsi="Arial" w:cs="Arial"/>
          <w:bCs/>
          <w:color w:val="000000"/>
          <w:u w:val="single"/>
        </w:rPr>
        <w:tab/>
      </w:r>
    </w:p>
    <w:p w14:paraId="62A2737F" w14:textId="77777777" w:rsidR="006D0A8C" w:rsidRPr="006D0A8C" w:rsidRDefault="006D0A8C" w:rsidP="006D0A8C">
      <w:pPr>
        <w:pBdr>
          <w:top w:val="single" w:sz="12" w:space="1" w:color="auto"/>
          <w:bottom w:val="single" w:sz="12" w:space="1" w:color="auto"/>
        </w:pBdr>
        <w:spacing w:line="480" w:lineRule="auto"/>
        <w:contextualSpacing/>
        <w:jc w:val="both"/>
        <w:rPr>
          <w:rFonts w:ascii="Arial" w:eastAsia="Calibri" w:hAnsi="Arial" w:cs="Arial"/>
          <w:bCs/>
          <w:color w:val="000000"/>
        </w:rPr>
      </w:pPr>
      <w:r>
        <w:rPr>
          <w:rFonts w:ascii="Arial" w:eastAsia="Calibri" w:hAnsi="Arial" w:cs="Arial"/>
          <w:bCs/>
          <w:color w:val="000000"/>
        </w:rPr>
        <w:t xml:space="preserve">Variable      All participants        Doka       </w:t>
      </w:r>
      <w:proofErr w:type="spellStart"/>
      <w:r w:rsidRPr="006D0A8C">
        <w:rPr>
          <w:rFonts w:ascii="Arial" w:eastAsia="Calibri" w:hAnsi="Arial" w:cs="Arial"/>
          <w:bCs/>
          <w:color w:val="000000"/>
        </w:rPr>
        <w:t>Gana</w:t>
      </w:r>
      <w:proofErr w:type="spellEnd"/>
      <w:r w:rsidRPr="006D0A8C">
        <w:rPr>
          <w:rFonts w:ascii="Arial" w:eastAsia="Calibri" w:hAnsi="Arial" w:cs="Arial"/>
          <w:bCs/>
          <w:color w:val="000000"/>
        </w:rPr>
        <w:t>-</w:t>
      </w:r>
      <w:r>
        <w:rPr>
          <w:rFonts w:ascii="Arial" w:eastAsia="Calibri" w:hAnsi="Arial" w:cs="Arial"/>
          <w:bCs/>
          <w:color w:val="000000"/>
        </w:rPr>
        <w:t xml:space="preserve">Jigawa       </w:t>
      </w:r>
      <w:proofErr w:type="spellStart"/>
      <w:r>
        <w:rPr>
          <w:rFonts w:ascii="Arial" w:eastAsia="Calibri" w:hAnsi="Arial" w:cs="Arial"/>
          <w:bCs/>
          <w:color w:val="000000"/>
        </w:rPr>
        <w:t>Mashi</w:t>
      </w:r>
      <w:proofErr w:type="spellEnd"/>
      <w:r>
        <w:rPr>
          <w:rFonts w:ascii="Arial" w:eastAsia="Calibri" w:hAnsi="Arial" w:cs="Arial"/>
          <w:bCs/>
          <w:color w:val="000000"/>
        </w:rPr>
        <w:t xml:space="preserve">           </w:t>
      </w:r>
      <w:proofErr w:type="spellStart"/>
      <w:r w:rsidRPr="006D0A8C">
        <w:rPr>
          <w:rFonts w:ascii="Arial" w:eastAsia="Calibri" w:hAnsi="Arial" w:cs="Arial"/>
          <w:bCs/>
          <w:color w:val="000000"/>
        </w:rPr>
        <w:t>Tamilo</w:t>
      </w:r>
      <w:proofErr w:type="spellEnd"/>
      <w:r w:rsidRPr="006D0A8C">
        <w:rPr>
          <w:rFonts w:ascii="Arial" w:eastAsia="Calibri" w:hAnsi="Arial" w:cs="Arial"/>
          <w:bCs/>
          <w:color w:val="000000"/>
        </w:rPr>
        <w:t xml:space="preserve">         P-value</w:t>
      </w:r>
    </w:p>
    <w:p w14:paraId="0D35A9E1" w14:textId="77777777" w:rsidR="006D0A8C" w:rsidRPr="006D0A8C" w:rsidRDefault="006D0A8C" w:rsidP="006D0A8C">
      <w:pPr>
        <w:pBdr>
          <w:top w:val="single" w:sz="12" w:space="1" w:color="auto"/>
          <w:bottom w:val="single" w:sz="12" w:space="1" w:color="auto"/>
        </w:pBdr>
        <w:spacing w:line="480" w:lineRule="auto"/>
        <w:jc w:val="both"/>
        <w:rPr>
          <w:rFonts w:ascii="Arial" w:eastAsia="Calibri" w:hAnsi="Arial" w:cs="Arial"/>
          <w:bCs/>
          <w:color w:val="000000"/>
        </w:rPr>
      </w:pPr>
      <w:r>
        <w:rPr>
          <w:rFonts w:ascii="Arial" w:eastAsia="Calibri" w:hAnsi="Arial" w:cs="Arial"/>
          <w:bCs/>
          <w:color w:val="000000"/>
        </w:rPr>
        <w:t xml:space="preserve">                      (n = 400)        </w:t>
      </w:r>
      <w:proofErr w:type="gramStart"/>
      <w:r>
        <w:rPr>
          <w:rFonts w:ascii="Arial" w:eastAsia="Calibri" w:hAnsi="Arial" w:cs="Arial"/>
          <w:bCs/>
          <w:color w:val="000000"/>
        </w:rPr>
        <w:t xml:space="preserve">   (</w:t>
      </w:r>
      <w:proofErr w:type="gramEnd"/>
      <w:r>
        <w:rPr>
          <w:rFonts w:ascii="Arial" w:eastAsia="Calibri" w:hAnsi="Arial" w:cs="Arial"/>
          <w:bCs/>
          <w:color w:val="000000"/>
        </w:rPr>
        <w:t>n = 100)</w:t>
      </w:r>
      <w:r>
        <w:rPr>
          <w:rFonts w:ascii="Arial" w:eastAsia="Calibri" w:hAnsi="Arial" w:cs="Arial"/>
          <w:bCs/>
          <w:color w:val="000000"/>
        </w:rPr>
        <w:tab/>
        <w:t xml:space="preserve">     (n = 100)        (n = 100)       </w:t>
      </w:r>
      <w:r w:rsidRPr="006D0A8C">
        <w:rPr>
          <w:rFonts w:ascii="Arial" w:eastAsia="Calibri" w:hAnsi="Arial" w:cs="Arial"/>
          <w:bCs/>
          <w:color w:val="000000"/>
        </w:rPr>
        <w:t>(n = 100)</w:t>
      </w:r>
      <w:r w:rsidRPr="006D0A8C">
        <w:rPr>
          <w:rFonts w:ascii="Arial" w:eastAsia="Calibri" w:hAnsi="Arial" w:cs="Arial"/>
          <w:bCs/>
          <w:color w:val="000000"/>
        </w:rPr>
        <w:tab/>
      </w:r>
    </w:p>
    <w:p w14:paraId="5EC2CEF0" w14:textId="77777777" w:rsidR="006D0A8C" w:rsidRPr="006D0A8C" w:rsidRDefault="006D0A8C" w:rsidP="006D0A8C">
      <w:pPr>
        <w:spacing w:line="480" w:lineRule="auto"/>
        <w:contextualSpacing/>
        <w:jc w:val="both"/>
        <w:rPr>
          <w:rFonts w:ascii="Arial" w:eastAsia="Calibri" w:hAnsi="Arial" w:cs="Arial"/>
          <w:bCs/>
          <w:color w:val="000000"/>
        </w:rPr>
      </w:pPr>
      <w:r>
        <w:rPr>
          <w:rFonts w:ascii="Arial" w:eastAsia="Calibri" w:hAnsi="Arial" w:cs="Arial"/>
          <w:color w:val="000000"/>
        </w:rPr>
        <w:t>Sex</w:t>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t xml:space="preserve">       </w:t>
      </w:r>
      <w:r w:rsidRPr="006D0A8C">
        <w:rPr>
          <w:rFonts w:ascii="Arial" w:eastAsia="Calibri" w:hAnsi="Arial" w:cs="Arial"/>
          <w:color w:val="000000"/>
        </w:rPr>
        <w:t xml:space="preserve"> </w:t>
      </w:r>
      <w:r w:rsidRPr="006D0A8C">
        <w:rPr>
          <w:rFonts w:ascii="Arial" w:eastAsia="Calibri" w:hAnsi="Arial" w:cs="Arial"/>
          <w:bCs/>
          <w:color w:val="000000"/>
        </w:rPr>
        <w:t>0.37</w:t>
      </w:r>
    </w:p>
    <w:p w14:paraId="7289C1D9" w14:textId="77777777" w:rsidR="006D0A8C" w:rsidRPr="006D0A8C" w:rsidRDefault="006D0A8C" w:rsidP="006D0A8C">
      <w:pPr>
        <w:spacing w:line="480" w:lineRule="auto"/>
        <w:contextualSpacing/>
        <w:jc w:val="both"/>
        <w:rPr>
          <w:rFonts w:ascii="Arial" w:eastAsia="Calibri" w:hAnsi="Arial" w:cs="Arial"/>
          <w:bCs/>
          <w:color w:val="000000"/>
        </w:rPr>
      </w:pPr>
      <w:r>
        <w:rPr>
          <w:rFonts w:ascii="Arial" w:eastAsia="Calibri" w:hAnsi="Arial" w:cs="Arial"/>
          <w:bCs/>
          <w:color w:val="000000"/>
        </w:rPr>
        <w:t xml:space="preserve">     Female        207 (51.7)          50 (50.0)        47 (47.0)</w:t>
      </w:r>
      <w:r>
        <w:rPr>
          <w:rFonts w:ascii="Arial" w:eastAsia="Calibri" w:hAnsi="Arial" w:cs="Arial"/>
          <w:bCs/>
          <w:color w:val="000000"/>
        </w:rPr>
        <w:tab/>
        <w:t xml:space="preserve">   51 (51.0)        </w:t>
      </w:r>
      <w:r w:rsidRPr="006D0A8C">
        <w:rPr>
          <w:rFonts w:ascii="Arial" w:eastAsia="Calibri" w:hAnsi="Arial" w:cs="Arial"/>
          <w:bCs/>
          <w:color w:val="000000"/>
        </w:rPr>
        <w:t>59 (59.0)</w:t>
      </w:r>
    </w:p>
    <w:p w14:paraId="29DE9AEB" w14:textId="77777777" w:rsidR="006D0A8C" w:rsidRPr="006D0A8C" w:rsidRDefault="006D0A8C" w:rsidP="006D0A8C">
      <w:pPr>
        <w:spacing w:line="480" w:lineRule="auto"/>
        <w:contextualSpacing/>
        <w:jc w:val="both"/>
        <w:rPr>
          <w:rFonts w:ascii="Arial" w:eastAsia="Calibri" w:hAnsi="Arial" w:cs="Arial"/>
          <w:bCs/>
          <w:color w:val="000000"/>
        </w:rPr>
      </w:pPr>
      <w:r>
        <w:rPr>
          <w:rFonts w:ascii="Arial" w:eastAsia="Calibri" w:hAnsi="Arial" w:cs="Arial"/>
          <w:bCs/>
          <w:color w:val="000000"/>
        </w:rPr>
        <w:t xml:space="preserve">     Male           193 (48.2)           50 (50.0)        53 (53.0)</w:t>
      </w:r>
      <w:r>
        <w:rPr>
          <w:rFonts w:ascii="Arial" w:eastAsia="Calibri" w:hAnsi="Arial" w:cs="Arial"/>
          <w:bCs/>
          <w:color w:val="000000"/>
        </w:rPr>
        <w:tab/>
        <w:t xml:space="preserve">   49 (49.0)</w:t>
      </w:r>
      <w:r>
        <w:rPr>
          <w:rFonts w:ascii="Arial" w:eastAsia="Calibri" w:hAnsi="Arial" w:cs="Arial"/>
          <w:bCs/>
          <w:color w:val="000000"/>
        </w:rPr>
        <w:tab/>
      </w:r>
      <w:r w:rsidRPr="006D0A8C">
        <w:rPr>
          <w:rFonts w:ascii="Arial" w:eastAsia="Calibri" w:hAnsi="Arial" w:cs="Arial"/>
          <w:bCs/>
          <w:color w:val="000000"/>
        </w:rPr>
        <w:t>41 (41.0)</w:t>
      </w:r>
    </w:p>
    <w:p w14:paraId="5BE9F13A" w14:textId="77777777" w:rsidR="006D0A8C" w:rsidRPr="006D0A8C" w:rsidRDefault="006D0A8C" w:rsidP="006D0A8C">
      <w:pPr>
        <w:spacing w:line="480" w:lineRule="auto"/>
        <w:contextualSpacing/>
        <w:jc w:val="both"/>
        <w:rPr>
          <w:rFonts w:ascii="Arial" w:eastAsia="Calibri" w:hAnsi="Arial" w:cs="Arial"/>
          <w:bCs/>
          <w:color w:val="000000"/>
        </w:rPr>
      </w:pPr>
      <w:r w:rsidRPr="006D0A8C">
        <w:rPr>
          <w:rFonts w:ascii="Arial" w:eastAsia="Calibri" w:hAnsi="Arial" w:cs="Arial"/>
          <w:color w:val="000000"/>
        </w:rPr>
        <w:t>A</w:t>
      </w:r>
      <w:r>
        <w:rPr>
          <w:rFonts w:ascii="Arial" w:eastAsia="Calibri" w:hAnsi="Arial" w:cs="Arial"/>
          <w:color w:val="000000"/>
        </w:rPr>
        <w:t>ge (years)</w:t>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t xml:space="preserve">      </w:t>
      </w:r>
      <w:r w:rsidRPr="006D0A8C">
        <w:rPr>
          <w:rFonts w:ascii="Arial" w:eastAsia="Calibri" w:hAnsi="Arial" w:cs="Arial"/>
          <w:bCs/>
          <w:color w:val="000000"/>
        </w:rPr>
        <w:t xml:space="preserve"> 0.007</w:t>
      </w:r>
    </w:p>
    <w:p w14:paraId="38D81F54" w14:textId="77777777" w:rsidR="006D0A8C" w:rsidRPr="006D0A8C" w:rsidRDefault="006D0A8C" w:rsidP="006D0A8C">
      <w:pPr>
        <w:spacing w:line="480" w:lineRule="auto"/>
        <w:contextualSpacing/>
        <w:jc w:val="both"/>
        <w:rPr>
          <w:rFonts w:ascii="Arial" w:eastAsia="Calibri" w:hAnsi="Arial" w:cs="Arial"/>
          <w:bCs/>
          <w:color w:val="000000"/>
        </w:rPr>
      </w:pPr>
      <w:r>
        <w:rPr>
          <w:rFonts w:ascii="Arial" w:eastAsia="Calibri" w:hAnsi="Arial" w:cs="Arial"/>
          <w:bCs/>
          <w:color w:val="000000"/>
        </w:rPr>
        <w:t>mean ± SD        9.7 ± 2.2            9.8 ± 2.3         9.5 ± 2.1</w:t>
      </w:r>
      <w:r>
        <w:rPr>
          <w:rFonts w:ascii="Arial" w:eastAsia="Calibri" w:hAnsi="Arial" w:cs="Arial"/>
          <w:bCs/>
          <w:color w:val="000000"/>
        </w:rPr>
        <w:tab/>
        <w:t xml:space="preserve">   10.3 ± 2.2</w:t>
      </w:r>
      <w:proofErr w:type="gramStart"/>
      <w:r>
        <w:rPr>
          <w:rFonts w:ascii="Arial" w:eastAsia="Calibri" w:hAnsi="Arial" w:cs="Arial"/>
          <w:bCs/>
          <w:color w:val="000000"/>
        </w:rPr>
        <w:tab/>
        <w:t xml:space="preserve">  </w:t>
      </w:r>
      <w:r w:rsidRPr="006D0A8C">
        <w:rPr>
          <w:rFonts w:ascii="Arial" w:eastAsia="Calibri" w:hAnsi="Arial" w:cs="Arial"/>
          <w:bCs/>
          <w:color w:val="000000"/>
        </w:rPr>
        <w:t>9.3</w:t>
      </w:r>
      <w:proofErr w:type="gramEnd"/>
      <w:r w:rsidRPr="006D0A8C">
        <w:rPr>
          <w:rFonts w:ascii="Arial" w:eastAsia="Calibri" w:hAnsi="Arial" w:cs="Arial"/>
          <w:bCs/>
          <w:color w:val="000000"/>
        </w:rPr>
        <w:t xml:space="preserve"> ± 2.1</w:t>
      </w:r>
    </w:p>
    <w:p w14:paraId="5636AA83" w14:textId="77777777" w:rsidR="006D0A8C" w:rsidRPr="006D0A8C" w:rsidRDefault="006D0A8C" w:rsidP="006D0A8C">
      <w:pPr>
        <w:spacing w:line="480" w:lineRule="auto"/>
        <w:contextualSpacing/>
        <w:jc w:val="both"/>
        <w:rPr>
          <w:rFonts w:ascii="Arial" w:eastAsia="Calibri" w:hAnsi="Arial" w:cs="Arial"/>
          <w:bCs/>
          <w:color w:val="000000"/>
        </w:rPr>
      </w:pPr>
      <w:r>
        <w:rPr>
          <w:rFonts w:ascii="Arial" w:eastAsia="Calibri" w:hAnsi="Arial" w:cs="Arial"/>
          <w:bCs/>
          <w:color w:val="000000"/>
        </w:rPr>
        <w:t xml:space="preserve">     5 – 8       </w:t>
      </w:r>
      <w:r w:rsidRPr="006D0A8C">
        <w:rPr>
          <w:rFonts w:ascii="Arial" w:eastAsia="Calibri" w:hAnsi="Arial" w:cs="Arial"/>
          <w:bCs/>
          <w:color w:val="000000"/>
        </w:rPr>
        <w:t xml:space="preserve"> </w:t>
      </w:r>
      <w:r>
        <w:rPr>
          <w:rFonts w:ascii="Arial" w:eastAsia="Calibri" w:hAnsi="Arial" w:cs="Arial"/>
          <w:bCs/>
          <w:color w:val="000000"/>
        </w:rPr>
        <w:t xml:space="preserve">   118 (29.5)            24 (24.0)        30 (30.0)      21 (21.0)</w:t>
      </w:r>
      <w:proofErr w:type="gramStart"/>
      <w:r>
        <w:rPr>
          <w:rFonts w:ascii="Arial" w:eastAsia="Calibri" w:hAnsi="Arial" w:cs="Arial"/>
          <w:bCs/>
          <w:color w:val="000000"/>
        </w:rPr>
        <w:tab/>
        <w:t xml:space="preserve">  </w:t>
      </w:r>
      <w:r w:rsidRPr="006D0A8C">
        <w:rPr>
          <w:rFonts w:ascii="Arial" w:eastAsia="Calibri" w:hAnsi="Arial" w:cs="Arial"/>
          <w:bCs/>
          <w:color w:val="000000"/>
        </w:rPr>
        <w:t>43</w:t>
      </w:r>
      <w:proofErr w:type="gramEnd"/>
      <w:r w:rsidRPr="006D0A8C">
        <w:rPr>
          <w:rFonts w:ascii="Arial" w:eastAsia="Calibri" w:hAnsi="Arial" w:cs="Arial"/>
          <w:bCs/>
          <w:color w:val="000000"/>
        </w:rPr>
        <w:t xml:space="preserve"> (43.0)</w:t>
      </w:r>
    </w:p>
    <w:p w14:paraId="0A384AFF" w14:textId="77777777" w:rsidR="006D0A8C" w:rsidRPr="006D0A8C" w:rsidRDefault="006D0A8C" w:rsidP="006D0A8C">
      <w:pPr>
        <w:spacing w:line="480" w:lineRule="auto"/>
        <w:contextualSpacing/>
        <w:jc w:val="both"/>
        <w:rPr>
          <w:rFonts w:ascii="Arial" w:eastAsia="Calibri" w:hAnsi="Arial" w:cs="Arial"/>
          <w:bCs/>
          <w:color w:val="000000"/>
        </w:rPr>
      </w:pPr>
      <w:r>
        <w:rPr>
          <w:rFonts w:ascii="Arial" w:eastAsia="Calibri" w:hAnsi="Arial" w:cs="Arial"/>
          <w:bCs/>
          <w:color w:val="000000"/>
        </w:rPr>
        <w:t xml:space="preserve">     9 – 11         183 (45.7)</w:t>
      </w:r>
      <w:r>
        <w:rPr>
          <w:rFonts w:ascii="Arial" w:eastAsia="Calibri" w:hAnsi="Arial" w:cs="Arial"/>
          <w:bCs/>
          <w:color w:val="000000"/>
        </w:rPr>
        <w:tab/>
        <w:t>52 (52.0)         55 (55.0)</w:t>
      </w:r>
      <w:r>
        <w:rPr>
          <w:rFonts w:ascii="Arial" w:eastAsia="Calibri" w:hAnsi="Arial" w:cs="Arial"/>
          <w:bCs/>
          <w:color w:val="000000"/>
        </w:rPr>
        <w:tab/>
        <w:t xml:space="preserve">    40 (40.0)</w:t>
      </w:r>
      <w:proofErr w:type="gramStart"/>
      <w:r>
        <w:rPr>
          <w:rFonts w:ascii="Arial" w:eastAsia="Calibri" w:hAnsi="Arial" w:cs="Arial"/>
          <w:bCs/>
          <w:color w:val="000000"/>
        </w:rPr>
        <w:tab/>
        <w:t xml:space="preserve">  </w:t>
      </w:r>
      <w:r w:rsidRPr="006D0A8C">
        <w:rPr>
          <w:rFonts w:ascii="Arial" w:eastAsia="Calibri" w:hAnsi="Arial" w:cs="Arial"/>
          <w:bCs/>
          <w:color w:val="000000"/>
        </w:rPr>
        <w:t>36</w:t>
      </w:r>
      <w:proofErr w:type="gramEnd"/>
      <w:r w:rsidRPr="006D0A8C">
        <w:rPr>
          <w:rFonts w:ascii="Arial" w:eastAsia="Calibri" w:hAnsi="Arial" w:cs="Arial"/>
          <w:bCs/>
          <w:color w:val="000000"/>
        </w:rPr>
        <w:t xml:space="preserve"> (36.0)</w:t>
      </w:r>
    </w:p>
    <w:p w14:paraId="2CA1BF3A" w14:textId="77777777" w:rsidR="006D0A8C" w:rsidRPr="006D0A8C" w:rsidRDefault="006D0A8C" w:rsidP="006D0A8C">
      <w:pPr>
        <w:spacing w:line="480" w:lineRule="auto"/>
        <w:contextualSpacing/>
        <w:jc w:val="both"/>
        <w:rPr>
          <w:rFonts w:ascii="Arial" w:eastAsia="Calibri" w:hAnsi="Arial" w:cs="Arial"/>
          <w:bCs/>
          <w:color w:val="000000"/>
        </w:rPr>
      </w:pPr>
      <w:r>
        <w:rPr>
          <w:rFonts w:ascii="Arial" w:eastAsia="Calibri" w:hAnsi="Arial" w:cs="Arial"/>
          <w:bCs/>
          <w:color w:val="000000"/>
        </w:rPr>
        <w:t xml:space="preserve">     12 – 13        99 (24.7)             24 (24.0)        15 (15.0)</w:t>
      </w:r>
      <w:r>
        <w:rPr>
          <w:rFonts w:ascii="Arial" w:eastAsia="Calibri" w:hAnsi="Arial" w:cs="Arial"/>
          <w:bCs/>
          <w:color w:val="000000"/>
        </w:rPr>
        <w:tab/>
        <w:t xml:space="preserve">    39 (39.0)</w:t>
      </w:r>
      <w:r>
        <w:rPr>
          <w:rFonts w:ascii="Arial" w:eastAsia="Calibri" w:hAnsi="Arial" w:cs="Arial"/>
          <w:bCs/>
          <w:color w:val="000000"/>
        </w:rPr>
        <w:tab/>
        <w:t xml:space="preserve">   </w:t>
      </w:r>
      <w:r w:rsidRPr="006D0A8C">
        <w:rPr>
          <w:rFonts w:ascii="Arial" w:eastAsia="Calibri" w:hAnsi="Arial" w:cs="Arial"/>
          <w:bCs/>
          <w:color w:val="000000"/>
        </w:rPr>
        <w:t>21 (21.0)</w:t>
      </w:r>
    </w:p>
    <w:p w14:paraId="5431DC73" w14:textId="77777777" w:rsidR="006D0A8C" w:rsidRPr="006D0A8C" w:rsidRDefault="006D0A8C" w:rsidP="006D0A8C">
      <w:pPr>
        <w:spacing w:line="480" w:lineRule="auto"/>
        <w:contextualSpacing/>
        <w:jc w:val="both"/>
        <w:rPr>
          <w:rFonts w:ascii="Arial" w:eastAsia="Calibri" w:hAnsi="Arial" w:cs="Arial"/>
          <w:bCs/>
          <w:color w:val="000000"/>
        </w:rPr>
      </w:pPr>
      <w:r>
        <w:rPr>
          <w:rFonts w:ascii="Arial" w:eastAsia="Calibri" w:hAnsi="Arial" w:cs="Arial"/>
          <w:color w:val="000000"/>
        </w:rPr>
        <w:t>Educational level</w:t>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t xml:space="preserve">       </w:t>
      </w:r>
      <w:r w:rsidRPr="006D0A8C">
        <w:rPr>
          <w:rFonts w:ascii="Arial" w:eastAsia="Calibri" w:hAnsi="Arial" w:cs="Arial"/>
          <w:bCs/>
          <w:color w:val="000000"/>
        </w:rPr>
        <w:t>&lt;0.001</w:t>
      </w:r>
    </w:p>
    <w:p w14:paraId="17E31374" w14:textId="77777777" w:rsidR="006D0A8C" w:rsidRPr="006D0A8C" w:rsidRDefault="006D0A8C" w:rsidP="006D0A8C">
      <w:pPr>
        <w:spacing w:line="480" w:lineRule="auto"/>
        <w:contextualSpacing/>
        <w:jc w:val="both"/>
        <w:rPr>
          <w:rFonts w:ascii="Arial" w:eastAsia="Calibri" w:hAnsi="Arial" w:cs="Arial"/>
          <w:bCs/>
          <w:color w:val="000000"/>
        </w:rPr>
      </w:pPr>
      <w:r>
        <w:rPr>
          <w:rFonts w:ascii="Arial" w:eastAsia="Calibri" w:hAnsi="Arial" w:cs="Arial"/>
          <w:bCs/>
          <w:color w:val="000000"/>
        </w:rPr>
        <w:t xml:space="preserve">     Primary 1      </w:t>
      </w:r>
      <w:r w:rsidRPr="006D0A8C">
        <w:rPr>
          <w:rFonts w:ascii="Arial" w:eastAsia="Calibri" w:hAnsi="Arial" w:cs="Arial"/>
          <w:bCs/>
          <w:color w:val="000000"/>
        </w:rPr>
        <w:t>22 (5.5)</w:t>
      </w:r>
      <w:r w:rsidRPr="006D0A8C">
        <w:rPr>
          <w:rFonts w:ascii="Arial" w:eastAsia="Calibri" w:hAnsi="Arial" w:cs="Arial"/>
          <w:bCs/>
          <w:color w:val="000000"/>
        </w:rPr>
        <w:tab/>
      </w:r>
      <w:r>
        <w:rPr>
          <w:rFonts w:ascii="Arial" w:eastAsia="Calibri" w:hAnsi="Arial" w:cs="Arial"/>
          <w:bCs/>
          <w:color w:val="000000"/>
        </w:rPr>
        <w:t xml:space="preserve">              9 (9.0)             2 (2.0)</w:t>
      </w:r>
      <w:r>
        <w:rPr>
          <w:rFonts w:ascii="Arial" w:eastAsia="Calibri" w:hAnsi="Arial" w:cs="Arial"/>
          <w:bCs/>
          <w:color w:val="000000"/>
        </w:rPr>
        <w:tab/>
        <w:t xml:space="preserve">     2 (2.0)             </w:t>
      </w:r>
      <w:r w:rsidRPr="006D0A8C">
        <w:rPr>
          <w:rFonts w:ascii="Arial" w:eastAsia="Calibri" w:hAnsi="Arial" w:cs="Arial"/>
          <w:bCs/>
          <w:color w:val="000000"/>
        </w:rPr>
        <w:t>9 (9.0)</w:t>
      </w:r>
    </w:p>
    <w:p w14:paraId="7D6DFD4A" w14:textId="77777777" w:rsidR="006D0A8C" w:rsidRPr="006D0A8C" w:rsidRDefault="006D0A8C" w:rsidP="006D0A8C">
      <w:pPr>
        <w:spacing w:line="480" w:lineRule="auto"/>
        <w:contextualSpacing/>
        <w:jc w:val="both"/>
        <w:rPr>
          <w:rFonts w:ascii="Arial" w:eastAsia="Calibri" w:hAnsi="Arial" w:cs="Arial"/>
          <w:bCs/>
          <w:color w:val="000000"/>
        </w:rPr>
      </w:pPr>
      <w:r>
        <w:rPr>
          <w:rFonts w:ascii="Arial" w:eastAsia="Calibri" w:hAnsi="Arial" w:cs="Arial"/>
          <w:bCs/>
          <w:color w:val="000000"/>
        </w:rPr>
        <w:t xml:space="preserve">     Primary 2     41 (10.2)</w:t>
      </w:r>
      <w:r>
        <w:rPr>
          <w:rFonts w:ascii="Arial" w:eastAsia="Calibri" w:hAnsi="Arial" w:cs="Arial"/>
          <w:bCs/>
          <w:color w:val="000000"/>
        </w:rPr>
        <w:tab/>
        <w:t xml:space="preserve"> 12 (12.0)         4 (4.0)</w:t>
      </w:r>
      <w:r>
        <w:rPr>
          <w:rFonts w:ascii="Arial" w:eastAsia="Calibri" w:hAnsi="Arial" w:cs="Arial"/>
          <w:bCs/>
          <w:color w:val="000000"/>
        </w:rPr>
        <w:tab/>
        <w:t xml:space="preserve">     </w:t>
      </w:r>
      <w:r w:rsidRPr="006D0A8C">
        <w:rPr>
          <w:rFonts w:ascii="Arial" w:eastAsia="Calibri" w:hAnsi="Arial" w:cs="Arial"/>
          <w:bCs/>
          <w:color w:val="000000"/>
        </w:rPr>
        <w:t>5</w:t>
      </w:r>
      <w:r>
        <w:rPr>
          <w:rFonts w:ascii="Arial" w:eastAsia="Calibri" w:hAnsi="Arial" w:cs="Arial"/>
          <w:bCs/>
          <w:color w:val="000000"/>
        </w:rPr>
        <w:t xml:space="preserve"> (5.0)             </w:t>
      </w:r>
      <w:r w:rsidRPr="006D0A8C">
        <w:rPr>
          <w:rFonts w:ascii="Arial" w:eastAsia="Calibri" w:hAnsi="Arial" w:cs="Arial"/>
          <w:bCs/>
          <w:color w:val="000000"/>
        </w:rPr>
        <w:t>20 (20.0)</w:t>
      </w:r>
    </w:p>
    <w:p w14:paraId="7F9AE9E7" w14:textId="77777777" w:rsidR="006D0A8C" w:rsidRPr="006D0A8C" w:rsidRDefault="006D0A8C" w:rsidP="006D0A8C">
      <w:pPr>
        <w:spacing w:line="480" w:lineRule="auto"/>
        <w:contextualSpacing/>
        <w:jc w:val="both"/>
        <w:rPr>
          <w:rFonts w:ascii="Arial" w:eastAsia="Calibri" w:hAnsi="Arial" w:cs="Arial"/>
          <w:bCs/>
          <w:color w:val="000000"/>
        </w:rPr>
      </w:pPr>
      <w:r>
        <w:rPr>
          <w:rFonts w:ascii="Arial" w:eastAsia="Calibri" w:hAnsi="Arial" w:cs="Arial"/>
          <w:bCs/>
          <w:color w:val="000000"/>
        </w:rPr>
        <w:t xml:space="preserve">     Primary 3     </w:t>
      </w:r>
      <w:r w:rsidRPr="006D0A8C">
        <w:rPr>
          <w:rFonts w:ascii="Arial" w:eastAsia="Calibri" w:hAnsi="Arial" w:cs="Arial"/>
          <w:bCs/>
          <w:color w:val="000000"/>
        </w:rPr>
        <w:t>61</w:t>
      </w:r>
      <w:r>
        <w:rPr>
          <w:rFonts w:ascii="Arial" w:eastAsia="Calibri" w:hAnsi="Arial" w:cs="Arial"/>
          <w:bCs/>
          <w:color w:val="000000"/>
        </w:rPr>
        <w:t xml:space="preserve"> (15.2)              8 (8.0)</w:t>
      </w:r>
      <w:r>
        <w:rPr>
          <w:rFonts w:ascii="Arial" w:eastAsia="Calibri" w:hAnsi="Arial" w:cs="Arial"/>
          <w:bCs/>
          <w:color w:val="000000"/>
        </w:rPr>
        <w:tab/>
        <w:t xml:space="preserve">           23 (23.0)      6 (6.0)             </w:t>
      </w:r>
      <w:r w:rsidRPr="006D0A8C">
        <w:rPr>
          <w:rFonts w:ascii="Arial" w:eastAsia="Calibri" w:hAnsi="Arial" w:cs="Arial"/>
          <w:bCs/>
          <w:color w:val="000000"/>
        </w:rPr>
        <w:t>24 (24.0)</w:t>
      </w:r>
    </w:p>
    <w:p w14:paraId="750C4404" w14:textId="77777777" w:rsidR="006D0A8C" w:rsidRPr="006D0A8C" w:rsidRDefault="006D0A8C" w:rsidP="006D0A8C">
      <w:pPr>
        <w:spacing w:line="480" w:lineRule="auto"/>
        <w:contextualSpacing/>
        <w:jc w:val="both"/>
        <w:rPr>
          <w:rFonts w:ascii="Arial" w:eastAsia="Calibri" w:hAnsi="Arial" w:cs="Arial"/>
          <w:bCs/>
          <w:color w:val="000000"/>
        </w:rPr>
      </w:pPr>
      <w:r>
        <w:rPr>
          <w:rFonts w:ascii="Arial" w:eastAsia="Calibri" w:hAnsi="Arial" w:cs="Arial"/>
          <w:bCs/>
          <w:color w:val="000000"/>
        </w:rPr>
        <w:t xml:space="preserve">     Primary 4</w:t>
      </w:r>
      <w:r>
        <w:rPr>
          <w:rFonts w:ascii="Arial" w:eastAsia="Calibri" w:hAnsi="Arial" w:cs="Arial"/>
          <w:bCs/>
          <w:color w:val="000000"/>
        </w:rPr>
        <w:tab/>
        <w:t>58 (14.5)             12 (12.0)        20 (20.0)</w:t>
      </w:r>
      <w:r>
        <w:rPr>
          <w:rFonts w:ascii="Arial" w:eastAsia="Calibri" w:hAnsi="Arial" w:cs="Arial"/>
          <w:bCs/>
          <w:color w:val="000000"/>
        </w:rPr>
        <w:tab/>
        <w:t xml:space="preserve">      7 (7.0)</w:t>
      </w:r>
      <w:r>
        <w:rPr>
          <w:rFonts w:ascii="Arial" w:eastAsia="Calibri" w:hAnsi="Arial" w:cs="Arial"/>
          <w:bCs/>
          <w:color w:val="000000"/>
        </w:rPr>
        <w:tab/>
        <w:t xml:space="preserve">   </w:t>
      </w:r>
      <w:r w:rsidRPr="006D0A8C">
        <w:rPr>
          <w:rFonts w:ascii="Arial" w:eastAsia="Calibri" w:hAnsi="Arial" w:cs="Arial"/>
          <w:bCs/>
          <w:color w:val="000000"/>
        </w:rPr>
        <w:t>19 (19.0)</w:t>
      </w:r>
    </w:p>
    <w:p w14:paraId="729A4C74" w14:textId="77777777" w:rsidR="006D0A8C" w:rsidRPr="006D0A8C" w:rsidRDefault="006D0A8C" w:rsidP="006D0A8C">
      <w:pPr>
        <w:spacing w:line="480" w:lineRule="auto"/>
        <w:contextualSpacing/>
        <w:jc w:val="both"/>
        <w:rPr>
          <w:rFonts w:ascii="Arial" w:eastAsia="Calibri" w:hAnsi="Arial" w:cs="Arial"/>
          <w:bCs/>
          <w:color w:val="000000"/>
        </w:rPr>
      </w:pPr>
      <w:r>
        <w:rPr>
          <w:rFonts w:ascii="Arial" w:eastAsia="Calibri" w:hAnsi="Arial" w:cs="Arial"/>
          <w:bCs/>
          <w:color w:val="000000"/>
        </w:rPr>
        <w:t xml:space="preserve">     Primary 5     104 (26.0)            30 (30.0)        38 (38.0)</w:t>
      </w:r>
      <w:r>
        <w:rPr>
          <w:rFonts w:ascii="Arial" w:eastAsia="Calibri" w:hAnsi="Arial" w:cs="Arial"/>
          <w:bCs/>
          <w:color w:val="000000"/>
        </w:rPr>
        <w:tab/>
        <w:t xml:space="preserve">      30 (30.0)         </w:t>
      </w:r>
      <w:r w:rsidRPr="006D0A8C">
        <w:rPr>
          <w:rFonts w:ascii="Arial" w:eastAsia="Calibri" w:hAnsi="Arial" w:cs="Arial"/>
          <w:bCs/>
          <w:color w:val="000000"/>
        </w:rPr>
        <w:t>6 (6.0)</w:t>
      </w:r>
    </w:p>
    <w:p w14:paraId="2473F9D9" w14:textId="77777777" w:rsidR="006D0A8C" w:rsidRPr="006D0A8C" w:rsidRDefault="006D0A8C" w:rsidP="006D0A8C">
      <w:pPr>
        <w:spacing w:line="480" w:lineRule="auto"/>
        <w:contextualSpacing/>
        <w:jc w:val="both"/>
        <w:rPr>
          <w:rFonts w:ascii="Arial" w:eastAsia="Calibri" w:hAnsi="Arial" w:cs="Arial"/>
          <w:bCs/>
          <w:color w:val="000000"/>
        </w:rPr>
      </w:pPr>
      <w:r>
        <w:rPr>
          <w:rFonts w:ascii="Arial" w:eastAsia="Calibri" w:hAnsi="Arial" w:cs="Arial"/>
          <w:bCs/>
          <w:color w:val="000000"/>
        </w:rPr>
        <w:t xml:space="preserve">     Primary 6</w:t>
      </w:r>
      <w:r>
        <w:rPr>
          <w:rFonts w:ascii="Arial" w:eastAsia="Calibri" w:hAnsi="Arial" w:cs="Arial"/>
          <w:bCs/>
          <w:color w:val="000000"/>
        </w:rPr>
        <w:tab/>
        <w:t>114 (28.5)</w:t>
      </w:r>
      <w:proofErr w:type="gramStart"/>
      <w:r>
        <w:rPr>
          <w:rFonts w:ascii="Arial" w:eastAsia="Calibri" w:hAnsi="Arial" w:cs="Arial"/>
          <w:bCs/>
          <w:color w:val="000000"/>
        </w:rPr>
        <w:tab/>
        <w:t xml:space="preserve">  29</w:t>
      </w:r>
      <w:proofErr w:type="gramEnd"/>
      <w:r>
        <w:rPr>
          <w:rFonts w:ascii="Arial" w:eastAsia="Calibri" w:hAnsi="Arial" w:cs="Arial"/>
          <w:bCs/>
          <w:color w:val="000000"/>
        </w:rPr>
        <w:t xml:space="preserve"> (29.0)        13 (13.0)</w:t>
      </w:r>
      <w:r>
        <w:rPr>
          <w:rFonts w:ascii="Arial" w:eastAsia="Calibri" w:hAnsi="Arial" w:cs="Arial"/>
          <w:bCs/>
          <w:color w:val="000000"/>
        </w:rPr>
        <w:tab/>
        <w:t xml:space="preserve">      50 (50.0)         </w:t>
      </w:r>
      <w:r w:rsidRPr="006D0A8C">
        <w:rPr>
          <w:rFonts w:ascii="Arial" w:eastAsia="Calibri" w:hAnsi="Arial" w:cs="Arial"/>
          <w:bCs/>
          <w:color w:val="000000"/>
        </w:rPr>
        <w:t>22 (22.0)</w:t>
      </w:r>
    </w:p>
    <w:p w14:paraId="1044CF7A" w14:textId="77777777" w:rsidR="006D0A8C" w:rsidRPr="006D0A8C" w:rsidRDefault="006D0A8C" w:rsidP="006D0A8C">
      <w:pPr>
        <w:spacing w:line="480" w:lineRule="auto"/>
        <w:contextualSpacing/>
        <w:jc w:val="both"/>
        <w:rPr>
          <w:rFonts w:ascii="Arial" w:eastAsia="Calibri" w:hAnsi="Arial" w:cs="Arial"/>
          <w:bCs/>
          <w:color w:val="000000"/>
        </w:rPr>
      </w:pPr>
      <w:r>
        <w:rPr>
          <w:rFonts w:ascii="Arial" w:eastAsia="Calibri" w:hAnsi="Arial" w:cs="Arial"/>
          <w:color w:val="000000"/>
        </w:rPr>
        <w:t>Parent education</w:t>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t xml:space="preserve">       </w:t>
      </w:r>
      <w:r w:rsidRPr="006D0A8C">
        <w:rPr>
          <w:rFonts w:ascii="Arial" w:eastAsia="Calibri" w:hAnsi="Arial" w:cs="Arial"/>
          <w:bCs/>
          <w:color w:val="000000"/>
        </w:rPr>
        <w:t>&lt;0.001</w:t>
      </w:r>
    </w:p>
    <w:p w14:paraId="3AD84666" w14:textId="77777777" w:rsidR="006D0A8C" w:rsidRPr="006D0A8C" w:rsidRDefault="00751D1E" w:rsidP="006D0A8C">
      <w:pPr>
        <w:spacing w:line="480" w:lineRule="auto"/>
        <w:contextualSpacing/>
        <w:jc w:val="both"/>
        <w:rPr>
          <w:rFonts w:ascii="Arial" w:eastAsia="Calibri" w:hAnsi="Arial" w:cs="Arial"/>
          <w:bCs/>
          <w:color w:val="000000"/>
        </w:rPr>
      </w:pPr>
      <w:r>
        <w:rPr>
          <w:rFonts w:ascii="Arial" w:eastAsia="Calibri" w:hAnsi="Arial" w:cs="Arial"/>
          <w:bCs/>
          <w:color w:val="000000"/>
        </w:rPr>
        <w:t xml:space="preserve">     None</w:t>
      </w:r>
      <w:r>
        <w:rPr>
          <w:rFonts w:ascii="Arial" w:eastAsia="Calibri" w:hAnsi="Arial" w:cs="Arial"/>
          <w:bCs/>
          <w:color w:val="000000"/>
        </w:rPr>
        <w:tab/>
        <w:t>173 (43.2)</w:t>
      </w:r>
      <w:proofErr w:type="gramStart"/>
      <w:r>
        <w:rPr>
          <w:rFonts w:ascii="Arial" w:eastAsia="Calibri" w:hAnsi="Arial" w:cs="Arial"/>
          <w:bCs/>
          <w:color w:val="000000"/>
        </w:rPr>
        <w:tab/>
        <w:t xml:space="preserve">  67</w:t>
      </w:r>
      <w:proofErr w:type="gramEnd"/>
      <w:r>
        <w:rPr>
          <w:rFonts w:ascii="Arial" w:eastAsia="Calibri" w:hAnsi="Arial" w:cs="Arial"/>
          <w:bCs/>
          <w:color w:val="000000"/>
        </w:rPr>
        <w:t xml:space="preserve"> (67.0)        37 (37.0)</w:t>
      </w:r>
      <w:r>
        <w:rPr>
          <w:rFonts w:ascii="Arial" w:eastAsia="Calibri" w:hAnsi="Arial" w:cs="Arial"/>
          <w:bCs/>
          <w:color w:val="000000"/>
        </w:rPr>
        <w:tab/>
        <w:t xml:space="preserve">       7 (7.0)</w:t>
      </w:r>
      <w:r>
        <w:rPr>
          <w:rFonts w:ascii="Arial" w:eastAsia="Calibri" w:hAnsi="Arial" w:cs="Arial"/>
          <w:bCs/>
          <w:color w:val="000000"/>
        </w:rPr>
        <w:tab/>
        <w:t xml:space="preserve">    </w:t>
      </w:r>
      <w:r w:rsidR="006D0A8C" w:rsidRPr="006D0A8C">
        <w:rPr>
          <w:rFonts w:ascii="Arial" w:eastAsia="Calibri" w:hAnsi="Arial" w:cs="Arial"/>
          <w:bCs/>
          <w:color w:val="000000"/>
        </w:rPr>
        <w:t>62 (62.0)</w:t>
      </w:r>
    </w:p>
    <w:p w14:paraId="1611910C" w14:textId="77777777" w:rsidR="006D0A8C" w:rsidRPr="006D0A8C" w:rsidRDefault="00751D1E" w:rsidP="006D0A8C">
      <w:pPr>
        <w:spacing w:line="480" w:lineRule="auto"/>
        <w:contextualSpacing/>
        <w:jc w:val="both"/>
        <w:rPr>
          <w:rFonts w:ascii="Arial" w:eastAsia="Calibri" w:hAnsi="Arial" w:cs="Arial"/>
          <w:bCs/>
          <w:color w:val="000000"/>
        </w:rPr>
      </w:pPr>
      <w:r>
        <w:rPr>
          <w:rFonts w:ascii="Arial" w:eastAsia="Calibri" w:hAnsi="Arial" w:cs="Arial"/>
          <w:bCs/>
          <w:color w:val="000000"/>
        </w:rPr>
        <w:t xml:space="preserve">     Primary</w:t>
      </w:r>
      <w:r>
        <w:rPr>
          <w:rFonts w:ascii="Arial" w:eastAsia="Calibri" w:hAnsi="Arial" w:cs="Arial"/>
          <w:bCs/>
          <w:color w:val="000000"/>
        </w:rPr>
        <w:tab/>
        <w:t xml:space="preserve"> 98 (24.5)</w:t>
      </w:r>
      <w:proofErr w:type="gramStart"/>
      <w:r>
        <w:rPr>
          <w:rFonts w:ascii="Arial" w:eastAsia="Calibri" w:hAnsi="Arial" w:cs="Arial"/>
          <w:bCs/>
          <w:color w:val="000000"/>
        </w:rPr>
        <w:tab/>
        <w:t xml:space="preserve">  23</w:t>
      </w:r>
      <w:proofErr w:type="gramEnd"/>
      <w:r>
        <w:rPr>
          <w:rFonts w:ascii="Arial" w:eastAsia="Calibri" w:hAnsi="Arial" w:cs="Arial"/>
          <w:bCs/>
          <w:color w:val="000000"/>
        </w:rPr>
        <w:t xml:space="preserve"> (23.0)        38 (38.0)</w:t>
      </w:r>
      <w:r>
        <w:rPr>
          <w:rFonts w:ascii="Arial" w:eastAsia="Calibri" w:hAnsi="Arial" w:cs="Arial"/>
          <w:bCs/>
          <w:color w:val="000000"/>
        </w:rPr>
        <w:tab/>
        <w:t xml:space="preserve">       10 (10.0)</w:t>
      </w:r>
      <w:r>
        <w:rPr>
          <w:rFonts w:ascii="Arial" w:eastAsia="Calibri" w:hAnsi="Arial" w:cs="Arial"/>
          <w:bCs/>
          <w:color w:val="000000"/>
        </w:rPr>
        <w:tab/>
        <w:t xml:space="preserve">    </w:t>
      </w:r>
      <w:r w:rsidR="006D0A8C" w:rsidRPr="006D0A8C">
        <w:rPr>
          <w:rFonts w:ascii="Arial" w:eastAsia="Calibri" w:hAnsi="Arial" w:cs="Arial"/>
          <w:bCs/>
          <w:color w:val="000000"/>
        </w:rPr>
        <w:t>27 (27.0)</w:t>
      </w:r>
    </w:p>
    <w:p w14:paraId="3AF6329B" w14:textId="77777777" w:rsidR="006D0A8C" w:rsidRPr="006D0A8C" w:rsidRDefault="00751D1E" w:rsidP="006D0A8C">
      <w:pPr>
        <w:spacing w:line="480" w:lineRule="auto"/>
        <w:contextualSpacing/>
        <w:jc w:val="both"/>
        <w:rPr>
          <w:rFonts w:ascii="Arial" w:eastAsia="Calibri" w:hAnsi="Arial" w:cs="Arial"/>
          <w:bCs/>
          <w:color w:val="000000"/>
        </w:rPr>
      </w:pPr>
      <w:r>
        <w:rPr>
          <w:rFonts w:ascii="Arial" w:eastAsia="Calibri" w:hAnsi="Arial" w:cs="Arial"/>
          <w:bCs/>
          <w:color w:val="000000"/>
        </w:rPr>
        <w:t xml:space="preserve">     Secondary </w:t>
      </w:r>
      <w:r>
        <w:rPr>
          <w:rFonts w:ascii="Arial" w:eastAsia="Calibri" w:hAnsi="Arial" w:cs="Arial"/>
          <w:bCs/>
          <w:color w:val="000000"/>
        </w:rPr>
        <w:tab/>
        <w:t xml:space="preserve"> 80 (20.0)</w:t>
      </w:r>
      <w:proofErr w:type="gramStart"/>
      <w:r>
        <w:rPr>
          <w:rFonts w:ascii="Arial" w:eastAsia="Calibri" w:hAnsi="Arial" w:cs="Arial"/>
          <w:bCs/>
          <w:color w:val="000000"/>
        </w:rPr>
        <w:tab/>
        <w:t xml:space="preserve">  6</w:t>
      </w:r>
      <w:proofErr w:type="gramEnd"/>
      <w:r>
        <w:rPr>
          <w:rFonts w:ascii="Arial" w:eastAsia="Calibri" w:hAnsi="Arial" w:cs="Arial"/>
          <w:bCs/>
          <w:color w:val="000000"/>
        </w:rPr>
        <w:t xml:space="preserve"> (6.0)</w:t>
      </w:r>
      <w:r>
        <w:rPr>
          <w:rFonts w:ascii="Arial" w:eastAsia="Calibri" w:hAnsi="Arial" w:cs="Arial"/>
          <w:bCs/>
          <w:color w:val="000000"/>
        </w:rPr>
        <w:tab/>
        <w:t xml:space="preserve">            20 (20.0)       43 (43.0)</w:t>
      </w:r>
      <w:r>
        <w:rPr>
          <w:rFonts w:ascii="Arial" w:eastAsia="Calibri" w:hAnsi="Arial" w:cs="Arial"/>
          <w:bCs/>
          <w:color w:val="000000"/>
        </w:rPr>
        <w:tab/>
        <w:t xml:space="preserve">    </w:t>
      </w:r>
      <w:r w:rsidR="006D0A8C" w:rsidRPr="006D0A8C">
        <w:rPr>
          <w:rFonts w:ascii="Arial" w:eastAsia="Calibri" w:hAnsi="Arial" w:cs="Arial"/>
          <w:bCs/>
          <w:color w:val="000000"/>
        </w:rPr>
        <w:t>11 (11.0)</w:t>
      </w:r>
    </w:p>
    <w:p w14:paraId="12003576" w14:textId="77777777" w:rsidR="006D0A8C" w:rsidRPr="006D0A8C" w:rsidRDefault="006D0A8C" w:rsidP="006D0A8C">
      <w:pPr>
        <w:spacing w:line="480" w:lineRule="auto"/>
        <w:contextualSpacing/>
        <w:jc w:val="both"/>
        <w:rPr>
          <w:rFonts w:ascii="Arial" w:eastAsia="Calibri" w:hAnsi="Arial" w:cs="Arial"/>
          <w:bCs/>
          <w:color w:val="000000"/>
        </w:rPr>
      </w:pPr>
      <w:r w:rsidRPr="006D0A8C">
        <w:rPr>
          <w:rFonts w:ascii="Arial" w:eastAsia="Calibri" w:hAnsi="Arial" w:cs="Arial"/>
          <w:bCs/>
          <w:color w:val="000000"/>
        </w:rPr>
        <w:lastRenderedPageBreak/>
        <w:t xml:space="preserve">     Post se</w:t>
      </w:r>
      <w:r w:rsidR="00751D1E">
        <w:rPr>
          <w:rFonts w:ascii="Arial" w:eastAsia="Calibri" w:hAnsi="Arial" w:cs="Arial"/>
          <w:bCs/>
          <w:color w:val="000000"/>
        </w:rPr>
        <w:t>c.       49 (12.2)</w:t>
      </w:r>
      <w:proofErr w:type="gramStart"/>
      <w:r w:rsidR="00751D1E">
        <w:rPr>
          <w:rFonts w:ascii="Arial" w:eastAsia="Calibri" w:hAnsi="Arial" w:cs="Arial"/>
          <w:bCs/>
          <w:color w:val="000000"/>
        </w:rPr>
        <w:tab/>
        <w:t xml:space="preserve">  </w:t>
      </w:r>
      <w:r w:rsidRPr="006D0A8C">
        <w:rPr>
          <w:rFonts w:ascii="Arial" w:eastAsia="Calibri" w:hAnsi="Arial" w:cs="Arial"/>
          <w:bCs/>
          <w:color w:val="000000"/>
        </w:rPr>
        <w:t>4</w:t>
      </w:r>
      <w:proofErr w:type="gramEnd"/>
      <w:r w:rsidR="00751D1E">
        <w:rPr>
          <w:rFonts w:ascii="Arial" w:eastAsia="Calibri" w:hAnsi="Arial" w:cs="Arial"/>
          <w:bCs/>
          <w:color w:val="000000"/>
        </w:rPr>
        <w:t xml:space="preserve"> (4.0)</w:t>
      </w:r>
      <w:r w:rsidR="00751D1E">
        <w:rPr>
          <w:rFonts w:ascii="Arial" w:eastAsia="Calibri" w:hAnsi="Arial" w:cs="Arial"/>
          <w:bCs/>
          <w:color w:val="000000"/>
        </w:rPr>
        <w:tab/>
      </w:r>
      <w:r w:rsidR="00751D1E">
        <w:rPr>
          <w:rFonts w:ascii="Arial" w:eastAsia="Calibri" w:hAnsi="Arial" w:cs="Arial"/>
          <w:bCs/>
          <w:color w:val="000000"/>
        </w:rPr>
        <w:tab/>
        <w:t>5 (5.0)</w:t>
      </w:r>
      <w:r w:rsidR="00751D1E">
        <w:rPr>
          <w:rFonts w:ascii="Arial" w:eastAsia="Calibri" w:hAnsi="Arial" w:cs="Arial"/>
          <w:bCs/>
          <w:color w:val="000000"/>
        </w:rPr>
        <w:tab/>
        <w:t xml:space="preserve">        40 (40.0)</w:t>
      </w:r>
      <w:r w:rsidR="00751D1E">
        <w:rPr>
          <w:rFonts w:ascii="Arial" w:eastAsia="Calibri" w:hAnsi="Arial" w:cs="Arial"/>
          <w:bCs/>
          <w:color w:val="000000"/>
        </w:rPr>
        <w:tab/>
        <w:t xml:space="preserve">     </w:t>
      </w:r>
      <w:r w:rsidRPr="006D0A8C">
        <w:rPr>
          <w:rFonts w:ascii="Arial" w:eastAsia="Calibri" w:hAnsi="Arial" w:cs="Arial"/>
          <w:bCs/>
          <w:color w:val="000000"/>
        </w:rPr>
        <w:t>0</w:t>
      </w:r>
    </w:p>
    <w:p w14:paraId="2D0F987B" w14:textId="77777777" w:rsidR="006D0A8C" w:rsidRPr="006D0A8C" w:rsidRDefault="00751D1E" w:rsidP="006D0A8C">
      <w:pPr>
        <w:spacing w:line="480" w:lineRule="auto"/>
        <w:contextualSpacing/>
        <w:jc w:val="both"/>
        <w:rPr>
          <w:rFonts w:ascii="Arial" w:eastAsia="Calibri" w:hAnsi="Arial" w:cs="Arial"/>
          <w:bCs/>
          <w:color w:val="000000"/>
        </w:rPr>
      </w:pPr>
      <w:r>
        <w:rPr>
          <w:rFonts w:ascii="Arial" w:eastAsia="Calibri" w:hAnsi="Arial" w:cs="Arial"/>
          <w:color w:val="000000"/>
        </w:rPr>
        <w:t>Parent occupation</w:t>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t xml:space="preserve">                   </w:t>
      </w:r>
      <w:r w:rsidR="006D0A8C" w:rsidRPr="006D0A8C">
        <w:rPr>
          <w:rFonts w:ascii="Arial" w:eastAsia="Calibri" w:hAnsi="Arial" w:cs="Arial"/>
          <w:bCs/>
          <w:color w:val="000000"/>
        </w:rPr>
        <w:t>&lt;0.001</w:t>
      </w:r>
    </w:p>
    <w:p w14:paraId="4A596B64" w14:textId="77777777" w:rsidR="006D0A8C" w:rsidRPr="006D0A8C" w:rsidRDefault="00751D1E" w:rsidP="006D0A8C">
      <w:pPr>
        <w:spacing w:line="480" w:lineRule="auto"/>
        <w:contextualSpacing/>
        <w:jc w:val="both"/>
        <w:rPr>
          <w:rFonts w:ascii="Arial" w:eastAsia="Calibri" w:hAnsi="Arial" w:cs="Arial"/>
          <w:bCs/>
          <w:color w:val="000000"/>
        </w:rPr>
      </w:pPr>
      <w:r>
        <w:rPr>
          <w:rFonts w:ascii="Arial" w:eastAsia="Calibri" w:hAnsi="Arial" w:cs="Arial"/>
          <w:bCs/>
          <w:color w:val="000000"/>
        </w:rPr>
        <w:t xml:space="preserve">     Farming</w:t>
      </w:r>
      <w:r>
        <w:rPr>
          <w:rFonts w:ascii="Arial" w:eastAsia="Calibri" w:hAnsi="Arial" w:cs="Arial"/>
          <w:bCs/>
          <w:color w:val="000000"/>
        </w:rPr>
        <w:tab/>
        <w:t xml:space="preserve"> 270 (67.5)</w:t>
      </w:r>
      <w:proofErr w:type="gramStart"/>
      <w:r>
        <w:rPr>
          <w:rFonts w:ascii="Arial" w:eastAsia="Calibri" w:hAnsi="Arial" w:cs="Arial"/>
          <w:bCs/>
          <w:color w:val="000000"/>
        </w:rPr>
        <w:tab/>
        <w:t xml:space="preserve">  85</w:t>
      </w:r>
      <w:proofErr w:type="gramEnd"/>
      <w:r>
        <w:rPr>
          <w:rFonts w:ascii="Arial" w:eastAsia="Calibri" w:hAnsi="Arial" w:cs="Arial"/>
          <w:bCs/>
          <w:color w:val="000000"/>
        </w:rPr>
        <w:t xml:space="preserve"> (85.0)         73 (73.0)        21 (21.0)       </w:t>
      </w:r>
      <w:r w:rsidR="006D0A8C" w:rsidRPr="006D0A8C">
        <w:rPr>
          <w:rFonts w:ascii="Arial" w:eastAsia="Calibri" w:hAnsi="Arial" w:cs="Arial"/>
          <w:bCs/>
          <w:color w:val="000000"/>
        </w:rPr>
        <w:t>91 (91.0)</w:t>
      </w:r>
    </w:p>
    <w:p w14:paraId="6379CAD2" w14:textId="77777777" w:rsidR="006D0A8C" w:rsidRPr="006D0A8C" w:rsidRDefault="006D0A8C" w:rsidP="006D0A8C">
      <w:pPr>
        <w:spacing w:line="480" w:lineRule="auto"/>
        <w:contextualSpacing/>
        <w:jc w:val="both"/>
        <w:rPr>
          <w:rFonts w:ascii="Arial" w:eastAsia="Calibri" w:hAnsi="Arial" w:cs="Arial"/>
          <w:bCs/>
          <w:color w:val="000000"/>
        </w:rPr>
      </w:pPr>
      <w:r w:rsidRPr="006D0A8C">
        <w:rPr>
          <w:rFonts w:ascii="Arial" w:eastAsia="Calibri" w:hAnsi="Arial" w:cs="Arial"/>
          <w:bCs/>
          <w:color w:val="000000"/>
        </w:rPr>
        <w:t xml:space="preserve">     Civil servant</w:t>
      </w:r>
      <w:proofErr w:type="gramStart"/>
      <w:r w:rsidRPr="006D0A8C">
        <w:rPr>
          <w:rFonts w:ascii="Arial" w:eastAsia="Calibri" w:hAnsi="Arial" w:cs="Arial"/>
          <w:bCs/>
          <w:color w:val="000000"/>
        </w:rPr>
        <w:tab/>
      </w:r>
      <w:r w:rsidR="00751D1E">
        <w:rPr>
          <w:rFonts w:ascii="Arial" w:eastAsia="Calibri" w:hAnsi="Arial" w:cs="Arial"/>
          <w:bCs/>
          <w:color w:val="000000"/>
        </w:rPr>
        <w:t xml:space="preserve"> </w:t>
      </w:r>
      <w:r w:rsidRPr="006D0A8C">
        <w:rPr>
          <w:rFonts w:ascii="Arial" w:eastAsia="Calibri" w:hAnsi="Arial" w:cs="Arial"/>
          <w:bCs/>
          <w:color w:val="000000"/>
        </w:rPr>
        <w:t xml:space="preserve"> </w:t>
      </w:r>
      <w:r w:rsidR="00751D1E">
        <w:rPr>
          <w:rFonts w:ascii="Arial" w:eastAsia="Calibri" w:hAnsi="Arial" w:cs="Arial"/>
          <w:bCs/>
          <w:color w:val="000000"/>
        </w:rPr>
        <w:t>71</w:t>
      </w:r>
      <w:proofErr w:type="gramEnd"/>
      <w:r w:rsidR="00751D1E">
        <w:rPr>
          <w:rFonts w:ascii="Arial" w:eastAsia="Calibri" w:hAnsi="Arial" w:cs="Arial"/>
          <w:bCs/>
          <w:color w:val="000000"/>
        </w:rPr>
        <w:t xml:space="preserve"> (17.7)</w:t>
      </w:r>
      <w:r w:rsidR="00751D1E">
        <w:rPr>
          <w:rFonts w:ascii="Arial" w:eastAsia="Calibri" w:hAnsi="Arial" w:cs="Arial"/>
          <w:bCs/>
          <w:color w:val="000000"/>
        </w:rPr>
        <w:tab/>
        <w:t xml:space="preserve">  5 (5.0)</w:t>
      </w:r>
      <w:r w:rsidR="00751D1E">
        <w:rPr>
          <w:rFonts w:ascii="Arial" w:eastAsia="Calibri" w:hAnsi="Arial" w:cs="Arial"/>
          <w:bCs/>
          <w:color w:val="000000"/>
        </w:rPr>
        <w:tab/>
        <w:t xml:space="preserve">             15 (15.0)        50 (50.0)</w:t>
      </w:r>
      <w:r w:rsidR="00751D1E">
        <w:rPr>
          <w:rFonts w:ascii="Arial" w:eastAsia="Calibri" w:hAnsi="Arial" w:cs="Arial"/>
          <w:bCs/>
          <w:color w:val="000000"/>
        </w:rPr>
        <w:tab/>
        <w:t xml:space="preserve">     </w:t>
      </w:r>
      <w:r w:rsidRPr="006D0A8C">
        <w:rPr>
          <w:rFonts w:ascii="Arial" w:eastAsia="Calibri" w:hAnsi="Arial" w:cs="Arial"/>
          <w:bCs/>
          <w:color w:val="000000"/>
        </w:rPr>
        <w:t>1 (1.0)</w:t>
      </w:r>
    </w:p>
    <w:p w14:paraId="5266BEEB" w14:textId="77777777" w:rsidR="006D0A8C" w:rsidRPr="006D0A8C" w:rsidRDefault="006D0A8C" w:rsidP="006D0A8C">
      <w:pPr>
        <w:pBdr>
          <w:bottom w:val="single" w:sz="12" w:space="1" w:color="auto"/>
        </w:pBdr>
        <w:spacing w:line="480" w:lineRule="auto"/>
        <w:contextualSpacing/>
        <w:jc w:val="both"/>
        <w:rPr>
          <w:rFonts w:ascii="Arial" w:eastAsia="Calibri" w:hAnsi="Arial" w:cs="Arial"/>
          <w:bCs/>
          <w:color w:val="000000"/>
        </w:rPr>
      </w:pPr>
      <w:r w:rsidRPr="006D0A8C">
        <w:rPr>
          <w:rFonts w:ascii="Arial" w:eastAsia="Calibri" w:hAnsi="Arial" w:cs="Arial"/>
          <w:color w:val="000000"/>
        </w:rPr>
        <w:t xml:space="preserve">     </w:t>
      </w:r>
      <w:r w:rsidRPr="006D0A8C">
        <w:rPr>
          <w:rFonts w:ascii="Arial" w:eastAsia="Calibri" w:hAnsi="Arial" w:cs="Arial"/>
          <w:bCs/>
          <w:color w:val="000000"/>
        </w:rPr>
        <w:t xml:space="preserve">Business </w:t>
      </w:r>
      <w:proofErr w:type="gramStart"/>
      <w:r w:rsidR="00751D1E">
        <w:rPr>
          <w:rFonts w:ascii="Arial" w:eastAsia="Calibri" w:hAnsi="Arial" w:cs="Arial"/>
          <w:bCs/>
          <w:color w:val="000000"/>
        </w:rPr>
        <w:tab/>
        <w:t xml:space="preserve">  59</w:t>
      </w:r>
      <w:proofErr w:type="gramEnd"/>
      <w:r w:rsidR="00751D1E">
        <w:rPr>
          <w:rFonts w:ascii="Arial" w:eastAsia="Calibri" w:hAnsi="Arial" w:cs="Arial"/>
          <w:bCs/>
          <w:color w:val="000000"/>
        </w:rPr>
        <w:t xml:space="preserve"> (14.7)</w:t>
      </w:r>
      <w:r w:rsidR="00751D1E">
        <w:rPr>
          <w:rFonts w:ascii="Arial" w:eastAsia="Calibri" w:hAnsi="Arial" w:cs="Arial"/>
          <w:bCs/>
          <w:color w:val="000000"/>
        </w:rPr>
        <w:tab/>
        <w:t xml:space="preserve"> 10 (10.0)</w:t>
      </w:r>
      <w:r w:rsidR="00751D1E">
        <w:rPr>
          <w:rFonts w:ascii="Arial" w:eastAsia="Calibri" w:hAnsi="Arial" w:cs="Arial"/>
          <w:bCs/>
          <w:color w:val="000000"/>
        </w:rPr>
        <w:tab/>
        <w:t xml:space="preserve">12 (12.0)        </w:t>
      </w:r>
      <w:r w:rsidRPr="006D0A8C">
        <w:rPr>
          <w:rFonts w:ascii="Arial" w:eastAsia="Calibri" w:hAnsi="Arial" w:cs="Arial"/>
          <w:bCs/>
          <w:color w:val="000000"/>
        </w:rPr>
        <w:t>29 (29.0)</w:t>
      </w:r>
      <w:r w:rsidRPr="006D0A8C">
        <w:rPr>
          <w:rFonts w:ascii="Arial" w:eastAsia="Calibri" w:hAnsi="Arial" w:cs="Arial"/>
          <w:bCs/>
          <w:color w:val="000000"/>
        </w:rPr>
        <w:tab/>
      </w:r>
      <w:r w:rsidRPr="006D0A8C">
        <w:rPr>
          <w:rFonts w:ascii="Arial" w:eastAsia="Calibri" w:hAnsi="Arial" w:cs="Arial"/>
          <w:bCs/>
          <w:color w:val="000000"/>
        </w:rPr>
        <w:tab/>
        <w:t>8 (8.0)</w:t>
      </w:r>
    </w:p>
    <w:p w14:paraId="4AB71509" w14:textId="77777777" w:rsidR="006D0A8C" w:rsidRDefault="006D0A8C" w:rsidP="00751D1E">
      <w:pPr>
        <w:pStyle w:val="Body"/>
        <w:rPr>
          <w:rFonts w:ascii="Arial" w:eastAsia="Calibri" w:hAnsi="Arial" w:cs="Arial"/>
          <w:color w:val="404040"/>
        </w:rPr>
      </w:pPr>
      <w:r w:rsidRPr="006D0A8C">
        <w:rPr>
          <w:rFonts w:ascii="Arial" w:eastAsia="Calibri" w:hAnsi="Arial" w:cs="Arial"/>
          <w:color w:val="404040"/>
        </w:rPr>
        <w:t>P values obtained using chi-square test and one-way ANOVA (for mean age), SD: Standard deviation</w:t>
      </w:r>
      <w:r w:rsidR="00751D1E">
        <w:rPr>
          <w:rFonts w:ascii="Arial" w:eastAsia="Calibri" w:hAnsi="Arial" w:cs="Arial"/>
          <w:color w:val="404040"/>
        </w:rPr>
        <w:t>.</w:t>
      </w:r>
    </w:p>
    <w:p w14:paraId="6CAEE809" w14:textId="77777777" w:rsidR="00361902" w:rsidRPr="00361902" w:rsidRDefault="00361902" w:rsidP="00361902">
      <w:pPr>
        <w:pStyle w:val="Body"/>
        <w:rPr>
          <w:rFonts w:ascii="Arial" w:eastAsia="Calibri" w:hAnsi="Arial" w:cs="Arial"/>
          <w:color w:val="404040"/>
        </w:rPr>
      </w:pPr>
      <w:r w:rsidRPr="00361902">
        <w:rPr>
          <w:rFonts w:ascii="Arial" w:eastAsia="Calibri" w:hAnsi="Arial" w:cs="Arial"/>
          <w:color w:val="404040"/>
        </w:rPr>
        <w:t>3.2 Prevalence of Intestinal Parasitic Infection</w:t>
      </w:r>
    </w:p>
    <w:p w14:paraId="0D08A572" w14:textId="77777777" w:rsidR="00361902" w:rsidRDefault="00361902" w:rsidP="00361902">
      <w:pPr>
        <w:pStyle w:val="Body"/>
        <w:rPr>
          <w:rFonts w:ascii="Arial" w:eastAsia="Calibri" w:hAnsi="Arial" w:cs="Arial"/>
          <w:color w:val="404040"/>
        </w:rPr>
      </w:pPr>
      <w:r w:rsidRPr="00361902">
        <w:rPr>
          <w:rFonts w:ascii="Arial" w:eastAsia="Calibri" w:hAnsi="Arial" w:cs="Arial"/>
          <w:color w:val="404040"/>
        </w:rPr>
        <w:t xml:space="preserve">Figure 1 presents the overall burden of Intestinal parasitic infections among Schoolchildren in </w:t>
      </w:r>
      <w:proofErr w:type="spellStart"/>
      <w:r w:rsidRPr="00361902">
        <w:rPr>
          <w:rFonts w:ascii="Arial" w:eastAsia="Calibri" w:hAnsi="Arial" w:cs="Arial"/>
          <w:color w:val="404040"/>
        </w:rPr>
        <w:t>Mashi</w:t>
      </w:r>
      <w:proofErr w:type="spellEnd"/>
      <w:r w:rsidRPr="00361902">
        <w:rPr>
          <w:rFonts w:ascii="Arial" w:eastAsia="Calibri" w:hAnsi="Arial" w:cs="Arial"/>
          <w:color w:val="404040"/>
        </w:rPr>
        <w:t xml:space="preserve"> Local Government Area. The data showed that 153 of the 400 Schoolchildren were infected with at least one Intestinal parasite, representing a prevalence of 38% (95% CI: 33.5 – 43.2%). This prevalence rate suggests that approximately 4 out of every 10 children in the study population harbor Intestinal parasites.</w:t>
      </w:r>
    </w:p>
    <w:p w14:paraId="62ECCDCA" w14:textId="0E6A2C56" w:rsidR="00C14710" w:rsidRDefault="00361902" w:rsidP="00361902">
      <w:pPr>
        <w:pStyle w:val="Body"/>
        <w:rPr>
          <w:rFonts w:ascii="Arial" w:eastAsia="Calibri" w:hAnsi="Arial" w:cs="Arial"/>
          <w:color w:val="404040"/>
        </w:rPr>
      </w:pPr>
      <w:r w:rsidRPr="00361902">
        <w:rPr>
          <w:rFonts w:ascii="Arial" w:hAnsi="Arial" w:cs="Arial"/>
          <w:b/>
          <w:bCs/>
          <w:noProof/>
          <w:color w:val="000000" w:themeColor="text1"/>
        </w:rPr>
        <w:drawing>
          <wp:anchor distT="0" distB="0" distL="114300" distR="114300" simplePos="0" relativeHeight="251658240" behindDoc="1" locked="0" layoutInCell="1" allowOverlap="1" wp14:anchorId="0E83AC5D" wp14:editId="6C781691">
            <wp:simplePos x="0" y="0"/>
            <wp:positionH relativeFrom="margin">
              <wp:posOffset>0</wp:posOffset>
            </wp:positionH>
            <wp:positionV relativeFrom="page">
              <wp:posOffset>3453765</wp:posOffset>
            </wp:positionV>
            <wp:extent cx="5943600" cy="3939540"/>
            <wp:effectExtent l="0" t="0" r="0" b="3810"/>
            <wp:wrapTight wrapText="bothSides">
              <wp:wrapPolygon edited="0">
                <wp:start x="0" y="0"/>
                <wp:lineTo x="0" y="21516"/>
                <wp:lineTo x="21531" y="21516"/>
                <wp:lineTo x="21531" y="0"/>
                <wp:lineTo x="0" y="0"/>
              </wp:wrapPolygon>
            </wp:wrapTight>
            <wp:docPr id="62738631"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319FAAA8" w14:textId="77777777" w:rsidR="00C14710" w:rsidRDefault="00C14710" w:rsidP="00361902">
      <w:pPr>
        <w:pStyle w:val="Body"/>
        <w:rPr>
          <w:rFonts w:ascii="Arial" w:eastAsia="Calibri" w:hAnsi="Arial" w:cs="Arial"/>
          <w:color w:val="404040"/>
        </w:rPr>
      </w:pPr>
    </w:p>
    <w:p w14:paraId="5562B490" w14:textId="77777777" w:rsidR="00C14710" w:rsidRDefault="00C14710" w:rsidP="00361902">
      <w:pPr>
        <w:pStyle w:val="Body"/>
        <w:rPr>
          <w:rFonts w:ascii="Arial" w:eastAsia="Calibri" w:hAnsi="Arial" w:cs="Arial"/>
          <w:color w:val="404040"/>
        </w:rPr>
      </w:pPr>
    </w:p>
    <w:p w14:paraId="46B5E7BB" w14:textId="77777777" w:rsidR="00C14710" w:rsidRDefault="00C14710" w:rsidP="00361902">
      <w:pPr>
        <w:pStyle w:val="Body"/>
        <w:rPr>
          <w:rFonts w:ascii="Arial" w:eastAsia="Calibri" w:hAnsi="Arial" w:cs="Arial"/>
          <w:color w:val="404040"/>
        </w:rPr>
      </w:pPr>
    </w:p>
    <w:p w14:paraId="4B87CE98" w14:textId="77777777" w:rsidR="00C14710" w:rsidRDefault="00C14710" w:rsidP="00361902">
      <w:pPr>
        <w:pStyle w:val="Body"/>
        <w:rPr>
          <w:rFonts w:ascii="Arial" w:eastAsia="Calibri" w:hAnsi="Arial" w:cs="Arial"/>
          <w:color w:val="404040"/>
        </w:rPr>
      </w:pPr>
    </w:p>
    <w:p w14:paraId="340D7902" w14:textId="77777777" w:rsidR="00C14710" w:rsidRDefault="00C14710" w:rsidP="00361902">
      <w:pPr>
        <w:pStyle w:val="Body"/>
        <w:rPr>
          <w:rFonts w:ascii="Arial" w:eastAsia="Calibri" w:hAnsi="Arial" w:cs="Arial"/>
          <w:color w:val="404040"/>
        </w:rPr>
      </w:pPr>
    </w:p>
    <w:p w14:paraId="03E808C3" w14:textId="77777777" w:rsidR="00C14710" w:rsidRDefault="00C14710" w:rsidP="00361902">
      <w:pPr>
        <w:pStyle w:val="Body"/>
        <w:rPr>
          <w:rFonts w:ascii="Arial" w:eastAsia="Calibri" w:hAnsi="Arial" w:cs="Arial"/>
          <w:color w:val="404040"/>
        </w:rPr>
      </w:pPr>
    </w:p>
    <w:p w14:paraId="77A4DBCE" w14:textId="77777777" w:rsidR="00C14710" w:rsidRDefault="00C14710" w:rsidP="00361902">
      <w:pPr>
        <w:pStyle w:val="Body"/>
        <w:rPr>
          <w:rFonts w:ascii="Arial" w:eastAsia="Calibri" w:hAnsi="Arial" w:cs="Arial"/>
          <w:color w:val="404040"/>
        </w:rPr>
      </w:pPr>
    </w:p>
    <w:p w14:paraId="0A916C2B" w14:textId="77777777" w:rsidR="00C14710" w:rsidRDefault="00C14710" w:rsidP="00361902">
      <w:pPr>
        <w:pStyle w:val="Body"/>
        <w:rPr>
          <w:rFonts w:ascii="Arial" w:eastAsia="Calibri" w:hAnsi="Arial" w:cs="Arial"/>
          <w:color w:val="404040"/>
        </w:rPr>
      </w:pPr>
    </w:p>
    <w:p w14:paraId="4468C67A" w14:textId="77777777" w:rsidR="00810571" w:rsidRDefault="00810571" w:rsidP="00361902">
      <w:pPr>
        <w:pStyle w:val="Body"/>
        <w:rPr>
          <w:rFonts w:ascii="Arial" w:eastAsia="Calibri" w:hAnsi="Arial" w:cs="Arial"/>
          <w:color w:val="404040"/>
        </w:rPr>
      </w:pPr>
    </w:p>
    <w:p w14:paraId="13C13066" w14:textId="77777777" w:rsidR="00810571" w:rsidRDefault="00810571" w:rsidP="00361902">
      <w:pPr>
        <w:pStyle w:val="Body"/>
        <w:rPr>
          <w:rFonts w:ascii="Arial" w:eastAsia="Calibri" w:hAnsi="Arial" w:cs="Arial"/>
          <w:color w:val="404040"/>
        </w:rPr>
      </w:pPr>
    </w:p>
    <w:p w14:paraId="04127AC7" w14:textId="77777777" w:rsidR="00810571" w:rsidRDefault="00810571" w:rsidP="00361902">
      <w:pPr>
        <w:pStyle w:val="Body"/>
        <w:rPr>
          <w:rFonts w:ascii="Arial" w:eastAsia="Calibri" w:hAnsi="Arial" w:cs="Arial"/>
          <w:color w:val="404040"/>
        </w:rPr>
      </w:pPr>
    </w:p>
    <w:p w14:paraId="6D0D3CF1" w14:textId="77777777" w:rsidR="00810571" w:rsidRDefault="00810571" w:rsidP="00361902">
      <w:pPr>
        <w:pStyle w:val="Body"/>
        <w:rPr>
          <w:rFonts w:ascii="Arial" w:eastAsia="Calibri" w:hAnsi="Arial" w:cs="Arial"/>
          <w:color w:val="404040"/>
        </w:rPr>
      </w:pPr>
    </w:p>
    <w:p w14:paraId="2F43B4E3" w14:textId="77777777" w:rsidR="00B94C54" w:rsidRDefault="00B94C54" w:rsidP="00361902">
      <w:pPr>
        <w:pStyle w:val="Body"/>
        <w:rPr>
          <w:rFonts w:ascii="Arial" w:eastAsia="Calibri" w:hAnsi="Arial" w:cs="Arial"/>
          <w:color w:val="404040"/>
        </w:rPr>
      </w:pPr>
    </w:p>
    <w:p w14:paraId="62F71653" w14:textId="77777777" w:rsidR="00B94C54" w:rsidRDefault="00B94C54" w:rsidP="00361902">
      <w:pPr>
        <w:pStyle w:val="Body"/>
        <w:rPr>
          <w:rFonts w:ascii="Arial" w:eastAsia="Calibri" w:hAnsi="Arial" w:cs="Arial"/>
          <w:color w:val="404040"/>
        </w:rPr>
      </w:pPr>
    </w:p>
    <w:p w14:paraId="05E04511" w14:textId="77777777" w:rsidR="00B94C54" w:rsidRDefault="00B94C54" w:rsidP="00361902">
      <w:pPr>
        <w:pStyle w:val="Body"/>
        <w:rPr>
          <w:rFonts w:ascii="Arial" w:eastAsia="Calibri" w:hAnsi="Arial" w:cs="Arial"/>
          <w:color w:val="404040"/>
        </w:rPr>
      </w:pPr>
    </w:p>
    <w:p w14:paraId="0578AFE0" w14:textId="77777777" w:rsidR="00B94C54" w:rsidRDefault="00B94C54" w:rsidP="00361902">
      <w:pPr>
        <w:pStyle w:val="Body"/>
        <w:rPr>
          <w:rFonts w:ascii="Arial" w:eastAsia="Calibri" w:hAnsi="Arial" w:cs="Arial"/>
          <w:color w:val="404040"/>
        </w:rPr>
      </w:pPr>
    </w:p>
    <w:p w14:paraId="38A370F0" w14:textId="77777777" w:rsidR="00B94C54" w:rsidRDefault="00B94C54" w:rsidP="00361902">
      <w:pPr>
        <w:pStyle w:val="Body"/>
        <w:rPr>
          <w:rFonts w:ascii="Arial" w:eastAsia="Calibri" w:hAnsi="Arial" w:cs="Arial"/>
          <w:color w:val="404040"/>
        </w:rPr>
      </w:pPr>
    </w:p>
    <w:p w14:paraId="3D380B67" w14:textId="77777777" w:rsidR="00B94C54" w:rsidRDefault="00B94C54" w:rsidP="00361902">
      <w:pPr>
        <w:pStyle w:val="Body"/>
        <w:rPr>
          <w:rFonts w:ascii="Arial" w:eastAsia="Calibri" w:hAnsi="Arial" w:cs="Arial"/>
          <w:color w:val="404040"/>
        </w:rPr>
      </w:pPr>
    </w:p>
    <w:p w14:paraId="3E419E64" w14:textId="77777777" w:rsidR="00B94C54" w:rsidRDefault="00B94C54" w:rsidP="00361902">
      <w:pPr>
        <w:pStyle w:val="Body"/>
        <w:rPr>
          <w:rFonts w:ascii="Arial" w:eastAsia="Calibri" w:hAnsi="Arial" w:cs="Arial"/>
          <w:color w:val="404040"/>
        </w:rPr>
      </w:pPr>
    </w:p>
    <w:p w14:paraId="46EF4279" w14:textId="77777777" w:rsidR="00B94C54" w:rsidRDefault="00B94C54" w:rsidP="00361902">
      <w:pPr>
        <w:pStyle w:val="Body"/>
        <w:rPr>
          <w:rFonts w:ascii="Arial" w:eastAsia="Calibri" w:hAnsi="Arial" w:cs="Arial"/>
          <w:color w:val="404040"/>
        </w:rPr>
      </w:pPr>
    </w:p>
    <w:p w14:paraId="07EF6AB1" w14:textId="557364CF" w:rsidR="00C14710" w:rsidRDefault="00361902" w:rsidP="00361902">
      <w:pPr>
        <w:pStyle w:val="Body"/>
        <w:rPr>
          <w:rFonts w:ascii="Arial" w:eastAsia="Calibri" w:hAnsi="Arial" w:cs="Arial"/>
          <w:color w:val="404040"/>
        </w:rPr>
      </w:pPr>
      <w:r w:rsidRPr="00361902">
        <w:rPr>
          <w:rFonts w:ascii="Arial" w:eastAsia="Calibri" w:hAnsi="Arial" w:cs="Arial"/>
          <w:color w:val="404040"/>
        </w:rPr>
        <w:t xml:space="preserve">Figure </w:t>
      </w:r>
      <w:r w:rsidR="00800F17">
        <w:rPr>
          <w:rFonts w:ascii="Arial" w:eastAsia="Calibri" w:hAnsi="Arial" w:cs="Arial"/>
          <w:color w:val="404040"/>
        </w:rPr>
        <w:t>2</w:t>
      </w:r>
      <w:r w:rsidRPr="00361902">
        <w:rPr>
          <w:rFonts w:ascii="Arial" w:eastAsia="Calibri" w:hAnsi="Arial" w:cs="Arial"/>
          <w:color w:val="404040"/>
        </w:rPr>
        <w:t xml:space="preserve">: Prevalence of Intestinal Parasitic Infection Among Schoolchildren in </w:t>
      </w:r>
      <w:proofErr w:type="spellStart"/>
      <w:r w:rsidRPr="00361902">
        <w:rPr>
          <w:rFonts w:ascii="Arial" w:eastAsia="Calibri" w:hAnsi="Arial" w:cs="Arial"/>
          <w:color w:val="404040"/>
        </w:rPr>
        <w:t>Mashi</w:t>
      </w:r>
      <w:proofErr w:type="spellEnd"/>
      <w:r w:rsidRPr="00361902">
        <w:rPr>
          <w:rFonts w:ascii="Arial" w:eastAsia="Calibri" w:hAnsi="Arial" w:cs="Arial"/>
          <w:color w:val="404040"/>
        </w:rPr>
        <w:t xml:space="preserve"> Local Government Area, Katsina State.</w:t>
      </w:r>
    </w:p>
    <w:p w14:paraId="06DCBD34" w14:textId="77777777" w:rsidR="00361902" w:rsidRPr="00361902" w:rsidRDefault="00361902" w:rsidP="00361902">
      <w:pPr>
        <w:pStyle w:val="Body"/>
        <w:rPr>
          <w:rFonts w:ascii="Arial" w:eastAsia="Calibri" w:hAnsi="Arial" w:cs="Arial"/>
          <w:color w:val="404040"/>
        </w:rPr>
      </w:pPr>
      <w:r w:rsidRPr="00361902">
        <w:rPr>
          <w:rFonts w:ascii="Arial" w:eastAsia="Calibri" w:hAnsi="Arial" w:cs="Arial"/>
          <w:color w:val="404040"/>
        </w:rPr>
        <w:t xml:space="preserve">Table 2 shows a diverse range of Intestinal parasites among the infected children, with 12 different species identified. The most prevalent parasites were Schistosoma mansoni (29.4%), hookworm (22.2%), Ascaris </w:t>
      </w:r>
      <w:proofErr w:type="spellStart"/>
      <w:r w:rsidRPr="00361902">
        <w:rPr>
          <w:rFonts w:ascii="Arial" w:eastAsia="Calibri" w:hAnsi="Arial" w:cs="Arial"/>
          <w:color w:val="404040"/>
        </w:rPr>
        <w:t>lumbacoides</w:t>
      </w:r>
      <w:proofErr w:type="spellEnd"/>
      <w:r w:rsidRPr="00361902">
        <w:rPr>
          <w:rFonts w:ascii="Arial" w:eastAsia="Calibri" w:hAnsi="Arial" w:cs="Arial"/>
          <w:color w:val="404040"/>
        </w:rPr>
        <w:t xml:space="preserve"> (13.1%), </w:t>
      </w:r>
      <w:proofErr w:type="spellStart"/>
      <w:r w:rsidRPr="00361902">
        <w:rPr>
          <w:rFonts w:ascii="Arial" w:eastAsia="Calibri" w:hAnsi="Arial" w:cs="Arial"/>
          <w:color w:val="404040"/>
        </w:rPr>
        <w:t>Strongyloides</w:t>
      </w:r>
      <w:proofErr w:type="spellEnd"/>
      <w:r w:rsidRPr="00361902">
        <w:rPr>
          <w:rFonts w:ascii="Arial" w:eastAsia="Calibri" w:hAnsi="Arial" w:cs="Arial"/>
          <w:color w:val="404040"/>
        </w:rPr>
        <w:t xml:space="preserve"> </w:t>
      </w:r>
      <w:proofErr w:type="spellStart"/>
      <w:r w:rsidRPr="00361902">
        <w:rPr>
          <w:rFonts w:ascii="Arial" w:eastAsia="Calibri" w:hAnsi="Arial" w:cs="Arial"/>
          <w:color w:val="404040"/>
        </w:rPr>
        <w:t>stercoralis</w:t>
      </w:r>
      <w:proofErr w:type="spellEnd"/>
      <w:r w:rsidRPr="00361902">
        <w:rPr>
          <w:rFonts w:ascii="Arial" w:eastAsia="Calibri" w:hAnsi="Arial" w:cs="Arial"/>
          <w:color w:val="404040"/>
        </w:rPr>
        <w:t xml:space="preserve"> (11.8%), and Trichuris </w:t>
      </w:r>
      <w:proofErr w:type="spellStart"/>
      <w:r w:rsidRPr="00361902">
        <w:rPr>
          <w:rFonts w:ascii="Arial" w:eastAsia="Calibri" w:hAnsi="Arial" w:cs="Arial"/>
          <w:color w:val="404040"/>
        </w:rPr>
        <w:t>trichiura</w:t>
      </w:r>
      <w:proofErr w:type="spellEnd"/>
      <w:r w:rsidRPr="00361902">
        <w:rPr>
          <w:rFonts w:ascii="Arial" w:eastAsia="Calibri" w:hAnsi="Arial" w:cs="Arial"/>
          <w:color w:val="404040"/>
        </w:rPr>
        <w:t xml:space="preserve"> (11.1%). Several parasites were found in lower frequencies, including Entamoeba histolytica and </w:t>
      </w:r>
      <w:proofErr w:type="spellStart"/>
      <w:r w:rsidRPr="00361902">
        <w:rPr>
          <w:rFonts w:ascii="Arial" w:eastAsia="Calibri" w:hAnsi="Arial" w:cs="Arial"/>
          <w:color w:val="404040"/>
        </w:rPr>
        <w:t>Hymenolepis</w:t>
      </w:r>
      <w:proofErr w:type="spellEnd"/>
      <w:r w:rsidRPr="00361902">
        <w:rPr>
          <w:rFonts w:ascii="Arial" w:eastAsia="Calibri" w:hAnsi="Arial" w:cs="Arial"/>
          <w:color w:val="404040"/>
        </w:rPr>
        <w:t xml:space="preserve"> nana (each 7.8%), Giardia lamblia (4.6%), Taenia species (2.6%), E. coli (2.0%), Fasciola hepatica (1.3%), and Balantidium coli (0.65%).</w:t>
      </w:r>
    </w:p>
    <w:p w14:paraId="5D533082" w14:textId="77777777" w:rsidR="00361902" w:rsidRPr="00361902" w:rsidRDefault="00361902" w:rsidP="00361902">
      <w:pPr>
        <w:pStyle w:val="Body"/>
        <w:rPr>
          <w:rFonts w:ascii="Arial" w:eastAsia="Calibri" w:hAnsi="Arial" w:cs="Arial"/>
          <w:color w:val="404040"/>
        </w:rPr>
      </w:pPr>
      <w:r w:rsidRPr="00361902">
        <w:rPr>
          <w:rFonts w:ascii="Arial" w:eastAsia="Calibri" w:hAnsi="Arial" w:cs="Arial"/>
          <w:color w:val="404040"/>
        </w:rPr>
        <w:t xml:space="preserve">The distribution of parasites varied across schools, with Jigawa primary school showing the highest total parasite burden with multiple high counts across different species. Model primary school </w:t>
      </w:r>
      <w:proofErr w:type="spellStart"/>
      <w:r w:rsidRPr="00361902">
        <w:rPr>
          <w:rFonts w:ascii="Arial" w:eastAsia="Calibri" w:hAnsi="Arial" w:cs="Arial"/>
          <w:color w:val="404040"/>
        </w:rPr>
        <w:t>Mashi</w:t>
      </w:r>
      <w:proofErr w:type="spellEnd"/>
      <w:r w:rsidRPr="00361902">
        <w:rPr>
          <w:rFonts w:ascii="Arial" w:eastAsia="Calibri" w:hAnsi="Arial" w:cs="Arial"/>
          <w:color w:val="404040"/>
        </w:rPr>
        <w:t xml:space="preserve"> having a notable concentration of S. mansoni and H. nana infections. Doka and </w:t>
      </w:r>
      <w:proofErr w:type="spellStart"/>
      <w:r w:rsidRPr="00361902">
        <w:rPr>
          <w:rFonts w:ascii="Arial" w:eastAsia="Calibri" w:hAnsi="Arial" w:cs="Arial"/>
          <w:color w:val="404040"/>
        </w:rPr>
        <w:t>Tamilo</w:t>
      </w:r>
      <w:proofErr w:type="spellEnd"/>
      <w:r w:rsidRPr="00361902">
        <w:rPr>
          <w:rFonts w:ascii="Arial" w:eastAsia="Calibri" w:hAnsi="Arial" w:cs="Arial"/>
          <w:color w:val="404040"/>
        </w:rPr>
        <w:t xml:space="preserve"> primary schools generally showed lower parasite counts across most species.</w:t>
      </w:r>
    </w:p>
    <w:p w14:paraId="5B78C30B" w14:textId="77777777" w:rsidR="00361902" w:rsidRDefault="00361902" w:rsidP="00361902">
      <w:pPr>
        <w:pStyle w:val="Body"/>
        <w:rPr>
          <w:rFonts w:ascii="Arial" w:eastAsia="Calibri" w:hAnsi="Arial" w:cs="Arial"/>
          <w:color w:val="404040"/>
        </w:rPr>
      </w:pPr>
      <w:r w:rsidRPr="00361902">
        <w:rPr>
          <w:rFonts w:ascii="Arial" w:eastAsia="Calibri" w:hAnsi="Arial" w:cs="Arial"/>
          <w:color w:val="404040"/>
        </w:rPr>
        <w:t>Of the 153 children, 22 were infected with more than one parasite, indicating polyparasitism. This represents approximately 14.4% of the infected children.</w:t>
      </w:r>
    </w:p>
    <w:p w14:paraId="42DF5257" w14:textId="77777777" w:rsidR="00361902" w:rsidRPr="00544667" w:rsidRDefault="00361902" w:rsidP="00361902">
      <w:pPr>
        <w:spacing w:line="480" w:lineRule="auto"/>
        <w:jc w:val="both"/>
        <w:rPr>
          <w:rFonts w:ascii="Arial" w:eastAsia="Calibri" w:hAnsi="Arial" w:cs="Arial"/>
          <w:color w:val="000000"/>
        </w:rPr>
      </w:pPr>
      <w:r w:rsidRPr="00544667">
        <w:rPr>
          <w:rFonts w:ascii="Arial" w:eastAsia="Calibri" w:hAnsi="Arial" w:cs="Arial"/>
          <w:bCs/>
          <w:color w:val="000000"/>
        </w:rPr>
        <w:t xml:space="preserve">Table 2: Distribution of Intestinal Parasites Among Infected Schoolchildren in </w:t>
      </w:r>
      <w:proofErr w:type="spellStart"/>
      <w:r w:rsidRPr="00544667">
        <w:rPr>
          <w:rFonts w:ascii="Arial" w:eastAsia="Calibri" w:hAnsi="Arial" w:cs="Arial"/>
          <w:bCs/>
          <w:color w:val="000000"/>
        </w:rPr>
        <w:t>Mashi</w:t>
      </w:r>
      <w:proofErr w:type="spellEnd"/>
      <w:r w:rsidRPr="00544667">
        <w:rPr>
          <w:rFonts w:ascii="Arial" w:eastAsia="Calibri" w:hAnsi="Arial" w:cs="Arial"/>
          <w:bCs/>
          <w:color w:val="000000"/>
        </w:rPr>
        <w:t xml:space="preserve"> Local Government Area, Katsina State </w:t>
      </w:r>
    </w:p>
    <w:p w14:paraId="0C66A92D" w14:textId="77777777" w:rsidR="00361902" w:rsidRPr="00544667" w:rsidRDefault="00361902" w:rsidP="00361902">
      <w:pPr>
        <w:pBdr>
          <w:top w:val="single" w:sz="12" w:space="1" w:color="auto"/>
          <w:bottom w:val="single" w:sz="12" w:space="1" w:color="auto"/>
        </w:pBdr>
        <w:spacing w:line="480" w:lineRule="auto"/>
        <w:jc w:val="both"/>
        <w:rPr>
          <w:rFonts w:ascii="Arial" w:eastAsia="Calibri" w:hAnsi="Arial" w:cs="Arial"/>
          <w:bCs/>
          <w:color w:val="000000"/>
        </w:rPr>
      </w:pPr>
      <w:r w:rsidRPr="00544667">
        <w:rPr>
          <w:rFonts w:ascii="Arial" w:eastAsia="Calibri" w:hAnsi="Arial" w:cs="Arial"/>
          <w:bCs/>
          <w:color w:val="000000"/>
        </w:rPr>
        <w:t>Parasite</w:t>
      </w:r>
      <w:r w:rsidRPr="00544667">
        <w:rPr>
          <w:rFonts w:ascii="Arial" w:eastAsia="Calibri" w:hAnsi="Arial" w:cs="Arial"/>
          <w:bCs/>
          <w:color w:val="000000"/>
        </w:rPr>
        <w:tab/>
        <w:t xml:space="preserve">         Doka        </w:t>
      </w:r>
      <w:proofErr w:type="spellStart"/>
      <w:r w:rsidRPr="00544667">
        <w:rPr>
          <w:rFonts w:ascii="Arial" w:eastAsia="Calibri" w:hAnsi="Arial" w:cs="Arial"/>
          <w:bCs/>
          <w:color w:val="000000"/>
        </w:rPr>
        <w:t>Gana</w:t>
      </w:r>
      <w:proofErr w:type="spellEnd"/>
      <w:r w:rsidRPr="00544667">
        <w:rPr>
          <w:rFonts w:ascii="Arial" w:eastAsia="Calibri" w:hAnsi="Arial" w:cs="Arial"/>
          <w:bCs/>
          <w:color w:val="000000"/>
        </w:rPr>
        <w:t xml:space="preserve">-Jigawa       </w:t>
      </w:r>
      <w:proofErr w:type="spellStart"/>
      <w:r w:rsidRPr="00544667">
        <w:rPr>
          <w:rFonts w:ascii="Arial" w:eastAsia="Calibri" w:hAnsi="Arial" w:cs="Arial"/>
          <w:bCs/>
          <w:color w:val="000000"/>
        </w:rPr>
        <w:t>Mashi</w:t>
      </w:r>
      <w:proofErr w:type="spellEnd"/>
      <w:r w:rsidRPr="00544667">
        <w:rPr>
          <w:rFonts w:ascii="Arial" w:eastAsia="Calibri" w:hAnsi="Arial" w:cs="Arial"/>
          <w:bCs/>
          <w:color w:val="000000"/>
        </w:rPr>
        <w:t xml:space="preserve">     </w:t>
      </w:r>
      <w:proofErr w:type="spellStart"/>
      <w:r w:rsidRPr="00544667">
        <w:rPr>
          <w:rFonts w:ascii="Arial" w:eastAsia="Calibri" w:hAnsi="Arial" w:cs="Arial"/>
          <w:bCs/>
          <w:color w:val="000000"/>
        </w:rPr>
        <w:t>Tamilo</w:t>
      </w:r>
      <w:proofErr w:type="spellEnd"/>
      <w:r w:rsidRPr="00544667">
        <w:rPr>
          <w:rFonts w:ascii="Arial" w:eastAsia="Calibri" w:hAnsi="Arial" w:cs="Arial"/>
          <w:bCs/>
          <w:color w:val="000000"/>
        </w:rPr>
        <w:t xml:space="preserve">       Total (n = 153)</w:t>
      </w:r>
    </w:p>
    <w:p w14:paraId="5974E775" w14:textId="77777777" w:rsidR="00361902" w:rsidRPr="00544667" w:rsidRDefault="00361902" w:rsidP="00361902">
      <w:pPr>
        <w:spacing w:line="480" w:lineRule="auto"/>
        <w:contextualSpacing/>
        <w:jc w:val="both"/>
        <w:rPr>
          <w:rFonts w:ascii="Arial" w:eastAsia="Calibri" w:hAnsi="Arial" w:cs="Arial"/>
          <w:color w:val="000000"/>
        </w:rPr>
      </w:pPr>
      <w:r w:rsidRPr="00544667">
        <w:rPr>
          <w:rFonts w:ascii="Arial" w:eastAsia="Calibri" w:hAnsi="Arial" w:cs="Arial"/>
          <w:color w:val="000000"/>
        </w:rPr>
        <w:t>S. mansoni</w:t>
      </w:r>
      <w:r w:rsidRPr="00544667">
        <w:rPr>
          <w:rFonts w:ascii="Arial" w:eastAsia="Calibri" w:hAnsi="Arial" w:cs="Arial"/>
          <w:color w:val="000000"/>
        </w:rPr>
        <w:tab/>
      </w:r>
      <w:r w:rsidRPr="00544667">
        <w:rPr>
          <w:rFonts w:ascii="Arial" w:eastAsia="Calibri" w:hAnsi="Arial" w:cs="Arial"/>
          <w:color w:val="000000"/>
        </w:rPr>
        <w:tab/>
        <w:t>5</w:t>
      </w:r>
      <w:r w:rsidRPr="00544667">
        <w:rPr>
          <w:rFonts w:ascii="Arial" w:eastAsia="Calibri" w:hAnsi="Arial" w:cs="Arial"/>
          <w:color w:val="000000"/>
        </w:rPr>
        <w:tab/>
        <w:t xml:space="preserve">        13</w:t>
      </w:r>
      <w:r w:rsidRPr="00544667">
        <w:rPr>
          <w:rFonts w:ascii="Arial" w:eastAsia="Calibri" w:hAnsi="Arial" w:cs="Arial"/>
          <w:color w:val="000000"/>
        </w:rPr>
        <w:tab/>
      </w:r>
      <w:r w:rsidRPr="00544667">
        <w:rPr>
          <w:rFonts w:ascii="Arial" w:eastAsia="Calibri" w:hAnsi="Arial" w:cs="Arial"/>
          <w:color w:val="000000"/>
        </w:rPr>
        <w:tab/>
        <w:t xml:space="preserve">     19</w:t>
      </w:r>
      <w:r w:rsidRPr="00544667">
        <w:rPr>
          <w:rFonts w:ascii="Arial" w:eastAsia="Calibri" w:hAnsi="Arial" w:cs="Arial"/>
          <w:color w:val="000000"/>
        </w:rPr>
        <w:tab/>
        <w:t xml:space="preserve">          8</w:t>
      </w:r>
      <w:r w:rsidRPr="00544667">
        <w:rPr>
          <w:rFonts w:ascii="Arial" w:eastAsia="Calibri" w:hAnsi="Arial" w:cs="Arial"/>
          <w:color w:val="000000"/>
        </w:rPr>
        <w:tab/>
      </w:r>
      <w:r w:rsidRPr="00544667">
        <w:rPr>
          <w:rFonts w:ascii="Arial" w:eastAsia="Calibri" w:hAnsi="Arial" w:cs="Arial"/>
          <w:color w:val="000000"/>
        </w:rPr>
        <w:tab/>
        <w:t xml:space="preserve">    45 (29.4)</w:t>
      </w:r>
    </w:p>
    <w:p w14:paraId="74E0519C" w14:textId="77777777" w:rsidR="00361902" w:rsidRPr="00544667" w:rsidRDefault="00361902" w:rsidP="00361902">
      <w:pPr>
        <w:spacing w:line="480" w:lineRule="auto"/>
        <w:contextualSpacing/>
        <w:jc w:val="both"/>
        <w:rPr>
          <w:rFonts w:ascii="Arial" w:eastAsia="Calibri" w:hAnsi="Arial" w:cs="Arial"/>
          <w:color w:val="000000"/>
        </w:rPr>
      </w:pPr>
      <w:r w:rsidRPr="00544667">
        <w:rPr>
          <w:rFonts w:ascii="Arial" w:eastAsia="Calibri" w:hAnsi="Arial" w:cs="Arial"/>
          <w:color w:val="000000"/>
        </w:rPr>
        <w:t>Hookworm</w:t>
      </w:r>
      <w:r w:rsidRPr="00544667">
        <w:rPr>
          <w:rFonts w:ascii="Arial" w:eastAsia="Calibri" w:hAnsi="Arial" w:cs="Arial"/>
          <w:color w:val="000000"/>
        </w:rPr>
        <w:tab/>
      </w:r>
      <w:r w:rsidRPr="00544667">
        <w:rPr>
          <w:rFonts w:ascii="Arial" w:eastAsia="Calibri" w:hAnsi="Arial" w:cs="Arial"/>
          <w:color w:val="000000"/>
        </w:rPr>
        <w:tab/>
        <w:t>7</w:t>
      </w:r>
      <w:r w:rsidRPr="00544667">
        <w:rPr>
          <w:rFonts w:ascii="Arial" w:eastAsia="Calibri" w:hAnsi="Arial" w:cs="Arial"/>
          <w:color w:val="000000"/>
        </w:rPr>
        <w:tab/>
        <w:t xml:space="preserve">        11</w:t>
      </w:r>
      <w:r w:rsidRPr="00544667">
        <w:rPr>
          <w:rFonts w:ascii="Arial" w:eastAsia="Calibri" w:hAnsi="Arial" w:cs="Arial"/>
          <w:color w:val="000000"/>
        </w:rPr>
        <w:tab/>
        <w:t xml:space="preserve">                   7</w:t>
      </w:r>
      <w:r w:rsidRPr="00544667">
        <w:rPr>
          <w:rFonts w:ascii="Arial" w:eastAsia="Calibri" w:hAnsi="Arial" w:cs="Arial"/>
          <w:color w:val="000000"/>
        </w:rPr>
        <w:tab/>
        <w:t xml:space="preserve">          9</w:t>
      </w:r>
      <w:r w:rsidRPr="00544667">
        <w:rPr>
          <w:rFonts w:ascii="Arial" w:eastAsia="Calibri" w:hAnsi="Arial" w:cs="Arial"/>
          <w:color w:val="000000"/>
        </w:rPr>
        <w:tab/>
        <w:t xml:space="preserve">                 34 (22.2)</w:t>
      </w:r>
    </w:p>
    <w:p w14:paraId="5CA7D345" w14:textId="77777777" w:rsidR="00361902" w:rsidRPr="00544667" w:rsidRDefault="00361902" w:rsidP="00361902">
      <w:pPr>
        <w:spacing w:line="480" w:lineRule="auto"/>
        <w:contextualSpacing/>
        <w:jc w:val="both"/>
        <w:rPr>
          <w:rFonts w:ascii="Arial" w:eastAsia="Calibri" w:hAnsi="Arial" w:cs="Arial"/>
          <w:color w:val="000000"/>
        </w:rPr>
      </w:pPr>
      <w:r w:rsidRPr="00544667">
        <w:rPr>
          <w:rFonts w:ascii="Arial" w:eastAsia="Calibri" w:hAnsi="Arial" w:cs="Arial"/>
          <w:color w:val="000000"/>
        </w:rPr>
        <w:t>A. lumbricoides</w:t>
      </w:r>
      <w:r w:rsidRPr="00544667">
        <w:rPr>
          <w:rFonts w:ascii="Arial" w:eastAsia="Calibri" w:hAnsi="Arial" w:cs="Arial"/>
          <w:color w:val="000000"/>
        </w:rPr>
        <w:tab/>
        <w:t xml:space="preserve">             2</w:t>
      </w:r>
      <w:r w:rsidRPr="00544667">
        <w:rPr>
          <w:rFonts w:ascii="Arial" w:eastAsia="Calibri" w:hAnsi="Arial" w:cs="Arial"/>
          <w:color w:val="000000"/>
        </w:rPr>
        <w:tab/>
        <w:t xml:space="preserve">         7</w:t>
      </w:r>
      <w:r w:rsidRPr="00544667">
        <w:rPr>
          <w:rFonts w:ascii="Arial" w:eastAsia="Calibri" w:hAnsi="Arial" w:cs="Arial"/>
          <w:color w:val="000000"/>
        </w:rPr>
        <w:tab/>
        <w:t xml:space="preserve">                   5</w:t>
      </w:r>
      <w:r w:rsidRPr="00544667">
        <w:rPr>
          <w:rFonts w:ascii="Arial" w:eastAsia="Calibri" w:hAnsi="Arial" w:cs="Arial"/>
          <w:color w:val="000000"/>
        </w:rPr>
        <w:tab/>
        <w:t xml:space="preserve">          6</w:t>
      </w:r>
      <w:r w:rsidRPr="00544667">
        <w:rPr>
          <w:rFonts w:ascii="Arial" w:eastAsia="Calibri" w:hAnsi="Arial" w:cs="Arial"/>
          <w:color w:val="000000"/>
        </w:rPr>
        <w:tab/>
      </w:r>
      <w:r w:rsidRPr="00544667">
        <w:rPr>
          <w:rFonts w:ascii="Arial" w:eastAsia="Calibri" w:hAnsi="Arial" w:cs="Arial"/>
          <w:color w:val="000000"/>
        </w:rPr>
        <w:tab/>
        <w:t xml:space="preserve">    20 (13.1)</w:t>
      </w:r>
    </w:p>
    <w:p w14:paraId="2D60D2D0" w14:textId="77777777" w:rsidR="00361902" w:rsidRPr="00544667" w:rsidRDefault="00361902" w:rsidP="00361902">
      <w:pPr>
        <w:spacing w:line="480" w:lineRule="auto"/>
        <w:contextualSpacing/>
        <w:jc w:val="both"/>
        <w:rPr>
          <w:rFonts w:ascii="Arial" w:eastAsia="Calibri" w:hAnsi="Arial" w:cs="Arial"/>
          <w:color w:val="000000"/>
        </w:rPr>
      </w:pPr>
      <w:r w:rsidRPr="00544667">
        <w:rPr>
          <w:rFonts w:ascii="Arial" w:eastAsia="Calibri" w:hAnsi="Arial" w:cs="Arial"/>
          <w:color w:val="000000"/>
        </w:rPr>
        <w:t xml:space="preserve">S. </w:t>
      </w:r>
      <w:proofErr w:type="spellStart"/>
      <w:r w:rsidRPr="00544667">
        <w:rPr>
          <w:rFonts w:ascii="Arial" w:eastAsia="Calibri" w:hAnsi="Arial" w:cs="Arial"/>
          <w:color w:val="000000"/>
        </w:rPr>
        <w:t>stercoralis</w:t>
      </w:r>
      <w:proofErr w:type="spellEnd"/>
      <w:r w:rsidRPr="00544667">
        <w:rPr>
          <w:rFonts w:ascii="Arial" w:eastAsia="Calibri" w:hAnsi="Arial" w:cs="Arial"/>
          <w:color w:val="000000"/>
        </w:rPr>
        <w:tab/>
      </w:r>
      <w:r w:rsidRPr="00544667">
        <w:rPr>
          <w:rFonts w:ascii="Arial" w:eastAsia="Calibri" w:hAnsi="Arial" w:cs="Arial"/>
          <w:color w:val="000000"/>
        </w:rPr>
        <w:tab/>
        <w:t>3</w:t>
      </w:r>
      <w:r w:rsidRPr="00544667">
        <w:rPr>
          <w:rFonts w:ascii="Arial" w:eastAsia="Calibri" w:hAnsi="Arial" w:cs="Arial"/>
          <w:color w:val="000000"/>
        </w:rPr>
        <w:tab/>
        <w:t xml:space="preserve">         7</w:t>
      </w:r>
      <w:r w:rsidRPr="00544667">
        <w:rPr>
          <w:rFonts w:ascii="Arial" w:eastAsia="Calibri" w:hAnsi="Arial" w:cs="Arial"/>
          <w:color w:val="000000"/>
        </w:rPr>
        <w:tab/>
      </w:r>
      <w:r w:rsidRPr="00544667">
        <w:rPr>
          <w:rFonts w:ascii="Arial" w:eastAsia="Calibri" w:hAnsi="Arial" w:cs="Arial"/>
          <w:color w:val="000000"/>
        </w:rPr>
        <w:tab/>
        <w:t xml:space="preserve">      </w:t>
      </w:r>
      <w:r w:rsidR="00D807B2" w:rsidRPr="00544667">
        <w:rPr>
          <w:rFonts w:ascii="Arial" w:eastAsia="Calibri" w:hAnsi="Arial" w:cs="Arial"/>
          <w:color w:val="000000"/>
        </w:rPr>
        <w:t>6</w:t>
      </w:r>
      <w:r w:rsidR="00D807B2" w:rsidRPr="00544667">
        <w:rPr>
          <w:rFonts w:ascii="Arial" w:eastAsia="Calibri" w:hAnsi="Arial" w:cs="Arial"/>
          <w:color w:val="000000"/>
        </w:rPr>
        <w:tab/>
        <w:t xml:space="preserve">          </w:t>
      </w:r>
      <w:r w:rsidRPr="00544667">
        <w:rPr>
          <w:rFonts w:ascii="Arial" w:eastAsia="Calibri" w:hAnsi="Arial" w:cs="Arial"/>
          <w:color w:val="000000"/>
        </w:rPr>
        <w:t>2</w:t>
      </w:r>
      <w:r w:rsidRPr="00544667">
        <w:rPr>
          <w:rFonts w:ascii="Arial" w:eastAsia="Calibri" w:hAnsi="Arial" w:cs="Arial"/>
          <w:color w:val="000000"/>
        </w:rPr>
        <w:tab/>
      </w:r>
      <w:r w:rsidRPr="00544667">
        <w:rPr>
          <w:rFonts w:ascii="Arial" w:eastAsia="Calibri" w:hAnsi="Arial" w:cs="Arial"/>
          <w:color w:val="000000"/>
        </w:rPr>
        <w:tab/>
      </w:r>
      <w:r w:rsidR="00D807B2" w:rsidRPr="00544667">
        <w:rPr>
          <w:rFonts w:ascii="Arial" w:eastAsia="Calibri" w:hAnsi="Arial" w:cs="Arial"/>
          <w:color w:val="000000"/>
        </w:rPr>
        <w:t xml:space="preserve">    </w:t>
      </w:r>
      <w:r w:rsidRPr="00544667">
        <w:rPr>
          <w:rFonts w:ascii="Arial" w:eastAsia="Calibri" w:hAnsi="Arial" w:cs="Arial"/>
          <w:color w:val="000000"/>
        </w:rPr>
        <w:t>18 (11.8)</w:t>
      </w:r>
    </w:p>
    <w:p w14:paraId="768439BF" w14:textId="77777777" w:rsidR="00361902" w:rsidRPr="00544667" w:rsidRDefault="00D807B2" w:rsidP="00361902">
      <w:pPr>
        <w:spacing w:line="480" w:lineRule="auto"/>
        <w:contextualSpacing/>
        <w:jc w:val="both"/>
        <w:rPr>
          <w:rFonts w:ascii="Arial" w:eastAsia="Calibri" w:hAnsi="Arial" w:cs="Arial"/>
          <w:color w:val="000000"/>
        </w:rPr>
      </w:pPr>
      <w:r w:rsidRPr="00544667">
        <w:rPr>
          <w:rFonts w:ascii="Arial" w:eastAsia="Calibri" w:hAnsi="Arial" w:cs="Arial"/>
          <w:color w:val="000000"/>
        </w:rPr>
        <w:t xml:space="preserve">T. </w:t>
      </w:r>
      <w:proofErr w:type="spellStart"/>
      <w:r w:rsidRPr="00544667">
        <w:rPr>
          <w:rFonts w:ascii="Arial" w:eastAsia="Calibri" w:hAnsi="Arial" w:cs="Arial"/>
          <w:color w:val="000000"/>
        </w:rPr>
        <w:t>trichiura</w:t>
      </w:r>
      <w:proofErr w:type="spellEnd"/>
      <w:r w:rsidRPr="00544667">
        <w:rPr>
          <w:rFonts w:ascii="Arial" w:eastAsia="Calibri" w:hAnsi="Arial" w:cs="Arial"/>
          <w:color w:val="000000"/>
        </w:rPr>
        <w:tab/>
      </w:r>
      <w:r w:rsidRPr="00544667">
        <w:rPr>
          <w:rFonts w:ascii="Arial" w:eastAsia="Calibri" w:hAnsi="Arial" w:cs="Arial"/>
          <w:color w:val="000000"/>
        </w:rPr>
        <w:tab/>
        <w:t>4</w:t>
      </w:r>
      <w:r w:rsidRPr="00544667">
        <w:rPr>
          <w:rFonts w:ascii="Arial" w:eastAsia="Calibri" w:hAnsi="Arial" w:cs="Arial"/>
          <w:color w:val="000000"/>
        </w:rPr>
        <w:tab/>
        <w:t xml:space="preserve">         </w:t>
      </w:r>
      <w:r w:rsidR="00361902" w:rsidRPr="00544667">
        <w:rPr>
          <w:rFonts w:ascii="Arial" w:eastAsia="Calibri" w:hAnsi="Arial" w:cs="Arial"/>
          <w:color w:val="000000"/>
        </w:rPr>
        <w:t>4</w:t>
      </w:r>
      <w:r w:rsidR="00361902" w:rsidRPr="00544667">
        <w:rPr>
          <w:rFonts w:ascii="Arial" w:eastAsia="Calibri" w:hAnsi="Arial" w:cs="Arial"/>
          <w:color w:val="000000"/>
        </w:rPr>
        <w:tab/>
      </w:r>
      <w:r w:rsidR="00361902" w:rsidRPr="00544667">
        <w:rPr>
          <w:rFonts w:ascii="Arial" w:eastAsia="Calibri" w:hAnsi="Arial" w:cs="Arial"/>
          <w:color w:val="000000"/>
        </w:rPr>
        <w:tab/>
      </w:r>
      <w:r w:rsidRPr="00544667">
        <w:rPr>
          <w:rFonts w:ascii="Arial" w:eastAsia="Calibri" w:hAnsi="Arial" w:cs="Arial"/>
          <w:color w:val="000000"/>
        </w:rPr>
        <w:t xml:space="preserve">      5</w:t>
      </w:r>
      <w:r w:rsidRPr="00544667">
        <w:rPr>
          <w:rFonts w:ascii="Arial" w:eastAsia="Calibri" w:hAnsi="Arial" w:cs="Arial"/>
          <w:color w:val="000000"/>
        </w:rPr>
        <w:tab/>
        <w:t xml:space="preserve">          </w:t>
      </w:r>
      <w:r w:rsidR="00361902" w:rsidRPr="00544667">
        <w:rPr>
          <w:rFonts w:ascii="Arial" w:eastAsia="Calibri" w:hAnsi="Arial" w:cs="Arial"/>
          <w:color w:val="000000"/>
        </w:rPr>
        <w:t>4</w:t>
      </w:r>
      <w:r w:rsidR="00361902" w:rsidRPr="00544667">
        <w:rPr>
          <w:rFonts w:ascii="Arial" w:eastAsia="Calibri" w:hAnsi="Arial" w:cs="Arial"/>
          <w:color w:val="000000"/>
        </w:rPr>
        <w:tab/>
      </w:r>
      <w:r w:rsidR="00361902" w:rsidRPr="00544667">
        <w:rPr>
          <w:rFonts w:ascii="Arial" w:eastAsia="Calibri" w:hAnsi="Arial" w:cs="Arial"/>
          <w:color w:val="000000"/>
        </w:rPr>
        <w:tab/>
      </w:r>
      <w:r w:rsidRPr="00544667">
        <w:rPr>
          <w:rFonts w:ascii="Arial" w:eastAsia="Calibri" w:hAnsi="Arial" w:cs="Arial"/>
          <w:color w:val="000000"/>
        </w:rPr>
        <w:t xml:space="preserve">    </w:t>
      </w:r>
      <w:r w:rsidR="00361902" w:rsidRPr="00544667">
        <w:rPr>
          <w:rFonts w:ascii="Arial" w:eastAsia="Calibri" w:hAnsi="Arial" w:cs="Arial"/>
          <w:color w:val="000000"/>
        </w:rPr>
        <w:t>17 (11.1)</w:t>
      </w:r>
    </w:p>
    <w:p w14:paraId="49A83977" w14:textId="77777777" w:rsidR="00361902" w:rsidRPr="00544667" w:rsidRDefault="00D807B2" w:rsidP="00361902">
      <w:pPr>
        <w:spacing w:line="480" w:lineRule="auto"/>
        <w:contextualSpacing/>
        <w:jc w:val="both"/>
        <w:rPr>
          <w:rFonts w:ascii="Arial" w:eastAsia="Calibri" w:hAnsi="Arial" w:cs="Arial"/>
          <w:color w:val="000000"/>
        </w:rPr>
      </w:pPr>
      <w:r w:rsidRPr="00544667">
        <w:rPr>
          <w:rFonts w:ascii="Arial" w:eastAsia="Calibri" w:hAnsi="Arial" w:cs="Arial"/>
          <w:color w:val="000000"/>
        </w:rPr>
        <w:t>E. histolytica</w:t>
      </w:r>
      <w:r w:rsidRPr="00544667">
        <w:rPr>
          <w:rFonts w:ascii="Arial" w:eastAsia="Calibri" w:hAnsi="Arial" w:cs="Arial"/>
          <w:color w:val="000000"/>
        </w:rPr>
        <w:tab/>
      </w:r>
      <w:r w:rsidRPr="00544667">
        <w:rPr>
          <w:rFonts w:ascii="Arial" w:eastAsia="Calibri" w:hAnsi="Arial" w:cs="Arial"/>
          <w:color w:val="000000"/>
        </w:rPr>
        <w:tab/>
        <w:t>3</w:t>
      </w:r>
      <w:r w:rsidRPr="00544667">
        <w:rPr>
          <w:rFonts w:ascii="Arial" w:eastAsia="Calibri" w:hAnsi="Arial" w:cs="Arial"/>
          <w:color w:val="000000"/>
        </w:rPr>
        <w:tab/>
        <w:t xml:space="preserve">         </w:t>
      </w:r>
      <w:r w:rsidR="00361902" w:rsidRPr="00544667">
        <w:rPr>
          <w:rFonts w:ascii="Arial" w:eastAsia="Calibri" w:hAnsi="Arial" w:cs="Arial"/>
          <w:color w:val="000000"/>
        </w:rPr>
        <w:t>5</w:t>
      </w:r>
      <w:r w:rsidR="00361902" w:rsidRPr="00544667">
        <w:rPr>
          <w:rFonts w:ascii="Arial" w:eastAsia="Calibri" w:hAnsi="Arial" w:cs="Arial"/>
          <w:color w:val="000000"/>
        </w:rPr>
        <w:tab/>
      </w:r>
      <w:r w:rsidR="00361902" w:rsidRPr="00544667">
        <w:rPr>
          <w:rFonts w:ascii="Arial" w:eastAsia="Calibri" w:hAnsi="Arial" w:cs="Arial"/>
          <w:color w:val="000000"/>
        </w:rPr>
        <w:tab/>
      </w:r>
      <w:r w:rsidRPr="00544667">
        <w:rPr>
          <w:rFonts w:ascii="Arial" w:eastAsia="Calibri" w:hAnsi="Arial" w:cs="Arial"/>
          <w:color w:val="000000"/>
        </w:rPr>
        <w:t xml:space="preserve">      </w:t>
      </w:r>
      <w:r w:rsidR="00361902" w:rsidRPr="00544667">
        <w:rPr>
          <w:rFonts w:ascii="Arial" w:eastAsia="Calibri" w:hAnsi="Arial" w:cs="Arial"/>
          <w:color w:val="000000"/>
        </w:rPr>
        <w:t>3</w:t>
      </w:r>
      <w:r w:rsidRPr="00544667">
        <w:rPr>
          <w:rFonts w:ascii="Arial" w:eastAsia="Calibri" w:hAnsi="Arial" w:cs="Arial"/>
          <w:color w:val="000000"/>
        </w:rPr>
        <w:t xml:space="preserve"> </w:t>
      </w:r>
      <w:r w:rsidRPr="00544667">
        <w:rPr>
          <w:rFonts w:ascii="Arial" w:eastAsia="Calibri" w:hAnsi="Arial" w:cs="Arial"/>
          <w:color w:val="000000"/>
        </w:rPr>
        <w:tab/>
        <w:t xml:space="preserve">          </w:t>
      </w:r>
      <w:r w:rsidR="00361902" w:rsidRPr="00544667">
        <w:rPr>
          <w:rFonts w:ascii="Arial" w:eastAsia="Calibri" w:hAnsi="Arial" w:cs="Arial"/>
          <w:color w:val="000000"/>
        </w:rPr>
        <w:t>1</w:t>
      </w:r>
      <w:r w:rsidR="00361902" w:rsidRPr="00544667">
        <w:rPr>
          <w:rFonts w:ascii="Arial" w:eastAsia="Calibri" w:hAnsi="Arial" w:cs="Arial"/>
          <w:color w:val="000000"/>
        </w:rPr>
        <w:tab/>
      </w:r>
      <w:r w:rsidR="00361902" w:rsidRPr="00544667">
        <w:rPr>
          <w:rFonts w:ascii="Arial" w:eastAsia="Calibri" w:hAnsi="Arial" w:cs="Arial"/>
          <w:color w:val="000000"/>
        </w:rPr>
        <w:tab/>
      </w:r>
      <w:r w:rsidRPr="00544667">
        <w:rPr>
          <w:rFonts w:ascii="Arial" w:eastAsia="Calibri" w:hAnsi="Arial" w:cs="Arial"/>
          <w:color w:val="000000"/>
        </w:rPr>
        <w:t xml:space="preserve">    </w:t>
      </w:r>
      <w:r w:rsidR="00361902" w:rsidRPr="00544667">
        <w:rPr>
          <w:rFonts w:ascii="Arial" w:eastAsia="Calibri" w:hAnsi="Arial" w:cs="Arial"/>
          <w:color w:val="000000"/>
        </w:rPr>
        <w:t>12 (7.8)</w:t>
      </w:r>
    </w:p>
    <w:p w14:paraId="55B1656B" w14:textId="77777777" w:rsidR="00361902" w:rsidRPr="00544667" w:rsidRDefault="00361902" w:rsidP="00361902">
      <w:pPr>
        <w:spacing w:line="480" w:lineRule="auto"/>
        <w:contextualSpacing/>
        <w:jc w:val="both"/>
        <w:rPr>
          <w:rFonts w:ascii="Arial" w:eastAsia="Calibri" w:hAnsi="Arial" w:cs="Arial"/>
          <w:color w:val="000000"/>
        </w:rPr>
      </w:pPr>
      <w:r w:rsidRPr="00544667">
        <w:rPr>
          <w:rFonts w:ascii="Arial" w:eastAsia="Calibri" w:hAnsi="Arial" w:cs="Arial"/>
          <w:color w:val="000000"/>
        </w:rPr>
        <w:t>H. nana</w:t>
      </w:r>
      <w:r w:rsidRPr="00544667">
        <w:rPr>
          <w:rFonts w:ascii="Arial" w:eastAsia="Calibri" w:hAnsi="Arial" w:cs="Arial"/>
          <w:color w:val="000000"/>
        </w:rPr>
        <w:tab/>
      </w:r>
      <w:r w:rsidRPr="00544667">
        <w:rPr>
          <w:rFonts w:ascii="Arial" w:eastAsia="Calibri" w:hAnsi="Arial" w:cs="Arial"/>
          <w:color w:val="000000"/>
        </w:rPr>
        <w:tab/>
        <w:t xml:space="preserve">             </w:t>
      </w:r>
      <w:r w:rsidR="00D807B2" w:rsidRPr="00544667">
        <w:rPr>
          <w:rFonts w:ascii="Arial" w:eastAsia="Calibri" w:hAnsi="Arial" w:cs="Arial"/>
          <w:color w:val="000000"/>
        </w:rPr>
        <w:t>5</w:t>
      </w:r>
      <w:r w:rsidR="00D807B2" w:rsidRPr="00544667">
        <w:rPr>
          <w:rFonts w:ascii="Arial" w:eastAsia="Calibri" w:hAnsi="Arial" w:cs="Arial"/>
          <w:color w:val="000000"/>
        </w:rPr>
        <w:tab/>
        <w:t xml:space="preserve">         </w:t>
      </w:r>
      <w:r w:rsidRPr="00544667">
        <w:rPr>
          <w:rFonts w:ascii="Arial" w:eastAsia="Calibri" w:hAnsi="Arial" w:cs="Arial"/>
          <w:color w:val="000000"/>
        </w:rPr>
        <w:t>3</w:t>
      </w:r>
      <w:r w:rsidRPr="00544667">
        <w:rPr>
          <w:rFonts w:ascii="Arial" w:eastAsia="Calibri" w:hAnsi="Arial" w:cs="Arial"/>
          <w:color w:val="000000"/>
        </w:rPr>
        <w:tab/>
      </w:r>
      <w:r w:rsidRPr="00544667">
        <w:rPr>
          <w:rFonts w:ascii="Arial" w:eastAsia="Calibri" w:hAnsi="Arial" w:cs="Arial"/>
          <w:color w:val="000000"/>
        </w:rPr>
        <w:tab/>
      </w:r>
      <w:r w:rsidR="00D807B2" w:rsidRPr="00544667">
        <w:rPr>
          <w:rFonts w:ascii="Arial" w:eastAsia="Calibri" w:hAnsi="Arial" w:cs="Arial"/>
          <w:color w:val="000000"/>
        </w:rPr>
        <w:t xml:space="preserve">     10</w:t>
      </w:r>
      <w:r w:rsidR="00D807B2" w:rsidRPr="00544667">
        <w:rPr>
          <w:rFonts w:ascii="Arial" w:eastAsia="Calibri" w:hAnsi="Arial" w:cs="Arial"/>
          <w:color w:val="000000"/>
        </w:rPr>
        <w:tab/>
        <w:t xml:space="preserve">          </w:t>
      </w:r>
      <w:r w:rsidRPr="00544667">
        <w:rPr>
          <w:rFonts w:ascii="Arial" w:eastAsia="Calibri" w:hAnsi="Arial" w:cs="Arial"/>
          <w:color w:val="000000"/>
        </w:rPr>
        <w:t>4</w:t>
      </w:r>
      <w:r w:rsidRPr="00544667">
        <w:rPr>
          <w:rFonts w:ascii="Arial" w:eastAsia="Calibri" w:hAnsi="Arial" w:cs="Arial"/>
          <w:color w:val="000000"/>
        </w:rPr>
        <w:tab/>
      </w:r>
      <w:r w:rsidRPr="00544667">
        <w:rPr>
          <w:rFonts w:ascii="Arial" w:eastAsia="Calibri" w:hAnsi="Arial" w:cs="Arial"/>
          <w:color w:val="000000"/>
        </w:rPr>
        <w:tab/>
      </w:r>
      <w:r w:rsidR="00D807B2" w:rsidRPr="00544667">
        <w:rPr>
          <w:rFonts w:ascii="Arial" w:eastAsia="Calibri" w:hAnsi="Arial" w:cs="Arial"/>
          <w:color w:val="000000"/>
        </w:rPr>
        <w:t xml:space="preserve">    </w:t>
      </w:r>
      <w:r w:rsidRPr="00544667">
        <w:rPr>
          <w:rFonts w:ascii="Arial" w:eastAsia="Calibri" w:hAnsi="Arial" w:cs="Arial"/>
          <w:color w:val="000000"/>
        </w:rPr>
        <w:t>12 (7.8)</w:t>
      </w:r>
    </w:p>
    <w:p w14:paraId="118C95E3" w14:textId="77777777" w:rsidR="00361902" w:rsidRPr="00544667" w:rsidRDefault="00D807B2" w:rsidP="00361902">
      <w:pPr>
        <w:spacing w:line="480" w:lineRule="auto"/>
        <w:contextualSpacing/>
        <w:jc w:val="both"/>
        <w:rPr>
          <w:rFonts w:ascii="Arial" w:eastAsia="Calibri" w:hAnsi="Arial" w:cs="Arial"/>
          <w:color w:val="000000"/>
        </w:rPr>
      </w:pPr>
      <w:r w:rsidRPr="00544667">
        <w:rPr>
          <w:rFonts w:ascii="Arial" w:eastAsia="Calibri" w:hAnsi="Arial" w:cs="Arial"/>
          <w:color w:val="000000"/>
        </w:rPr>
        <w:t>G. lamblia</w:t>
      </w:r>
      <w:r w:rsidRPr="00544667">
        <w:rPr>
          <w:rFonts w:ascii="Arial" w:eastAsia="Calibri" w:hAnsi="Arial" w:cs="Arial"/>
          <w:color w:val="000000"/>
        </w:rPr>
        <w:tab/>
      </w:r>
      <w:r w:rsidRPr="00544667">
        <w:rPr>
          <w:rFonts w:ascii="Arial" w:eastAsia="Calibri" w:hAnsi="Arial" w:cs="Arial"/>
          <w:color w:val="000000"/>
        </w:rPr>
        <w:tab/>
        <w:t>4</w:t>
      </w:r>
      <w:r w:rsidRPr="00544667">
        <w:rPr>
          <w:rFonts w:ascii="Arial" w:eastAsia="Calibri" w:hAnsi="Arial" w:cs="Arial"/>
          <w:color w:val="000000"/>
        </w:rPr>
        <w:tab/>
        <w:t xml:space="preserve">         </w:t>
      </w:r>
      <w:r w:rsidR="00361902" w:rsidRPr="00544667">
        <w:rPr>
          <w:rFonts w:ascii="Arial" w:eastAsia="Calibri" w:hAnsi="Arial" w:cs="Arial"/>
          <w:color w:val="000000"/>
        </w:rPr>
        <w:t>0</w:t>
      </w:r>
      <w:r w:rsidR="00361902" w:rsidRPr="00544667">
        <w:rPr>
          <w:rFonts w:ascii="Arial" w:eastAsia="Calibri" w:hAnsi="Arial" w:cs="Arial"/>
          <w:color w:val="000000"/>
        </w:rPr>
        <w:tab/>
      </w:r>
      <w:r w:rsidRPr="00544667">
        <w:rPr>
          <w:rFonts w:ascii="Arial" w:eastAsia="Calibri" w:hAnsi="Arial" w:cs="Arial"/>
          <w:color w:val="000000"/>
        </w:rPr>
        <w:t xml:space="preserve">           </w:t>
      </w:r>
      <w:r w:rsidR="00361902" w:rsidRPr="00544667">
        <w:rPr>
          <w:rFonts w:ascii="Arial" w:eastAsia="Calibri" w:hAnsi="Arial" w:cs="Arial"/>
          <w:color w:val="000000"/>
        </w:rPr>
        <w:tab/>
      </w:r>
      <w:r w:rsidRPr="00544667">
        <w:rPr>
          <w:rFonts w:ascii="Arial" w:eastAsia="Calibri" w:hAnsi="Arial" w:cs="Arial"/>
          <w:color w:val="000000"/>
        </w:rPr>
        <w:t xml:space="preserve">    </w:t>
      </w:r>
      <w:r w:rsidR="00EA2E44" w:rsidRPr="00544667">
        <w:rPr>
          <w:rFonts w:ascii="Arial" w:eastAsia="Calibri" w:hAnsi="Arial" w:cs="Arial"/>
          <w:color w:val="000000"/>
        </w:rPr>
        <w:t xml:space="preserve"> </w:t>
      </w:r>
      <w:r w:rsidRPr="00544667">
        <w:rPr>
          <w:rFonts w:ascii="Arial" w:eastAsia="Calibri" w:hAnsi="Arial" w:cs="Arial"/>
          <w:color w:val="000000"/>
        </w:rPr>
        <w:t xml:space="preserve"> </w:t>
      </w:r>
      <w:r w:rsidR="00EA2E44" w:rsidRPr="00544667">
        <w:rPr>
          <w:rFonts w:ascii="Arial" w:eastAsia="Calibri" w:hAnsi="Arial" w:cs="Arial"/>
          <w:color w:val="000000"/>
        </w:rPr>
        <w:t>1</w:t>
      </w:r>
      <w:r w:rsidR="00EA2E44" w:rsidRPr="00544667">
        <w:rPr>
          <w:rFonts w:ascii="Arial" w:eastAsia="Calibri" w:hAnsi="Arial" w:cs="Arial"/>
          <w:color w:val="000000"/>
        </w:rPr>
        <w:tab/>
        <w:t xml:space="preserve">          </w:t>
      </w:r>
      <w:r w:rsidR="00361902" w:rsidRPr="00544667">
        <w:rPr>
          <w:rFonts w:ascii="Arial" w:eastAsia="Calibri" w:hAnsi="Arial" w:cs="Arial"/>
          <w:color w:val="000000"/>
        </w:rPr>
        <w:t>2</w:t>
      </w:r>
      <w:r w:rsidR="00361902" w:rsidRPr="00544667">
        <w:rPr>
          <w:rFonts w:ascii="Arial" w:eastAsia="Calibri" w:hAnsi="Arial" w:cs="Arial"/>
          <w:color w:val="000000"/>
        </w:rPr>
        <w:tab/>
      </w:r>
      <w:r w:rsidR="00EA2E44" w:rsidRPr="00544667">
        <w:rPr>
          <w:rFonts w:ascii="Arial" w:eastAsia="Calibri" w:hAnsi="Arial" w:cs="Arial"/>
          <w:color w:val="000000"/>
        </w:rPr>
        <w:t xml:space="preserve">                 </w:t>
      </w:r>
      <w:r w:rsidR="00361902" w:rsidRPr="00544667">
        <w:rPr>
          <w:rFonts w:ascii="Arial" w:eastAsia="Calibri" w:hAnsi="Arial" w:cs="Arial"/>
          <w:color w:val="000000"/>
        </w:rPr>
        <w:t>7 (4.6)</w:t>
      </w:r>
    </w:p>
    <w:p w14:paraId="595EDB0A" w14:textId="77777777" w:rsidR="00361902" w:rsidRPr="00544667" w:rsidRDefault="00361902" w:rsidP="00361902">
      <w:pPr>
        <w:spacing w:line="480" w:lineRule="auto"/>
        <w:contextualSpacing/>
        <w:jc w:val="both"/>
        <w:rPr>
          <w:rFonts w:ascii="Arial" w:eastAsia="Calibri" w:hAnsi="Arial" w:cs="Arial"/>
          <w:color w:val="000000"/>
        </w:rPr>
      </w:pPr>
      <w:r w:rsidRPr="00544667">
        <w:rPr>
          <w:rFonts w:ascii="Arial" w:eastAsia="Calibri" w:hAnsi="Arial" w:cs="Arial"/>
          <w:color w:val="000000"/>
        </w:rPr>
        <w:t>Ta</w:t>
      </w:r>
      <w:r w:rsidR="00EA2E44" w:rsidRPr="00544667">
        <w:rPr>
          <w:rFonts w:ascii="Arial" w:eastAsia="Calibri" w:hAnsi="Arial" w:cs="Arial"/>
          <w:color w:val="000000"/>
        </w:rPr>
        <w:t>enia spp</w:t>
      </w:r>
      <w:r w:rsidR="00EA2E44" w:rsidRPr="00544667">
        <w:rPr>
          <w:rFonts w:ascii="Arial" w:eastAsia="Calibri" w:hAnsi="Arial" w:cs="Arial"/>
          <w:color w:val="000000"/>
        </w:rPr>
        <w:tab/>
      </w:r>
      <w:r w:rsidR="00EA2E44" w:rsidRPr="00544667">
        <w:rPr>
          <w:rFonts w:ascii="Arial" w:eastAsia="Calibri" w:hAnsi="Arial" w:cs="Arial"/>
          <w:color w:val="000000"/>
        </w:rPr>
        <w:tab/>
        <w:t>1</w:t>
      </w:r>
      <w:r w:rsidR="00EA2E44" w:rsidRPr="00544667">
        <w:rPr>
          <w:rFonts w:ascii="Arial" w:eastAsia="Calibri" w:hAnsi="Arial" w:cs="Arial"/>
          <w:color w:val="000000"/>
        </w:rPr>
        <w:tab/>
        <w:t xml:space="preserve">         </w:t>
      </w:r>
      <w:r w:rsidRPr="00544667">
        <w:rPr>
          <w:rFonts w:ascii="Arial" w:eastAsia="Calibri" w:hAnsi="Arial" w:cs="Arial"/>
          <w:color w:val="000000"/>
        </w:rPr>
        <w:t>2</w:t>
      </w:r>
      <w:r w:rsidRPr="00544667">
        <w:rPr>
          <w:rFonts w:ascii="Arial" w:eastAsia="Calibri" w:hAnsi="Arial" w:cs="Arial"/>
          <w:color w:val="000000"/>
        </w:rPr>
        <w:tab/>
      </w:r>
      <w:r w:rsidRPr="00544667">
        <w:rPr>
          <w:rFonts w:ascii="Arial" w:eastAsia="Calibri" w:hAnsi="Arial" w:cs="Arial"/>
          <w:color w:val="000000"/>
        </w:rPr>
        <w:tab/>
      </w:r>
      <w:r w:rsidR="00EA2E44" w:rsidRPr="00544667">
        <w:rPr>
          <w:rFonts w:ascii="Arial" w:eastAsia="Calibri" w:hAnsi="Arial" w:cs="Arial"/>
          <w:color w:val="000000"/>
        </w:rPr>
        <w:t xml:space="preserve">      1</w:t>
      </w:r>
      <w:r w:rsidR="00EA2E44" w:rsidRPr="00544667">
        <w:rPr>
          <w:rFonts w:ascii="Arial" w:eastAsia="Calibri" w:hAnsi="Arial" w:cs="Arial"/>
          <w:color w:val="000000"/>
        </w:rPr>
        <w:tab/>
        <w:t xml:space="preserve">          </w:t>
      </w:r>
      <w:r w:rsidRPr="00544667">
        <w:rPr>
          <w:rFonts w:ascii="Arial" w:eastAsia="Calibri" w:hAnsi="Arial" w:cs="Arial"/>
          <w:color w:val="000000"/>
        </w:rPr>
        <w:t>0</w:t>
      </w:r>
      <w:r w:rsidRPr="00544667">
        <w:rPr>
          <w:rFonts w:ascii="Arial" w:eastAsia="Calibri" w:hAnsi="Arial" w:cs="Arial"/>
          <w:color w:val="000000"/>
        </w:rPr>
        <w:tab/>
      </w:r>
      <w:r w:rsidRPr="00544667">
        <w:rPr>
          <w:rFonts w:ascii="Arial" w:eastAsia="Calibri" w:hAnsi="Arial" w:cs="Arial"/>
          <w:color w:val="000000"/>
        </w:rPr>
        <w:tab/>
      </w:r>
      <w:r w:rsidR="00EA2E44" w:rsidRPr="00544667">
        <w:rPr>
          <w:rFonts w:ascii="Arial" w:eastAsia="Calibri" w:hAnsi="Arial" w:cs="Arial"/>
          <w:color w:val="000000"/>
        </w:rPr>
        <w:t xml:space="preserve">    </w:t>
      </w:r>
      <w:r w:rsidRPr="00544667">
        <w:rPr>
          <w:rFonts w:ascii="Arial" w:eastAsia="Calibri" w:hAnsi="Arial" w:cs="Arial"/>
          <w:color w:val="000000"/>
        </w:rPr>
        <w:t>4 (2.6)</w:t>
      </w:r>
    </w:p>
    <w:p w14:paraId="2705E39A" w14:textId="77777777" w:rsidR="00361902" w:rsidRPr="00544667" w:rsidRDefault="00EA2E44" w:rsidP="00361902">
      <w:pPr>
        <w:spacing w:line="480" w:lineRule="auto"/>
        <w:contextualSpacing/>
        <w:jc w:val="both"/>
        <w:rPr>
          <w:rFonts w:ascii="Arial" w:eastAsia="Calibri" w:hAnsi="Arial" w:cs="Arial"/>
          <w:color w:val="000000"/>
        </w:rPr>
      </w:pPr>
      <w:r w:rsidRPr="00544667">
        <w:rPr>
          <w:rFonts w:ascii="Arial" w:eastAsia="Calibri" w:hAnsi="Arial" w:cs="Arial"/>
          <w:color w:val="000000"/>
        </w:rPr>
        <w:t>E. coli</w:t>
      </w:r>
      <w:r w:rsidRPr="00544667">
        <w:rPr>
          <w:rFonts w:ascii="Arial" w:eastAsia="Calibri" w:hAnsi="Arial" w:cs="Arial"/>
          <w:color w:val="000000"/>
        </w:rPr>
        <w:tab/>
      </w:r>
      <w:r w:rsidRPr="00544667">
        <w:rPr>
          <w:rFonts w:ascii="Arial" w:eastAsia="Calibri" w:hAnsi="Arial" w:cs="Arial"/>
          <w:color w:val="000000"/>
        </w:rPr>
        <w:tab/>
      </w:r>
      <w:r w:rsidRPr="00544667">
        <w:rPr>
          <w:rFonts w:ascii="Arial" w:eastAsia="Calibri" w:hAnsi="Arial" w:cs="Arial"/>
          <w:color w:val="000000"/>
        </w:rPr>
        <w:tab/>
        <w:t>1</w:t>
      </w:r>
      <w:r w:rsidRPr="00544667">
        <w:rPr>
          <w:rFonts w:ascii="Arial" w:eastAsia="Calibri" w:hAnsi="Arial" w:cs="Arial"/>
          <w:color w:val="000000"/>
        </w:rPr>
        <w:tab/>
        <w:t xml:space="preserve">         </w:t>
      </w:r>
      <w:r w:rsidR="00361902" w:rsidRPr="00544667">
        <w:rPr>
          <w:rFonts w:ascii="Arial" w:eastAsia="Calibri" w:hAnsi="Arial" w:cs="Arial"/>
          <w:color w:val="000000"/>
        </w:rPr>
        <w:t>1</w:t>
      </w:r>
      <w:r w:rsidR="00361902" w:rsidRPr="00544667">
        <w:rPr>
          <w:rFonts w:ascii="Arial" w:eastAsia="Calibri" w:hAnsi="Arial" w:cs="Arial"/>
          <w:color w:val="000000"/>
        </w:rPr>
        <w:tab/>
      </w:r>
      <w:r w:rsidR="00361902" w:rsidRPr="00544667">
        <w:rPr>
          <w:rFonts w:ascii="Arial" w:eastAsia="Calibri" w:hAnsi="Arial" w:cs="Arial"/>
          <w:color w:val="000000"/>
        </w:rPr>
        <w:tab/>
      </w:r>
      <w:r w:rsidRPr="00544667">
        <w:rPr>
          <w:rFonts w:ascii="Arial" w:eastAsia="Calibri" w:hAnsi="Arial" w:cs="Arial"/>
          <w:color w:val="000000"/>
        </w:rPr>
        <w:t xml:space="preserve">      1</w:t>
      </w:r>
      <w:r w:rsidRPr="00544667">
        <w:rPr>
          <w:rFonts w:ascii="Arial" w:eastAsia="Calibri" w:hAnsi="Arial" w:cs="Arial"/>
          <w:color w:val="000000"/>
        </w:rPr>
        <w:tab/>
        <w:t xml:space="preserve">          </w:t>
      </w:r>
      <w:r w:rsidR="00361902" w:rsidRPr="00544667">
        <w:rPr>
          <w:rFonts w:ascii="Arial" w:eastAsia="Calibri" w:hAnsi="Arial" w:cs="Arial"/>
          <w:color w:val="000000"/>
        </w:rPr>
        <w:t>0</w:t>
      </w:r>
      <w:r w:rsidR="00361902" w:rsidRPr="00544667">
        <w:rPr>
          <w:rFonts w:ascii="Arial" w:eastAsia="Calibri" w:hAnsi="Arial" w:cs="Arial"/>
          <w:color w:val="000000"/>
        </w:rPr>
        <w:tab/>
      </w:r>
      <w:r w:rsidR="00361902" w:rsidRPr="00544667">
        <w:rPr>
          <w:rFonts w:ascii="Arial" w:eastAsia="Calibri" w:hAnsi="Arial" w:cs="Arial"/>
          <w:color w:val="000000"/>
        </w:rPr>
        <w:tab/>
      </w:r>
      <w:r w:rsidRPr="00544667">
        <w:rPr>
          <w:rFonts w:ascii="Arial" w:eastAsia="Calibri" w:hAnsi="Arial" w:cs="Arial"/>
          <w:color w:val="000000"/>
        </w:rPr>
        <w:t xml:space="preserve">    </w:t>
      </w:r>
      <w:r w:rsidR="00361902" w:rsidRPr="00544667">
        <w:rPr>
          <w:rFonts w:ascii="Arial" w:eastAsia="Calibri" w:hAnsi="Arial" w:cs="Arial"/>
          <w:color w:val="000000"/>
        </w:rPr>
        <w:t>3 (2.0)</w:t>
      </w:r>
    </w:p>
    <w:p w14:paraId="27F96409" w14:textId="77777777" w:rsidR="00361902" w:rsidRPr="00544667" w:rsidRDefault="00EA2E44" w:rsidP="00361902">
      <w:pPr>
        <w:spacing w:line="480" w:lineRule="auto"/>
        <w:contextualSpacing/>
        <w:jc w:val="both"/>
        <w:rPr>
          <w:rFonts w:ascii="Arial" w:eastAsia="Calibri" w:hAnsi="Arial" w:cs="Arial"/>
          <w:color w:val="000000"/>
        </w:rPr>
      </w:pPr>
      <w:r w:rsidRPr="00544667">
        <w:rPr>
          <w:rFonts w:ascii="Arial" w:eastAsia="Calibri" w:hAnsi="Arial" w:cs="Arial"/>
          <w:color w:val="000000"/>
        </w:rPr>
        <w:t>F. hepatica</w:t>
      </w:r>
      <w:r w:rsidRPr="00544667">
        <w:rPr>
          <w:rFonts w:ascii="Arial" w:eastAsia="Calibri" w:hAnsi="Arial" w:cs="Arial"/>
          <w:color w:val="000000"/>
        </w:rPr>
        <w:tab/>
      </w:r>
      <w:r w:rsidRPr="00544667">
        <w:rPr>
          <w:rFonts w:ascii="Arial" w:eastAsia="Calibri" w:hAnsi="Arial" w:cs="Arial"/>
          <w:color w:val="000000"/>
        </w:rPr>
        <w:tab/>
        <w:t>0</w:t>
      </w:r>
      <w:r w:rsidRPr="00544667">
        <w:rPr>
          <w:rFonts w:ascii="Arial" w:eastAsia="Calibri" w:hAnsi="Arial" w:cs="Arial"/>
          <w:color w:val="000000"/>
        </w:rPr>
        <w:tab/>
        <w:t xml:space="preserve">         </w:t>
      </w:r>
      <w:r w:rsidR="00361902" w:rsidRPr="00544667">
        <w:rPr>
          <w:rFonts w:ascii="Arial" w:eastAsia="Calibri" w:hAnsi="Arial" w:cs="Arial"/>
          <w:color w:val="000000"/>
        </w:rPr>
        <w:t>0</w:t>
      </w:r>
      <w:r w:rsidR="00361902" w:rsidRPr="00544667">
        <w:rPr>
          <w:rFonts w:ascii="Arial" w:eastAsia="Calibri" w:hAnsi="Arial" w:cs="Arial"/>
          <w:color w:val="000000"/>
        </w:rPr>
        <w:tab/>
      </w:r>
      <w:r w:rsidR="00361902" w:rsidRPr="00544667">
        <w:rPr>
          <w:rFonts w:ascii="Arial" w:eastAsia="Calibri" w:hAnsi="Arial" w:cs="Arial"/>
          <w:color w:val="000000"/>
        </w:rPr>
        <w:tab/>
      </w:r>
      <w:r w:rsidRPr="00544667">
        <w:rPr>
          <w:rFonts w:ascii="Arial" w:eastAsia="Calibri" w:hAnsi="Arial" w:cs="Arial"/>
          <w:color w:val="000000"/>
        </w:rPr>
        <w:t xml:space="preserve">      2</w:t>
      </w:r>
      <w:r w:rsidRPr="00544667">
        <w:rPr>
          <w:rFonts w:ascii="Arial" w:eastAsia="Calibri" w:hAnsi="Arial" w:cs="Arial"/>
          <w:color w:val="000000"/>
        </w:rPr>
        <w:tab/>
        <w:t xml:space="preserve">          0</w:t>
      </w:r>
      <w:r w:rsidRPr="00544667">
        <w:rPr>
          <w:rFonts w:ascii="Arial" w:eastAsia="Calibri" w:hAnsi="Arial" w:cs="Arial"/>
          <w:color w:val="000000"/>
        </w:rPr>
        <w:tab/>
        <w:t xml:space="preserve">                 </w:t>
      </w:r>
      <w:r w:rsidR="00361902" w:rsidRPr="00544667">
        <w:rPr>
          <w:rFonts w:ascii="Arial" w:eastAsia="Calibri" w:hAnsi="Arial" w:cs="Arial"/>
          <w:color w:val="000000"/>
        </w:rPr>
        <w:t>2 (1.3)</w:t>
      </w:r>
    </w:p>
    <w:p w14:paraId="257F85FD" w14:textId="77777777" w:rsidR="00361902" w:rsidRPr="00544667" w:rsidRDefault="00EA2E44" w:rsidP="00361902">
      <w:pPr>
        <w:pBdr>
          <w:bottom w:val="single" w:sz="12" w:space="1" w:color="auto"/>
        </w:pBdr>
        <w:spacing w:line="480" w:lineRule="auto"/>
        <w:contextualSpacing/>
        <w:jc w:val="both"/>
        <w:rPr>
          <w:rFonts w:ascii="Arial" w:eastAsia="Calibri" w:hAnsi="Arial" w:cs="Arial"/>
          <w:color w:val="000000"/>
        </w:rPr>
      </w:pPr>
      <w:r w:rsidRPr="00544667">
        <w:rPr>
          <w:rFonts w:ascii="Arial" w:eastAsia="Calibri" w:hAnsi="Arial" w:cs="Arial"/>
          <w:color w:val="000000"/>
        </w:rPr>
        <w:t>B. coli</w:t>
      </w:r>
      <w:r w:rsidRPr="00544667">
        <w:rPr>
          <w:rFonts w:ascii="Arial" w:eastAsia="Calibri" w:hAnsi="Arial" w:cs="Arial"/>
          <w:color w:val="000000"/>
        </w:rPr>
        <w:tab/>
      </w:r>
      <w:r w:rsidRPr="00544667">
        <w:rPr>
          <w:rFonts w:ascii="Arial" w:eastAsia="Calibri" w:hAnsi="Arial" w:cs="Arial"/>
          <w:color w:val="000000"/>
        </w:rPr>
        <w:tab/>
      </w:r>
      <w:r w:rsidRPr="00544667">
        <w:rPr>
          <w:rFonts w:ascii="Arial" w:eastAsia="Calibri" w:hAnsi="Arial" w:cs="Arial"/>
          <w:color w:val="000000"/>
        </w:rPr>
        <w:tab/>
        <w:t>0</w:t>
      </w:r>
      <w:r w:rsidRPr="00544667">
        <w:rPr>
          <w:rFonts w:ascii="Arial" w:eastAsia="Calibri" w:hAnsi="Arial" w:cs="Arial"/>
          <w:color w:val="000000"/>
        </w:rPr>
        <w:tab/>
        <w:t xml:space="preserve">         </w:t>
      </w:r>
      <w:r w:rsidR="00361902" w:rsidRPr="00544667">
        <w:rPr>
          <w:rFonts w:ascii="Arial" w:eastAsia="Calibri" w:hAnsi="Arial" w:cs="Arial"/>
          <w:color w:val="000000"/>
        </w:rPr>
        <w:t>0</w:t>
      </w:r>
      <w:r w:rsidR="00361902" w:rsidRPr="00544667">
        <w:rPr>
          <w:rFonts w:ascii="Arial" w:eastAsia="Calibri" w:hAnsi="Arial" w:cs="Arial"/>
          <w:color w:val="000000"/>
        </w:rPr>
        <w:tab/>
      </w:r>
      <w:r w:rsidR="00361902" w:rsidRPr="00544667">
        <w:rPr>
          <w:rFonts w:ascii="Arial" w:eastAsia="Calibri" w:hAnsi="Arial" w:cs="Arial"/>
          <w:color w:val="000000"/>
        </w:rPr>
        <w:tab/>
      </w:r>
      <w:r w:rsidRPr="00544667">
        <w:rPr>
          <w:rFonts w:ascii="Arial" w:eastAsia="Calibri" w:hAnsi="Arial" w:cs="Arial"/>
          <w:color w:val="000000"/>
        </w:rPr>
        <w:t xml:space="preserve">      1</w:t>
      </w:r>
      <w:r w:rsidRPr="00544667">
        <w:rPr>
          <w:rFonts w:ascii="Arial" w:eastAsia="Calibri" w:hAnsi="Arial" w:cs="Arial"/>
          <w:color w:val="000000"/>
        </w:rPr>
        <w:tab/>
        <w:t xml:space="preserve">          </w:t>
      </w:r>
      <w:r w:rsidR="00361902" w:rsidRPr="00544667">
        <w:rPr>
          <w:rFonts w:ascii="Arial" w:eastAsia="Calibri" w:hAnsi="Arial" w:cs="Arial"/>
          <w:color w:val="000000"/>
        </w:rPr>
        <w:t>0</w:t>
      </w:r>
      <w:r w:rsidR="00361902" w:rsidRPr="00544667">
        <w:rPr>
          <w:rFonts w:ascii="Arial" w:eastAsia="Calibri" w:hAnsi="Arial" w:cs="Arial"/>
          <w:color w:val="000000"/>
        </w:rPr>
        <w:tab/>
      </w:r>
      <w:r w:rsidR="00361902" w:rsidRPr="00544667">
        <w:rPr>
          <w:rFonts w:ascii="Arial" w:eastAsia="Calibri" w:hAnsi="Arial" w:cs="Arial"/>
          <w:color w:val="000000"/>
        </w:rPr>
        <w:tab/>
      </w:r>
      <w:r w:rsidRPr="00544667">
        <w:rPr>
          <w:rFonts w:ascii="Arial" w:eastAsia="Calibri" w:hAnsi="Arial" w:cs="Arial"/>
          <w:color w:val="000000"/>
        </w:rPr>
        <w:t xml:space="preserve">    </w:t>
      </w:r>
      <w:r w:rsidR="00361902" w:rsidRPr="00544667">
        <w:rPr>
          <w:rFonts w:ascii="Arial" w:eastAsia="Calibri" w:hAnsi="Arial" w:cs="Arial"/>
          <w:color w:val="000000"/>
        </w:rPr>
        <w:t>1 (0.65)</w:t>
      </w:r>
    </w:p>
    <w:p w14:paraId="2843F0C9" w14:textId="77777777" w:rsidR="00361902" w:rsidRPr="00544667" w:rsidRDefault="00361902" w:rsidP="00361902">
      <w:pPr>
        <w:spacing w:line="480" w:lineRule="auto"/>
        <w:jc w:val="both"/>
        <w:rPr>
          <w:rFonts w:ascii="Arial" w:eastAsia="Calibri" w:hAnsi="Arial" w:cs="Arial"/>
          <w:color w:val="000000"/>
        </w:rPr>
      </w:pPr>
      <w:r w:rsidRPr="00544667">
        <w:rPr>
          <w:rFonts w:ascii="Arial" w:eastAsia="Calibri" w:hAnsi="Arial" w:cs="Arial"/>
          <w:color w:val="000000"/>
        </w:rPr>
        <w:t>Some children were infected with more than one parasite (n = 22)</w:t>
      </w:r>
    </w:p>
    <w:p w14:paraId="5179197F" w14:textId="77777777" w:rsidR="00EA2E44" w:rsidRPr="00544667" w:rsidRDefault="00EA2E44" w:rsidP="00EA2E44">
      <w:pPr>
        <w:pStyle w:val="Body"/>
        <w:rPr>
          <w:rFonts w:ascii="Arial" w:hAnsi="Arial" w:cs="Arial"/>
          <w:sz w:val="22"/>
          <w:szCs w:val="22"/>
        </w:rPr>
      </w:pPr>
      <w:r w:rsidRPr="00544667">
        <w:rPr>
          <w:rFonts w:ascii="Arial" w:hAnsi="Arial" w:cs="Arial"/>
          <w:sz w:val="22"/>
          <w:szCs w:val="22"/>
        </w:rPr>
        <w:t>3.3 Risk-Factors Associated with Intestinal Parasitic Infection</w:t>
      </w:r>
    </w:p>
    <w:p w14:paraId="2DD40C1B" w14:textId="77777777" w:rsidR="00EA2E44" w:rsidRPr="00544667" w:rsidRDefault="00EA2E44" w:rsidP="00EA2E44">
      <w:pPr>
        <w:pStyle w:val="Body"/>
        <w:rPr>
          <w:rFonts w:ascii="Arial" w:hAnsi="Arial" w:cs="Arial"/>
          <w:sz w:val="22"/>
          <w:szCs w:val="22"/>
        </w:rPr>
      </w:pPr>
      <w:r w:rsidRPr="00544667">
        <w:rPr>
          <w:rFonts w:ascii="Arial" w:hAnsi="Arial" w:cs="Arial"/>
          <w:sz w:val="22"/>
          <w:szCs w:val="22"/>
        </w:rPr>
        <w:t>3.3.1 Demographic Factors</w:t>
      </w:r>
    </w:p>
    <w:p w14:paraId="3AE14206" w14:textId="77777777" w:rsidR="00EA2E44" w:rsidRPr="00EA2E44" w:rsidRDefault="00EA2E44" w:rsidP="00EA2E44">
      <w:pPr>
        <w:pStyle w:val="Body"/>
        <w:rPr>
          <w:rFonts w:ascii="Arial" w:hAnsi="Arial" w:cs="Arial"/>
          <w:sz w:val="22"/>
          <w:szCs w:val="22"/>
        </w:rPr>
      </w:pPr>
      <w:r w:rsidRPr="00544667">
        <w:rPr>
          <w:rFonts w:ascii="Arial" w:hAnsi="Arial" w:cs="Arial"/>
          <w:sz w:val="22"/>
          <w:szCs w:val="22"/>
        </w:rPr>
        <w:t>Table 3 examines the relationship between demographic characteristics and intestinal parasitic infection rates in the study population. Infection rates varied across schools, though this difference did not</w:t>
      </w:r>
      <w:r w:rsidRPr="00EA2E44">
        <w:rPr>
          <w:rFonts w:ascii="Arial" w:hAnsi="Arial" w:cs="Arial"/>
          <w:sz w:val="22"/>
          <w:szCs w:val="22"/>
        </w:rPr>
        <w:t xml:space="preserve"> reach statistical significance (p = 0.09). Jigawa primary school showed the highest infection rate (47.0%), followed by </w:t>
      </w:r>
      <w:proofErr w:type="spellStart"/>
      <w:r w:rsidRPr="00EA2E44">
        <w:rPr>
          <w:rFonts w:ascii="Arial" w:hAnsi="Arial" w:cs="Arial"/>
          <w:sz w:val="22"/>
          <w:szCs w:val="22"/>
        </w:rPr>
        <w:t>Mashi</w:t>
      </w:r>
      <w:proofErr w:type="spellEnd"/>
      <w:r w:rsidRPr="00EA2E44">
        <w:rPr>
          <w:rFonts w:ascii="Arial" w:hAnsi="Arial" w:cs="Arial"/>
          <w:sz w:val="22"/>
          <w:szCs w:val="22"/>
        </w:rPr>
        <w:t xml:space="preserve"> (41.0%), </w:t>
      </w:r>
      <w:proofErr w:type="spellStart"/>
      <w:r w:rsidRPr="00EA2E44">
        <w:rPr>
          <w:rFonts w:ascii="Arial" w:hAnsi="Arial" w:cs="Arial"/>
          <w:sz w:val="22"/>
          <w:szCs w:val="22"/>
        </w:rPr>
        <w:t>Tamilo</w:t>
      </w:r>
      <w:proofErr w:type="spellEnd"/>
      <w:r w:rsidRPr="00EA2E44">
        <w:rPr>
          <w:rFonts w:ascii="Arial" w:hAnsi="Arial" w:cs="Arial"/>
          <w:sz w:val="22"/>
          <w:szCs w:val="22"/>
        </w:rPr>
        <w:t xml:space="preserve"> (34.0%), and Doka (31.0%).</w:t>
      </w:r>
    </w:p>
    <w:p w14:paraId="6EAEAE54" w14:textId="77777777" w:rsidR="00EA2E44" w:rsidRPr="00EA2E44" w:rsidRDefault="00EA2E44" w:rsidP="00EA2E44">
      <w:pPr>
        <w:pStyle w:val="Body"/>
        <w:rPr>
          <w:rFonts w:ascii="Arial" w:hAnsi="Arial" w:cs="Arial"/>
          <w:sz w:val="22"/>
          <w:szCs w:val="22"/>
        </w:rPr>
      </w:pPr>
      <w:r w:rsidRPr="00EA2E44">
        <w:rPr>
          <w:rFonts w:ascii="Arial" w:hAnsi="Arial" w:cs="Arial"/>
          <w:sz w:val="22"/>
          <w:szCs w:val="22"/>
        </w:rPr>
        <w:t xml:space="preserve">Girls had a slightly higher infection rate (40.6%) compared to boys (35.7%), but this difference was not statistically significant (p = 0.32). Furthermore, infection rates were relatively consistent across age groups: </w:t>
      </w:r>
      <w:r w:rsidRPr="00EA2E44">
        <w:rPr>
          <w:rFonts w:ascii="Arial" w:hAnsi="Arial" w:cs="Arial"/>
          <w:sz w:val="22"/>
          <w:szCs w:val="22"/>
        </w:rPr>
        <w:lastRenderedPageBreak/>
        <w:t>39.8% in 5-8 years, 39.3% in 9-11 years, and 34.3% in 12-13 years (p = 0.65). Similarly, there was no statistically significant variation in infection rate across education level of the children (p = 0.24), as well as parental education level (p = 0.63).</w:t>
      </w:r>
    </w:p>
    <w:p w14:paraId="3E62B7AA" w14:textId="77777777" w:rsidR="006D0A8C" w:rsidRPr="00544667" w:rsidRDefault="00EA2E44" w:rsidP="00EA2E44">
      <w:pPr>
        <w:pStyle w:val="Body"/>
        <w:rPr>
          <w:rFonts w:ascii="Arial" w:hAnsi="Arial" w:cs="Arial"/>
          <w:sz w:val="22"/>
          <w:szCs w:val="22"/>
        </w:rPr>
      </w:pPr>
      <w:r w:rsidRPr="00EA2E44">
        <w:rPr>
          <w:rFonts w:ascii="Arial" w:hAnsi="Arial" w:cs="Arial"/>
          <w:sz w:val="22"/>
          <w:szCs w:val="22"/>
        </w:rPr>
        <w:t xml:space="preserve">Children of business owners and civil servants had similar infection rates (45.8% and 45.1% respectively), while children of farmers had a lower rate (34.8%). This </w:t>
      </w:r>
      <w:r w:rsidRPr="00544667">
        <w:rPr>
          <w:rFonts w:ascii="Arial" w:hAnsi="Arial" w:cs="Arial"/>
          <w:sz w:val="22"/>
          <w:szCs w:val="22"/>
        </w:rPr>
        <w:t>difference did not reach statistical significance (p = 0.12).</w:t>
      </w:r>
    </w:p>
    <w:p w14:paraId="6C2CC501" w14:textId="77777777" w:rsidR="00EA2E44" w:rsidRPr="00544667" w:rsidRDefault="00EA2E44" w:rsidP="00EA2E44">
      <w:pPr>
        <w:spacing w:line="480" w:lineRule="auto"/>
        <w:jc w:val="both"/>
        <w:rPr>
          <w:rFonts w:ascii="Arial" w:eastAsia="Calibri" w:hAnsi="Arial" w:cs="Arial"/>
          <w:color w:val="000000"/>
        </w:rPr>
      </w:pPr>
      <w:r w:rsidRPr="00544667">
        <w:rPr>
          <w:rFonts w:ascii="Arial" w:eastAsia="Calibri" w:hAnsi="Arial" w:cs="Arial"/>
          <w:bCs/>
          <w:color w:val="000000"/>
        </w:rPr>
        <w:t xml:space="preserve">Table 3: Bivariate Analysis of Demographic Factors Associated with Intestinal Parasitic Infection Among Schoolchildren in </w:t>
      </w:r>
      <w:proofErr w:type="spellStart"/>
      <w:r w:rsidRPr="00544667">
        <w:rPr>
          <w:rFonts w:ascii="Arial" w:eastAsia="STIXGeneral-Regular" w:hAnsi="Arial" w:cs="Arial"/>
          <w:bCs/>
          <w:color w:val="000000"/>
        </w:rPr>
        <w:t>Mashi</w:t>
      </w:r>
      <w:proofErr w:type="spellEnd"/>
      <w:r w:rsidRPr="00544667">
        <w:rPr>
          <w:rFonts w:ascii="Arial" w:eastAsia="STIXGeneral-Regular" w:hAnsi="Arial" w:cs="Arial"/>
          <w:bCs/>
          <w:color w:val="000000"/>
        </w:rPr>
        <w:t xml:space="preserve"> Local Government Area, Katsina State</w:t>
      </w:r>
    </w:p>
    <w:p w14:paraId="0C8EA5D0" w14:textId="77777777" w:rsidR="00EA2E44" w:rsidRPr="00544667" w:rsidRDefault="00EA2E44" w:rsidP="00EA2E44">
      <w:pPr>
        <w:pBdr>
          <w:top w:val="single" w:sz="12" w:space="1" w:color="auto"/>
          <w:bottom w:val="single" w:sz="12" w:space="1" w:color="auto"/>
        </w:pBdr>
        <w:spacing w:line="480" w:lineRule="auto"/>
        <w:contextualSpacing/>
        <w:jc w:val="both"/>
        <w:rPr>
          <w:rFonts w:ascii="Arial" w:eastAsia="Calibri" w:hAnsi="Arial" w:cs="Arial"/>
          <w:bCs/>
          <w:color w:val="000000"/>
        </w:rPr>
      </w:pPr>
      <w:r w:rsidRPr="00544667">
        <w:rPr>
          <w:rFonts w:ascii="Arial" w:eastAsia="Calibri" w:hAnsi="Arial" w:cs="Arial"/>
          <w:bCs/>
          <w:color w:val="000000"/>
        </w:rPr>
        <w:tab/>
      </w:r>
      <w:r w:rsidRPr="00544667">
        <w:rPr>
          <w:rFonts w:ascii="Arial" w:eastAsia="Calibri" w:hAnsi="Arial" w:cs="Arial"/>
          <w:bCs/>
          <w:color w:val="000000"/>
        </w:rPr>
        <w:tab/>
      </w:r>
      <w:r w:rsidRPr="00544667">
        <w:rPr>
          <w:rFonts w:ascii="Arial" w:eastAsia="Calibri" w:hAnsi="Arial" w:cs="Arial"/>
          <w:bCs/>
          <w:color w:val="000000"/>
        </w:rPr>
        <w:tab/>
      </w:r>
      <w:r w:rsidRPr="00544667">
        <w:rPr>
          <w:rFonts w:ascii="Arial" w:eastAsia="Calibri" w:hAnsi="Arial" w:cs="Arial"/>
          <w:bCs/>
          <w:color w:val="000000"/>
        </w:rPr>
        <w:tab/>
      </w:r>
      <w:r w:rsidRPr="00544667">
        <w:rPr>
          <w:rFonts w:ascii="Arial" w:eastAsia="Calibri" w:hAnsi="Arial" w:cs="Arial"/>
          <w:bCs/>
          <w:color w:val="000000"/>
          <w:u w:val="single"/>
        </w:rPr>
        <w:t>Parasitic Infection, n (%)</w:t>
      </w:r>
      <w:r w:rsidRPr="00544667">
        <w:rPr>
          <w:rFonts w:ascii="Arial" w:eastAsia="Calibri" w:hAnsi="Arial" w:cs="Arial"/>
          <w:bCs/>
          <w:color w:val="000000"/>
        </w:rPr>
        <w:tab/>
        <w:t xml:space="preserve">      </w:t>
      </w:r>
      <w:r w:rsidR="00C14710">
        <w:rPr>
          <w:rFonts w:ascii="Arial" w:eastAsia="Calibri" w:hAnsi="Arial" w:cs="Arial"/>
          <w:bCs/>
          <w:color w:val="000000"/>
        </w:rPr>
        <w:t xml:space="preserve">  </w:t>
      </w:r>
      <w:r w:rsidRPr="00544667">
        <w:rPr>
          <w:rFonts w:ascii="Arial" w:eastAsia="Calibri" w:hAnsi="Arial" w:cs="Arial"/>
          <w:bCs/>
          <w:color w:val="000000"/>
        </w:rPr>
        <w:t xml:space="preserve"> Chi-square</w:t>
      </w:r>
    </w:p>
    <w:p w14:paraId="577BC626" w14:textId="77777777" w:rsidR="00EA2E44" w:rsidRPr="00544667" w:rsidRDefault="00EA2E44" w:rsidP="00EA2E44">
      <w:pPr>
        <w:pBdr>
          <w:top w:val="single" w:sz="12" w:space="1" w:color="auto"/>
          <w:bottom w:val="single" w:sz="12" w:space="1" w:color="auto"/>
        </w:pBdr>
        <w:spacing w:line="480" w:lineRule="auto"/>
        <w:jc w:val="both"/>
        <w:rPr>
          <w:rFonts w:ascii="Arial" w:eastAsia="Calibri" w:hAnsi="Arial" w:cs="Arial"/>
          <w:bCs/>
          <w:color w:val="000000"/>
        </w:rPr>
      </w:pPr>
      <w:r w:rsidRPr="00544667">
        <w:rPr>
          <w:rFonts w:ascii="Arial" w:eastAsia="Calibri" w:hAnsi="Arial" w:cs="Arial"/>
          <w:bCs/>
          <w:color w:val="000000"/>
        </w:rPr>
        <w:t>Factors</w:t>
      </w:r>
      <w:r w:rsidRPr="00544667">
        <w:rPr>
          <w:rFonts w:ascii="Arial" w:eastAsia="Calibri" w:hAnsi="Arial" w:cs="Arial"/>
          <w:bCs/>
          <w:color w:val="000000"/>
        </w:rPr>
        <w:tab/>
      </w:r>
      <w:r w:rsidRPr="00544667">
        <w:rPr>
          <w:rFonts w:ascii="Arial" w:eastAsia="Calibri" w:hAnsi="Arial" w:cs="Arial"/>
          <w:bCs/>
          <w:color w:val="000000"/>
        </w:rPr>
        <w:tab/>
      </w:r>
      <w:r w:rsidRPr="00544667">
        <w:rPr>
          <w:rFonts w:ascii="Arial" w:eastAsia="Calibri" w:hAnsi="Arial" w:cs="Arial"/>
          <w:bCs/>
          <w:color w:val="000000"/>
        </w:rPr>
        <w:tab/>
        <w:t>Negative</w:t>
      </w:r>
      <w:r w:rsidRPr="00544667">
        <w:rPr>
          <w:rFonts w:ascii="Arial" w:eastAsia="Calibri" w:hAnsi="Arial" w:cs="Arial"/>
          <w:bCs/>
          <w:color w:val="000000"/>
        </w:rPr>
        <w:tab/>
        <w:t>Positive</w:t>
      </w:r>
      <w:r w:rsidRPr="00544667">
        <w:rPr>
          <w:rFonts w:ascii="Arial" w:eastAsia="Calibri" w:hAnsi="Arial" w:cs="Arial"/>
          <w:bCs/>
          <w:color w:val="000000"/>
        </w:rPr>
        <w:tab/>
        <w:t xml:space="preserve">         </w:t>
      </w:r>
      <w:r w:rsidR="00C14710">
        <w:rPr>
          <w:rFonts w:ascii="Arial" w:eastAsia="Calibri" w:hAnsi="Arial" w:cs="Arial"/>
          <w:bCs/>
          <w:color w:val="000000"/>
        </w:rPr>
        <w:t xml:space="preserve">                            </w:t>
      </w:r>
      <w:r w:rsidRPr="00544667">
        <w:rPr>
          <w:rFonts w:ascii="Arial" w:eastAsia="Calibri" w:hAnsi="Arial" w:cs="Arial"/>
          <w:bCs/>
          <w:color w:val="000000"/>
        </w:rPr>
        <w:t>statistics</w:t>
      </w:r>
      <w:r w:rsidRPr="00544667">
        <w:rPr>
          <w:rFonts w:ascii="Arial" w:eastAsia="Calibri" w:hAnsi="Arial" w:cs="Arial"/>
          <w:bCs/>
          <w:color w:val="000000"/>
        </w:rPr>
        <w:tab/>
        <w:t xml:space="preserve">  </w:t>
      </w:r>
      <w:r w:rsidR="00544667">
        <w:rPr>
          <w:rFonts w:ascii="Arial" w:eastAsia="Calibri" w:hAnsi="Arial" w:cs="Arial"/>
          <w:bCs/>
          <w:color w:val="000000"/>
        </w:rPr>
        <w:t xml:space="preserve">      </w:t>
      </w:r>
      <w:r w:rsidRPr="00544667">
        <w:rPr>
          <w:rFonts w:ascii="Arial" w:eastAsia="Calibri" w:hAnsi="Arial" w:cs="Arial"/>
          <w:bCs/>
          <w:color w:val="000000"/>
        </w:rPr>
        <w:t xml:space="preserve">  P-value</w:t>
      </w:r>
    </w:p>
    <w:p w14:paraId="426D7260" w14:textId="77777777" w:rsidR="00EA2E44" w:rsidRPr="00544667" w:rsidRDefault="00EA2E44" w:rsidP="00EA2E44">
      <w:pPr>
        <w:spacing w:line="480" w:lineRule="auto"/>
        <w:contextualSpacing/>
        <w:jc w:val="both"/>
        <w:rPr>
          <w:rFonts w:ascii="Arial" w:eastAsia="Calibri" w:hAnsi="Arial" w:cs="Arial"/>
          <w:bCs/>
          <w:color w:val="000000"/>
        </w:rPr>
      </w:pPr>
      <w:r w:rsidRPr="00544667">
        <w:rPr>
          <w:rFonts w:ascii="Arial" w:eastAsia="Calibri" w:hAnsi="Arial" w:cs="Arial"/>
          <w:bCs/>
          <w:color w:val="000000"/>
        </w:rPr>
        <w:t>School</w:t>
      </w:r>
    </w:p>
    <w:p w14:paraId="7BC9AD28" w14:textId="77777777" w:rsidR="00EA2E44" w:rsidRPr="00544667" w:rsidRDefault="00EA2E44" w:rsidP="00EA2E44">
      <w:pPr>
        <w:spacing w:line="480" w:lineRule="auto"/>
        <w:contextualSpacing/>
        <w:jc w:val="both"/>
        <w:rPr>
          <w:rFonts w:ascii="Arial" w:eastAsia="Calibri" w:hAnsi="Arial" w:cs="Arial"/>
          <w:color w:val="000000"/>
        </w:rPr>
      </w:pPr>
      <w:r w:rsidRPr="00544667">
        <w:rPr>
          <w:rFonts w:ascii="Arial" w:eastAsia="Calibri" w:hAnsi="Arial" w:cs="Arial"/>
          <w:color w:val="000000"/>
        </w:rPr>
        <w:tab/>
        <w:t>Doka</w:t>
      </w:r>
      <w:r w:rsidRPr="00544667">
        <w:rPr>
          <w:rFonts w:ascii="Arial" w:eastAsia="Calibri" w:hAnsi="Arial" w:cs="Arial"/>
          <w:color w:val="000000"/>
        </w:rPr>
        <w:tab/>
      </w:r>
      <w:r w:rsidRPr="00544667">
        <w:rPr>
          <w:rFonts w:ascii="Arial" w:eastAsia="Calibri" w:hAnsi="Arial" w:cs="Arial"/>
          <w:color w:val="000000"/>
        </w:rPr>
        <w:tab/>
      </w:r>
      <w:r w:rsidRPr="00544667">
        <w:rPr>
          <w:rFonts w:ascii="Arial" w:eastAsia="Calibri" w:hAnsi="Arial" w:cs="Arial"/>
          <w:color w:val="000000"/>
        </w:rPr>
        <w:tab/>
        <w:t>69 (69.0)</w:t>
      </w:r>
      <w:r w:rsidRPr="00544667">
        <w:rPr>
          <w:rFonts w:ascii="Arial" w:eastAsia="Calibri" w:hAnsi="Arial" w:cs="Arial"/>
          <w:color w:val="000000"/>
        </w:rPr>
        <w:tab/>
        <w:t>31 (31.0)</w:t>
      </w:r>
      <w:r w:rsidRPr="00544667">
        <w:rPr>
          <w:rFonts w:ascii="Arial" w:eastAsia="Calibri" w:hAnsi="Arial" w:cs="Arial"/>
          <w:color w:val="000000"/>
        </w:rPr>
        <w:tab/>
      </w:r>
      <w:r w:rsidRPr="00544667">
        <w:rPr>
          <w:rFonts w:ascii="Arial" w:eastAsia="Calibri" w:hAnsi="Arial" w:cs="Arial"/>
          <w:color w:val="000000"/>
        </w:rPr>
        <w:tab/>
        <w:t>6.552</w:t>
      </w:r>
      <w:r w:rsidRPr="00544667">
        <w:rPr>
          <w:rFonts w:ascii="Arial" w:eastAsia="Calibri" w:hAnsi="Arial" w:cs="Arial"/>
          <w:color w:val="000000"/>
        </w:rPr>
        <w:tab/>
      </w:r>
      <w:r w:rsidRPr="00544667">
        <w:rPr>
          <w:rFonts w:ascii="Arial" w:eastAsia="Calibri" w:hAnsi="Arial" w:cs="Arial"/>
          <w:color w:val="000000"/>
        </w:rPr>
        <w:tab/>
        <w:t>0.09</w:t>
      </w:r>
    </w:p>
    <w:p w14:paraId="0304C109" w14:textId="77777777" w:rsidR="00EA2E44" w:rsidRPr="00544667" w:rsidRDefault="00EA2E44" w:rsidP="00EA2E44">
      <w:pPr>
        <w:spacing w:line="480" w:lineRule="auto"/>
        <w:contextualSpacing/>
        <w:jc w:val="both"/>
        <w:rPr>
          <w:rFonts w:ascii="Arial" w:eastAsia="Calibri" w:hAnsi="Arial" w:cs="Arial"/>
          <w:color w:val="000000"/>
        </w:rPr>
      </w:pPr>
      <w:r w:rsidRPr="00544667">
        <w:rPr>
          <w:rFonts w:ascii="Arial" w:eastAsia="Calibri" w:hAnsi="Arial" w:cs="Arial"/>
          <w:color w:val="000000"/>
        </w:rPr>
        <w:tab/>
        <w:t>Gana-Jigawa</w:t>
      </w:r>
      <w:r w:rsidRPr="00544667">
        <w:rPr>
          <w:rFonts w:ascii="Arial" w:eastAsia="Calibri" w:hAnsi="Arial" w:cs="Arial"/>
          <w:color w:val="000000"/>
        </w:rPr>
        <w:tab/>
      </w:r>
      <w:r w:rsidRPr="00544667">
        <w:rPr>
          <w:rFonts w:ascii="Arial" w:eastAsia="Calibri" w:hAnsi="Arial" w:cs="Arial"/>
          <w:color w:val="000000"/>
        </w:rPr>
        <w:tab/>
        <w:t>53 (53.0)</w:t>
      </w:r>
      <w:r w:rsidRPr="00544667">
        <w:rPr>
          <w:rFonts w:ascii="Arial" w:eastAsia="Calibri" w:hAnsi="Arial" w:cs="Arial"/>
          <w:color w:val="000000"/>
        </w:rPr>
        <w:tab/>
        <w:t>47 (47.0)</w:t>
      </w:r>
    </w:p>
    <w:p w14:paraId="686E2027" w14:textId="77777777" w:rsidR="00EA2E44" w:rsidRPr="00544667" w:rsidRDefault="00EA2E44" w:rsidP="00EA2E44">
      <w:pPr>
        <w:spacing w:line="480" w:lineRule="auto"/>
        <w:contextualSpacing/>
        <w:jc w:val="both"/>
        <w:rPr>
          <w:rFonts w:ascii="Arial" w:eastAsia="Calibri" w:hAnsi="Arial" w:cs="Arial"/>
          <w:color w:val="000000"/>
        </w:rPr>
      </w:pPr>
      <w:r w:rsidRPr="00544667">
        <w:rPr>
          <w:rFonts w:ascii="Arial" w:eastAsia="Calibri" w:hAnsi="Arial" w:cs="Arial"/>
          <w:color w:val="000000"/>
        </w:rPr>
        <w:tab/>
      </w:r>
      <w:proofErr w:type="spellStart"/>
      <w:r w:rsidRPr="00544667">
        <w:rPr>
          <w:rFonts w:ascii="Arial" w:eastAsia="Calibri" w:hAnsi="Arial" w:cs="Arial"/>
          <w:color w:val="000000"/>
        </w:rPr>
        <w:t>Mashi</w:t>
      </w:r>
      <w:proofErr w:type="spellEnd"/>
      <w:r w:rsidRPr="00544667">
        <w:rPr>
          <w:rFonts w:ascii="Arial" w:eastAsia="Calibri" w:hAnsi="Arial" w:cs="Arial"/>
          <w:color w:val="000000"/>
        </w:rPr>
        <w:tab/>
      </w:r>
      <w:r w:rsidRPr="00544667">
        <w:rPr>
          <w:rFonts w:ascii="Arial" w:eastAsia="Calibri" w:hAnsi="Arial" w:cs="Arial"/>
          <w:color w:val="000000"/>
        </w:rPr>
        <w:tab/>
      </w:r>
      <w:r w:rsidRPr="00544667">
        <w:rPr>
          <w:rFonts w:ascii="Arial" w:eastAsia="Calibri" w:hAnsi="Arial" w:cs="Arial"/>
          <w:color w:val="000000"/>
        </w:rPr>
        <w:tab/>
        <w:t>59 (59.0)</w:t>
      </w:r>
      <w:r w:rsidRPr="00544667">
        <w:rPr>
          <w:rFonts w:ascii="Arial" w:eastAsia="Calibri" w:hAnsi="Arial" w:cs="Arial"/>
          <w:color w:val="000000"/>
        </w:rPr>
        <w:tab/>
        <w:t>41 (41.0)</w:t>
      </w:r>
    </w:p>
    <w:p w14:paraId="63D4669D" w14:textId="77777777" w:rsidR="00EA2E44" w:rsidRPr="00544667" w:rsidRDefault="00EA2E44" w:rsidP="00EA2E44">
      <w:pPr>
        <w:spacing w:line="480" w:lineRule="auto"/>
        <w:contextualSpacing/>
        <w:jc w:val="both"/>
        <w:rPr>
          <w:rFonts w:ascii="Arial" w:eastAsia="Calibri" w:hAnsi="Arial" w:cs="Arial"/>
          <w:color w:val="000000"/>
        </w:rPr>
      </w:pPr>
      <w:r w:rsidRPr="00544667">
        <w:rPr>
          <w:rFonts w:ascii="Arial" w:eastAsia="Calibri" w:hAnsi="Arial" w:cs="Arial"/>
          <w:color w:val="000000"/>
        </w:rPr>
        <w:tab/>
      </w:r>
      <w:proofErr w:type="spellStart"/>
      <w:r w:rsidRPr="00544667">
        <w:rPr>
          <w:rFonts w:ascii="Arial" w:eastAsia="Calibri" w:hAnsi="Arial" w:cs="Arial"/>
          <w:color w:val="000000"/>
        </w:rPr>
        <w:t>Tamilo</w:t>
      </w:r>
      <w:proofErr w:type="spellEnd"/>
      <w:r w:rsidRPr="00544667">
        <w:rPr>
          <w:rFonts w:ascii="Arial" w:eastAsia="Calibri" w:hAnsi="Arial" w:cs="Arial"/>
          <w:color w:val="000000"/>
        </w:rPr>
        <w:tab/>
      </w:r>
      <w:r w:rsidRPr="00544667">
        <w:rPr>
          <w:rFonts w:ascii="Arial" w:eastAsia="Calibri" w:hAnsi="Arial" w:cs="Arial"/>
          <w:color w:val="000000"/>
        </w:rPr>
        <w:tab/>
      </w:r>
      <w:r w:rsidRPr="00544667">
        <w:rPr>
          <w:rFonts w:ascii="Arial" w:eastAsia="Calibri" w:hAnsi="Arial" w:cs="Arial"/>
          <w:color w:val="000000"/>
        </w:rPr>
        <w:tab/>
        <w:t>66 (66.0)</w:t>
      </w:r>
      <w:r w:rsidRPr="00544667">
        <w:rPr>
          <w:rFonts w:ascii="Arial" w:eastAsia="Calibri" w:hAnsi="Arial" w:cs="Arial"/>
          <w:color w:val="000000"/>
        </w:rPr>
        <w:tab/>
        <w:t>34 (34.0)</w:t>
      </w:r>
    </w:p>
    <w:p w14:paraId="66717BD6" w14:textId="77777777" w:rsidR="00EA2E44" w:rsidRPr="00544667" w:rsidRDefault="00EA2E44" w:rsidP="00EA2E44">
      <w:pPr>
        <w:spacing w:line="480" w:lineRule="auto"/>
        <w:contextualSpacing/>
        <w:jc w:val="both"/>
        <w:rPr>
          <w:rFonts w:ascii="Arial" w:eastAsia="Calibri" w:hAnsi="Arial" w:cs="Arial"/>
          <w:bCs/>
          <w:color w:val="000000"/>
        </w:rPr>
      </w:pPr>
      <w:r w:rsidRPr="00544667">
        <w:rPr>
          <w:rFonts w:ascii="Arial" w:eastAsia="Calibri" w:hAnsi="Arial" w:cs="Arial"/>
          <w:bCs/>
          <w:color w:val="000000"/>
        </w:rPr>
        <w:t>Sex</w:t>
      </w:r>
    </w:p>
    <w:p w14:paraId="2AA8A2AD" w14:textId="77777777" w:rsidR="00EA2E44" w:rsidRPr="00544667" w:rsidRDefault="00EA2E44" w:rsidP="00EA2E44">
      <w:pPr>
        <w:spacing w:line="480" w:lineRule="auto"/>
        <w:contextualSpacing/>
        <w:jc w:val="both"/>
        <w:rPr>
          <w:rFonts w:ascii="Arial" w:eastAsia="Calibri" w:hAnsi="Arial" w:cs="Arial"/>
          <w:color w:val="000000"/>
        </w:rPr>
      </w:pPr>
      <w:r w:rsidRPr="00544667">
        <w:rPr>
          <w:rFonts w:ascii="Arial" w:eastAsia="Calibri" w:hAnsi="Arial" w:cs="Arial"/>
          <w:color w:val="000000"/>
        </w:rPr>
        <w:tab/>
        <w:t>Female</w:t>
      </w:r>
      <w:r w:rsidRPr="00544667">
        <w:rPr>
          <w:rFonts w:ascii="Arial" w:eastAsia="Calibri" w:hAnsi="Arial" w:cs="Arial"/>
          <w:color w:val="000000"/>
        </w:rPr>
        <w:tab/>
      </w:r>
      <w:r w:rsidRPr="00544667">
        <w:rPr>
          <w:rFonts w:ascii="Arial" w:eastAsia="Calibri" w:hAnsi="Arial" w:cs="Arial"/>
          <w:color w:val="000000"/>
        </w:rPr>
        <w:tab/>
      </w:r>
      <w:r w:rsidRPr="00544667">
        <w:rPr>
          <w:rFonts w:ascii="Arial" w:eastAsia="Calibri" w:hAnsi="Arial" w:cs="Arial"/>
          <w:color w:val="000000"/>
        </w:rPr>
        <w:tab/>
        <w:t>123 (59.4)</w:t>
      </w:r>
      <w:r w:rsidRPr="00544667">
        <w:rPr>
          <w:rFonts w:ascii="Arial" w:eastAsia="Calibri" w:hAnsi="Arial" w:cs="Arial"/>
          <w:color w:val="000000"/>
        </w:rPr>
        <w:tab/>
        <w:t>84 (40.6)</w:t>
      </w:r>
      <w:r w:rsidRPr="00544667">
        <w:rPr>
          <w:rFonts w:ascii="Arial" w:eastAsia="Calibri" w:hAnsi="Arial" w:cs="Arial"/>
          <w:color w:val="000000"/>
        </w:rPr>
        <w:tab/>
      </w:r>
      <w:r w:rsidRPr="00544667">
        <w:rPr>
          <w:rFonts w:ascii="Arial" w:eastAsia="Calibri" w:hAnsi="Arial" w:cs="Arial"/>
          <w:color w:val="000000"/>
        </w:rPr>
        <w:tab/>
        <w:t>0.986</w:t>
      </w:r>
      <w:r w:rsidRPr="00544667">
        <w:rPr>
          <w:rFonts w:ascii="Arial" w:eastAsia="Calibri" w:hAnsi="Arial" w:cs="Arial"/>
          <w:color w:val="000000"/>
        </w:rPr>
        <w:tab/>
      </w:r>
      <w:r w:rsidRPr="00544667">
        <w:rPr>
          <w:rFonts w:ascii="Arial" w:eastAsia="Calibri" w:hAnsi="Arial" w:cs="Arial"/>
          <w:color w:val="000000"/>
        </w:rPr>
        <w:tab/>
        <w:t>0.32</w:t>
      </w:r>
    </w:p>
    <w:p w14:paraId="227589D6" w14:textId="77777777" w:rsidR="00EA2E44" w:rsidRPr="00544667" w:rsidRDefault="00EA2E44" w:rsidP="00EA2E44">
      <w:pPr>
        <w:spacing w:line="480" w:lineRule="auto"/>
        <w:contextualSpacing/>
        <w:jc w:val="both"/>
        <w:rPr>
          <w:rFonts w:ascii="Arial" w:eastAsia="Calibri" w:hAnsi="Arial" w:cs="Arial"/>
          <w:color w:val="000000"/>
        </w:rPr>
      </w:pPr>
      <w:r w:rsidRPr="00544667">
        <w:rPr>
          <w:rFonts w:ascii="Arial" w:eastAsia="Calibri" w:hAnsi="Arial" w:cs="Arial"/>
          <w:color w:val="000000"/>
        </w:rPr>
        <w:tab/>
        <w:t>Male</w:t>
      </w:r>
      <w:r w:rsidRPr="00544667">
        <w:rPr>
          <w:rFonts w:ascii="Arial" w:eastAsia="Calibri" w:hAnsi="Arial" w:cs="Arial"/>
          <w:color w:val="000000"/>
        </w:rPr>
        <w:tab/>
      </w:r>
      <w:r w:rsidRPr="00544667">
        <w:rPr>
          <w:rFonts w:ascii="Arial" w:eastAsia="Calibri" w:hAnsi="Arial" w:cs="Arial"/>
          <w:color w:val="000000"/>
        </w:rPr>
        <w:tab/>
      </w:r>
      <w:r w:rsidRPr="00544667">
        <w:rPr>
          <w:rFonts w:ascii="Arial" w:eastAsia="Calibri" w:hAnsi="Arial" w:cs="Arial"/>
          <w:color w:val="000000"/>
        </w:rPr>
        <w:tab/>
        <w:t>124 (64.3)</w:t>
      </w:r>
      <w:r w:rsidRPr="00544667">
        <w:rPr>
          <w:rFonts w:ascii="Arial" w:eastAsia="Calibri" w:hAnsi="Arial" w:cs="Arial"/>
          <w:color w:val="000000"/>
        </w:rPr>
        <w:tab/>
        <w:t>69 (35.7)</w:t>
      </w:r>
    </w:p>
    <w:p w14:paraId="1235990F" w14:textId="77777777" w:rsidR="00EA2E44" w:rsidRPr="00544667" w:rsidRDefault="00EA2E44" w:rsidP="00EA2E44">
      <w:pPr>
        <w:spacing w:line="480" w:lineRule="auto"/>
        <w:contextualSpacing/>
        <w:jc w:val="both"/>
        <w:rPr>
          <w:rFonts w:ascii="Arial" w:eastAsia="Calibri" w:hAnsi="Arial" w:cs="Arial"/>
          <w:bCs/>
          <w:color w:val="000000"/>
        </w:rPr>
      </w:pPr>
      <w:r w:rsidRPr="00544667">
        <w:rPr>
          <w:rFonts w:ascii="Arial" w:eastAsia="Calibri" w:hAnsi="Arial" w:cs="Arial"/>
          <w:bCs/>
          <w:color w:val="000000"/>
        </w:rPr>
        <w:t>Age (years)</w:t>
      </w:r>
    </w:p>
    <w:p w14:paraId="2D3D7E69" w14:textId="77777777" w:rsidR="00EA2E44" w:rsidRPr="00544667" w:rsidRDefault="00EA2E44" w:rsidP="00EA2E44">
      <w:pPr>
        <w:spacing w:line="480" w:lineRule="auto"/>
        <w:contextualSpacing/>
        <w:jc w:val="both"/>
        <w:rPr>
          <w:rFonts w:ascii="Arial" w:eastAsia="Calibri" w:hAnsi="Arial" w:cs="Arial"/>
          <w:color w:val="000000"/>
        </w:rPr>
      </w:pPr>
      <w:r w:rsidRPr="00544667">
        <w:rPr>
          <w:rFonts w:ascii="Arial" w:eastAsia="Calibri" w:hAnsi="Arial" w:cs="Arial"/>
          <w:color w:val="000000"/>
        </w:rPr>
        <w:tab/>
        <w:t>5 – 8</w:t>
      </w:r>
      <w:r w:rsidRPr="00544667">
        <w:rPr>
          <w:rFonts w:ascii="Arial" w:eastAsia="Calibri" w:hAnsi="Arial" w:cs="Arial"/>
          <w:color w:val="000000"/>
        </w:rPr>
        <w:tab/>
      </w:r>
      <w:r w:rsidRPr="00544667">
        <w:rPr>
          <w:rFonts w:ascii="Arial" w:eastAsia="Calibri" w:hAnsi="Arial" w:cs="Arial"/>
          <w:color w:val="000000"/>
        </w:rPr>
        <w:tab/>
      </w:r>
      <w:r w:rsidRPr="00544667">
        <w:rPr>
          <w:rFonts w:ascii="Arial" w:eastAsia="Calibri" w:hAnsi="Arial" w:cs="Arial"/>
          <w:color w:val="000000"/>
        </w:rPr>
        <w:tab/>
        <w:t>71 (60.2)</w:t>
      </w:r>
      <w:r w:rsidRPr="00544667">
        <w:rPr>
          <w:rFonts w:ascii="Arial" w:eastAsia="Calibri" w:hAnsi="Arial" w:cs="Arial"/>
          <w:color w:val="000000"/>
        </w:rPr>
        <w:tab/>
        <w:t>47 (39.8)</w:t>
      </w:r>
      <w:r w:rsidRPr="00544667">
        <w:rPr>
          <w:rFonts w:ascii="Arial" w:eastAsia="Calibri" w:hAnsi="Arial" w:cs="Arial"/>
          <w:color w:val="000000"/>
        </w:rPr>
        <w:tab/>
      </w:r>
      <w:r w:rsidRPr="00544667">
        <w:rPr>
          <w:rFonts w:ascii="Arial" w:eastAsia="Calibri" w:hAnsi="Arial" w:cs="Arial"/>
          <w:color w:val="000000"/>
        </w:rPr>
        <w:tab/>
        <w:t>0.857</w:t>
      </w:r>
      <w:r w:rsidRPr="00544667">
        <w:rPr>
          <w:rFonts w:ascii="Arial" w:eastAsia="Calibri" w:hAnsi="Arial" w:cs="Arial"/>
          <w:color w:val="000000"/>
        </w:rPr>
        <w:tab/>
      </w:r>
      <w:r w:rsidRPr="00544667">
        <w:rPr>
          <w:rFonts w:ascii="Arial" w:eastAsia="Calibri" w:hAnsi="Arial" w:cs="Arial"/>
          <w:color w:val="000000"/>
        </w:rPr>
        <w:tab/>
        <w:t>0.65</w:t>
      </w:r>
    </w:p>
    <w:p w14:paraId="2B275132" w14:textId="77777777" w:rsidR="00EA2E44" w:rsidRPr="00544667" w:rsidRDefault="00EA2E44" w:rsidP="00EA2E44">
      <w:pPr>
        <w:spacing w:line="480" w:lineRule="auto"/>
        <w:contextualSpacing/>
        <w:jc w:val="both"/>
        <w:rPr>
          <w:rFonts w:ascii="Arial" w:eastAsia="Calibri" w:hAnsi="Arial" w:cs="Arial"/>
          <w:color w:val="000000"/>
        </w:rPr>
      </w:pPr>
      <w:r w:rsidRPr="00544667">
        <w:rPr>
          <w:rFonts w:ascii="Arial" w:eastAsia="Calibri" w:hAnsi="Arial" w:cs="Arial"/>
          <w:color w:val="000000"/>
        </w:rPr>
        <w:tab/>
        <w:t>9 – 11</w:t>
      </w:r>
      <w:r w:rsidRPr="00544667">
        <w:rPr>
          <w:rFonts w:ascii="Arial" w:eastAsia="Calibri" w:hAnsi="Arial" w:cs="Arial"/>
          <w:color w:val="000000"/>
        </w:rPr>
        <w:tab/>
      </w:r>
      <w:r w:rsidRPr="00544667">
        <w:rPr>
          <w:rFonts w:ascii="Arial" w:eastAsia="Calibri" w:hAnsi="Arial" w:cs="Arial"/>
          <w:color w:val="000000"/>
        </w:rPr>
        <w:tab/>
      </w:r>
      <w:r w:rsidRPr="00544667">
        <w:rPr>
          <w:rFonts w:ascii="Arial" w:eastAsia="Calibri" w:hAnsi="Arial" w:cs="Arial"/>
          <w:color w:val="000000"/>
        </w:rPr>
        <w:tab/>
        <w:t>111 (60.1)</w:t>
      </w:r>
      <w:r w:rsidRPr="00544667">
        <w:rPr>
          <w:rFonts w:ascii="Arial" w:eastAsia="Calibri" w:hAnsi="Arial" w:cs="Arial"/>
          <w:color w:val="000000"/>
        </w:rPr>
        <w:tab/>
        <w:t>72 (39.3)</w:t>
      </w:r>
    </w:p>
    <w:p w14:paraId="1E62B6D8" w14:textId="77777777" w:rsidR="00EA2E44" w:rsidRPr="00544667" w:rsidRDefault="00EA2E44" w:rsidP="00EA2E44">
      <w:pPr>
        <w:spacing w:line="480" w:lineRule="auto"/>
        <w:contextualSpacing/>
        <w:jc w:val="both"/>
        <w:rPr>
          <w:rFonts w:ascii="Arial" w:eastAsia="Calibri" w:hAnsi="Arial" w:cs="Arial"/>
          <w:color w:val="000000"/>
        </w:rPr>
      </w:pPr>
      <w:r w:rsidRPr="00544667">
        <w:rPr>
          <w:rFonts w:ascii="Arial" w:eastAsia="Calibri" w:hAnsi="Arial" w:cs="Arial"/>
          <w:color w:val="000000"/>
        </w:rPr>
        <w:tab/>
        <w:t>12 – 13</w:t>
      </w:r>
      <w:r w:rsidRPr="00544667">
        <w:rPr>
          <w:rFonts w:ascii="Arial" w:eastAsia="Calibri" w:hAnsi="Arial" w:cs="Arial"/>
          <w:color w:val="000000"/>
        </w:rPr>
        <w:tab/>
      </w:r>
      <w:r w:rsidRPr="00544667">
        <w:rPr>
          <w:rFonts w:ascii="Arial" w:eastAsia="Calibri" w:hAnsi="Arial" w:cs="Arial"/>
          <w:color w:val="000000"/>
        </w:rPr>
        <w:tab/>
        <w:t xml:space="preserve">                65 (65.7)</w:t>
      </w:r>
      <w:r w:rsidRPr="00544667">
        <w:rPr>
          <w:rFonts w:ascii="Arial" w:eastAsia="Calibri" w:hAnsi="Arial" w:cs="Arial"/>
          <w:color w:val="000000"/>
        </w:rPr>
        <w:tab/>
        <w:t>34 (34.3)</w:t>
      </w:r>
    </w:p>
    <w:p w14:paraId="4C0D417A" w14:textId="77777777" w:rsidR="00EA2E44" w:rsidRPr="00544667" w:rsidRDefault="00EA2E44" w:rsidP="00EA2E44">
      <w:pPr>
        <w:spacing w:line="480" w:lineRule="auto"/>
        <w:contextualSpacing/>
        <w:jc w:val="both"/>
        <w:rPr>
          <w:rFonts w:ascii="Arial" w:eastAsia="Calibri" w:hAnsi="Arial" w:cs="Arial"/>
          <w:bCs/>
          <w:color w:val="000000"/>
        </w:rPr>
      </w:pPr>
      <w:r w:rsidRPr="00544667">
        <w:rPr>
          <w:rFonts w:ascii="Arial" w:eastAsia="Calibri" w:hAnsi="Arial" w:cs="Arial"/>
          <w:bCs/>
          <w:color w:val="000000"/>
        </w:rPr>
        <w:t>Class</w:t>
      </w:r>
    </w:p>
    <w:p w14:paraId="3395CA53" w14:textId="77777777" w:rsidR="00EA2E44" w:rsidRPr="00544667" w:rsidRDefault="00EA2E44" w:rsidP="00EA2E44">
      <w:pPr>
        <w:spacing w:line="480" w:lineRule="auto"/>
        <w:contextualSpacing/>
        <w:jc w:val="both"/>
        <w:rPr>
          <w:rFonts w:ascii="Arial" w:eastAsia="Calibri" w:hAnsi="Arial" w:cs="Arial"/>
          <w:color w:val="000000"/>
        </w:rPr>
      </w:pPr>
      <w:r w:rsidRPr="00544667">
        <w:rPr>
          <w:rFonts w:ascii="Arial" w:eastAsia="Calibri" w:hAnsi="Arial" w:cs="Arial"/>
          <w:color w:val="000000"/>
        </w:rPr>
        <w:tab/>
        <w:t>Primary 1</w:t>
      </w:r>
      <w:r w:rsidRPr="00544667">
        <w:rPr>
          <w:rFonts w:ascii="Arial" w:eastAsia="Calibri" w:hAnsi="Arial" w:cs="Arial"/>
          <w:color w:val="000000"/>
        </w:rPr>
        <w:tab/>
      </w:r>
      <w:r w:rsidRPr="00544667">
        <w:rPr>
          <w:rFonts w:ascii="Arial" w:eastAsia="Calibri" w:hAnsi="Arial" w:cs="Arial"/>
          <w:color w:val="000000"/>
        </w:rPr>
        <w:tab/>
        <w:t>15 (68.2)</w:t>
      </w:r>
      <w:r w:rsidRPr="00544667">
        <w:rPr>
          <w:rFonts w:ascii="Arial" w:eastAsia="Calibri" w:hAnsi="Arial" w:cs="Arial"/>
          <w:color w:val="000000"/>
        </w:rPr>
        <w:tab/>
        <w:t>7 (31.8)</w:t>
      </w:r>
      <w:r w:rsidRPr="00544667">
        <w:rPr>
          <w:rFonts w:ascii="Arial" w:eastAsia="Calibri" w:hAnsi="Arial" w:cs="Arial"/>
          <w:color w:val="000000"/>
        </w:rPr>
        <w:tab/>
      </w:r>
      <w:r w:rsidRPr="00544667">
        <w:rPr>
          <w:rFonts w:ascii="Arial" w:eastAsia="Calibri" w:hAnsi="Arial" w:cs="Arial"/>
          <w:color w:val="000000"/>
        </w:rPr>
        <w:tab/>
      </w:r>
      <w:r w:rsidR="00D0609B">
        <w:rPr>
          <w:rFonts w:ascii="Arial" w:eastAsia="Calibri" w:hAnsi="Arial" w:cs="Arial"/>
          <w:color w:val="000000"/>
        </w:rPr>
        <w:t xml:space="preserve">             </w:t>
      </w:r>
      <w:r w:rsidRPr="00544667">
        <w:rPr>
          <w:rFonts w:ascii="Arial" w:eastAsia="Calibri" w:hAnsi="Arial" w:cs="Arial"/>
          <w:color w:val="000000"/>
        </w:rPr>
        <w:t>6.749</w:t>
      </w:r>
      <w:r w:rsidRPr="00544667">
        <w:rPr>
          <w:rFonts w:ascii="Arial" w:eastAsia="Calibri" w:hAnsi="Arial" w:cs="Arial"/>
          <w:color w:val="000000"/>
        </w:rPr>
        <w:tab/>
      </w:r>
      <w:r w:rsidRPr="00544667">
        <w:rPr>
          <w:rFonts w:ascii="Arial" w:eastAsia="Calibri" w:hAnsi="Arial" w:cs="Arial"/>
          <w:color w:val="000000"/>
        </w:rPr>
        <w:tab/>
        <w:t>0.24</w:t>
      </w:r>
    </w:p>
    <w:p w14:paraId="147FA64D" w14:textId="77777777" w:rsidR="00EA2E44" w:rsidRPr="00544667" w:rsidRDefault="00EA2E44" w:rsidP="00EA2E44">
      <w:pPr>
        <w:spacing w:line="480" w:lineRule="auto"/>
        <w:contextualSpacing/>
        <w:jc w:val="both"/>
        <w:rPr>
          <w:rFonts w:ascii="Arial" w:eastAsia="Calibri" w:hAnsi="Arial" w:cs="Arial"/>
          <w:color w:val="000000"/>
        </w:rPr>
      </w:pPr>
      <w:r w:rsidRPr="00544667">
        <w:rPr>
          <w:rFonts w:ascii="Arial" w:eastAsia="Calibri" w:hAnsi="Arial" w:cs="Arial"/>
          <w:color w:val="000000"/>
        </w:rPr>
        <w:tab/>
        <w:t>Primary 2</w:t>
      </w:r>
      <w:r w:rsidRPr="00544667">
        <w:rPr>
          <w:rFonts w:ascii="Arial" w:eastAsia="Calibri" w:hAnsi="Arial" w:cs="Arial"/>
          <w:color w:val="000000"/>
        </w:rPr>
        <w:tab/>
      </w:r>
      <w:r w:rsidRPr="00544667">
        <w:rPr>
          <w:rFonts w:ascii="Arial" w:eastAsia="Calibri" w:hAnsi="Arial" w:cs="Arial"/>
          <w:color w:val="000000"/>
        </w:rPr>
        <w:tab/>
        <w:t>27 (65.8)</w:t>
      </w:r>
      <w:r w:rsidRPr="00544667">
        <w:rPr>
          <w:rFonts w:ascii="Arial" w:eastAsia="Calibri" w:hAnsi="Arial" w:cs="Arial"/>
          <w:color w:val="000000"/>
        </w:rPr>
        <w:tab/>
        <w:t>14 (34.1)</w:t>
      </w:r>
    </w:p>
    <w:p w14:paraId="001B8AC7" w14:textId="77777777" w:rsidR="00EA2E44" w:rsidRPr="00544667" w:rsidRDefault="00EA2E44" w:rsidP="00EA2E44">
      <w:pPr>
        <w:spacing w:line="480" w:lineRule="auto"/>
        <w:contextualSpacing/>
        <w:jc w:val="both"/>
        <w:rPr>
          <w:rFonts w:ascii="Arial" w:eastAsia="Calibri" w:hAnsi="Arial" w:cs="Arial"/>
          <w:color w:val="000000"/>
        </w:rPr>
      </w:pPr>
      <w:r w:rsidRPr="00544667">
        <w:rPr>
          <w:rFonts w:ascii="Arial" w:eastAsia="Calibri" w:hAnsi="Arial" w:cs="Arial"/>
          <w:color w:val="000000"/>
        </w:rPr>
        <w:tab/>
        <w:t>Primary 3</w:t>
      </w:r>
      <w:r w:rsidRPr="00544667">
        <w:rPr>
          <w:rFonts w:ascii="Arial" w:eastAsia="Calibri" w:hAnsi="Arial" w:cs="Arial"/>
          <w:color w:val="000000"/>
        </w:rPr>
        <w:tab/>
      </w:r>
      <w:r w:rsidRPr="00544667">
        <w:rPr>
          <w:rFonts w:ascii="Arial" w:eastAsia="Calibri" w:hAnsi="Arial" w:cs="Arial"/>
          <w:color w:val="000000"/>
        </w:rPr>
        <w:tab/>
        <w:t>32 (52.5)</w:t>
      </w:r>
      <w:r w:rsidRPr="00544667">
        <w:rPr>
          <w:rFonts w:ascii="Arial" w:eastAsia="Calibri" w:hAnsi="Arial" w:cs="Arial"/>
          <w:color w:val="000000"/>
        </w:rPr>
        <w:tab/>
        <w:t>29 (47.5)</w:t>
      </w:r>
    </w:p>
    <w:p w14:paraId="3BA7AD9D" w14:textId="77777777" w:rsidR="00EA2E44" w:rsidRPr="00544667" w:rsidRDefault="00EA2E44" w:rsidP="00EA2E44">
      <w:pPr>
        <w:spacing w:line="480" w:lineRule="auto"/>
        <w:contextualSpacing/>
        <w:jc w:val="both"/>
        <w:rPr>
          <w:rFonts w:ascii="Arial" w:eastAsia="Calibri" w:hAnsi="Arial" w:cs="Arial"/>
          <w:color w:val="000000"/>
        </w:rPr>
      </w:pPr>
      <w:r w:rsidRPr="00544667">
        <w:rPr>
          <w:rFonts w:ascii="Arial" w:eastAsia="Calibri" w:hAnsi="Arial" w:cs="Arial"/>
          <w:color w:val="000000"/>
        </w:rPr>
        <w:tab/>
        <w:t>Primary 4</w:t>
      </w:r>
      <w:r w:rsidRPr="00544667">
        <w:rPr>
          <w:rFonts w:ascii="Arial" w:eastAsia="Calibri" w:hAnsi="Arial" w:cs="Arial"/>
          <w:color w:val="000000"/>
        </w:rPr>
        <w:tab/>
      </w:r>
      <w:r w:rsidRPr="00544667">
        <w:rPr>
          <w:rFonts w:ascii="Arial" w:eastAsia="Calibri" w:hAnsi="Arial" w:cs="Arial"/>
          <w:color w:val="000000"/>
        </w:rPr>
        <w:tab/>
        <w:t>31 (53.4)</w:t>
      </w:r>
      <w:r w:rsidRPr="00544667">
        <w:rPr>
          <w:rFonts w:ascii="Arial" w:eastAsia="Calibri" w:hAnsi="Arial" w:cs="Arial"/>
          <w:color w:val="000000"/>
        </w:rPr>
        <w:tab/>
        <w:t>27 (46.5)</w:t>
      </w:r>
    </w:p>
    <w:p w14:paraId="2ABC3827" w14:textId="77777777" w:rsidR="00EA2E44" w:rsidRPr="00544667" w:rsidRDefault="00EA2E44" w:rsidP="00EA2E44">
      <w:pPr>
        <w:spacing w:line="480" w:lineRule="auto"/>
        <w:contextualSpacing/>
        <w:jc w:val="both"/>
        <w:rPr>
          <w:rFonts w:ascii="Arial" w:eastAsia="Calibri" w:hAnsi="Arial" w:cs="Arial"/>
          <w:color w:val="000000"/>
        </w:rPr>
      </w:pPr>
      <w:r w:rsidRPr="00544667">
        <w:rPr>
          <w:rFonts w:ascii="Arial" w:eastAsia="Calibri" w:hAnsi="Arial" w:cs="Arial"/>
          <w:color w:val="000000"/>
        </w:rPr>
        <w:tab/>
        <w:t>Primary 5</w:t>
      </w:r>
      <w:r w:rsidRPr="00544667">
        <w:rPr>
          <w:rFonts w:ascii="Arial" w:eastAsia="Calibri" w:hAnsi="Arial" w:cs="Arial"/>
          <w:color w:val="000000"/>
        </w:rPr>
        <w:tab/>
      </w:r>
      <w:r w:rsidRPr="00544667">
        <w:rPr>
          <w:rFonts w:ascii="Arial" w:eastAsia="Calibri" w:hAnsi="Arial" w:cs="Arial"/>
          <w:color w:val="000000"/>
        </w:rPr>
        <w:tab/>
        <w:t>64 (61.5)</w:t>
      </w:r>
      <w:r w:rsidRPr="00544667">
        <w:rPr>
          <w:rFonts w:ascii="Arial" w:eastAsia="Calibri" w:hAnsi="Arial" w:cs="Arial"/>
          <w:color w:val="000000"/>
        </w:rPr>
        <w:tab/>
        <w:t>40 (38.5)</w:t>
      </w:r>
    </w:p>
    <w:p w14:paraId="11C30969" w14:textId="77777777" w:rsidR="00EA2E44" w:rsidRPr="00544667" w:rsidRDefault="00EA2E44" w:rsidP="00EA2E44">
      <w:pPr>
        <w:spacing w:line="480" w:lineRule="auto"/>
        <w:contextualSpacing/>
        <w:jc w:val="both"/>
        <w:rPr>
          <w:rFonts w:ascii="Arial" w:eastAsia="Calibri" w:hAnsi="Arial" w:cs="Arial"/>
          <w:color w:val="000000"/>
        </w:rPr>
      </w:pPr>
      <w:r w:rsidRPr="00544667">
        <w:rPr>
          <w:rFonts w:ascii="Arial" w:eastAsia="Calibri" w:hAnsi="Arial" w:cs="Arial"/>
          <w:color w:val="000000"/>
        </w:rPr>
        <w:tab/>
        <w:t>Primary 6</w:t>
      </w:r>
      <w:r w:rsidRPr="00544667">
        <w:rPr>
          <w:rFonts w:ascii="Arial" w:eastAsia="Calibri" w:hAnsi="Arial" w:cs="Arial"/>
          <w:color w:val="000000"/>
        </w:rPr>
        <w:tab/>
      </w:r>
      <w:r w:rsidRPr="00544667">
        <w:rPr>
          <w:rFonts w:ascii="Arial" w:eastAsia="Calibri" w:hAnsi="Arial" w:cs="Arial"/>
          <w:color w:val="000000"/>
        </w:rPr>
        <w:tab/>
        <w:t>78 (68.4)</w:t>
      </w:r>
      <w:r w:rsidRPr="00544667">
        <w:rPr>
          <w:rFonts w:ascii="Arial" w:eastAsia="Calibri" w:hAnsi="Arial" w:cs="Arial"/>
          <w:color w:val="000000"/>
        </w:rPr>
        <w:tab/>
        <w:t>36 (31.6)</w:t>
      </w:r>
    </w:p>
    <w:p w14:paraId="024CC170" w14:textId="77777777" w:rsidR="00EA2E44" w:rsidRPr="00544667" w:rsidRDefault="00EA2E44" w:rsidP="00EA2E44">
      <w:pPr>
        <w:spacing w:line="480" w:lineRule="auto"/>
        <w:contextualSpacing/>
        <w:jc w:val="both"/>
        <w:rPr>
          <w:rFonts w:ascii="Arial" w:eastAsia="Calibri" w:hAnsi="Arial" w:cs="Arial"/>
          <w:bCs/>
          <w:color w:val="000000"/>
        </w:rPr>
      </w:pPr>
      <w:r w:rsidRPr="00544667">
        <w:rPr>
          <w:rFonts w:ascii="Arial" w:eastAsia="Calibri" w:hAnsi="Arial" w:cs="Arial"/>
          <w:bCs/>
          <w:color w:val="000000"/>
        </w:rPr>
        <w:t>Parent education</w:t>
      </w:r>
    </w:p>
    <w:p w14:paraId="55A59351" w14:textId="77777777" w:rsidR="00EA2E44" w:rsidRPr="00544667" w:rsidRDefault="00EA2E44" w:rsidP="00EA2E44">
      <w:pPr>
        <w:spacing w:line="480" w:lineRule="auto"/>
        <w:contextualSpacing/>
        <w:jc w:val="both"/>
        <w:rPr>
          <w:rFonts w:ascii="Arial" w:eastAsia="Calibri" w:hAnsi="Arial" w:cs="Arial"/>
          <w:color w:val="000000"/>
        </w:rPr>
      </w:pPr>
      <w:r w:rsidRPr="00544667">
        <w:rPr>
          <w:rFonts w:ascii="Arial" w:eastAsia="Calibri" w:hAnsi="Arial" w:cs="Arial"/>
          <w:color w:val="000000"/>
        </w:rPr>
        <w:tab/>
        <w:t>None</w:t>
      </w:r>
      <w:r w:rsidRPr="00544667">
        <w:rPr>
          <w:rFonts w:ascii="Arial" w:eastAsia="Calibri" w:hAnsi="Arial" w:cs="Arial"/>
          <w:color w:val="000000"/>
        </w:rPr>
        <w:tab/>
      </w:r>
      <w:r w:rsidRPr="00544667">
        <w:rPr>
          <w:rFonts w:ascii="Arial" w:eastAsia="Calibri" w:hAnsi="Arial" w:cs="Arial"/>
          <w:color w:val="000000"/>
        </w:rPr>
        <w:tab/>
      </w:r>
      <w:r w:rsidRPr="00544667">
        <w:rPr>
          <w:rFonts w:ascii="Arial" w:eastAsia="Calibri" w:hAnsi="Arial" w:cs="Arial"/>
          <w:color w:val="000000"/>
        </w:rPr>
        <w:tab/>
        <w:t>113 (65.3)</w:t>
      </w:r>
      <w:r w:rsidRPr="00544667">
        <w:rPr>
          <w:rFonts w:ascii="Arial" w:eastAsia="Calibri" w:hAnsi="Arial" w:cs="Arial"/>
          <w:color w:val="000000"/>
        </w:rPr>
        <w:tab/>
        <w:t>60 (34.7)</w:t>
      </w:r>
      <w:r w:rsidRPr="00544667">
        <w:rPr>
          <w:rFonts w:ascii="Arial" w:eastAsia="Calibri" w:hAnsi="Arial" w:cs="Arial"/>
          <w:color w:val="000000"/>
        </w:rPr>
        <w:tab/>
      </w:r>
      <w:r w:rsidR="00D0609B">
        <w:rPr>
          <w:rFonts w:ascii="Arial" w:eastAsia="Calibri" w:hAnsi="Arial" w:cs="Arial"/>
          <w:color w:val="000000"/>
        </w:rPr>
        <w:t xml:space="preserve">             </w:t>
      </w:r>
      <w:r w:rsidRPr="00544667">
        <w:rPr>
          <w:rFonts w:ascii="Arial" w:eastAsia="Calibri" w:hAnsi="Arial" w:cs="Arial"/>
          <w:color w:val="000000"/>
        </w:rPr>
        <w:t>1.750</w:t>
      </w:r>
      <w:r w:rsidRPr="00544667">
        <w:rPr>
          <w:rFonts w:ascii="Arial" w:eastAsia="Calibri" w:hAnsi="Arial" w:cs="Arial"/>
          <w:color w:val="000000"/>
        </w:rPr>
        <w:tab/>
      </w:r>
      <w:r w:rsidRPr="00544667">
        <w:rPr>
          <w:rFonts w:ascii="Arial" w:eastAsia="Calibri" w:hAnsi="Arial" w:cs="Arial"/>
          <w:color w:val="000000"/>
        </w:rPr>
        <w:tab/>
        <w:t>0.63</w:t>
      </w:r>
    </w:p>
    <w:p w14:paraId="4C117C05" w14:textId="77777777" w:rsidR="00EA2E44" w:rsidRPr="00544667" w:rsidRDefault="00EA2E44" w:rsidP="00EA2E44">
      <w:pPr>
        <w:spacing w:line="480" w:lineRule="auto"/>
        <w:contextualSpacing/>
        <w:jc w:val="both"/>
        <w:rPr>
          <w:rFonts w:ascii="Arial" w:eastAsia="Calibri" w:hAnsi="Arial" w:cs="Arial"/>
          <w:color w:val="000000"/>
        </w:rPr>
      </w:pPr>
      <w:r w:rsidRPr="00544667">
        <w:rPr>
          <w:rFonts w:ascii="Arial" w:eastAsia="Calibri" w:hAnsi="Arial" w:cs="Arial"/>
          <w:color w:val="000000"/>
        </w:rPr>
        <w:tab/>
        <w:t>Primary</w:t>
      </w:r>
      <w:r w:rsidRPr="00544667">
        <w:rPr>
          <w:rFonts w:ascii="Arial" w:eastAsia="Calibri" w:hAnsi="Arial" w:cs="Arial"/>
          <w:color w:val="000000"/>
        </w:rPr>
        <w:tab/>
      </w:r>
      <w:r w:rsidRPr="00544667">
        <w:rPr>
          <w:rFonts w:ascii="Arial" w:eastAsia="Calibri" w:hAnsi="Arial" w:cs="Arial"/>
          <w:color w:val="000000"/>
        </w:rPr>
        <w:tab/>
        <w:t xml:space="preserve">              58 (59.2)</w:t>
      </w:r>
      <w:r w:rsidRPr="00544667">
        <w:rPr>
          <w:rFonts w:ascii="Arial" w:eastAsia="Calibri" w:hAnsi="Arial" w:cs="Arial"/>
          <w:color w:val="000000"/>
        </w:rPr>
        <w:tab/>
        <w:t>40 (40.8)</w:t>
      </w:r>
    </w:p>
    <w:p w14:paraId="55CFA461" w14:textId="77777777" w:rsidR="00EA2E44" w:rsidRPr="00544667" w:rsidRDefault="00EA2E44" w:rsidP="00EA2E44">
      <w:pPr>
        <w:spacing w:line="480" w:lineRule="auto"/>
        <w:contextualSpacing/>
        <w:jc w:val="both"/>
        <w:rPr>
          <w:rFonts w:ascii="Arial" w:eastAsia="Calibri" w:hAnsi="Arial" w:cs="Arial"/>
          <w:color w:val="000000"/>
        </w:rPr>
      </w:pPr>
      <w:r w:rsidRPr="00544667">
        <w:rPr>
          <w:rFonts w:ascii="Arial" w:eastAsia="Calibri" w:hAnsi="Arial" w:cs="Arial"/>
          <w:color w:val="000000"/>
        </w:rPr>
        <w:lastRenderedPageBreak/>
        <w:tab/>
        <w:t>Secondary</w:t>
      </w:r>
      <w:r w:rsidRPr="00544667">
        <w:rPr>
          <w:rFonts w:ascii="Arial" w:eastAsia="Calibri" w:hAnsi="Arial" w:cs="Arial"/>
          <w:color w:val="000000"/>
        </w:rPr>
        <w:tab/>
      </w:r>
      <w:r w:rsidRPr="00544667">
        <w:rPr>
          <w:rFonts w:ascii="Arial" w:eastAsia="Calibri" w:hAnsi="Arial" w:cs="Arial"/>
          <w:color w:val="000000"/>
        </w:rPr>
        <w:tab/>
        <w:t xml:space="preserve"> 48 (60.0)</w:t>
      </w:r>
      <w:r w:rsidRPr="00544667">
        <w:rPr>
          <w:rFonts w:ascii="Arial" w:eastAsia="Calibri" w:hAnsi="Arial" w:cs="Arial"/>
          <w:color w:val="000000"/>
        </w:rPr>
        <w:tab/>
        <w:t>32 (40.0)</w:t>
      </w:r>
    </w:p>
    <w:p w14:paraId="19E211E7" w14:textId="77777777" w:rsidR="00EA2E44" w:rsidRPr="00544667" w:rsidRDefault="00EA2E44" w:rsidP="00EA2E44">
      <w:pPr>
        <w:spacing w:line="480" w:lineRule="auto"/>
        <w:contextualSpacing/>
        <w:jc w:val="both"/>
        <w:rPr>
          <w:rFonts w:ascii="Arial" w:eastAsia="Calibri" w:hAnsi="Arial" w:cs="Arial"/>
          <w:color w:val="000000"/>
        </w:rPr>
      </w:pPr>
      <w:r w:rsidRPr="00544667">
        <w:rPr>
          <w:rFonts w:ascii="Arial" w:eastAsia="Calibri" w:hAnsi="Arial" w:cs="Arial"/>
          <w:color w:val="000000"/>
        </w:rPr>
        <w:tab/>
        <w:t>Post secondary</w:t>
      </w:r>
      <w:r w:rsidRPr="00544667">
        <w:rPr>
          <w:rFonts w:ascii="Arial" w:eastAsia="Calibri" w:hAnsi="Arial" w:cs="Arial"/>
          <w:color w:val="000000"/>
        </w:rPr>
        <w:tab/>
        <w:t xml:space="preserve">              28 (57.1)</w:t>
      </w:r>
      <w:r w:rsidRPr="00544667">
        <w:rPr>
          <w:rFonts w:ascii="Arial" w:eastAsia="Calibri" w:hAnsi="Arial" w:cs="Arial"/>
          <w:color w:val="000000"/>
        </w:rPr>
        <w:tab/>
        <w:t>21 (42.9)</w:t>
      </w:r>
    </w:p>
    <w:p w14:paraId="10D59DA4" w14:textId="77777777" w:rsidR="00EA2E44" w:rsidRPr="00544667" w:rsidRDefault="00EA2E44" w:rsidP="00EA2E44">
      <w:pPr>
        <w:spacing w:line="480" w:lineRule="auto"/>
        <w:contextualSpacing/>
        <w:jc w:val="both"/>
        <w:rPr>
          <w:rFonts w:ascii="Arial" w:eastAsia="Calibri" w:hAnsi="Arial" w:cs="Arial"/>
          <w:bCs/>
          <w:color w:val="000000"/>
        </w:rPr>
      </w:pPr>
      <w:r w:rsidRPr="00544667">
        <w:rPr>
          <w:rFonts w:ascii="Arial" w:eastAsia="Calibri" w:hAnsi="Arial" w:cs="Arial"/>
          <w:bCs/>
          <w:color w:val="000000"/>
        </w:rPr>
        <w:t>Parent occupation</w:t>
      </w:r>
    </w:p>
    <w:p w14:paraId="6E0D646F" w14:textId="77777777" w:rsidR="00EA2E44" w:rsidRPr="00544667" w:rsidRDefault="00EA2E44" w:rsidP="00EA2E44">
      <w:pPr>
        <w:spacing w:line="480" w:lineRule="auto"/>
        <w:contextualSpacing/>
        <w:jc w:val="both"/>
        <w:rPr>
          <w:rFonts w:ascii="Arial" w:eastAsia="Calibri" w:hAnsi="Arial" w:cs="Arial"/>
          <w:color w:val="000000"/>
        </w:rPr>
      </w:pPr>
      <w:r w:rsidRPr="00544667">
        <w:rPr>
          <w:rFonts w:ascii="Arial" w:eastAsia="Calibri" w:hAnsi="Arial" w:cs="Arial"/>
          <w:color w:val="000000"/>
        </w:rPr>
        <w:tab/>
        <w:t>Business</w:t>
      </w:r>
      <w:r w:rsidRPr="00544667">
        <w:rPr>
          <w:rFonts w:ascii="Arial" w:eastAsia="Calibri" w:hAnsi="Arial" w:cs="Arial"/>
          <w:color w:val="000000"/>
        </w:rPr>
        <w:tab/>
      </w:r>
      <w:r w:rsidRPr="00544667">
        <w:rPr>
          <w:rFonts w:ascii="Arial" w:eastAsia="Calibri" w:hAnsi="Arial" w:cs="Arial"/>
          <w:color w:val="000000"/>
        </w:rPr>
        <w:tab/>
        <w:t>32 (54.2)</w:t>
      </w:r>
      <w:r w:rsidRPr="00544667">
        <w:rPr>
          <w:rFonts w:ascii="Arial" w:eastAsia="Calibri" w:hAnsi="Arial" w:cs="Arial"/>
          <w:color w:val="000000"/>
        </w:rPr>
        <w:tab/>
        <w:t xml:space="preserve">27 (45.8)             </w:t>
      </w:r>
      <w:r w:rsidR="00D0609B">
        <w:rPr>
          <w:rFonts w:ascii="Arial" w:eastAsia="Calibri" w:hAnsi="Arial" w:cs="Arial"/>
          <w:color w:val="000000"/>
        </w:rPr>
        <w:t xml:space="preserve">             </w:t>
      </w:r>
      <w:r w:rsidRPr="00544667">
        <w:rPr>
          <w:rFonts w:ascii="Arial" w:eastAsia="Calibri" w:hAnsi="Arial" w:cs="Arial"/>
          <w:color w:val="000000"/>
        </w:rPr>
        <w:t>4.157</w:t>
      </w:r>
      <w:r w:rsidRPr="00544667">
        <w:rPr>
          <w:rFonts w:ascii="Arial" w:eastAsia="Calibri" w:hAnsi="Arial" w:cs="Arial"/>
          <w:color w:val="000000"/>
        </w:rPr>
        <w:tab/>
      </w:r>
      <w:r w:rsidR="00D0609B">
        <w:rPr>
          <w:rFonts w:ascii="Arial" w:eastAsia="Calibri" w:hAnsi="Arial" w:cs="Arial"/>
          <w:color w:val="000000"/>
        </w:rPr>
        <w:t xml:space="preserve">     </w:t>
      </w:r>
      <w:r w:rsidRPr="00544667">
        <w:rPr>
          <w:rFonts w:ascii="Arial" w:eastAsia="Calibri" w:hAnsi="Arial" w:cs="Arial"/>
          <w:color w:val="000000"/>
        </w:rPr>
        <w:tab/>
        <w:t>0.12</w:t>
      </w:r>
    </w:p>
    <w:p w14:paraId="12D2D796" w14:textId="77777777" w:rsidR="00EA2E44" w:rsidRPr="00544667" w:rsidRDefault="00EA2E44" w:rsidP="00EA2E44">
      <w:pPr>
        <w:spacing w:line="480" w:lineRule="auto"/>
        <w:contextualSpacing/>
        <w:jc w:val="both"/>
        <w:rPr>
          <w:rFonts w:ascii="Arial" w:eastAsia="Calibri" w:hAnsi="Arial" w:cs="Arial"/>
          <w:color w:val="000000"/>
        </w:rPr>
      </w:pPr>
      <w:r w:rsidRPr="00544667">
        <w:rPr>
          <w:rFonts w:ascii="Arial" w:eastAsia="Calibri" w:hAnsi="Arial" w:cs="Arial"/>
          <w:color w:val="000000"/>
        </w:rPr>
        <w:tab/>
        <w:t>Civil servant</w:t>
      </w:r>
      <w:r w:rsidRPr="00544667">
        <w:rPr>
          <w:rFonts w:ascii="Arial" w:eastAsia="Calibri" w:hAnsi="Arial" w:cs="Arial"/>
          <w:color w:val="000000"/>
        </w:rPr>
        <w:tab/>
      </w:r>
      <w:r w:rsidRPr="00544667">
        <w:rPr>
          <w:rFonts w:ascii="Arial" w:eastAsia="Calibri" w:hAnsi="Arial" w:cs="Arial"/>
          <w:color w:val="000000"/>
        </w:rPr>
        <w:tab/>
        <w:t>39 (54.9)</w:t>
      </w:r>
      <w:r w:rsidRPr="00544667">
        <w:rPr>
          <w:rFonts w:ascii="Arial" w:eastAsia="Calibri" w:hAnsi="Arial" w:cs="Arial"/>
          <w:color w:val="000000"/>
        </w:rPr>
        <w:tab/>
        <w:t>32 (45.1)</w:t>
      </w:r>
    </w:p>
    <w:p w14:paraId="3DA54047" w14:textId="77777777" w:rsidR="00EA2E44" w:rsidRPr="00544667" w:rsidRDefault="00EA2E44" w:rsidP="00EA2E44">
      <w:pPr>
        <w:pBdr>
          <w:bottom w:val="single" w:sz="12" w:space="1" w:color="auto"/>
        </w:pBdr>
        <w:spacing w:line="480" w:lineRule="auto"/>
        <w:contextualSpacing/>
        <w:jc w:val="both"/>
        <w:rPr>
          <w:rFonts w:ascii="Arial" w:eastAsia="Calibri" w:hAnsi="Arial" w:cs="Arial"/>
          <w:color w:val="000000"/>
        </w:rPr>
      </w:pPr>
      <w:r w:rsidRPr="00544667">
        <w:rPr>
          <w:rFonts w:ascii="Arial" w:eastAsia="Calibri" w:hAnsi="Arial" w:cs="Arial"/>
          <w:color w:val="000000"/>
        </w:rPr>
        <w:tab/>
        <w:t>Farming</w:t>
      </w:r>
      <w:r w:rsidRPr="00544667">
        <w:rPr>
          <w:rFonts w:ascii="Arial" w:eastAsia="Calibri" w:hAnsi="Arial" w:cs="Arial"/>
          <w:color w:val="000000"/>
        </w:rPr>
        <w:tab/>
      </w:r>
      <w:r w:rsidRPr="00544667">
        <w:rPr>
          <w:rFonts w:ascii="Arial" w:eastAsia="Calibri" w:hAnsi="Arial" w:cs="Arial"/>
          <w:color w:val="000000"/>
        </w:rPr>
        <w:tab/>
        <w:t>176 (65.2)</w:t>
      </w:r>
      <w:r w:rsidRPr="00544667">
        <w:rPr>
          <w:rFonts w:ascii="Arial" w:eastAsia="Calibri" w:hAnsi="Arial" w:cs="Arial"/>
          <w:color w:val="000000"/>
        </w:rPr>
        <w:tab/>
        <w:t>94 (34.8)</w:t>
      </w:r>
    </w:p>
    <w:p w14:paraId="079FB2C5" w14:textId="77777777" w:rsidR="00EA2E44" w:rsidRPr="00544667" w:rsidRDefault="00EA2E44" w:rsidP="00EA2E44">
      <w:pPr>
        <w:spacing w:line="480" w:lineRule="auto"/>
        <w:jc w:val="both"/>
        <w:rPr>
          <w:rFonts w:ascii="Arial" w:eastAsia="Calibri" w:hAnsi="Arial" w:cs="Arial"/>
          <w:bCs/>
          <w:color w:val="000000"/>
        </w:rPr>
      </w:pPr>
    </w:p>
    <w:p w14:paraId="1499F447" w14:textId="77777777" w:rsidR="007B6287" w:rsidRDefault="007B6287" w:rsidP="007B6287">
      <w:pPr>
        <w:jc w:val="both"/>
        <w:rPr>
          <w:rFonts w:ascii="Arial" w:hAnsi="Arial" w:cs="Arial"/>
          <w:bCs/>
          <w:color w:val="000000" w:themeColor="text1"/>
        </w:rPr>
      </w:pPr>
      <w:r w:rsidRPr="00544667">
        <w:rPr>
          <w:rFonts w:ascii="Arial" w:hAnsi="Arial" w:cs="Arial"/>
          <w:bCs/>
          <w:color w:val="000000" w:themeColor="text1"/>
        </w:rPr>
        <w:t>3.3.2 Knowledge and Hygiene Practices</w:t>
      </w:r>
    </w:p>
    <w:p w14:paraId="713D10EC" w14:textId="77777777" w:rsidR="00544667" w:rsidRPr="00544667" w:rsidRDefault="00544667" w:rsidP="007B6287">
      <w:pPr>
        <w:jc w:val="both"/>
        <w:rPr>
          <w:rFonts w:ascii="Arial" w:hAnsi="Arial" w:cs="Arial"/>
          <w:bCs/>
          <w:color w:val="000000" w:themeColor="text1"/>
        </w:rPr>
      </w:pPr>
    </w:p>
    <w:p w14:paraId="4EBF125D" w14:textId="77777777" w:rsidR="007B6287" w:rsidRDefault="007B6287" w:rsidP="007B6287">
      <w:pPr>
        <w:jc w:val="both"/>
        <w:rPr>
          <w:rFonts w:ascii="Arial" w:hAnsi="Arial" w:cs="Arial"/>
          <w:color w:val="000000" w:themeColor="text1"/>
        </w:rPr>
      </w:pPr>
      <w:r w:rsidRPr="00544667">
        <w:rPr>
          <w:rFonts w:ascii="Arial" w:hAnsi="Arial" w:cs="Arial"/>
          <w:color w:val="000000" w:themeColor="text1"/>
        </w:rPr>
        <w:t>The analysis of knowledge and hygiene</w:t>
      </w:r>
      <w:r w:rsidRPr="007D4103">
        <w:rPr>
          <w:rFonts w:ascii="Arial" w:hAnsi="Arial" w:cs="Arial"/>
          <w:color w:val="000000" w:themeColor="text1"/>
        </w:rPr>
        <w:t xml:space="preserve"> practices associated with Intestinal parasitic infections is shown in Table 4. Knowledge of Intestinal parasitism and hygiene awareness did not significantly impact infection rates, with similar rates observed among those with and without knowledge (37.2% vs. 38.7%, </w:t>
      </w:r>
      <w:r w:rsidRPr="007D4103">
        <w:rPr>
          <w:rFonts w:ascii="Arial" w:hAnsi="Arial" w:cs="Arial"/>
          <w:i/>
          <w:iCs/>
          <w:color w:val="000000" w:themeColor="text1"/>
        </w:rPr>
        <w:t>p</w:t>
      </w:r>
      <w:r w:rsidRPr="007D4103">
        <w:rPr>
          <w:rFonts w:ascii="Arial" w:hAnsi="Arial" w:cs="Arial"/>
          <w:color w:val="000000" w:themeColor="text1"/>
        </w:rPr>
        <w:t xml:space="preserve"> = 0.78) and good versus poor hygiene awareness (39.2% vs. 37.7%, </w:t>
      </w:r>
      <w:r w:rsidRPr="007D4103">
        <w:rPr>
          <w:rFonts w:ascii="Arial" w:hAnsi="Arial" w:cs="Arial"/>
          <w:i/>
          <w:iCs/>
          <w:color w:val="000000" w:themeColor="text1"/>
        </w:rPr>
        <w:t>p</w:t>
      </w:r>
      <w:r w:rsidRPr="007D4103">
        <w:rPr>
          <w:rFonts w:ascii="Arial" w:hAnsi="Arial" w:cs="Arial"/>
          <w:color w:val="000000" w:themeColor="text1"/>
        </w:rPr>
        <w:t xml:space="preserve"> = 0.78). Additionally, the infection rates were similar between children who washed their hands after using the toilet and those who did not (30.4% vs. 38.7%, </w:t>
      </w:r>
      <w:r w:rsidRPr="007D4103">
        <w:rPr>
          <w:rFonts w:ascii="Arial" w:hAnsi="Arial" w:cs="Arial"/>
          <w:i/>
          <w:iCs/>
          <w:color w:val="000000" w:themeColor="text1"/>
        </w:rPr>
        <w:t>p</w:t>
      </w:r>
      <w:r w:rsidRPr="007D4103">
        <w:rPr>
          <w:rFonts w:ascii="Arial" w:hAnsi="Arial" w:cs="Arial"/>
          <w:color w:val="000000" w:themeColor="text1"/>
        </w:rPr>
        <w:t xml:space="preserve"> = 0.43). </w:t>
      </w:r>
    </w:p>
    <w:p w14:paraId="13305187" w14:textId="77777777" w:rsidR="007B6287" w:rsidRPr="007D4103" w:rsidRDefault="007B6287" w:rsidP="007B6287">
      <w:pPr>
        <w:jc w:val="both"/>
        <w:rPr>
          <w:rFonts w:ascii="Arial" w:hAnsi="Arial" w:cs="Arial"/>
          <w:color w:val="000000" w:themeColor="text1"/>
        </w:rPr>
      </w:pPr>
    </w:p>
    <w:p w14:paraId="3FB4766B" w14:textId="77777777" w:rsidR="006D0A8C" w:rsidRDefault="007B6287" w:rsidP="00C14710">
      <w:pPr>
        <w:jc w:val="both"/>
        <w:rPr>
          <w:rFonts w:ascii="Arial" w:hAnsi="Arial" w:cs="Arial"/>
          <w:color w:val="000000" w:themeColor="text1"/>
        </w:rPr>
      </w:pPr>
      <w:r w:rsidRPr="007D4103">
        <w:rPr>
          <w:rFonts w:ascii="Arial" w:hAnsi="Arial" w:cs="Arial"/>
          <w:color w:val="000000" w:themeColor="text1"/>
        </w:rPr>
        <w:t>However, handwashing before eating emerged as a statistically significant factor, albeit with an unexpected direction (</w:t>
      </w:r>
      <w:r w:rsidRPr="007D4103">
        <w:rPr>
          <w:rFonts w:ascii="Arial" w:hAnsi="Arial" w:cs="Arial"/>
          <w:i/>
          <w:iCs/>
          <w:color w:val="000000" w:themeColor="text1"/>
        </w:rPr>
        <w:t>p</w:t>
      </w:r>
      <w:r w:rsidRPr="007D4103">
        <w:rPr>
          <w:rFonts w:ascii="Arial" w:hAnsi="Arial" w:cs="Arial"/>
          <w:color w:val="000000" w:themeColor="text1"/>
        </w:rPr>
        <w:t xml:space="preserve"> = 0.04). Children who reported washing hands before eating had a higher infection rate (43.1%) compared to those who did not (33.2%). This finding may be attributed to reporting bias, reverse causation, or the possibility that handwashing practices alone are insufficient without proper technique or access to clean water.</w:t>
      </w:r>
    </w:p>
    <w:p w14:paraId="092FC090" w14:textId="77777777" w:rsidR="00C14710" w:rsidRPr="00C14710" w:rsidRDefault="00C14710" w:rsidP="00C14710">
      <w:pPr>
        <w:jc w:val="both"/>
        <w:rPr>
          <w:rFonts w:ascii="Arial" w:hAnsi="Arial" w:cs="Arial"/>
          <w:color w:val="000000" w:themeColor="text1"/>
        </w:rPr>
      </w:pPr>
    </w:p>
    <w:p w14:paraId="07FB180D" w14:textId="77777777" w:rsidR="007B6287" w:rsidRPr="007B6287" w:rsidRDefault="007B6287" w:rsidP="007B6287">
      <w:pPr>
        <w:spacing w:line="480" w:lineRule="auto"/>
        <w:jc w:val="both"/>
        <w:rPr>
          <w:rFonts w:ascii="Arial" w:eastAsia="Calibri" w:hAnsi="Arial" w:cs="Arial"/>
          <w:color w:val="000000"/>
        </w:rPr>
      </w:pPr>
      <w:r w:rsidRPr="007B6287">
        <w:rPr>
          <w:rFonts w:ascii="Arial" w:eastAsia="Calibri" w:hAnsi="Arial" w:cs="Arial"/>
          <w:bCs/>
          <w:color w:val="000000"/>
        </w:rPr>
        <w:t xml:space="preserve">Table 4: Bivariate Analysis of Knowledge and Hygiene Practices Associated with Intestinal Parasitic Infection Among Schoolchildren in </w:t>
      </w:r>
      <w:proofErr w:type="spellStart"/>
      <w:r w:rsidRPr="007B6287">
        <w:rPr>
          <w:rFonts w:ascii="Arial" w:eastAsia="STIXGeneral-Regular" w:hAnsi="Arial" w:cs="Arial"/>
          <w:bCs/>
          <w:color w:val="000000"/>
        </w:rPr>
        <w:t>Mashi</w:t>
      </w:r>
      <w:proofErr w:type="spellEnd"/>
      <w:r w:rsidRPr="007B6287">
        <w:rPr>
          <w:rFonts w:ascii="Arial" w:eastAsia="STIXGeneral-Regular" w:hAnsi="Arial" w:cs="Arial"/>
          <w:bCs/>
          <w:color w:val="000000"/>
        </w:rPr>
        <w:t xml:space="preserve"> Local Government Area, Katsina State</w:t>
      </w:r>
    </w:p>
    <w:p w14:paraId="46D665FE" w14:textId="77777777" w:rsidR="007B6287" w:rsidRPr="007B6287" w:rsidRDefault="007B6287" w:rsidP="007B6287">
      <w:pPr>
        <w:pBdr>
          <w:top w:val="single" w:sz="12" w:space="1" w:color="auto"/>
          <w:bottom w:val="single" w:sz="12" w:space="1" w:color="auto"/>
        </w:pBdr>
        <w:spacing w:line="480" w:lineRule="auto"/>
        <w:contextualSpacing/>
        <w:jc w:val="both"/>
        <w:rPr>
          <w:rFonts w:ascii="Arial" w:eastAsia="Calibri" w:hAnsi="Arial" w:cs="Arial"/>
          <w:bCs/>
          <w:color w:val="000000"/>
        </w:rPr>
      </w:pPr>
      <w:r w:rsidRPr="007B6287">
        <w:rPr>
          <w:rFonts w:ascii="Arial" w:eastAsia="Calibri" w:hAnsi="Arial" w:cs="Arial"/>
          <w:bCs/>
          <w:color w:val="000000"/>
        </w:rPr>
        <w:tab/>
      </w:r>
      <w:r w:rsidRPr="007B6287">
        <w:rPr>
          <w:rFonts w:ascii="Arial" w:eastAsia="Calibri" w:hAnsi="Arial" w:cs="Arial"/>
          <w:bCs/>
          <w:color w:val="000000"/>
        </w:rPr>
        <w:tab/>
      </w:r>
      <w:r w:rsidRPr="007B6287">
        <w:rPr>
          <w:rFonts w:ascii="Arial" w:eastAsia="Calibri" w:hAnsi="Arial" w:cs="Arial"/>
          <w:bCs/>
          <w:color w:val="000000"/>
        </w:rPr>
        <w:tab/>
      </w:r>
      <w:r w:rsidRPr="007B6287">
        <w:rPr>
          <w:rFonts w:ascii="Arial" w:eastAsia="Calibri" w:hAnsi="Arial" w:cs="Arial"/>
          <w:bCs/>
          <w:color w:val="000000"/>
        </w:rPr>
        <w:tab/>
      </w:r>
      <w:r w:rsidRPr="007B6287">
        <w:rPr>
          <w:rFonts w:ascii="Arial" w:eastAsia="Calibri" w:hAnsi="Arial" w:cs="Arial"/>
          <w:bCs/>
          <w:color w:val="000000"/>
          <w:u w:val="single"/>
        </w:rPr>
        <w:t>Parasitic Infection, n (%)</w:t>
      </w:r>
      <w:r w:rsidRPr="00544667">
        <w:rPr>
          <w:rFonts w:ascii="Arial" w:eastAsia="Calibri" w:hAnsi="Arial" w:cs="Arial"/>
          <w:bCs/>
          <w:color w:val="000000"/>
        </w:rPr>
        <w:tab/>
        <w:t xml:space="preserve">     </w:t>
      </w:r>
      <w:r w:rsidRPr="007B6287">
        <w:rPr>
          <w:rFonts w:ascii="Arial" w:eastAsia="Calibri" w:hAnsi="Arial" w:cs="Arial"/>
          <w:bCs/>
          <w:color w:val="000000"/>
        </w:rPr>
        <w:t>Chi-square</w:t>
      </w:r>
    </w:p>
    <w:p w14:paraId="2A138EC0" w14:textId="77777777" w:rsidR="007B6287" w:rsidRPr="007B6287" w:rsidRDefault="007B6287" w:rsidP="007B6287">
      <w:pPr>
        <w:pBdr>
          <w:top w:val="single" w:sz="12" w:space="1" w:color="auto"/>
          <w:bottom w:val="single" w:sz="12" w:space="1" w:color="auto"/>
        </w:pBdr>
        <w:spacing w:line="480" w:lineRule="auto"/>
        <w:jc w:val="both"/>
        <w:rPr>
          <w:rFonts w:ascii="Arial" w:eastAsia="Calibri" w:hAnsi="Arial" w:cs="Arial"/>
          <w:bCs/>
          <w:color w:val="000000"/>
        </w:rPr>
      </w:pPr>
      <w:r w:rsidRPr="00544667">
        <w:rPr>
          <w:rFonts w:ascii="Arial" w:eastAsia="Calibri" w:hAnsi="Arial" w:cs="Arial"/>
          <w:bCs/>
          <w:color w:val="000000"/>
        </w:rPr>
        <w:t>Factors</w:t>
      </w:r>
      <w:r w:rsidRPr="00544667">
        <w:rPr>
          <w:rFonts w:ascii="Arial" w:eastAsia="Calibri" w:hAnsi="Arial" w:cs="Arial"/>
          <w:bCs/>
          <w:color w:val="000000"/>
        </w:rPr>
        <w:tab/>
      </w:r>
      <w:r w:rsidRPr="00544667">
        <w:rPr>
          <w:rFonts w:ascii="Arial" w:eastAsia="Calibri" w:hAnsi="Arial" w:cs="Arial"/>
          <w:bCs/>
          <w:color w:val="000000"/>
        </w:rPr>
        <w:tab/>
      </w:r>
      <w:r w:rsidRPr="00544667">
        <w:rPr>
          <w:rFonts w:ascii="Arial" w:eastAsia="Calibri" w:hAnsi="Arial" w:cs="Arial"/>
          <w:bCs/>
          <w:color w:val="000000"/>
        </w:rPr>
        <w:tab/>
        <w:t>Negative</w:t>
      </w:r>
      <w:r w:rsidRPr="00544667">
        <w:rPr>
          <w:rFonts w:ascii="Arial" w:eastAsia="Calibri" w:hAnsi="Arial" w:cs="Arial"/>
          <w:bCs/>
          <w:color w:val="000000"/>
        </w:rPr>
        <w:tab/>
        <w:t>Positive</w:t>
      </w:r>
      <w:r w:rsidRPr="00544667">
        <w:rPr>
          <w:rFonts w:ascii="Arial" w:eastAsia="Calibri" w:hAnsi="Arial" w:cs="Arial"/>
          <w:bCs/>
          <w:color w:val="000000"/>
        </w:rPr>
        <w:tab/>
        <w:t xml:space="preserve">        </w:t>
      </w:r>
      <w:r w:rsidRPr="007B6287">
        <w:rPr>
          <w:rFonts w:ascii="Arial" w:eastAsia="Calibri" w:hAnsi="Arial" w:cs="Arial"/>
          <w:bCs/>
          <w:color w:val="000000"/>
        </w:rPr>
        <w:t>statistics</w:t>
      </w:r>
      <w:r w:rsidRPr="00544667">
        <w:rPr>
          <w:rFonts w:ascii="Arial" w:eastAsia="Calibri" w:hAnsi="Arial" w:cs="Arial"/>
          <w:bCs/>
          <w:color w:val="000000"/>
        </w:rPr>
        <w:t xml:space="preserve"> </w:t>
      </w:r>
      <w:r w:rsidRPr="007B6287">
        <w:rPr>
          <w:rFonts w:ascii="Arial" w:eastAsia="Calibri" w:hAnsi="Arial" w:cs="Arial"/>
          <w:bCs/>
          <w:color w:val="000000"/>
        </w:rPr>
        <w:tab/>
      </w:r>
      <w:r w:rsidRPr="00544667">
        <w:rPr>
          <w:rFonts w:ascii="Arial" w:eastAsia="Calibri" w:hAnsi="Arial" w:cs="Arial"/>
          <w:bCs/>
          <w:color w:val="000000"/>
        </w:rPr>
        <w:t xml:space="preserve">    </w:t>
      </w:r>
      <w:r w:rsidRPr="007B6287">
        <w:rPr>
          <w:rFonts w:ascii="Arial" w:eastAsia="Calibri" w:hAnsi="Arial" w:cs="Arial"/>
          <w:bCs/>
          <w:color w:val="000000"/>
        </w:rPr>
        <w:t>P-value</w:t>
      </w:r>
    </w:p>
    <w:p w14:paraId="4B582E8C" w14:textId="77777777" w:rsidR="007B6287" w:rsidRPr="007B6287" w:rsidRDefault="007B6287" w:rsidP="007B6287">
      <w:pPr>
        <w:spacing w:line="480" w:lineRule="auto"/>
        <w:contextualSpacing/>
        <w:jc w:val="both"/>
        <w:rPr>
          <w:rFonts w:ascii="Arial" w:eastAsia="Calibri" w:hAnsi="Arial" w:cs="Arial"/>
          <w:bCs/>
          <w:color w:val="000000"/>
        </w:rPr>
      </w:pPr>
      <w:r w:rsidRPr="007B6287">
        <w:rPr>
          <w:rFonts w:ascii="Arial" w:eastAsia="Calibri" w:hAnsi="Arial" w:cs="Arial"/>
          <w:bCs/>
          <w:color w:val="000000"/>
        </w:rPr>
        <w:t>Knowledge of IPIs</w:t>
      </w:r>
    </w:p>
    <w:p w14:paraId="10FE7FB0" w14:textId="77777777" w:rsidR="007B6287" w:rsidRPr="007B6287" w:rsidRDefault="007B6287" w:rsidP="007B6287">
      <w:pPr>
        <w:spacing w:line="480" w:lineRule="auto"/>
        <w:contextualSpacing/>
        <w:jc w:val="both"/>
        <w:rPr>
          <w:rFonts w:ascii="Arial" w:eastAsia="Calibri" w:hAnsi="Arial" w:cs="Arial"/>
          <w:color w:val="000000"/>
        </w:rPr>
      </w:pPr>
      <w:r w:rsidRPr="00544667">
        <w:rPr>
          <w:rFonts w:ascii="Arial" w:eastAsia="Calibri" w:hAnsi="Arial" w:cs="Arial"/>
          <w:color w:val="000000"/>
        </w:rPr>
        <w:tab/>
        <w:t>No</w:t>
      </w:r>
      <w:r w:rsidRPr="00544667">
        <w:rPr>
          <w:rFonts w:ascii="Arial" w:eastAsia="Calibri" w:hAnsi="Arial" w:cs="Arial"/>
          <w:color w:val="000000"/>
        </w:rPr>
        <w:tab/>
      </w:r>
      <w:r w:rsidRPr="00544667">
        <w:rPr>
          <w:rFonts w:ascii="Arial" w:eastAsia="Calibri" w:hAnsi="Arial" w:cs="Arial"/>
          <w:color w:val="000000"/>
        </w:rPr>
        <w:tab/>
      </w:r>
      <w:r w:rsidRPr="00544667">
        <w:rPr>
          <w:rFonts w:ascii="Arial" w:eastAsia="Calibri" w:hAnsi="Arial" w:cs="Arial"/>
          <w:color w:val="000000"/>
        </w:rPr>
        <w:tab/>
        <w:t>176 (61.3)</w:t>
      </w:r>
      <w:r w:rsidRPr="00544667">
        <w:rPr>
          <w:rFonts w:ascii="Arial" w:eastAsia="Calibri" w:hAnsi="Arial" w:cs="Arial"/>
          <w:color w:val="000000"/>
        </w:rPr>
        <w:tab/>
        <w:t>111 (38.7)</w:t>
      </w:r>
      <w:r w:rsidRPr="00544667">
        <w:rPr>
          <w:rFonts w:ascii="Arial" w:eastAsia="Calibri" w:hAnsi="Arial" w:cs="Arial"/>
          <w:color w:val="000000"/>
        </w:rPr>
        <w:tab/>
        <w:t xml:space="preserve">          0.078</w:t>
      </w:r>
      <w:r w:rsidRPr="00544667">
        <w:rPr>
          <w:rFonts w:ascii="Arial" w:eastAsia="Calibri" w:hAnsi="Arial" w:cs="Arial"/>
          <w:color w:val="000000"/>
        </w:rPr>
        <w:tab/>
        <w:t xml:space="preserve">       </w:t>
      </w:r>
      <w:r w:rsidRPr="007B6287">
        <w:rPr>
          <w:rFonts w:ascii="Arial" w:eastAsia="Calibri" w:hAnsi="Arial" w:cs="Arial"/>
          <w:color w:val="000000"/>
        </w:rPr>
        <w:t>0.78</w:t>
      </w:r>
    </w:p>
    <w:p w14:paraId="0E7539B7" w14:textId="77777777" w:rsidR="007B6287" w:rsidRPr="007B6287" w:rsidRDefault="007B6287" w:rsidP="007B6287">
      <w:pPr>
        <w:spacing w:line="480" w:lineRule="auto"/>
        <w:contextualSpacing/>
        <w:jc w:val="both"/>
        <w:rPr>
          <w:rFonts w:ascii="Arial" w:eastAsia="Calibri" w:hAnsi="Arial" w:cs="Arial"/>
          <w:color w:val="000000"/>
        </w:rPr>
      </w:pPr>
      <w:r w:rsidRPr="007B6287">
        <w:rPr>
          <w:rFonts w:ascii="Arial" w:eastAsia="Calibri" w:hAnsi="Arial" w:cs="Arial"/>
          <w:color w:val="000000"/>
        </w:rPr>
        <w:tab/>
        <w:t>Yes</w:t>
      </w:r>
      <w:r w:rsidRPr="007B6287">
        <w:rPr>
          <w:rFonts w:ascii="Arial" w:eastAsia="Calibri" w:hAnsi="Arial" w:cs="Arial"/>
          <w:color w:val="000000"/>
        </w:rPr>
        <w:tab/>
      </w:r>
      <w:r w:rsidRPr="007B6287">
        <w:rPr>
          <w:rFonts w:ascii="Arial" w:eastAsia="Calibri" w:hAnsi="Arial" w:cs="Arial"/>
          <w:color w:val="000000"/>
        </w:rPr>
        <w:tab/>
      </w:r>
      <w:r w:rsidRPr="007B6287">
        <w:rPr>
          <w:rFonts w:ascii="Arial" w:eastAsia="Calibri" w:hAnsi="Arial" w:cs="Arial"/>
          <w:color w:val="000000"/>
        </w:rPr>
        <w:tab/>
        <w:t>71 (62.8)</w:t>
      </w:r>
      <w:r w:rsidRPr="007B6287">
        <w:rPr>
          <w:rFonts w:ascii="Arial" w:eastAsia="Calibri" w:hAnsi="Arial" w:cs="Arial"/>
          <w:color w:val="000000"/>
        </w:rPr>
        <w:tab/>
        <w:t>42 (37.2)</w:t>
      </w:r>
    </w:p>
    <w:p w14:paraId="4233CC7D" w14:textId="77777777" w:rsidR="007B6287" w:rsidRPr="007B6287" w:rsidRDefault="007B6287" w:rsidP="007B6287">
      <w:pPr>
        <w:spacing w:line="480" w:lineRule="auto"/>
        <w:contextualSpacing/>
        <w:jc w:val="both"/>
        <w:rPr>
          <w:rFonts w:ascii="Arial" w:eastAsia="Calibri" w:hAnsi="Arial" w:cs="Arial"/>
          <w:bCs/>
          <w:color w:val="000000"/>
        </w:rPr>
      </w:pPr>
      <w:r w:rsidRPr="007B6287">
        <w:rPr>
          <w:rFonts w:ascii="Arial" w:eastAsia="Calibri" w:hAnsi="Arial" w:cs="Arial"/>
          <w:bCs/>
          <w:color w:val="000000"/>
        </w:rPr>
        <w:t>Hygi</w:t>
      </w:r>
      <w:r w:rsidRPr="00544667">
        <w:rPr>
          <w:rFonts w:ascii="Arial" w:eastAsia="Calibri" w:hAnsi="Arial" w:cs="Arial"/>
          <w:bCs/>
          <w:color w:val="000000"/>
        </w:rPr>
        <w:t xml:space="preserve">ene </w:t>
      </w:r>
      <w:proofErr w:type="spellStart"/>
      <w:r w:rsidRPr="00544667">
        <w:rPr>
          <w:rFonts w:ascii="Arial" w:eastAsia="Calibri" w:hAnsi="Arial" w:cs="Arial"/>
          <w:bCs/>
          <w:color w:val="000000"/>
        </w:rPr>
        <w:t>awarenes</w:t>
      </w:r>
      <w:proofErr w:type="spellEnd"/>
    </w:p>
    <w:p w14:paraId="5838BB4A" w14:textId="77777777" w:rsidR="007B6287" w:rsidRPr="007B6287" w:rsidRDefault="007B6287" w:rsidP="007B6287">
      <w:pPr>
        <w:spacing w:line="480" w:lineRule="auto"/>
        <w:contextualSpacing/>
        <w:jc w:val="both"/>
        <w:rPr>
          <w:rFonts w:ascii="Arial" w:eastAsia="Calibri" w:hAnsi="Arial" w:cs="Arial"/>
          <w:color w:val="000000"/>
        </w:rPr>
      </w:pPr>
      <w:r w:rsidRPr="00544667">
        <w:rPr>
          <w:rFonts w:ascii="Arial" w:eastAsia="Calibri" w:hAnsi="Arial" w:cs="Arial"/>
          <w:color w:val="000000"/>
        </w:rPr>
        <w:tab/>
        <w:t>Good</w:t>
      </w:r>
      <w:r w:rsidRPr="00544667">
        <w:rPr>
          <w:rFonts w:ascii="Arial" w:eastAsia="Calibri" w:hAnsi="Arial" w:cs="Arial"/>
          <w:color w:val="000000"/>
        </w:rPr>
        <w:tab/>
      </w:r>
      <w:r w:rsidRPr="00544667">
        <w:rPr>
          <w:rFonts w:ascii="Arial" w:eastAsia="Calibri" w:hAnsi="Arial" w:cs="Arial"/>
          <w:color w:val="000000"/>
        </w:rPr>
        <w:tab/>
      </w:r>
      <w:r w:rsidRPr="00544667">
        <w:rPr>
          <w:rFonts w:ascii="Arial" w:eastAsia="Calibri" w:hAnsi="Arial" w:cs="Arial"/>
          <w:color w:val="000000"/>
        </w:rPr>
        <w:tab/>
        <w:t>87 (60.8)</w:t>
      </w:r>
      <w:r w:rsidRPr="00544667">
        <w:rPr>
          <w:rFonts w:ascii="Arial" w:eastAsia="Calibri" w:hAnsi="Arial" w:cs="Arial"/>
          <w:color w:val="000000"/>
        </w:rPr>
        <w:tab/>
        <w:t>56 (39.2)</w:t>
      </w:r>
      <w:r w:rsidRPr="00544667">
        <w:rPr>
          <w:rFonts w:ascii="Arial" w:eastAsia="Calibri" w:hAnsi="Arial" w:cs="Arial"/>
          <w:color w:val="000000"/>
        </w:rPr>
        <w:tab/>
        <w:t xml:space="preserve">          0.078</w:t>
      </w:r>
      <w:r w:rsidRPr="00544667">
        <w:rPr>
          <w:rFonts w:ascii="Arial" w:eastAsia="Calibri" w:hAnsi="Arial" w:cs="Arial"/>
          <w:color w:val="000000"/>
        </w:rPr>
        <w:tab/>
        <w:t xml:space="preserve">        </w:t>
      </w:r>
      <w:r w:rsidRPr="007B6287">
        <w:rPr>
          <w:rFonts w:ascii="Arial" w:eastAsia="Calibri" w:hAnsi="Arial" w:cs="Arial"/>
          <w:color w:val="000000"/>
        </w:rPr>
        <w:t>0.78</w:t>
      </w:r>
    </w:p>
    <w:p w14:paraId="1375E498" w14:textId="77777777" w:rsidR="007B6287" w:rsidRPr="007B6287" w:rsidRDefault="007B6287" w:rsidP="007B6287">
      <w:pPr>
        <w:spacing w:line="480" w:lineRule="auto"/>
        <w:contextualSpacing/>
        <w:jc w:val="both"/>
        <w:rPr>
          <w:rFonts w:ascii="Arial" w:eastAsia="Calibri" w:hAnsi="Arial" w:cs="Arial"/>
          <w:color w:val="000000"/>
        </w:rPr>
      </w:pPr>
      <w:r w:rsidRPr="007B6287">
        <w:rPr>
          <w:rFonts w:ascii="Arial" w:eastAsia="Calibri" w:hAnsi="Arial" w:cs="Arial"/>
          <w:color w:val="000000"/>
        </w:rPr>
        <w:tab/>
        <w:t>Poor</w:t>
      </w:r>
      <w:r w:rsidRPr="007B6287">
        <w:rPr>
          <w:rFonts w:ascii="Arial" w:eastAsia="Calibri" w:hAnsi="Arial" w:cs="Arial"/>
          <w:color w:val="000000"/>
        </w:rPr>
        <w:tab/>
      </w:r>
      <w:r w:rsidRPr="007B6287">
        <w:rPr>
          <w:rFonts w:ascii="Arial" w:eastAsia="Calibri" w:hAnsi="Arial" w:cs="Arial"/>
          <w:color w:val="000000"/>
        </w:rPr>
        <w:tab/>
      </w:r>
      <w:r w:rsidRPr="007B6287">
        <w:rPr>
          <w:rFonts w:ascii="Arial" w:eastAsia="Calibri" w:hAnsi="Arial" w:cs="Arial"/>
          <w:color w:val="000000"/>
        </w:rPr>
        <w:tab/>
        <w:t>160 (62.3)</w:t>
      </w:r>
      <w:r w:rsidRPr="007B6287">
        <w:rPr>
          <w:rFonts w:ascii="Arial" w:eastAsia="Calibri" w:hAnsi="Arial" w:cs="Arial"/>
          <w:color w:val="000000"/>
        </w:rPr>
        <w:tab/>
        <w:t>97 (37.7)</w:t>
      </w:r>
    </w:p>
    <w:p w14:paraId="2CCF6579" w14:textId="77777777" w:rsidR="007B6287" w:rsidRPr="007B6287" w:rsidRDefault="007B6287" w:rsidP="007B6287">
      <w:pPr>
        <w:spacing w:line="480" w:lineRule="auto"/>
        <w:contextualSpacing/>
        <w:jc w:val="both"/>
        <w:rPr>
          <w:rFonts w:ascii="Arial" w:eastAsia="Calibri" w:hAnsi="Arial" w:cs="Arial"/>
          <w:bCs/>
          <w:color w:val="000000"/>
        </w:rPr>
      </w:pPr>
      <w:r w:rsidRPr="007B6287">
        <w:rPr>
          <w:rFonts w:ascii="Arial" w:eastAsia="Calibri" w:hAnsi="Arial" w:cs="Arial"/>
          <w:bCs/>
          <w:color w:val="000000"/>
        </w:rPr>
        <w:t xml:space="preserve">Handwashing before eating </w:t>
      </w:r>
    </w:p>
    <w:p w14:paraId="2B74AD06" w14:textId="77777777" w:rsidR="007B6287" w:rsidRPr="007B6287" w:rsidRDefault="007B6287" w:rsidP="007B6287">
      <w:pPr>
        <w:spacing w:line="480" w:lineRule="auto"/>
        <w:contextualSpacing/>
        <w:jc w:val="both"/>
        <w:rPr>
          <w:rFonts w:ascii="Arial" w:eastAsia="Calibri" w:hAnsi="Arial" w:cs="Arial"/>
          <w:color w:val="000000"/>
        </w:rPr>
      </w:pPr>
      <w:r w:rsidRPr="00544667">
        <w:rPr>
          <w:rFonts w:ascii="Arial" w:eastAsia="Calibri" w:hAnsi="Arial" w:cs="Arial"/>
          <w:color w:val="000000"/>
        </w:rPr>
        <w:tab/>
        <w:t>No</w:t>
      </w:r>
      <w:r w:rsidRPr="00544667">
        <w:rPr>
          <w:rFonts w:ascii="Arial" w:eastAsia="Calibri" w:hAnsi="Arial" w:cs="Arial"/>
          <w:color w:val="000000"/>
        </w:rPr>
        <w:tab/>
      </w:r>
      <w:r w:rsidRPr="00544667">
        <w:rPr>
          <w:rFonts w:ascii="Arial" w:eastAsia="Calibri" w:hAnsi="Arial" w:cs="Arial"/>
          <w:color w:val="000000"/>
        </w:rPr>
        <w:tab/>
      </w:r>
      <w:r w:rsidRPr="00544667">
        <w:rPr>
          <w:rFonts w:ascii="Arial" w:eastAsia="Calibri" w:hAnsi="Arial" w:cs="Arial"/>
          <w:color w:val="000000"/>
        </w:rPr>
        <w:tab/>
        <w:t>131 (66.8)</w:t>
      </w:r>
      <w:r w:rsidRPr="00544667">
        <w:rPr>
          <w:rFonts w:ascii="Arial" w:eastAsia="Calibri" w:hAnsi="Arial" w:cs="Arial"/>
          <w:color w:val="000000"/>
        </w:rPr>
        <w:tab/>
        <w:t>65 (33.2)</w:t>
      </w:r>
      <w:r w:rsidRPr="00544667">
        <w:rPr>
          <w:rFonts w:ascii="Arial" w:eastAsia="Calibri" w:hAnsi="Arial" w:cs="Arial"/>
          <w:color w:val="000000"/>
        </w:rPr>
        <w:tab/>
        <w:t xml:space="preserve">          4.210</w:t>
      </w:r>
      <w:r w:rsidRPr="00544667">
        <w:rPr>
          <w:rFonts w:ascii="Arial" w:eastAsia="Calibri" w:hAnsi="Arial" w:cs="Arial"/>
          <w:color w:val="000000"/>
        </w:rPr>
        <w:tab/>
        <w:t xml:space="preserve">        </w:t>
      </w:r>
      <w:r w:rsidRPr="007B6287">
        <w:rPr>
          <w:rFonts w:ascii="Arial" w:eastAsia="Calibri" w:hAnsi="Arial" w:cs="Arial"/>
          <w:color w:val="000000"/>
        </w:rPr>
        <w:t>0.04</w:t>
      </w:r>
    </w:p>
    <w:p w14:paraId="361E7F65" w14:textId="77777777" w:rsidR="007B6287" w:rsidRPr="007B6287" w:rsidRDefault="007B6287" w:rsidP="007B6287">
      <w:pPr>
        <w:spacing w:line="480" w:lineRule="auto"/>
        <w:contextualSpacing/>
        <w:jc w:val="both"/>
        <w:rPr>
          <w:rFonts w:ascii="Arial" w:eastAsia="Calibri" w:hAnsi="Arial" w:cs="Arial"/>
          <w:color w:val="000000"/>
        </w:rPr>
      </w:pPr>
      <w:r w:rsidRPr="007B6287">
        <w:rPr>
          <w:rFonts w:ascii="Arial" w:eastAsia="Calibri" w:hAnsi="Arial" w:cs="Arial"/>
          <w:color w:val="000000"/>
        </w:rPr>
        <w:tab/>
        <w:t>Yes</w:t>
      </w:r>
      <w:r w:rsidRPr="007B6287">
        <w:rPr>
          <w:rFonts w:ascii="Arial" w:eastAsia="Calibri" w:hAnsi="Arial" w:cs="Arial"/>
          <w:color w:val="000000"/>
        </w:rPr>
        <w:tab/>
      </w:r>
      <w:r w:rsidRPr="007B6287">
        <w:rPr>
          <w:rFonts w:ascii="Arial" w:eastAsia="Calibri" w:hAnsi="Arial" w:cs="Arial"/>
          <w:color w:val="000000"/>
        </w:rPr>
        <w:tab/>
      </w:r>
      <w:r w:rsidRPr="007B6287">
        <w:rPr>
          <w:rFonts w:ascii="Arial" w:eastAsia="Calibri" w:hAnsi="Arial" w:cs="Arial"/>
          <w:color w:val="000000"/>
        </w:rPr>
        <w:tab/>
        <w:t>116 (56.9)</w:t>
      </w:r>
      <w:r w:rsidRPr="007B6287">
        <w:rPr>
          <w:rFonts w:ascii="Arial" w:eastAsia="Calibri" w:hAnsi="Arial" w:cs="Arial"/>
          <w:color w:val="000000"/>
        </w:rPr>
        <w:tab/>
        <w:t>88 (43.1)</w:t>
      </w:r>
    </w:p>
    <w:p w14:paraId="4B0A12B8" w14:textId="77777777" w:rsidR="007B6287" w:rsidRPr="007B6287" w:rsidRDefault="007B6287" w:rsidP="007B6287">
      <w:pPr>
        <w:spacing w:line="480" w:lineRule="auto"/>
        <w:contextualSpacing/>
        <w:jc w:val="both"/>
        <w:rPr>
          <w:rFonts w:ascii="Arial" w:eastAsia="Calibri" w:hAnsi="Arial" w:cs="Arial"/>
          <w:bCs/>
          <w:color w:val="000000"/>
        </w:rPr>
      </w:pPr>
      <w:r w:rsidRPr="007B6287">
        <w:rPr>
          <w:rFonts w:ascii="Arial" w:eastAsia="Calibri" w:hAnsi="Arial" w:cs="Arial"/>
          <w:bCs/>
          <w:color w:val="000000"/>
        </w:rPr>
        <w:t>Handwashing after toilet</w:t>
      </w:r>
    </w:p>
    <w:p w14:paraId="5C7CEC31" w14:textId="77777777" w:rsidR="007B6287" w:rsidRPr="007B6287" w:rsidRDefault="007B6287" w:rsidP="007B6287">
      <w:pPr>
        <w:spacing w:line="480" w:lineRule="auto"/>
        <w:contextualSpacing/>
        <w:jc w:val="both"/>
        <w:rPr>
          <w:rFonts w:ascii="Arial" w:eastAsia="Calibri" w:hAnsi="Arial" w:cs="Arial"/>
          <w:color w:val="000000"/>
        </w:rPr>
      </w:pPr>
      <w:r w:rsidRPr="007B6287">
        <w:rPr>
          <w:rFonts w:ascii="Arial" w:eastAsia="Calibri" w:hAnsi="Arial" w:cs="Arial"/>
          <w:color w:val="000000"/>
        </w:rPr>
        <w:tab/>
        <w:t>No</w:t>
      </w:r>
      <w:r w:rsidRPr="007B6287">
        <w:rPr>
          <w:rFonts w:ascii="Arial" w:eastAsia="Calibri" w:hAnsi="Arial" w:cs="Arial"/>
          <w:color w:val="000000"/>
        </w:rPr>
        <w:tab/>
      </w:r>
      <w:r w:rsidRPr="007B6287">
        <w:rPr>
          <w:rFonts w:ascii="Arial" w:eastAsia="Calibri" w:hAnsi="Arial" w:cs="Arial"/>
          <w:color w:val="000000"/>
        </w:rPr>
        <w:tab/>
      </w:r>
      <w:r w:rsidRPr="007B6287">
        <w:rPr>
          <w:rFonts w:ascii="Arial" w:eastAsia="Calibri" w:hAnsi="Arial" w:cs="Arial"/>
          <w:color w:val="000000"/>
        </w:rPr>
        <w:tab/>
        <w:t>16 (69.6)</w:t>
      </w:r>
      <w:r w:rsidRPr="007B6287">
        <w:rPr>
          <w:rFonts w:ascii="Arial" w:eastAsia="Calibri" w:hAnsi="Arial" w:cs="Arial"/>
          <w:color w:val="000000"/>
        </w:rPr>
        <w:tab/>
        <w:t>7 (30.4)</w:t>
      </w:r>
      <w:r w:rsidRPr="007B6287">
        <w:rPr>
          <w:rFonts w:ascii="Arial" w:eastAsia="Calibri" w:hAnsi="Arial" w:cs="Arial"/>
          <w:color w:val="000000"/>
        </w:rPr>
        <w:tab/>
      </w:r>
      <w:r w:rsidRPr="007B6287">
        <w:rPr>
          <w:rFonts w:ascii="Arial" w:eastAsia="Calibri" w:hAnsi="Arial" w:cs="Arial"/>
          <w:color w:val="000000"/>
        </w:rPr>
        <w:tab/>
      </w:r>
      <w:r w:rsidRPr="00544667">
        <w:rPr>
          <w:rFonts w:ascii="Arial" w:eastAsia="Calibri" w:hAnsi="Arial" w:cs="Arial"/>
          <w:color w:val="000000"/>
        </w:rPr>
        <w:t xml:space="preserve">         0.631               </w:t>
      </w:r>
      <w:r w:rsidRPr="007B6287">
        <w:rPr>
          <w:rFonts w:ascii="Arial" w:eastAsia="Calibri" w:hAnsi="Arial" w:cs="Arial"/>
          <w:color w:val="000000"/>
        </w:rPr>
        <w:t>0.43</w:t>
      </w:r>
    </w:p>
    <w:p w14:paraId="3F7DFB5A" w14:textId="77777777" w:rsidR="007B6287" w:rsidRPr="007B6287" w:rsidRDefault="007B6287" w:rsidP="007B6287">
      <w:pPr>
        <w:pBdr>
          <w:bottom w:val="single" w:sz="12" w:space="1" w:color="auto"/>
        </w:pBdr>
        <w:spacing w:line="480" w:lineRule="auto"/>
        <w:contextualSpacing/>
        <w:jc w:val="both"/>
        <w:rPr>
          <w:rFonts w:ascii="Arial" w:eastAsia="Calibri" w:hAnsi="Arial" w:cs="Arial"/>
          <w:color w:val="000000"/>
        </w:rPr>
      </w:pPr>
      <w:r w:rsidRPr="007B6287">
        <w:rPr>
          <w:rFonts w:ascii="Arial" w:eastAsia="Calibri" w:hAnsi="Arial" w:cs="Arial"/>
          <w:color w:val="000000"/>
        </w:rPr>
        <w:tab/>
        <w:t>Yes</w:t>
      </w:r>
      <w:r w:rsidRPr="007B6287">
        <w:rPr>
          <w:rFonts w:ascii="Arial" w:eastAsia="Calibri" w:hAnsi="Arial" w:cs="Arial"/>
          <w:color w:val="000000"/>
        </w:rPr>
        <w:tab/>
      </w:r>
      <w:r w:rsidRPr="007B6287">
        <w:rPr>
          <w:rFonts w:ascii="Arial" w:eastAsia="Calibri" w:hAnsi="Arial" w:cs="Arial"/>
          <w:color w:val="000000"/>
        </w:rPr>
        <w:tab/>
      </w:r>
      <w:r w:rsidRPr="007B6287">
        <w:rPr>
          <w:rFonts w:ascii="Arial" w:eastAsia="Calibri" w:hAnsi="Arial" w:cs="Arial"/>
          <w:color w:val="000000"/>
        </w:rPr>
        <w:tab/>
        <w:t>231 (61.3)</w:t>
      </w:r>
      <w:r w:rsidRPr="007B6287">
        <w:rPr>
          <w:rFonts w:ascii="Arial" w:eastAsia="Calibri" w:hAnsi="Arial" w:cs="Arial"/>
          <w:color w:val="000000"/>
        </w:rPr>
        <w:tab/>
        <w:t>146 (38.7)</w:t>
      </w:r>
    </w:p>
    <w:p w14:paraId="5F208695" w14:textId="77777777" w:rsidR="007B6287" w:rsidRPr="00544667" w:rsidRDefault="007B6287" w:rsidP="007B6287">
      <w:pPr>
        <w:spacing w:line="480" w:lineRule="auto"/>
        <w:jc w:val="both"/>
        <w:rPr>
          <w:rFonts w:ascii="Arial" w:eastAsia="Calibri" w:hAnsi="Arial" w:cs="Arial"/>
          <w:bCs/>
          <w:color w:val="000000"/>
        </w:rPr>
      </w:pPr>
    </w:p>
    <w:p w14:paraId="7DD7E8A1" w14:textId="77777777" w:rsidR="007B6287" w:rsidRDefault="00544667" w:rsidP="007B6287">
      <w:pPr>
        <w:jc w:val="both"/>
        <w:rPr>
          <w:rFonts w:ascii="Arial" w:hAnsi="Arial" w:cs="Arial"/>
          <w:bCs/>
          <w:color w:val="000000" w:themeColor="text1"/>
        </w:rPr>
      </w:pPr>
      <w:r>
        <w:rPr>
          <w:rFonts w:ascii="Arial" w:hAnsi="Arial" w:cs="Arial"/>
          <w:bCs/>
          <w:color w:val="000000" w:themeColor="text1"/>
        </w:rPr>
        <w:t xml:space="preserve">3.3.3 </w:t>
      </w:r>
      <w:r w:rsidR="007B6287" w:rsidRPr="00544667">
        <w:rPr>
          <w:rFonts w:ascii="Arial" w:hAnsi="Arial" w:cs="Arial"/>
          <w:bCs/>
          <w:color w:val="000000" w:themeColor="text1"/>
        </w:rPr>
        <w:t>Water, Sanitation and Environmental Factors</w:t>
      </w:r>
    </w:p>
    <w:p w14:paraId="5F0454E8" w14:textId="77777777" w:rsidR="00544667" w:rsidRPr="00544667" w:rsidRDefault="00544667" w:rsidP="007B6287">
      <w:pPr>
        <w:jc w:val="both"/>
        <w:rPr>
          <w:rFonts w:ascii="Arial" w:hAnsi="Arial" w:cs="Arial"/>
          <w:bCs/>
          <w:color w:val="000000" w:themeColor="text1"/>
        </w:rPr>
      </w:pPr>
    </w:p>
    <w:p w14:paraId="443A4231" w14:textId="77777777" w:rsidR="006D0A8C" w:rsidRDefault="007B6287" w:rsidP="00C14710">
      <w:pPr>
        <w:jc w:val="both"/>
        <w:rPr>
          <w:rFonts w:ascii="Arial" w:hAnsi="Arial" w:cs="Arial"/>
          <w:color w:val="000000" w:themeColor="text1"/>
        </w:rPr>
      </w:pPr>
      <w:r w:rsidRPr="00544667">
        <w:rPr>
          <w:rFonts w:ascii="Arial" w:hAnsi="Arial" w:cs="Arial"/>
          <w:color w:val="000000" w:themeColor="text1"/>
        </w:rPr>
        <w:t>Table 5 presents data on the association between water, sanitation, and environmental factors with parasitic infection rates. The source of drinking water was a statistically significant factor (</w:t>
      </w:r>
      <w:r w:rsidRPr="00544667">
        <w:rPr>
          <w:rFonts w:ascii="Arial" w:hAnsi="Arial" w:cs="Arial"/>
          <w:i/>
          <w:iCs/>
          <w:color w:val="000000" w:themeColor="text1"/>
        </w:rPr>
        <w:t>p</w:t>
      </w:r>
      <w:r w:rsidRPr="00544667">
        <w:rPr>
          <w:rFonts w:ascii="Arial" w:hAnsi="Arial" w:cs="Arial"/>
          <w:color w:val="000000" w:themeColor="text1"/>
        </w:rPr>
        <w:t xml:space="preserve"> = 0.007), with children using pipe-borne water having the highest infection rate (51.2%), followed by well water users (36.9%), and reservoir water users having the lowest rat</w:t>
      </w:r>
      <w:r w:rsidRPr="007D4103">
        <w:rPr>
          <w:rFonts w:ascii="Arial" w:hAnsi="Arial" w:cs="Arial"/>
          <w:color w:val="000000" w:themeColor="text1"/>
        </w:rPr>
        <w:t>e (26.6%). Toilet facility type showed variation in infection rates, but the difference was not statistically significant (</w:t>
      </w:r>
      <w:r w:rsidRPr="007D4103">
        <w:rPr>
          <w:rFonts w:ascii="Arial" w:hAnsi="Arial" w:cs="Arial"/>
          <w:i/>
          <w:iCs/>
          <w:color w:val="000000" w:themeColor="text1"/>
        </w:rPr>
        <w:t>p</w:t>
      </w:r>
      <w:r w:rsidRPr="007D4103">
        <w:rPr>
          <w:rFonts w:ascii="Arial" w:hAnsi="Arial" w:cs="Arial"/>
          <w:color w:val="000000" w:themeColor="text1"/>
        </w:rPr>
        <w:t xml:space="preserve"> = 0.12). Shared toilet facilities also did not significantly impact infection rates (</w:t>
      </w:r>
      <w:r w:rsidRPr="007D4103">
        <w:rPr>
          <w:rFonts w:ascii="Arial" w:hAnsi="Arial" w:cs="Arial"/>
          <w:i/>
          <w:iCs/>
          <w:color w:val="000000" w:themeColor="text1"/>
        </w:rPr>
        <w:t>p</w:t>
      </w:r>
      <w:r w:rsidRPr="007D4103">
        <w:rPr>
          <w:rFonts w:ascii="Arial" w:hAnsi="Arial" w:cs="Arial"/>
          <w:color w:val="000000" w:themeColor="text1"/>
        </w:rPr>
        <w:t xml:space="preserve"> = 0.59). Additionally, eating raw food in farms (</w:t>
      </w:r>
      <w:r w:rsidRPr="007D4103">
        <w:rPr>
          <w:rFonts w:ascii="Arial" w:hAnsi="Arial" w:cs="Arial"/>
          <w:i/>
          <w:iCs/>
          <w:color w:val="000000" w:themeColor="text1"/>
        </w:rPr>
        <w:t>p</w:t>
      </w:r>
      <w:r w:rsidRPr="007D4103">
        <w:rPr>
          <w:rFonts w:ascii="Arial" w:hAnsi="Arial" w:cs="Arial"/>
          <w:color w:val="000000" w:themeColor="text1"/>
        </w:rPr>
        <w:t xml:space="preserve"> = 0.40) and wearing foot protection (</w:t>
      </w:r>
      <w:r w:rsidRPr="007D4103">
        <w:rPr>
          <w:rFonts w:ascii="Arial" w:hAnsi="Arial" w:cs="Arial"/>
          <w:i/>
          <w:iCs/>
          <w:color w:val="000000" w:themeColor="text1"/>
        </w:rPr>
        <w:t>p</w:t>
      </w:r>
      <w:r w:rsidRPr="007D4103">
        <w:rPr>
          <w:rFonts w:ascii="Arial" w:hAnsi="Arial" w:cs="Arial"/>
          <w:color w:val="000000" w:themeColor="text1"/>
        </w:rPr>
        <w:t xml:space="preserve"> = 0.33) showed no significant associations with infection rates.</w:t>
      </w:r>
    </w:p>
    <w:p w14:paraId="0A0A1996" w14:textId="77777777" w:rsidR="00C14710" w:rsidRPr="00C14710" w:rsidRDefault="00C14710" w:rsidP="00C14710">
      <w:pPr>
        <w:jc w:val="both"/>
        <w:rPr>
          <w:rFonts w:ascii="Arial" w:hAnsi="Arial" w:cs="Arial"/>
          <w:color w:val="000000" w:themeColor="text1"/>
        </w:rPr>
      </w:pPr>
    </w:p>
    <w:p w14:paraId="4084436B" w14:textId="77777777" w:rsidR="007B6287" w:rsidRPr="00544667" w:rsidRDefault="007B6287" w:rsidP="007B6287">
      <w:pPr>
        <w:spacing w:line="480" w:lineRule="auto"/>
        <w:jc w:val="both"/>
        <w:rPr>
          <w:rFonts w:ascii="Arial" w:hAnsi="Arial" w:cs="Arial"/>
          <w:color w:val="000000" w:themeColor="text1"/>
        </w:rPr>
      </w:pPr>
      <w:r w:rsidRPr="00544667">
        <w:rPr>
          <w:rFonts w:ascii="Arial" w:hAnsi="Arial" w:cs="Arial"/>
          <w:bCs/>
          <w:color w:val="000000" w:themeColor="text1"/>
        </w:rPr>
        <w:t xml:space="preserve">Table 5: Bivariate Analysis of Water, Sanitation and Environmental Factors Associated with Intestinal Parasitic Infection Among Schoolchildren in </w:t>
      </w:r>
      <w:proofErr w:type="spellStart"/>
      <w:r w:rsidRPr="00544667">
        <w:rPr>
          <w:rFonts w:ascii="Arial" w:eastAsia="STIXGeneral-Regular" w:hAnsi="Arial" w:cs="Arial"/>
          <w:bCs/>
          <w:color w:val="000000" w:themeColor="text1"/>
        </w:rPr>
        <w:t>Mashi</w:t>
      </w:r>
      <w:proofErr w:type="spellEnd"/>
      <w:r w:rsidRPr="00544667">
        <w:rPr>
          <w:rFonts w:ascii="Arial" w:eastAsia="STIXGeneral-Regular" w:hAnsi="Arial" w:cs="Arial"/>
          <w:bCs/>
          <w:color w:val="000000" w:themeColor="text1"/>
        </w:rPr>
        <w:t xml:space="preserve"> Local Government Area, Katsina State</w:t>
      </w:r>
    </w:p>
    <w:p w14:paraId="2D1B34FE" w14:textId="77777777" w:rsidR="007B6287" w:rsidRPr="00544667" w:rsidRDefault="007B6287" w:rsidP="007B6287">
      <w:pPr>
        <w:pBdr>
          <w:top w:val="single" w:sz="12" w:space="1" w:color="auto"/>
          <w:bottom w:val="single" w:sz="12" w:space="1" w:color="auto"/>
        </w:pBdr>
        <w:spacing w:line="480" w:lineRule="auto"/>
        <w:contextualSpacing/>
        <w:jc w:val="both"/>
        <w:rPr>
          <w:rFonts w:ascii="Arial" w:hAnsi="Arial" w:cs="Arial"/>
          <w:bCs/>
          <w:color w:val="000000" w:themeColor="text1"/>
        </w:rPr>
      </w:pPr>
      <w:r w:rsidRPr="00544667">
        <w:rPr>
          <w:rFonts w:ascii="Arial" w:hAnsi="Arial" w:cs="Arial"/>
          <w:bCs/>
          <w:color w:val="000000" w:themeColor="text1"/>
        </w:rPr>
        <w:tab/>
      </w:r>
      <w:r w:rsidRPr="00544667">
        <w:rPr>
          <w:rFonts w:ascii="Arial" w:hAnsi="Arial" w:cs="Arial"/>
          <w:bCs/>
          <w:color w:val="000000" w:themeColor="text1"/>
        </w:rPr>
        <w:tab/>
      </w:r>
      <w:r w:rsidRPr="00544667">
        <w:rPr>
          <w:rFonts w:ascii="Arial" w:hAnsi="Arial" w:cs="Arial"/>
          <w:bCs/>
          <w:color w:val="000000" w:themeColor="text1"/>
        </w:rPr>
        <w:tab/>
      </w:r>
      <w:r w:rsidRPr="00544667">
        <w:rPr>
          <w:rFonts w:ascii="Arial" w:hAnsi="Arial" w:cs="Arial"/>
          <w:bCs/>
          <w:color w:val="000000" w:themeColor="text1"/>
        </w:rPr>
        <w:tab/>
      </w:r>
      <w:r w:rsidRPr="00544667">
        <w:rPr>
          <w:rFonts w:ascii="Arial" w:hAnsi="Arial" w:cs="Arial"/>
          <w:bCs/>
          <w:color w:val="000000" w:themeColor="text1"/>
          <w:u w:val="single"/>
        </w:rPr>
        <w:t>Parasitic Infection, n (%)</w:t>
      </w:r>
      <w:r w:rsidRPr="00544667">
        <w:rPr>
          <w:rFonts w:ascii="Arial" w:hAnsi="Arial" w:cs="Arial"/>
          <w:bCs/>
          <w:color w:val="000000" w:themeColor="text1"/>
        </w:rPr>
        <w:tab/>
        <w:t xml:space="preserve"> Chi-square</w:t>
      </w:r>
    </w:p>
    <w:p w14:paraId="07CCB4F1" w14:textId="77777777" w:rsidR="007B6287" w:rsidRPr="00544667" w:rsidRDefault="007B6287" w:rsidP="007B6287">
      <w:pPr>
        <w:pBdr>
          <w:top w:val="single" w:sz="12" w:space="1" w:color="auto"/>
          <w:bottom w:val="single" w:sz="12" w:space="1" w:color="auto"/>
        </w:pBdr>
        <w:spacing w:line="480" w:lineRule="auto"/>
        <w:jc w:val="both"/>
        <w:rPr>
          <w:rFonts w:ascii="Arial" w:hAnsi="Arial" w:cs="Arial"/>
          <w:bCs/>
          <w:color w:val="000000" w:themeColor="text1"/>
        </w:rPr>
      </w:pPr>
      <w:r w:rsidRPr="00544667">
        <w:rPr>
          <w:rFonts w:ascii="Arial" w:hAnsi="Arial" w:cs="Arial"/>
          <w:bCs/>
          <w:color w:val="000000" w:themeColor="text1"/>
        </w:rPr>
        <w:t>Factors</w:t>
      </w:r>
      <w:r w:rsidRPr="00544667">
        <w:rPr>
          <w:rFonts w:ascii="Arial" w:hAnsi="Arial" w:cs="Arial"/>
          <w:bCs/>
          <w:color w:val="000000" w:themeColor="text1"/>
        </w:rPr>
        <w:tab/>
      </w:r>
      <w:r w:rsidRPr="00544667">
        <w:rPr>
          <w:rFonts w:ascii="Arial" w:hAnsi="Arial" w:cs="Arial"/>
          <w:bCs/>
          <w:color w:val="000000" w:themeColor="text1"/>
        </w:rPr>
        <w:tab/>
      </w:r>
      <w:r w:rsidRPr="00544667">
        <w:rPr>
          <w:rFonts w:ascii="Arial" w:hAnsi="Arial" w:cs="Arial"/>
          <w:bCs/>
          <w:color w:val="000000" w:themeColor="text1"/>
        </w:rPr>
        <w:tab/>
        <w:t>Negative</w:t>
      </w:r>
      <w:r w:rsidRPr="00544667">
        <w:rPr>
          <w:rFonts w:ascii="Arial" w:hAnsi="Arial" w:cs="Arial"/>
          <w:bCs/>
          <w:color w:val="000000" w:themeColor="text1"/>
        </w:rPr>
        <w:tab/>
        <w:t>Positive</w:t>
      </w:r>
      <w:proofErr w:type="gramStart"/>
      <w:r w:rsidRPr="00544667">
        <w:rPr>
          <w:rFonts w:ascii="Arial" w:hAnsi="Arial" w:cs="Arial"/>
          <w:bCs/>
          <w:color w:val="000000" w:themeColor="text1"/>
        </w:rPr>
        <w:tab/>
        <w:t xml:space="preserve">  statistics</w:t>
      </w:r>
      <w:proofErr w:type="gramEnd"/>
      <w:r w:rsidRPr="00544667">
        <w:rPr>
          <w:rFonts w:ascii="Arial" w:hAnsi="Arial" w:cs="Arial"/>
          <w:bCs/>
          <w:color w:val="000000" w:themeColor="text1"/>
        </w:rPr>
        <w:tab/>
        <w:t xml:space="preserve">     P-value</w:t>
      </w:r>
    </w:p>
    <w:p w14:paraId="53462BA9" w14:textId="77777777" w:rsidR="007B6287" w:rsidRPr="00544667" w:rsidRDefault="007B6287" w:rsidP="007B6287">
      <w:pPr>
        <w:spacing w:line="480" w:lineRule="auto"/>
        <w:contextualSpacing/>
        <w:jc w:val="both"/>
        <w:rPr>
          <w:rFonts w:ascii="Arial" w:hAnsi="Arial" w:cs="Arial"/>
          <w:bCs/>
          <w:color w:val="000000" w:themeColor="text1"/>
        </w:rPr>
      </w:pPr>
      <w:r w:rsidRPr="00544667">
        <w:rPr>
          <w:rFonts w:ascii="Arial" w:hAnsi="Arial" w:cs="Arial"/>
          <w:bCs/>
          <w:color w:val="000000" w:themeColor="text1"/>
        </w:rPr>
        <w:t>Source of drinking water</w:t>
      </w:r>
    </w:p>
    <w:p w14:paraId="4605CF61" w14:textId="77777777" w:rsidR="007B6287" w:rsidRPr="00544667" w:rsidRDefault="007B6287" w:rsidP="007B6287">
      <w:pPr>
        <w:spacing w:line="480" w:lineRule="auto"/>
        <w:contextualSpacing/>
        <w:jc w:val="both"/>
        <w:rPr>
          <w:rFonts w:ascii="Arial" w:hAnsi="Arial" w:cs="Arial"/>
          <w:bCs/>
          <w:color w:val="000000" w:themeColor="text1"/>
        </w:rPr>
      </w:pPr>
      <w:r w:rsidRPr="00544667">
        <w:rPr>
          <w:rFonts w:ascii="Arial" w:hAnsi="Arial" w:cs="Arial"/>
          <w:color w:val="000000" w:themeColor="text1"/>
        </w:rPr>
        <w:tab/>
        <w:t xml:space="preserve">Pipe borne </w:t>
      </w:r>
      <w:r w:rsidRPr="00544667">
        <w:rPr>
          <w:rFonts w:ascii="Arial" w:hAnsi="Arial" w:cs="Arial"/>
          <w:color w:val="000000" w:themeColor="text1"/>
        </w:rPr>
        <w:tab/>
      </w:r>
      <w:r w:rsidRPr="00544667">
        <w:rPr>
          <w:rFonts w:ascii="Arial" w:hAnsi="Arial" w:cs="Arial"/>
          <w:color w:val="000000" w:themeColor="text1"/>
        </w:rPr>
        <w:tab/>
        <w:t>41 (48.8)</w:t>
      </w:r>
      <w:r w:rsidRPr="00544667">
        <w:rPr>
          <w:rFonts w:ascii="Arial" w:hAnsi="Arial" w:cs="Arial"/>
          <w:color w:val="000000" w:themeColor="text1"/>
        </w:rPr>
        <w:tab/>
        <w:t>43 (51.2)</w:t>
      </w:r>
      <w:r w:rsidRPr="00544667">
        <w:rPr>
          <w:rFonts w:ascii="Arial" w:hAnsi="Arial" w:cs="Arial"/>
          <w:color w:val="000000" w:themeColor="text1"/>
        </w:rPr>
        <w:tab/>
        <w:t xml:space="preserve">    9.850</w:t>
      </w:r>
      <w:r w:rsidRPr="00544667">
        <w:rPr>
          <w:rFonts w:ascii="Arial" w:hAnsi="Arial" w:cs="Arial"/>
          <w:color w:val="000000" w:themeColor="text1"/>
        </w:rPr>
        <w:tab/>
        <w:t xml:space="preserve">     0.007</w:t>
      </w:r>
    </w:p>
    <w:p w14:paraId="67F1A609" w14:textId="77777777" w:rsidR="007B6287" w:rsidRPr="00544667" w:rsidRDefault="007B6287" w:rsidP="007B6287">
      <w:pPr>
        <w:spacing w:line="480" w:lineRule="auto"/>
        <w:contextualSpacing/>
        <w:jc w:val="both"/>
        <w:rPr>
          <w:rFonts w:ascii="Arial" w:hAnsi="Arial" w:cs="Arial"/>
          <w:color w:val="000000" w:themeColor="text1"/>
        </w:rPr>
      </w:pPr>
      <w:r w:rsidRPr="00544667">
        <w:rPr>
          <w:rFonts w:ascii="Arial" w:hAnsi="Arial" w:cs="Arial"/>
          <w:color w:val="000000" w:themeColor="text1"/>
        </w:rPr>
        <w:tab/>
        <w:t>Reservoir</w:t>
      </w:r>
      <w:r w:rsidRPr="00544667">
        <w:rPr>
          <w:rFonts w:ascii="Arial" w:hAnsi="Arial" w:cs="Arial"/>
          <w:color w:val="000000" w:themeColor="text1"/>
        </w:rPr>
        <w:tab/>
      </w:r>
      <w:r w:rsidRPr="00544667">
        <w:rPr>
          <w:rFonts w:ascii="Arial" w:hAnsi="Arial" w:cs="Arial"/>
          <w:color w:val="000000" w:themeColor="text1"/>
        </w:rPr>
        <w:tab/>
        <w:t>47 (73.4)</w:t>
      </w:r>
      <w:r w:rsidRPr="00544667">
        <w:rPr>
          <w:rFonts w:ascii="Arial" w:hAnsi="Arial" w:cs="Arial"/>
          <w:color w:val="000000" w:themeColor="text1"/>
        </w:rPr>
        <w:tab/>
        <w:t>17 (26.6)</w:t>
      </w:r>
    </w:p>
    <w:p w14:paraId="3C7B9364" w14:textId="77777777" w:rsidR="007B6287" w:rsidRPr="00544667" w:rsidRDefault="007B6287" w:rsidP="007B6287">
      <w:pPr>
        <w:spacing w:line="480" w:lineRule="auto"/>
        <w:contextualSpacing/>
        <w:jc w:val="both"/>
        <w:rPr>
          <w:rFonts w:ascii="Arial" w:hAnsi="Arial" w:cs="Arial"/>
          <w:color w:val="000000" w:themeColor="text1"/>
        </w:rPr>
      </w:pPr>
      <w:r w:rsidRPr="00544667">
        <w:rPr>
          <w:rFonts w:ascii="Arial" w:hAnsi="Arial" w:cs="Arial"/>
          <w:color w:val="000000" w:themeColor="text1"/>
        </w:rPr>
        <w:tab/>
        <w:t>Well</w:t>
      </w:r>
      <w:r w:rsidRPr="00544667">
        <w:rPr>
          <w:rFonts w:ascii="Arial" w:hAnsi="Arial" w:cs="Arial"/>
          <w:color w:val="000000" w:themeColor="text1"/>
        </w:rPr>
        <w:tab/>
      </w:r>
      <w:r w:rsidRPr="00544667">
        <w:rPr>
          <w:rFonts w:ascii="Arial" w:hAnsi="Arial" w:cs="Arial"/>
          <w:color w:val="000000" w:themeColor="text1"/>
        </w:rPr>
        <w:tab/>
      </w:r>
      <w:r w:rsidRPr="00544667">
        <w:rPr>
          <w:rFonts w:ascii="Arial" w:hAnsi="Arial" w:cs="Arial"/>
          <w:color w:val="000000" w:themeColor="text1"/>
        </w:rPr>
        <w:tab/>
        <w:t>159 (63.1)</w:t>
      </w:r>
      <w:r w:rsidRPr="00544667">
        <w:rPr>
          <w:rFonts w:ascii="Arial" w:hAnsi="Arial" w:cs="Arial"/>
          <w:color w:val="000000" w:themeColor="text1"/>
        </w:rPr>
        <w:tab/>
        <w:t>93 (36.9)</w:t>
      </w:r>
    </w:p>
    <w:p w14:paraId="6BD24149" w14:textId="77777777" w:rsidR="007B6287" w:rsidRPr="00544667" w:rsidRDefault="007B6287" w:rsidP="007B6287">
      <w:pPr>
        <w:spacing w:line="480" w:lineRule="auto"/>
        <w:contextualSpacing/>
        <w:jc w:val="both"/>
        <w:rPr>
          <w:rFonts w:ascii="Arial" w:hAnsi="Arial" w:cs="Arial"/>
          <w:bCs/>
          <w:color w:val="000000" w:themeColor="text1"/>
        </w:rPr>
      </w:pPr>
      <w:r w:rsidRPr="00544667">
        <w:rPr>
          <w:rFonts w:ascii="Arial" w:hAnsi="Arial" w:cs="Arial"/>
          <w:bCs/>
          <w:color w:val="000000" w:themeColor="text1"/>
        </w:rPr>
        <w:t>Type of toilet facility</w:t>
      </w:r>
    </w:p>
    <w:p w14:paraId="7C1F852D" w14:textId="77777777" w:rsidR="007B6287" w:rsidRPr="00544667" w:rsidRDefault="007B6287" w:rsidP="007B6287">
      <w:pPr>
        <w:spacing w:line="480" w:lineRule="auto"/>
        <w:contextualSpacing/>
        <w:jc w:val="both"/>
        <w:rPr>
          <w:rFonts w:ascii="Arial" w:hAnsi="Arial" w:cs="Arial"/>
          <w:color w:val="000000" w:themeColor="text1"/>
        </w:rPr>
      </w:pPr>
      <w:r w:rsidRPr="00544667">
        <w:rPr>
          <w:rFonts w:ascii="Arial" w:hAnsi="Arial" w:cs="Arial"/>
          <w:color w:val="000000" w:themeColor="text1"/>
        </w:rPr>
        <w:tab/>
        <w:t>Bush</w:t>
      </w:r>
      <w:r w:rsidRPr="00544667">
        <w:rPr>
          <w:rFonts w:ascii="Arial" w:hAnsi="Arial" w:cs="Arial"/>
          <w:color w:val="000000" w:themeColor="text1"/>
        </w:rPr>
        <w:tab/>
      </w:r>
      <w:r w:rsidRPr="00544667">
        <w:rPr>
          <w:rFonts w:ascii="Arial" w:hAnsi="Arial" w:cs="Arial"/>
          <w:color w:val="000000" w:themeColor="text1"/>
        </w:rPr>
        <w:tab/>
      </w:r>
      <w:r w:rsidRPr="00544667">
        <w:rPr>
          <w:rFonts w:ascii="Arial" w:hAnsi="Arial" w:cs="Arial"/>
          <w:color w:val="000000" w:themeColor="text1"/>
        </w:rPr>
        <w:tab/>
        <w:t>12 (57.1)</w:t>
      </w:r>
      <w:r w:rsidRPr="00544667">
        <w:rPr>
          <w:rFonts w:ascii="Arial" w:hAnsi="Arial" w:cs="Arial"/>
          <w:color w:val="000000" w:themeColor="text1"/>
        </w:rPr>
        <w:tab/>
        <w:t>9 (42.9)</w:t>
      </w:r>
      <w:r w:rsidRPr="00544667">
        <w:rPr>
          <w:rFonts w:ascii="Arial" w:hAnsi="Arial" w:cs="Arial"/>
          <w:color w:val="000000" w:themeColor="text1"/>
        </w:rPr>
        <w:tab/>
      </w:r>
      <w:r w:rsidRPr="00544667">
        <w:rPr>
          <w:rFonts w:ascii="Arial" w:hAnsi="Arial" w:cs="Arial"/>
          <w:color w:val="000000" w:themeColor="text1"/>
        </w:rPr>
        <w:tab/>
        <w:t xml:space="preserve">    5.783</w:t>
      </w:r>
      <w:r w:rsidRPr="00544667">
        <w:rPr>
          <w:rFonts w:ascii="Arial" w:hAnsi="Arial" w:cs="Arial"/>
          <w:color w:val="000000" w:themeColor="text1"/>
        </w:rPr>
        <w:tab/>
        <w:t xml:space="preserve">      0.12</w:t>
      </w:r>
    </w:p>
    <w:p w14:paraId="604512B2" w14:textId="77777777" w:rsidR="007B6287" w:rsidRPr="00544667" w:rsidRDefault="007B6287" w:rsidP="007B6287">
      <w:pPr>
        <w:spacing w:line="480" w:lineRule="auto"/>
        <w:contextualSpacing/>
        <w:jc w:val="both"/>
        <w:rPr>
          <w:rFonts w:ascii="Arial" w:hAnsi="Arial" w:cs="Arial"/>
          <w:color w:val="000000" w:themeColor="text1"/>
        </w:rPr>
      </w:pPr>
      <w:r w:rsidRPr="00544667">
        <w:rPr>
          <w:rFonts w:ascii="Arial" w:hAnsi="Arial" w:cs="Arial"/>
          <w:color w:val="000000" w:themeColor="text1"/>
        </w:rPr>
        <w:tab/>
        <w:t>Flush toilet</w:t>
      </w:r>
      <w:r w:rsidRPr="00544667">
        <w:rPr>
          <w:rFonts w:ascii="Arial" w:hAnsi="Arial" w:cs="Arial"/>
          <w:color w:val="000000" w:themeColor="text1"/>
        </w:rPr>
        <w:tab/>
      </w:r>
      <w:r w:rsidRPr="00544667">
        <w:rPr>
          <w:rFonts w:ascii="Arial" w:hAnsi="Arial" w:cs="Arial"/>
          <w:color w:val="000000" w:themeColor="text1"/>
        </w:rPr>
        <w:tab/>
        <w:t>8 (40.0)</w:t>
      </w:r>
      <w:r w:rsidRPr="00544667">
        <w:rPr>
          <w:rFonts w:ascii="Arial" w:hAnsi="Arial" w:cs="Arial"/>
          <w:color w:val="000000" w:themeColor="text1"/>
        </w:rPr>
        <w:tab/>
        <w:t xml:space="preserve">            12 (60.0)</w:t>
      </w:r>
    </w:p>
    <w:p w14:paraId="54EB2089" w14:textId="77777777" w:rsidR="007B6287" w:rsidRPr="00544667" w:rsidRDefault="007B6287" w:rsidP="007B6287">
      <w:pPr>
        <w:spacing w:line="480" w:lineRule="auto"/>
        <w:contextualSpacing/>
        <w:jc w:val="both"/>
        <w:rPr>
          <w:rFonts w:ascii="Arial" w:hAnsi="Arial" w:cs="Arial"/>
          <w:color w:val="000000" w:themeColor="text1"/>
        </w:rPr>
      </w:pPr>
      <w:r w:rsidRPr="00544667">
        <w:rPr>
          <w:rFonts w:ascii="Arial" w:hAnsi="Arial" w:cs="Arial"/>
          <w:color w:val="000000" w:themeColor="text1"/>
        </w:rPr>
        <w:tab/>
        <w:t>Pit latrine</w:t>
      </w:r>
      <w:r w:rsidRPr="00544667">
        <w:rPr>
          <w:rFonts w:ascii="Arial" w:hAnsi="Arial" w:cs="Arial"/>
          <w:color w:val="000000" w:themeColor="text1"/>
        </w:rPr>
        <w:tab/>
      </w:r>
      <w:r w:rsidRPr="00544667">
        <w:rPr>
          <w:rFonts w:ascii="Arial" w:hAnsi="Arial" w:cs="Arial"/>
          <w:color w:val="000000" w:themeColor="text1"/>
        </w:rPr>
        <w:tab/>
        <w:t>224 (63.6)        128 (36.4)</w:t>
      </w:r>
    </w:p>
    <w:p w14:paraId="5B4C1ADC" w14:textId="77777777" w:rsidR="007B6287" w:rsidRPr="00544667" w:rsidRDefault="007B6287" w:rsidP="007B6287">
      <w:pPr>
        <w:spacing w:line="480" w:lineRule="auto"/>
        <w:contextualSpacing/>
        <w:jc w:val="both"/>
        <w:rPr>
          <w:rFonts w:ascii="Arial" w:hAnsi="Arial" w:cs="Arial"/>
          <w:color w:val="000000" w:themeColor="text1"/>
        </w:rPr>
      </w:pPr>
      <w:r w:rsidRPr="00544667">
        <w:rPr>
          <w:rFonts w:ascii="Arial" w:hAnsi="Arial" w:cs="Arial"/>
          <w:color w:val="000000" w:themeColor="text1"/>
        </w:rPr>
        <w:tab/>
        <w:t>Ventilated improved</w:t>
      </w:r>
      <w:r w:rsidRPr="00544667">
        <w:rPr>
          <w:rFonts w:ascii="Arial" w:hAnsi="Arial" w:cs="Arial"/>
          <w:color w:val="000000" w:themeColor="text1"/>
        </w:rPr>
        <w:tab/>
        <w:t>3 (42.9)</w:t>
      </w:r>
      <w:r w:rsidRPr="00544667">
        <w:rPr>
          <w:rFonts w:ascii="Arial" w:hAnsi="Arial" w:cs="Arial"/>
          <w:color w:val="000000" w:themeColor="text1"/>
        </w:rPr>
        <w:tab/>
        <w:t xml:space="preserve">            4 (57.1)</w:t>
      </w:r>
    </w:p>
    <w:p w14:paraId="11AF43C4" w14:textId="77777777" w:rsidR="007B6287" w:rsidRPr="00544667" w:rsidRDefault="007B6287" w:rsidP="007B6287">
      <w:pPr>
        <w:spacing w:line="480" w:lineRule="auto"/>
        <w:contextualSpacing/>
        <w:jc w:val="both"/>
        <w:rPr>
          <w:rFonts w:ascii="Arial" w:hAnsi="Arial" w:cs="Arial"/>
          <w:bCs/>
          <w:color w:val="000000" w:themeColor="text1"/>
        </w:rPr>
      </w:pPr>
      <w:r w:rsidRPr="00544667">
        <w:rPr>
          <w:rFonts w:ascii="Arial" w:hAnsi="Arial" w:cs="Arial"/>
          <w:bCs/>
          <w:color w:val="000000" w:themeColor="text1"/>
        </w:rPr>
        <w:t>Using shared toilet</w:t>
      </w:r>
    </w:p>
    <w:p w14:paraId="0BC76184" w14:textId="77777777" w:rsidR="007B6287" w:rsidRPr="00544667" w:rsidRDefault="007B6287" w:rsidP="007B6287">
      <w:pPr>
        <w:spacing w:line="480" w:lineRule="auto"/>
        <w:contextualSpacing/>
        <w:jc w:val="both"/>
        <w:rPr>
          <w:rFonts w:ascii="Arial" w:hAnsi="Arial" w:cs="Arial"/>
          <w:color w:val="000000" w:themeColor="text1"/>
        </w:rPr>
      </w:pPr>
      <w:r w:rsidRPr="00544667">
        <w:rPr>
          <w:rFonts w:ascii="Arial" w:hAnsi="Arial" w:cs="Arial"/>
          <w:color w:val="000000" w:themeColor="text1"/>
        </w:rPr>
        <w:tab/>
        <w:t>No</w:t>
      </w:r>
      <w:r w:rsidRPr="00544667">
        <w:rPr>
          <w:rFonts w:ascii="Arial" w:hAnsi="Arial" w:cs="Arial"/>
          <w:color w:val="000000" w:themeColor="text1"/>
        </w:rPr>
        <w:tab/>
      </w:r>
      <w:r w:rsidRPr="00544667">
        <w:rPr>
          <w:rFonts w:ascii="Arial" w:hAnsi="Arial" w:cs="Arial"/>
          <w:color w:val="000000" w:themeColor="text1"/>
        </w:rPr>
        <w:tab/>
      </w:r>
      <w:r w:rsidRPr="00544667">
        <w:rPr>
          <w:rFonts w:ascii="Arial" w:hAnsi="Arial" w:cs="Arial"/>
          <w:color w:val="000000" w:themeColor="text1"/>
        </w:rPr>
        <w:tab/>
        <w:t>13 (56.5)</w:t>
      </w:r>
      <w:r w:rsidRPr="00544667">
        <w:rPr>
          <w:rFonts w:ascii="Arial" w:hAnsi="Arial" w:cs="Arial"/>
          <w:color w:val="000000" w:themeColor="text1"/>
        </w:rPr>
        <w:tab/>
        <w:t>10 (43.5)</w:t>
      </w:r>
      <w:r w:rsidRPr="00544667">
        <w:rPr>
          <w:rFonts w:ascii="Arial" w:hAnsi="Arial" w:cs="Arial"/>
          <w:color w:val="000000" w:themeColor="text1"/>
        </w:rPr>
        <w:tab/>
        <w:t xml:space="preserve">    0.282</w:t>
      </w:r>
      <w:r w:rsidRPr="00544667">
        <w:rPr>
          <w:rFonts w:ascii="Arial" w:hAnsi="Arial" w:cs="Arial"/>
          <w:color w:val="000000" w:themeColor="text1"/>
        </w:rPr>
        <w:tab/>
        <w:t xml:space="preserve">       0.59</w:t>
      </w:r>
    </w:p>
    <w:p w14:paraId="7AF4B7FA" w14:textId="77777777" w:rsidR="007B6287" w:rsidRPr="00544667" w:rsidRDefault="007B6287" w:rsidP="007B6287">
      <w:pPr>
        <w:spacing w:line="480" w:lineRule="auto"/>
        <w:contextualSpacing/>
        <w:jc w:val="both"/>
        <w:rPr>
          <w:rFonts w:ascii="Arial" w:hAnsi="Arial" w:cs="Arial"/>
          <w:color w:val="000000" w:themeColor="text1"/>
        </w:rPr>
      </w:pPr>
      <w:r w:rsidRPr="00544667">
        <w:rPr>
          <w:rFonts w:ascii="Arial" w:hAnsi="Arial" w:cs="Arial"/>
          <w:color w:val="000000" w:themeColor="text1"/>
        </w:rPr>
        <w:tab/>
        <w:t>Yes</w:t>
      </w:r>
      <w:r w:rsidRPr="00544667">
        <w:rPr>
          <w:rFonts w:ascii="Arial" w:hAnsi="Arial" w:cs="Arial"/>
          <w:color w:val="000000" w:themeColor="text1"/>
        </w:rPr>
        <w:tab/>
      </w:r>
      <w:r w:rsidRPr="00544667">
        <w:rPr>
          <w:rFonts w:ascii="Arial" w:hAnsi="Arial" w:cs="Arial"/>
          <w:color w:val="000000" w:themeColor="text1"/>
        </w:rPr>
        <w:tab/>
      </w:r>
      <w:r w:rsidRPr="00544667">
        <w:rPr>
          <w:rFonts w:ascii="Arial" w:hAnsi="Arial" w:cs="Arial"/>
          <w:color w:val="000000" w:themeColor="text1"/>
        </w:rPr>
        <w:tab/>
        <w:t>234 (62.1)</w:t>
      </w:r>
      <w:r w:rsidRPr="00544667">
        <w:rPr>
          <w:rFonts w:ascii="Arial" w:hAnsi="Arial" w:cs="Arial"/>
          <w:color w:val="000000" w:themeColor="text1"/>
        </w:rPr>
        <w:tab/>
        <w:t>143 (37.9)</w:t>
      </w:r>
      <w:r w:rsidRPr="00544667">
        <w:rPr>
          <w:rFonts w:ascii="Arial" w:hAnsi="Arial" w:cs="Arial"/>
          <w:color w:val="000000" w:themeColor="text1"/>
        </w:rPr>
        <w:tab/>
      </w:r>
    </w:p>
    <w:p w14:paraId="1942E669" w14:textId="77777777" w:rsidR="007B6287" w:rsidRPr="00544667" w:rsidRDefault="007B6287" w:rsidP="007B6287">
      <w:pPr>
        <w:spacing w:line="480" w:lineRule="auto"/>
        <w:contextualSpacing/>
        <w:jc w:val="both"/>
        <w:rPr>
          <w:rFonts w:ascii="Arial" w:hAnsi="Arial" w:cs="Arial"/>
          <w:bCs/>
          <w:color w:val="000000" w:themeColor="text1"/>
        </w:rPr>
      </w:pPr>
      <w:r w:rsidRPr="00544667">
        <w:rPr>
          <w:rFonts w:ascii="Arial" w:hAnsi="Arial" w:cs="Arial"/>
          <w:bCs/>
          <w:color w:val="000000" w:themeColor="text1"/>
        </w:rPr>
        <w:t>Eating raw food in the farm</w:t>
      </w:r>
    </w:p>
    <w:p w14:paraId="368E15E6" w14:textId="77777777" w:rsidR="007B6287" w:rsidRPr="00544667" w:rsidRDefault="007B6287" w:rsidP="007B6287">
      <w:pPr>
        <w:spacing w:line="480" w:lineRule="auto"/>
        <w:contextualSpacing/>
        <w:jc w:val="both"/>
        <w:rPr>
          <w:rFonts w:ascii="Arial" w:hAnsi="Arial" w:cs="Arial"/>
          <w:color w:val="000000" w:themeColor="text1"/>
        </w:rPr>
      </w:pPr>
      <w:r w:rsidRPr="00544667">
        <w:rPr>
          <w:rFonts w:ascii="Arial" w:hAnsi="Arial" w:cs="Arial"/>
          <w:color w:val="000000" w:themeColor="text1"/>
        </w:rPr>
        <w:tab/>
        <w:t>No</w:t>
      </w:r>
      <w:r w:rsidRPr="00544667">
        <w:rPr>
          <w:rFonts w:ascii="Arial" w:hAnsi="Arial" w:cs="Arial"/>
          <w:color w:val="000000" w:themeColor="text1"/>
        </w:rPr>
        <w:tab/>
      </w:r>
      <w:r w:rsidRPr="00544667">
        <w:rPr>
          <w:rFonts w:ascii="Arial" w:hAnsi="Arial" w:cs="Arial"/>
          <w:color w:val="000000" w:themeColor="text1"/>
        </w:rPr>
        <w:tab/>
      </w:r>
      <w:r w:rsidRPr="00544667">
        <w:rPr>
          <w:rFonts w:ascii="Arial" w:hAnsi="Arial" w:cs="Arial"/>
          <w:color w:val="000000" w:themeColor="text1"/>
        </w:rPr>
        <w:tab/>
        <w:t>91 (64.5)</w:t>
      </w:r>
      <w:r w:rsidRPr="00544667">
        <w:rPr>
          <w:rFonts w:ascii="Arial" w:hAnsi="Arial" w:cs="Arial"/>
          <w:color w:val="000000" w:themeColor="text1"/>
        </w:rPr>
        <w:tab/>
        <w:t>50 (35.5)</w:t>
      </w:r>
      <w:r w:rsidRPr="00544667">
        <w:rPr>
          <w:rFonts w:ascii="Arial" w:hAnsi="Arial" w:cs="Arial"/>
          <w:color w:val="000000" w:themeColor="text1"/>
        </w:rPr>
        <w:tab/>
        <w:t xml:space="preserve">     0.717</w:t>
      </w:r>
      <w:r w:rsidRPr="00544667">
        <w:rPr>
          <w:rFonts w:ascii="Arial" w:hAnsi="Arial" w:cs="Arial"/>
          <w:color w:val="000000" w:themeColor="text1"/>
        </w:rPr>
        <w:tab/>
        <w:t xml:space="preserve">       0.40</w:t>
      </w:r>
    </w:p>
    <w:p w14:paraId="03EAE489" w14:textId="77777777" w:rsidR="007B6287" w:rsidRPr="00544667" w:rsidRDefault="007B6287" w:rsidP="007B6287">
      <w:pPr>
        <w:spacing w:line="480" w:lineRule="auto"/>
        <w:contextualSpacing/>
        <w:jc w:val="both"/>
        <w:rPr>
          <w:rFonts w:ascii="Arial" w:hAnsi="Arial" w:cs="Arial"/>
          <w:color w:val="000000" w:themeColor="text1"/>
        </w:rPr>
      </w:pPr>
      <w:r w:rsidRPr="00544667">
        <w:rPr>
          <w:rFonts w:ascii="Arial" w:hAnsi="Arial" w:cs="Arial"/>
          <w:color w:val="000000" w:themeColor="text1"/>
        </w:rPr>
        <w:tab/>
        <w:t>Yes</w:t>
      </w:r>
      <w:r w:rsidRPr="00544667">
        <w:rPr>
          <w:rFonts w:ascii="Arial" w:hAnsi="Arial" w:cs="Arial"/>
          <w:color w:val="000000" w:themeColor="text1"/>
        </w:rPr>
        <w:tab/>
      </w:r>
      <w:r w:rsidRPr="00544667">
        <w:rPr>
          <w:rFonts w:ascii="Arial" w:hAnsi="Arial" w:cs="Arial"/>
          <w:color w:val="000000" w:themeColor="text1"/>
        </w:rPr>
        <w:tab/>
      </w:r>
      <w:r w:rsidRPr="00544667">
        <w:rPr>
          <w:rFonts w:ascii="Arial" w:hAnsi="Arial" w:cs="Arial"/>
          <w:color w:val="000000" w:themeColor="text1"/>
        </w:rPr>
        <w:tab/>
        <w:t>156 (60.2)</w:t>
      </w:r>
      <w:r w:rsidRPr="00544667">
        <w:rPr>
          <w:rFonts w:ascii="Arial" w:hAnsi="Arial" w:cs="Arial"/>
          <w:color w:val="000000" w:themeColor="text1"/>
        </w:rPr>
        <w:tab/>
        <w:t>103 (39.8)</w:t>
      </w:r>
    </w:p>
    <w:p w14:paraId="654E1649" w14:textId="77777777" w:rsidR="007B6287" w:rsidRPr="00544667" w:rsidRDefault="007B6287" w:rsidP="007B6287">
      <w:pPr>
        <w:spacing w:line="480" w:lineRule="auto"/>
        <w:contextualSpacing/>
        <w:jc w:val="both"/>
        <w:rPr>
          <w:rFonts w:ascii="Arial" w:hAnsi="Arial" w:cs="Arial"/>
          <w:bCs/>
          <w:color w:val="000000" w:themeColor="text1"/>
        </w:rPr>
      </w:pPr>
      <w:r w:rsidRPr="00544667">
        <w:rPr>
          <w:rFonts w:ascii="Arial" w:hAnsi="Arial" w:cs="Arial"/>
          <w:bCs/>
          <w:color w:val="000000" w:themeColor="text1"/>
        </w:rPr>
        <w:t xml:space="preserve">Wearing foot protection </w:t>
      </w:r>
    </w:p>
    <w:p w14:paraId="7FB9E966" w14:textId="77777777" w:rsidR="007B6287" w:rsidRPr="00544667" w:rsidRDefault="007B6287" w:rsidP="007B6287">
      <w:pPr>
        <w:spacing w:line="480" w:lineRule="auto"/>
        <w:contextualSpacing/>
        <w:jc w:val="both"/>
        <w:rPr>
          <w:rFonts w:ascii="Arial" w:hAnsi="Arial" w:cs="Arial"/>
          <w:color w:val="000000" w:themeColor="text1"/>
        </w:rPr>
      </w:pPr>
      <w:r w:rsidRPr="00544667">
        <w:rPr>
          <w:rFonts w:ascii="Arial" w:hAnsi="Arial" w:cs="Arial"/>
          <w:color w:val="000000" w:themeColor="text1"/>
        </w:rPr>
        <w:tab/>
        <w:t>No</w:t>
      </w:r>
      <w:r w:rsidRPr="00544667">
        <w:rPr>
          <w:rFonts w:ascii="Arial" w:hAnsi="Arial" w:cs="Arial"/>
          <w:color w:val="000000" w:themeColor="text1"/>
        </w:rPr>
        <w:tab/>
      </w:r>
      <w:r w:rsidRPr="00544667">
        <w:rPr>
          <w:rFonts w:ascii="Arial" w:hAnsi="Arial" w:cs="Arial"/>
          <w:color w:val="000000" w:themeColor="text1"/>
        </w:rPr>
        <w:tab/>
      </w:r>
      <w:r w:rsidRPr="00544667">
        <w:rPr>
          <w:rFonts w:ascii="Arial" w:hAnsi="Arial" w:cs="Arial"/>
          <w:color w:val="000000" w:themeColor="text1"/>
        </w:rPr>
        <w:tab/>
        <w:t>23 (69.7)</w:t>
      </w:r>
      <w:r w:rsidRPr="00544667">
        <w:rPr>
          <w:rFonts w:ascii="Arial" w:hAnsi="Arial" w:cs="Arial"/>
          <w:color w:val="000000" w:themeColor="text1"/>
        </w:rPr>
        <w:tab/>
        <w:t>10 (30.3)</w:t>
      </w:r>
      <w:r w:rsidRPr="00544667">
        <w:rPr>
          <w:rFonts w:ascii="Arial" w:hAnsi="Arial" w:cs="Arial"/>
          <w:color w:val="000000" w:themeColor="text1"/>
        </w:rPr>
        <w:tab/>
        <w:t xml:space="preserve">     0.962           </w:t>
      </w:r>
      <w:r w:rsidRPr="00544667">
        <w:rPr>
          <w:rFonts w:ascii="Arial" w:hAnsi="Arial" w:cs="Arial"/>
          <w:color w:val="000000" w:themeColor="text1"/>
        </w:rPr>
        <w:tab/>
        <w:t xml:space="preserve">       0.33</w:t>
      </w:r>
    </w:p>
    <w:p w14:paraId="1A3BEA10" w14:textId="77777777" w:rsidR="007B6287" w:rsidRPr="00544667" w:rsidRDefault="007B6287" w:rsidP="007B6287">
      <w:pPr>
        <w:pBdr>
          <w:bottom w:val="single" w:sz="12" w:space="1" w:color="auto"/>
        </w:pBdr>
        <w:spacing w:line="480" w:lineRule="auto"/>
        <w:contextualSpacing/>
        <w:jc w:val="both"/>
        <w:rPr>
          <w:rFonts w:ascii="Arial" w:hAnsi="Arial" w:cs="Arial"/>
          <w:color w:val="000000" w:themeColor="text1"/>
        </w:rPr>
      </w:pPr>
      <w:r w:rsidRPr="00544667">
        <w:rPr>
          <w:rFonts w:ascii="Arial" w:hAnsi="Arial" w:cs="Arial"/>
          <w:color w:val="000000" w:themeColor="text1"/>
        </w:rPr>
        <w:tab/>
        <w:t>Yes</w:t>
      </w:r>
      <w:r w:rsidRPr="00544667">
        <w:rPr>
          <w:rFonts w:ascii="Arial" w:hAnsi="Arial" w:cs="Arial"/>
          <w:color w:val="000000" w:themeColor="text1"/>
        </w:rPr>
        <w:tab/>
      </w:r>
      <w:r w:rsidRPr="00544667">
        <w:rPr>
          <w:rFonts w:ascii="Arial" w:hAnsi="Arial" w:cs="Arial"/>
          <w:color w:val="000000" w:themeColor="text1"/>
        </w:rPr>
        <w:tab/>
      </w:r>
      <w:r w:rsidRPr="00544667">
        <w:rPr>
          <w:rFonts w:ascii="Arial" w:hAnsi="Arial" w:cs="Arial"/>
          <w:color w:val="000000" w:themeColor="text1"/>
        </w:rPr>
        <w:tab/>
        <w:t>224 (61.0)</w:t>
      </w:r>
      <w:r w:rsidRPr="00544667">
        <w:rPr>
          <w:rFonts w:ascii="Arial" w:hAnsi="Arial" w:cs="Arial"/>
          <w:color w:val="000000" w:themeColor="text1"/>
        </w:rPr>
        <w:tab/>
        <w:t>143 (39.0)</w:t>
      </w:r>
    </w:p>
    <w:p w14:paraId="078F32F8" w14:textId="77777777" w:rsidR="007B6287" w:rsidRPr="00544667" w:rsidRDefault="007B6287" w:rsidP="00A306B9">
      <w:pPr>
        <w:jc w:val="both"/>
        <w:rPr>
          <w:rFonts w:ascii="Arial" w:hAnsi="Arial" w:cs="Arial"/>
          <w:bCs/>
          <w:color w:val="000000" w:themeColor="text1"/>
        </w:rPr>
      </w:pPr>
    </w:p>
    <w:p w14:paraId="1BA30EB1" w14:textId="77777777" w:rsidR="00A306B9" w:rsidRPr="00544667" w:rsidRDefault="00A306B9" w:rsidP="00A306B9">
      <w:pPr>
        <w:jc w:val="both"/>
        <w:rPr>
          <w:rFonts w:ascii="Arial" w:hAnsi="Arial" w:cs="Arial"/>
          <w:bCs/>
          <w:color w:val="000000" w:themeColor="text1"/>
        </w:rPr>
      </w:pPr>
      <w:r w:rsidRPr="00544667">
        <w:rPr>
          <w:rFonts w:ascii="Arial" w:hAnsi="Arial" w:cs="Arial"/>
          <w:bCs/>
          <w:color w:val="000000" w:themeColor="text1"/>
        </w:rPr>
        <w:t>3.3.4 Multivariate Analysis</w:t>
      </w:r>
    </w:p>
    <w:p w14:paraId="5977516C" w14:textId="77777777" w:rsidR="00A306B9" w:rsidRPr="00544667" w:rsidRDefault="00A306B9" w:rsidP="00A306B9">
      <w:pPr>
        <w:jc w:val="both"/>
        <w:rPr>
          <w:rFonts w:ascii="Arial" w:hAnsi="Arial" w:cs="Arial"/>
          <w:bCs/>
          <w:color w:val="000000" w:themeColor="text1"/>
        </w:rPr>
      </w:pPr>
    </w:p>
    <w:p w14:paraId="517B941E" w14:textId="77777777" w:rsidR="00A306B9" w:rsidRPr="007D4103" w:rsidRDefault="00A306B9" w:rsidP="00A306B9">
      <w:pPr>
        <w:jc w:val="both"/>
        <w:rPr>
          <w:rFonts w:ascii="Arial" w:hAnsi="Arial" w:cs="Arial"/>
          <w:color w:val="000000" w:themeColor="text1"/>
        </w:rPr>
      </w:pPr>
      <w:r w:rsidRPr="007D4103">
        <w:rPr>
          <w:rFonts w:ascii="Arial" w:hAnsi="Arial" w:cs="Arial"/>
          <w:color w:val="000000" w:themeColor="text1"/>
        </w:rPr>
        <w:lastRenderedPageBreak/>
        <w:t xml:space="preserve">Factors with </w:t>
      </w:r>
      <w:r w:rsidRPr="007D4103">
        <w:rPr>
          <w:rFonts w:ascii="Arial" w:hAnsi="Arial" w:cs="Arial"/>
          <w:i/>
          <w:iCs/>
          <w:color w:val="000000" w:themeColor="text1"/>
        </w:rPr>
        <w:t>p</w:t>
      </w:r>
      <w:r w:rsidRPr="007D4103">
        <w:rPr>
          <w:rFonts w:ascii="Arial" w:hAnsi="Arial" w:cs="Arial"/>
          <w:color w:val="000000" w:themeColor="text1"/>
        </w:rPr>
        <w:t xml:space="preserve"> &lt; 0.10 were inserted into a multivariate logistic regression model (Table 6). The results show the source of drinking water as the primary significant risk factor for Intestinal parasitic infection in this study population. Compared to reservoir water users, pipe-borne water users had a significantly higher risk of infection, with 2.41 times the odds (AOR = 2.41, 95% CI: 1.13-5.15, </w:t>
      </w:r>
      <w:r w:rsidRPr="007D4103">
        <w:rPr>
          <w:rFonts w:ascii="Arial" w:hAnsi="Arial" w:cs="Arial"/>
          <w:i/>
          <w:iCs/>
          <w:color w:val="000000" w:themeColor="text1"/>
        </w:rPr>
        <w:t>p</w:t>
      </w:r>
      <w:r w:rsidRPr="007D4103">
        <w:rPr>
          <w:rFonts w:ascii="Arial" w:hAnsi="Arial" w:cs="Arial"/>
          <w:color w:val="000000" w:themeColor="text1"/>
        </w:rPr>
        <w:t xml:space="preserve"> = 0.02). Well water users also had increased odds of infection (AOR = 1.58), but this did not reach statistical significance (</w:t>
      </w:r>
      <w:r w:rsidRPr="007D4103">
        <w:rPr>
          <w:rFonts w:ascii="Arial" w:hAnsi="Arial" w:cs="Arial"/>
          <w:i/>
          <w:iCs/>
          <w:color w:val="000000" w:themeColor="text1"/>
        </w:rPr>
        <w:t>p</w:t>
      </w:r>
      <w:r w:rsidRPr="007D4103">
        <w:rPr>
          <w:rFonts w:ascii="Arial" w:hAnsi="Arial" w:cs="Arial"/>
          <w:color w:val="000000" w:themeColor="text1"/>
        </w:rPr>
        <w:t xml:space="preserve"> = 0.15).</w:t>
      </w:r>
    </w:p>
    <w:p w14:paraId="0CEE34B8" w14:textId="77777777" w:rsidR="00A306B9" w:rsidRPr="00544667" w:rsidRDefault="00A306B9" w:rsidP="007B6287">
      <w:pPr>
        <w:spacing w:line="480" w:lineRule="auto"/>
        <w:jc w:val="both"/>
        <w:rPr>
          <w:rFonts w:ascii="Arial" w:hAnsi="Arial" w:cs="Arial"/>
          <w:bCs/>
          <w:color w:val="000000" w:themeColor="text1"/>
        </w:rPr>
      </w:pPr>
    </w:p>
    <w:p w14:paraId="296926F3" w14:textId="77777777" w:rsidR="00A306B9" w:rsidRPr="00544667" w:rsidRDefault="00A306B9" w:rsidP="00A306B9">
      <w:pPr>
        <w:spacing w:line="480" w:lineRule="auto"/>
        <w:jc w:val="both"/>
        <w:rPr>
          <w:rFonts w:ascii="Arial" w:hAnsi="Arial" w:cs="Arial"/>
          <w:color w:val="000000" w:themeColor="text1"/>
        </w:rPr>
      </w:pPr>
      <w:r w:rsidRPr="00544667">
        <w:rPr>
          <w:rFonts w:ascii="Arial" w:hAnsi="Arial" w:cs="Arial"/>
          <w:bCs/>
          <w:color w:val="000000" w:themeColor="text1"/>
        </w:rPr>
        <w:t xml:space="preserve">Table 6: Logistics Regression Analysis of Factors Associated with Intestinal Parasitic Infection Among Schoolchildren in </w:t>
      </w:r>
      <w:proofErr w:type="spellStart"/>
      <w:r w:rsidRPr="00544667">
        <w:rPr>
          <w:rFonts w:ascii="Arial" w:eastAsia="STIXGeneral-Regular" w:hAnsi="Arial" w:cs="Arial"/>
          <w:bCs/>
          <w:color w:val="000000" w:themeColor="text1"/>
        </w:rPr>
        <w:t>Mashi</w:t>
      </w:r>
      <w:proofErr w:type="spellEnd"/>
      <w:r w:rsidRPr="00544667">
        <w:rPr>
          <w:rFonts w:ascii="Arial" w:eastAsia="STIXGeneral-Regular" w:hAnsi="Arial" w:cs="Arial"/>
          <w:bCs/>
          <w:color w:val="000000" w:themeColor="text1"/>
        </w:rPr>
        <w:t xml:space="preserve"> Local Government Area, Katsina State</w:t>
      </w:r>
    </w:p>
    <w:p w14:paraId="42080348" w14:textId="77777777" w:rsidR="00A306B9" w:rsidRPr="00544667" w:rsidRDefault="00A306B9" w:rsidP="00A306B9">
      <w:pPr>
        <w:pBdr>
          <w:top w:val="single" w:sz="12" w:space="1" w:color="auto"/>
          <w:bottom w:val="single" w:sz="12" w:space="1" w:color="auto"/>
        </w:pBdr>
        <w:spacing w:line="480" w:lineRule="auto"/>
        <w:jc w:val="both"/>
        <w:rPr>
          <w:rFonts w:ascii="Arial" w:hAnsi="Arial" w:cs="Arial"/>
          <w:bCs/>
          <w:color w:val="000000" w:themeColor="text1"/>
        </w:rPr>
      </w:pPr>
      <w:r w:rsidRPr="00544667">
        <w:rPr>
          <w:rFonts w:ascii="Arial" w:hAnsi="Arial" w:cs="Arial"/>
          <w:bCs/>
          <w:color w:val="000000" w:themeColor="text1"/>
        </w:rPr>
        <w:t>Factor</w:t>
      </w:r>
      <w:r w:rsidRPr="00544667">
        <w:rPr>
          <w:rFonts w:ascii="Arial" w:hAnsi="Arial" w:cs="Arial"/>
          <w:bCs/>
          <w:color w:val="000000" w:themeColor="text1"/>
        </w:rPr>
        <w:tab/>
      </w:r>
      <w:r w:rsidRPr="00544667">
        <w:rPr>
          <w:rFonts w:ascii="Arial" w:hAnsi="Arial" w:cs="Arial"/>
          <w:bCs/>
          <w:color w:val="000000" w:themeColor="text1"/>
        </w:rPr>
        <w:tab/>
      </w:r>
      <w:r w:rsidRPr="00544667">
        <w:rPr>
          <w:rFonts w:ascii="Arial" w:hAnsi="Arial" w:cs="Arial"/>
          <w:bCs/>
          <w:color w:val="000000" w:themeColor="text1"/>
        </w:rPr>
        <w:tab/>
      </w:r>
      <w:r w:rsidRPr="00544667">
        <w:rPr>
          <w:rFonts w:ascii="Arial" w:hAnsi="Arial" w:cs="Arial"/>
          <w:bCs/>
          <w:color w:val="000000" w:themeColor="text1"/>
        </w:rPr>
        <w:tab/>
        <w:t>N</w:t>
      </w:r>
      <w:r w:rsidRPr="00544667">
        <w:rPr>
          <w:rFonts w:ascii="Arial" w:hAnsi="Arial" w:cs="Arial"/>
          <w:bCs/>
          <w:color w:val="000000" w:themeColor="text1"/>
        </w:rPr>
        <w:tab/>
        <w:t>Infected, n (%)</w:t>
      </w:r>
      <w:r w:rsidRPr="00544667">
        <w:rPr>
          <w:rFonts w:ascii="Arial" w:hAnsi="Arial" w:cs="Arial"/>
          <w:bCs/>
          <w:color w:val="000000" w:themeColor="text1"/>
        </w:rPr>
        <w:tab/>
      </w:r>
      <w:r w:rsidR="00317BF1" w:rsidRPr="00544667">
        <w:rPr>
          <w:rFonts w:ascii="Arial" w:hAnsi="Arial" w:cs="Arial"/>
          <w:bCs/>
          <w:color w:val="000000" w:themeColor="text1"/>
        </w:rPr>
        <w:t xml:space="preserve">    </w:t>
      </w:r>
      <w:r w:rsidRPr="00544667">
        <w:rPr>
          <w:rFonts w:ascii="Arial" w:hAnsi="Arial" w:cs="Arial"/>
          <w:bCs/>
          <w:color w:val="000000" w:themeColor="text1"/>
        </w:rPr>
        <w:t>AOR (95% CI)</w:t>
      </w:r>
      <w:r w:rsidRPr="00544667">
        <w:rPr>
          <w:rFonts w:ascii="Arial" w:hAnsi="Arial" w:cs="Arial"/>
          <w:bCs/>
          <w:color w:val="000000" w:themeColor="text1"/>
        </w:rPr>
        <w:tab/>
      </w:r>
      <w:r w:rsidR="00317BF1" w:rsidRPr="00544667">
        <w:rPr>
          <w:rFonts w:ascii="Arial" w:hAnsi="Arial" w:cs="Arial"/>
          <w:bCs/>
          <w:color w:val="000000" w:themeColor="text1"/>
        </w:rPr>
        <w:t xml:space="preserve">     </w:t>
      </w:r>
      <w:r w:rsidRPr="00544667">
        <w:rPr>
          <w:rFonts w:ascii="Arial" w:hAnsi="Arial" w:cs="Arial"/>
          <w:bCs/>
          <w:color w:val="000000" w:themeColor="text1"/>
        </w:rPr>
        <w:t>P-value</w:t>
      </w:r>
    </w:p>
    <w:p w14:paraId="4872B42D" w14:textId="77777777" w:rsidR="00A306B9" w:rsidRPr="00544667" w:rsidRDefault="00A306B9" w:rsidP="00A306B9">
      <w:pPr>
        <w:spacing w:line="480" w:lineRule="auto"/>
        <w:contextualSpacing/>
        <w:jc w:val="both"/>
        <w:rPr>
          <w:rFonts w:ascii="Arial" w:hAnsi="Arial" w:cs="Arial"/>
          <w:bCs/>
          <w:color w:val="000000" w:themeColor="text1"/>
        </w:rPr>
      </w:pPr>
      <w:r w:rsidRPr="00544667">
        <w:rPr>
          <w:rFonts w:ascii="Arial" w:hAnsi="Arial" w:cs="Arial"/>
          <w:bCs/>
          <w:color w:val="000000" w:themeColor="text1"/>
        </w:rPr>
        <w:t>Sources of drinking water</w:t>
      </w:r>
    </w:p>
    <w:p w14:paraId="73770613" w14:textId="77777777" w:rsidR="00317BF1" w:rsidRPr="00544667" w:rsidRDefault="00A306B9" w:rsidP="00A306B9">
      <w:pPr>
        <w:spacing w:line="480" w:lineRule="auto"/>
        <w:contextualSpacing/>
        <w:jc w:val="both"/>
        <w:rPr>
          <w:rFonts w:ascii="Arial" w:hAnsi="Arial" w:cs="Arial"/>
          <w:color w:val="000000" w:themeColor="text1"/>
        </w:rPr>
      </w:pPr>
      <w:r w:rsidRPr="00544667">
        <w:rPr>
          <w:rFonts w:ascii="Arial" w:hAnsi="Arial" w:cs="Arial"/>
          <w:color w:val="000000" w:themeColor="text1"/>
        </w:rPr>
        <w:tab/>
        <w:t>Reservoir (ref.)</w:t>
      </w:r>
      <w:r w:rsidRPr="00544667">
        <w:rPr>
          <w:rFonts w:ascii="Arial" w:hAnsi="Arial" w:cs="Arial"/>
          <w:color w:val="000000" w:themeColor="text1"/>
        </w:rPr>
        <w:tab/>
      </w:r>
      <w:r w:rsidR="00317BF1" w:rsidRPr="00544667">
        <w:rPr>
          <w:rFonts w:ascii="Arial" w:hAnsi="Arial" w:cs="Arial"/>
          <w:color w:val="000000" w:themeColor="text1"/>
        </w:rPr>
        <w:t xml:space="preserve">            </w:t>
      </w:r>
      <w:r w:rsidRPr="00544667">
        <w:rPr>
          <w:rFonts w:ascii="Arial" w:hAnsi="Arial" w:cs="Arial"/>
          <w:color w:val="000000" w:themeColor="text1"/>
        </w:rPr>
        <w:t>64</w:t>
      </w:r>
      <w:r w:rsidRPr="00544667">
        <w:rPr>
          <w:rFonts w:ascii="Arial" w:hAnsi="Arial" w:cs="Arial"/>
          <w:color w:val="000000" w:themeColor="text1"/>
        </w:rPr>
        <w:tab/>
        <w:t>17 (26.6)</w:t>
      </w:r>
      <w:r w:rsidRPr="00544667">
        <w:rPr>
          <w:rFonts w:ascii="Arial" w:hAnsi="Arial" w:cs="Arial"/>
          <w:color w:val="000000" w:themeColor="text1"/>
        </w:rPr>
        <w:tab/>
      </w:r>
      <w:r w:rsidRPr="00544667">
        <w:rPr>
          <w:rFonts w:ascii="Arial" w:hAnsi="Arial" w:cs="Arial"/>
          <w:color w:val="000000" w:themeColor="text1"/>
        </w:rPr>
        <w:tab/>
        <w:t>1.0</w:t>
      </w:r>
    </w:p>
    <w:p w14:paraId="3830FE0A" w14:textId="77777777" w:rsidR="00A306B9" w:rsidRPr="00544667" w:rsidRDefault="00317BF1" w:rsidP="00A306B9">
      <w:pPr>
        <w:spacing w:line="480" w:lineRule="auto"/>
        <w:contextualSpacing/>
        <w:jc w:val="both"/>
        <w:rPr>
          <w:rFonts w:ascii="Arial" w:hAnsi="Arial" w:cs="Arial"/>
          <w:color w:val="000000" w:themeColor="text1"/>
        </w:rPr>
      </w:pPr>
      <w:r w:rsidRPr="00544667">
        <w:rPr>
          <w:rFonts w:ascii="Arial" w:hAnsi="Arial" w:cs="Arial"/>
          <w:color w:val="000000" w:themeColor="text1"/>
        </w:rPr>
        <w:tab/>
        <w:t>Well</w:t>
      </w:r>
      <w:r w:rsidRPr="00544667">
        <w:rPr>
          <w:rFonts w:ascii="Arial" w:hAnsi="Arial" w:cs="Arial"/>
          <w:color w:val="000000" w:themeColor="text1"/>
        </w:rPr>
        <w:tab/>
      </w:r>
      <w:r w:rsidRPr="00544667">
        <w:rPr>
          <w:rFonts w:ascii="Arial" w:hAnsi="Arial" w:cs="Arial"/>
          <w:color w:val="000000" w:themeColor="text1"/>
        </w:rPr>
        <w:tab/>
        <w:t xml:space="preserve">            252</w:t>
      </w:r>
      <w:r w:rsidRPr="00544667">
        <w:rPr>
          <w:rFonts w:ascii="Arial" w:hAnsi="Arial" w:cs="Arial"/>
          <w:color w:val="000000" w:themeColor="text1"/>
        </w:rPr>
        <w:tab/>
        <w:t>93 (36.9)</w:t>
      </w:r>
      <w:r w:rsidRPr="00544667">
        <w:rPr>
          <w:rFonts w:ascii="Arial" w:hAnsi="Arial" w:cs="Arial"/>
          <w:color w:val="000000" w:themeColor="text1"/>
        </w:rPr>
        <w:tab/>
      </w:r>
      <w:r w:rsidRPr="00544667">
        <w:rPr>
          <w:rFonts w:ascii="Arial" w:hAnsi="Arial" w:cs="Arial"/>
          <w:color w:val="000000" w:themeColor="text1"/>
        </w:rPr>
        <w:tab/>
        <w:t xml:space="preserve">1.58 (0.84 – 2.98)       </w:t>
      </w:r>
      <w:r w:rsidR="00A306B9" w:rsidRPr="00544667">
        <w:rPr>
          <w:rFonts w:ascii="Arial" w:hAnsi="Arial" w:cs="Arial"/>
          <w:color w:val="000000" w:themeColor="text1"/>
        </w:rPr>
        <w:t>0.15</w:t>
      </w:r>
    </w:p>
    <w:p w14:paraId="4A8E9847" w14:textId="77777777" w:rsidR="00A306B9" w:rsidRPr="00544667" w:rsidRDefault="00317BF1" w:rsidP="00A306B9">
      <w:pPr>
        <w:spacing w:line="480" w:lineRule="auto"/>
        <w:contextualSpacing/>
        <w:jc w:val="both"/>
        <w:rPr>
          <w:rFonts w:ascii="Arial" w:hAnsi="Arial" w:cs="Arial"/>
          <w:color w:val="000000" w:themeColor="text1"/>
        </w:rPr>
      </w:pPr>
      <w:r w:rsidRPr="00544667">
        <w:rPr>
          <w:rFonts w:ascii="Arial" w:hAnsi="Arial" w:cs="Arial"/>
          <w:color w:val="000000" w:themeColor="text1"/>
        </w:rPr>
        <w:tab/>
        <w:t>Pipe borne</w:t>
      </w:r>
      <w:r w:rsidRPr="00544667">
        <w:rPr>
          <w:rFonts w:ascii="Arial" w:hAnsi="Arial" w:cs="Arial"/>
          <w:color w:val="000000" w:themeColor="text1"/>
        </w:rPr>
        <w:tab/>
      </w:r>
      <w:r w:rsidRPr="00544667">
        <w:rPr>
          <w:rFonts w:ascii="Arial" w:hAnsi="Arial" w:cs="Arial"/>
          <w:color w:val="000000" w:themeColor="text1"/>
        </w:rPr>
        <w:tab/>
        <w:t>84</w:t>
      </w:r>
      <w:r w:rsidRPr="00544667">
        <w:rPr>
          <w:rFonts w:ascii="Arial" w:hAnsi="Arial" w:cs="Arial"/>
          <w:color w:val="000000" w:themeColor="text1"/>
        </w:rPr>
        <w:tab/>
        <w:t>43 (51.2)</w:t>
      </w:r>
      <w:r w:rsidRPr="00544667">
        <w:rPr>
          <w:rFonts w:ascii="Arial" w:hAnsi="Arial" w:cs="Arial"/>
          <w:color w:val="000000" w:themeColor="text1"/>
        </w:rPr>
        <w:tab/>
      </w:r>
      <w:r w:rsidRPr="00544667">
        <w:rPr>
          <w:rFonts w:ascii="Arial" w:hAnsi="Arial" w:cs="Arial"/>
          <w:color w:val="000000" w:themeColor="text1"/>
        </w:rPr>
        <w:tab/>
        <w:t xml:space="preserve">2.41 (1.13 – 5.15)       </w:t>
      </w:r>
      <w:r w:rsidR="00A306B9" w:rsidRPr="00544667">
        <w:rPr>
          <w:rFonts w:ascii="Arial" w:hAnsi="Arial" w:cs="Arial"/>
          <w:color w:val="000000" w:themeColor="text1"/>
        </w:rPr>
        <w:t>0.02</w:t>
      </w:r>
    </w:p>
    <w:p w14:paraId="5B74C30B" w14:textId="77777777" w:rsidR="00A306B9" w:rsidRPr="00544667" w:rsidRDefault="00A306B9" w:rsidP="00A306B9">
      <w:pPr>
        <w:spacing w:line="480" w:lineRule="auto"/>
        <w:contextualSpacing/>
        <w:jc w:val="both"/>
        <w:rPr>
          <w:rFonts w:ascii="Arial" w:hAnsi="Arial" w:cs="Arial"/>
          <w:bCs/>
          <w:color w:val="000000" w:themeColor="text1"/>
        </w:rPr>
      </w:pPr>
      <w:r w:rsidRPr="00544667">
        <w:rPr>
          <w:rFonts w:ascii="Arial" w:hAnsi="Arial" w:cs="Arial"/>
          <w:bCs/>
          <w:color w:val="000000" w:themeColor="text1"/>
        </w:rPr>
        <w:t xml:space="preserve">Handwashing before eating </w:t>
      </w:r>
    </w:p>
    <w:p w14:paraId="296B6260" w14:textId="77777777" w:rsidR="00A306B9" w:rsidRPr="00544667" w:rsidRDefault="00A306B9" w:rsidP="00A306B9">
      <w:pPr>
        <w:spacing w:line="480" w:lineRule="auto"/>
        <w:contextualSpacing/>
        <w:jc w:val="both"/>
        <w:rPr>
          <w:rFonts w:ascii="Arial" w:hAnsi="Arial" w:cs="Arial"/>
          <w:color w:val="000000" w:themeColor="text1"/>
        </w:rPr>
      </w:pPr>
      <w:r w:rsidRPr="00544667">
        <w:rPr>
          <w:rFonts w:ascii="Arial" w:hAnsi="Arial" w:cs="Arial"/>
          <w:color w:val="000000" w:themeColor="text1"/>
        </w:rPr>
        <w:tab/>
        <w:t>No (ref.)</w:t>
      </w:r>
      <w:r w:rsidRPr="00544667">
        <w:rPr>
          <w:rFonts w:ascii="Arial" w:hAnsi="Arial" w:cs="Arial"/>
          <w:color w:val="000000" w:themeColor="text1"/>
        </w:rPr>
        <w:tab/>
      </w:r>
      <w:r w:rsidRPr="00544667">
        <w:rPr>
          <w:rFonts w:ascii="Arial" w:hAnsi="Arial" w:cs="Arial"/>
          <w:color w:val="000000" w:themeColor="text1"/>
        </w:rPr>
        <w:tab/>
        <w:t>196</w:t>
      </w:r>
      <w:r w:rsidRPr="00544667">
        <w:rPr>
          <w:rFonts w:ascii="Arial" w:hAnsi="Arial" w:cs="Arial"/>
          <w:color w:val="000000" w:themeColor="text1"/>
        </w:rPr>
        <w:tab/>
        <w:t>65 (33.2)</w:t>
      </w:r>
      <w:r w:rsidRPr="00544667">
        <w:rPr>
          <w:rFonts w:ascii="Arial" w:hAnsi="Arial" w:cs="Arial"/>
          <w:color w:val="000000" w:themeColor="text1"/>
        </w:rPr>
        <w:tab/>
      </w:r>
      <w:r w:rsidRPr="00544667">
        <w:rPr>
          <w:rFonts w:ascii="Arial" w:hAnsi="Arial" w:cs="Arial"/>
          <w:color w:val="000000" w:themeColor="text1"/>
        </w:rPr>
        <w:tab/>
        <w:t>1.0</w:t>
      </w:r>
    </w:p>
    <w:p w14:paraId="17A9CD80" w14:textId="77777777" w:rsidR="00A306B9" w:rsidRPr="00544667" w:rsidRDefault="00A306B9" w:rsidP="00A306B9">
      <w:pPr>
        <w:spacing w:line="480" w:lineRule="auto"/>
        <w:contextualSpacing/>
        <w:jc w:val="both"/>
        <w:rPr>
          <w:rFonts w:ascii="Arial" w:hAnsi="Arial" w:cs="Arial"/>
          <w:color w:val="000000" w:themeColor="text1"/>
        </w:rPr>
      </w:pPr>
      <w:r w:rsidRPr="00544667">
        <w:rPr>
          <w:rFonts w:ascii="Arial" w:hAnsi="Arial" w:cs="Arial"/>
          <w:color w:val="000000" w:themeColor="text1"/>
        </w:rPr>
        <w:tab/>
        <w:t>Yes</w:t>
      </w:r>
      <w:r w:rsidRPr="00544667">
        <w:rPr>
          <w:rFonts w:ascii="Arial" w:hAnsi="Arial" w:cs="Arial"/>
          <w:color w:val="000000" w:themeColor="text1"/>
        </w:rPr>
        <w:tab/>
      </w:r>
      <w:r w:rsidRPr="00544667">
        <w:rPr>
          <w:rFonts w:ascii="Arial" w:hAnsi="Arial" w:cs="Arial"/>
          <w:color w:val="000000" w:themeColor="text1"/>
        </w:rPr>
        <w:tab/>
      </w:r>
      <w:r w:rsidRPr="00544667">
        <w:rPr>
          <w:rFonts w:ascii="Arial" w:hAnsi="Arial" w:cs="Arial"/>
          <w:color w:val="000000" w:themeColor="text1"/>
        </w:rPr>
        <w:tab/>
        <w:t>20</w:t>
      </w:r>
      <w:r w:rsidR="00317BF1" w:rsidRPr="00544667">
        <w:rPr>
          <w:rFonts w:ascii="Arial" w:hAnsi="Arial" w:cs="Arial"/>
          <w:color w:val="000000" w:themeColor="text1"/>
        </w:rPr>
        <w:t>4</w:t>
      </w:r>
      <w:r w:rsidR="00317BF1" w:rsidRPr="00544667">
        <w:rPr>
          <w:rFonts w:ascii="Arial" w:hAnsi="Arial" w:cs="Arial"/>
          <w:color w:val="000000" w:themeColor="text1"/>
        </w:rPr>
        <w:tab/>
        <w:t>88 (43.1)</w:t>
      </w:r>
      <w:r w:rsidR="00317BF1" w:rsidRPr="00544667">
        <w:rPr>
          <w:rFonts w:ascii="Arial" w:hAnsi="Arial" w:cs="Arial"/>
          <w:color w:val="000000" w:themeColor="text1"/>
        </w:rPr>
        <w:tab/>
      </w:r>
      <w:r w:rsidR="00317BF1" w:rsidRPr="00544667">
        <w:rPr>
          <w:rFonts w:ascii="Arial" w:hAnsi="Arial" w:cs="Arial"/>
          <w:color w:val="000000" w:themeColor="text1"/>
        </w:rPr>
        <w:tab/>
        <w:t xml:space="preserve">1.37 (0.90 – 2.08)       </w:t>
      </w:r>
      <w:r w:rsidRPr="00544667">
        <w:rPr>
          <w:rFonts w:ascii="Arial" w:hAnsi="Arial" w:cs="Arial"/>
          <w:color w:val="000000" w:themeColor="text1"/>
        </w:rPr>
        <w:t>0.14</w:t>
      </w:r>
    </w:p>
    <w:p w14:paraId="683D6C0F" w14:textId="77777777" w:rsidR="00A306B9" w:rsidRPr="00544667" w:rsidRDefault="00A306B9" w:rsidP="00A306B9">
      <w:pPr>
        <w:spacing w:line="480" w:lineRule="auto"/>
        <w:contextualSpacing/>
        <w:jc w:val="both"/>
        <w:rPr>
          <w:rFonts w:ascii="Arial" w:hAnsi="Arial" w:cs="Arial"/>
          <w:bCs/>
          <w:color w:val="000000" w:themeColor="text1"/>
        </w:rPr>
      </w:pPr>
      <w:r w:rsidRPr="00544667">
        <w:rPr>
          <w:rFonts w:ascii="Arial" w:hAnsi="Arial" w:cs="Arial"/>
          <w:bCs/>
          <w:color w:val="000000" w:themeColor="text1"/>
        </w:rPr>
        <w:t>School</w:t>
      </w:r>
    </w:p>
    <w:p w14:paraId="17675D02" w14:textId="77777777" w:rsidR="00A306B9" w:rsidRPr="00544667" w:rsidRDefault="00A306B9" w:rsidP="00A306B9">
      <w:pPr>
        <w:spacing w:line="480" w:lineRule="auto"/>
        <w:contextualSpacing/>
        <w:jc w:val="both"/>
        <w:rPr>
          <w:rFonts w:ascii="Arial" w:hAnsi="Arial" w:cs="Arial"/>
          <w:color w:val="000000" w:themeColor="text1"/>
        </w:rPr>
      </w:pPr>
      <w:r w:rsidRPr="00544667">
        <w:rPr>
          <w:rFonts w:ascii="Arial" w:hAnsi="Arial" w:cs="Arial"/>
          <w:color w:val="000000" w:themeColor="text1"/>
        </w:rPr>
        <w:tab/>
        <w:t>Doka (ref.)</w:t>
      </w:r>
      <w:r w:rsidRPr="00544667">
        <w:rPr>
          <w:rFonts w:ascii="Arial" w:hAnsi="Arial" w:cs="Arial"/>
          <w:color w:val="000000" w:themeColor="text1"/>
        </w:rPr>
        <w:tab/>
      </w:r>
      <w:r w:rsidRPr="00544667">
        <w:rPr>
          <w:rFonts w:ascii="Arial" w:hAnsi="Arial" w:cs="Arial"/>
          <w:color w:val="000000" w:themeColor="text1"/>
        </w:rPr>
        <w:tab/>
        <w:t>100</w:t>
      </w:r>
      <w:r w:rsidRPr="00544667">
        <w:rPr>
          <w:rFonts w:ascii="Arial" w:hAnsi="Arial" w:cs="Arial"/>
          <w:color w:val="000000" w:themeColor="text1"/>
        </w:rPr>
        <w:tab/>
        <w:t>31 (31.0)</w:t>
      </w:r>
      <w:r w:rsidRPr="00544667">
        <w:rPr>
          <w:rFonts w:ascii="Arial" w:hAnsi="Arial" w:cs="Arial"/>
          <w:color w:val="000000" w:themeColor="text1"/>
        </w:rPr>
        <w:tab/>
      </w:r>
      <w:r w:rsidRPr="00544667">
        <w:rPr>
          <w:rFonts w:ascii="Arial" w:hAnsi="Arial" w:cs="Arial"/>
          <w:color w:val="000000" w:themeColor="text1"/>
        </w:rPr>
        <w:tab/>
        <w:t>1.0</w:t>
      </w:r>
    </w:p>
    <w:p w14:paraId="7367DC3B" w14:textId="77777777" w:rsidR="00A306B9" w:rsidRPr="00544667" w:rsidRDefault="00A306B9" w:rsidP="00A306B9">
      <w:pPr>
        <w:spacing w:line="480" w:lineRule="auto"/>
        <w:contextualSpacing/>
        <w:jc w:val="both"/>
        <w:rPr>
          <w:rFonts w:ascii="Arial" w:hAnsi="Arial" w:cs="Arial"/>
          <w:color w:val="000000" w:themeColor="text1"/>
        </w:rPr>
      </w:pPr>
      <w:r w:rsidRPr="00544667">
        <w:rPr>
          <w:rFonts w:ascii="Arial" w:hAnsi="Arial" w:cs="Arial"/>
          <w:color w:val="000000" w:themeColor="text1"/>
        </w:rPr>
        <w:tab/>
      </w:r>
      <w:proofErr w:type="spellStart"/>
      <w:r w:rsidRPr="00544667">
        <w:rPr>
          <w:rFonts w:ascii="Arial" w:hAnsi="Arial" w:cs="Arial"/>
          <w:color w:val="000000" w:themeColor="text1"/>
        </w:rPr>
        <w:t>Tamilo</w:t>
      </w:r>
      <w:proofErr w:type="spellEnd"/>
      <w:r w:rsidRPr="00544667">
        <w:rPr>
          <w:rFonts w:ascii="Arial" w:hAnsi="Arial" w:cs="Arial"/>
          <w:color w:val="000000" w:themeColor="text1"/>
        </w:rPr>
        <w:tab/>
      </w:r>
      <w:r w:rsidRPr="00544667">
        <w:rPr>
          <w:rFonts w:ascii="Arial" w:hAnsi="Arial" w:cs="Arial"/>
          <w:color w:val="000000" w:themeColor="text1"/>
        </w:rPr>
        <w:tab/>
      </w:r>
      <w:r w:rsidRPr="00544667">
        <w:rPr>
          <w:rFonts w:ascii="Arial" w:hAnsi="Arial" w:cs="Arial"/>
          <w:color w:val="000000" w:themeColor="text1"/>
        </w:rPr>
        <w:tab/>
        <w:t>10</w:t>
      </w:r>
      <w:r w:rsidR="00317BF1" w:rsidRPr="00544667">
        <w:rPr>
          <w:rFonts w:ascii="Arial" w:hAnsi="Arial" w:cs="Arial"/>
          <w:color w:val="000000" w:themeColor="text1"/>
        </w:rPr>
        <w:t>0</w:t>
      </w:r>
      <w:r w:rsidR="00317BF1" w:rsidRPr="00544667">
        <w:rPr>
          <w:rFonts w:ascii="Arial" w:hAnsi="Arial" w:cs="Arial"/>
          <w:color w:val="000000" w:themeColor="text1"/>
        </w:rPr>
        <w:tab/>
        <w:t>34 (34.0)</w:t>
      </w:r>
      <w:r w:rsidR="00317BF1" w:rsidRPr="00544667">
        <w:rPr>
          <w:rFonts w:ascii="Arial" w:hAnsi="Arial" w:cs="Arial"/>
          <w:color w:val="000000" w:themeColor="text1"/>
        </w:rPr>
        <w:tab/>
      </w:r>
      <w:r w:rsidR="00317BF1" w:rsidRPr="00544667">
        <w:rPr>
          <w:rFonts w:ascii="Arial" w:hAnsi="Arial" w:cs="Arial"/>
          <w:color w:val="000000" w:themeColor="text1"/>
        </w:rPr>
        <w:tab/>
        <w:t xml:space="preserve">1.13 (0.62 – 2.07)        </w:t>
      </w:r>
      <w:r w:rsidRPr="00544667">
        <w:rPr>
          <w:rFonts w:ascii="Arial" w:hAnsi="Arial" w:cs="Arial"/>
          <w:color w:val="000000" w:themeColor="text1"/>
        </w:rPr>
        <w:t>0.69</w:t>
      </w:r>
    </w:p>
    <w:p w14:paraId="7278C0B6" w14:textId="77777777" w:rsidR="00A306B9" w:rsidRPr="00544667" w:rsidRDefault="00A306B9" w:rsidP="00A306B9">
      <w:pPr>
        <w:spacing w:line="480" w:lineRule="auto"/>
        <w:contextualSpacing/>
        <w:jc w:val="both"/>
        <w:rPr>
          <w:rFonts w:ascii="Arial" w:hAnsi="Arial" w:cs="Arial"/>
          <w:color w:val="000000" w:themeColor="text1"/>
        </w:rPr>
      </w:pPr>
      <w:r w:rsidRPr="00544667">
        <w:rPr>
          <w:rFonts w:ascii="Arial" w:hAnsi="Arial" w:cs="Arial"/>
          <w:color w:val="000000" w:themeColor="text1"/>
        </w:rPr>
        <w:tab/>
      </w:r>
      <w:proofErr w:type="spellStart"/>
      <w:r w:rsidRPr="00544667">
        <w:rPr>
          <w:rFonts w:ascii="Arial" w:hAnsi="Arial" w:cs="Arial"/>
          <w:color w:val="000000" w:themeColor="text1"/>
        </w:rPr>
        <w:t>Mashi</w:t>
      </w:r>
      <w:proofErr w:type="spellEnd"/>
      <w:r w:rsidRPr="00544667">
        <w:rPr>
          <w:rFonts w:ascii="Arial" w:hAnsi="Arial" w:cs="Arial"/>
          <w:color w:val="000000" w:themeColor="text1"/>
        </w:rPr>
        <w:tab/>
      </w:r>
      <w:r w:rsidRPr="00544667">
        <w:rPr>
          <w:rFonts w:ascii="Arial" w:hAnsi="Arial" w:cs="Arial"/>
          <w:color w:val="000000" w:themeColor="text1"/>
        </w:rPr>
        <w:tab/>
      </w:r>
      <w:r w:rsidRPr="00544667">
        <w:rPr>
          <w:rFonts w:ascii="Arial" w:hAnsi="Arial" w:cs="Arial"/>
          <w:color w:val="000000" w:themeColor="text1"/>
        </w:rPr>
        <w:tab/>
        <w:t>10</w:t>
      </w:r>
      <w:r w:rsidR="00317BF1" w:rsidRPr="00544667">
        <w:rPr>
          <w:rFonts w:ascii="Arial" w:hAnsi="Arial" w:cs="Arial"/>
          <w:color w:val="000000" w:themeColor="text1"/>
        </w:rPr>
        <w:t>0</w:t>
      </w:r>
      <w:r w:rsidR="00317BF1" w:rsidRPr="00544667">
        <w:rPr>
          <w:rFonts w:ascii="Arial" w:hAnsi="Arial" w:cs="Arial"/>
          <w:color w:val="000000" w:themeColor="text1"/>
        </w:rPr>
        <w:tab/>
        <w:t>41 (41.0)</w:t>
      </w:r>
      <w:r w:rsidR="00317BF1" w:rsidRPr="00544667">
        <w:rPr>
          <w:rFonts w:ascii="Arial" w:hAnsi="Arial" w:cs="Arial"/>
          <w:color w:val="000000" w:themeColor="text1"/>
        </w:rPr>
        <w:tab/>
      </w:r>
      <w:r w:rsidR="00317BF1" w:rsidRPr="00544667">
        <w:rPr>
          <w:rFonts w:ascii="Arial" w:hAnsi="Arial" w:cs="Arial"/>
          <w:color w:val="000000" w:themeColor="text1"/>
        </w:rPr>
        <w:tab/>
        <w:t xml:space="preserve">1.20 (0.59 – 2.42)        </w:t>
      </w:r>
      <w:r w:rsidRPr="00544667">
        <w:rPr>
          <w:rFonts w:ascii="Arial" w:hAnsi="Arial" w:cs="Arial"/>
          <w:color w:val="000000" w:themeColor="text1"/>
        </w:rPr>
        <w:t>0.61</w:t>
      </w:r>
    </w:p>
    <w:p w14:paraId="1D85FAEF" w14:textId="77777777" w:rsidR="00A306B9" w:rsidRPr="00544667" w:rsidRDefault="00A306B9" w:rsidP="00A306B9">
      <w:pPr>
        <w:pBdr>
          <w:bottom w:val="single" w:sz="12" w:space="1" w:color="auto"/>
        </w:pBdr>
        <w:spacing w:line="480" w:lineRule="auto"/>
        <w:contextualSpacing/>
        <w:jc w:val="both"/>
        <w:rPr>
          <w:rFonts w:ascii="Arial" w:hAnsi="Arial" w:cs="Arial"/>
          <w:color w:val="000000" w:themeColor="text1"/>
        </w:rPr>
      </w:pPr>
      <w:r w:rsidRPr="00544667">
        <w:rPr>
          <w:rFonts w:ascii="Arial" w:hAnsi="Arial" w:cs="Arial"/>
          <w:color w:val="000000" w:themeColor="text1"/>
        </w:rPr>
        <w:tab/>
        <w:t>Gana-Jigawa</w:t>
      </w:r>
      <w:r w:rsidRPr="00544667">
        <w:rPr>
          <w:rFonts w:ascii="Arial" w:hAnsi="Arial" w:cs="Arial"/>
          <w:color w:val="000000" w:themeColor="text1"/>
        </w:rPr>
        <w:tab/>
      </w:r>
      <w:r w:rsidRPr="00544667">
        <w:rPr>
          <w:rFonts w:ascii="Arial" w:hAnsi="Arial" w:cs="Arial"/>
          <w:color w:val="000000" w:themeColor="text1"/>
        </w:rPr>
        <w:tab/>
        <w:t>10</w:t>
      </w:r>
      <w:r w:rsidR="00317BF1" w:rsidRPr="00544667">
        <w:rPr>
          <w:rFonts w:ascii="Arial" w:hAnsi="Arial" w:cs="Arial"/>
          <w:color w:val="000000" w:themeColor="text1"/>
        </w:rPr>
        <w:t>0</w:t>
      </w:r>
      <w:r w:rsidR="00317BF1" w:rsidRPr="00544667">
        <w:rPr>
          <w:rFonts w:ascii="Arial" w:hAnsi="Arial" w:cs="Arial"/>
          <w:color w:val="000000" w:themeColor="text1"/>
        </w:rPr>
        <w:tab/>
        <w:t>47 (47.0)</w:t>
      </w:r>
      <w:r w:rsidR="00317BF1" w:rsidRPr="00544667">
        <w:rPr>
          <w:rFonts w:ascii="Arial" w:hAnsi="Arial" w:cs="Arial"/>
          <w:color w:val="000000" w:themeColor="text1"/>
        </w:rPr>
        <w:tab/>
      </w:r>
      <w:r w:rsidR="00317BF1" w:rsidRPr="00544667">
        <w:rPr>
          <w:rFonts w:ascii="Arial" w:hAnsi="Arial" w:cs="Arial"/>
          <w:color w:val="000000" w:themeColor="text1"/>
        </w:rPr>
        <w:tab/>
        <w:t xml:space="preserve">1.65 (0.89 – 3.04)        </w:t>
      </w:r>
      <w:r w:rsidRPr="00544667">
        <w:rPr>
          <w:rFonts w:ascii="Arial" w:hAnsi="Arial" w:cs="Arial"/>
          <w:color w:val="000000" w:themeColor="text1"/>
        </w:rPr>
        <w:t>0.11</w:t>
      </w:r>
    </w:p>
    <w:p w14:paraId="37F85D32" w14:textId="77777777" w:rsidR="006D0A8C" w:rsidRPr="00544667" w:rsidRDefault="00A306B9" w:rsidP="003F3172">
      <w:pPr>
        <w:spacing w:line="480" w:lineRule="auto"/>
        <w:jc w:val="both"/>
        <w:rPr>
          <w:rFonts w:ascii="Arial" w:hAnsi="Arial" w:cs="Arial"/>
          <w:color w:val="000000" w:themeColor="text1"/>
        </w:rPr>
      </w:pPr>
      <w:r w:rsidRPr="00544667">
        <w:rPr>
          <w:rFonts w:ascii="Arial" w:hAnsi="Arial" w:cs="Arial"/>
          <w:color w:val="000000" w:themeColor="text1"/>
        </w:rPr>
        <w:t>AOR: Adjusted odds ratio, ref.: Reference group</w:t>
      </w:r>
      <w:bookmarkStart w:id="1" w:name="_raoxig9zl885" w:colFirst="0" w:colLast="0"/>
      <w:bookmarkEnd w:id="1"/>
    </w:p>
    <w:p w14:paraId="4E1C0DBF" w14:textId="77777777" w:rsidR="009E6508" w:rsidRPr="00D0609B" w:rsidRDefault="009E6508" w:rsidP="009E6508">
      <w:pPr>
        <w:pStyle w:val="Body"/>
        <w:rPr>
          <w:rFonts w:ascii="Arial" w:hAnsi="Arial" w:cs="Arial"/>
          <w:b/>
          <w:sz w:val="22"/>
          <w:szCs w:val="22"/>
        </w:rPr>
      </w:pPr>
      <w:r w:rsidRPr="009E6508">
        <w:rPr>
          <w:rFonts w:ascii="Arial" w:hAnsi="Arial" w:cs="Arial"/>
          <w:b/>
          <w:sz w:val="22"/>
          <w:szCs w:val="22"/>
        </w:rPr>
        <w:t>4. DISCUSSION</w:t>
      </w:r>
    </w:p>
    <w:p w14:paraId="25483646" w14:textId="77777777" w:rsidR="009E6508" w:rsidRPr="009E6508" w:rsidRDefault="009E6508" w:rsidP="009E6508">
      <w:pPr>
        <w:pStyle w:val="Body"/>
        <w:rPr>
          <w:rFonts w:ascii="Arial" w:hAnsi="Arial" w:cs="Arial"/>
        </w:rPr>
      </w:pPr>
      <w:r w:rsidRPr="009E6508">
        <w:rPr>
          <w:rFonts w:ascii="Arial" w:hAnsi="Arial" w:cs="Arial"/>
        </w:rPr>
        <w:t xml:space="preserve">This study investigated the prevalence and predictors of intestinal parasites among schoolchildren in </w:t>
      </w:r>
      <w:proofErr w:type="spellStart"/>
      <w:r w:rsidRPr="009E6508">
        <w:rPr>
          <w:rFonts w:ascii="Arial" w:hAnsi="Arial" w:cs="Arial"/>
        </w:rPr>
        <w:t>Mashi</w:t>
      </w:r>
      <w:proofErr w:type="spellEnd"/>
      <w:r w:rsidRPr="009E6508">
        <w:rPr>
          <w:rFonts w:ascii="Arial" w:hAnsi="Arial" w:cs="Arial"/>
        </w:rPr>
        <w:t xml:space="preserve"> Local Government Area of Katsina State, Nigeria. The results demonstrated that intestinal parasites remain a significant public health concern in the area. An overall prevalence of 38% was recorded, indicating a moderate level of infection among the study population. This prevalence is comparable to findings from other regions of Nigeria, where moderate-to-high rates have been documented. For example, Ismail et al. (2024) reported a prevalence of 33.6% in Katsina metropolis, while Chioma et al. (2015) observed 44.71% in Anambra State, although the specific parasite species varied across different communities. However, the prevalence reported in the present study is lower than figures documented in certain other Nigerian states, such as Akwa Ibom (67.4%), Benue (51%), Sokoto (74.5%), and Enugu (52.5%) (Opara et al., 2012; </w:t>
      </w:r>
      <w:proofErr w:type="spellStart"/>
      <w:r w:rsidRPr="009E6508">
        <w:rPr>
          <w:rFonts w:ascii="Arial" w:hAnsi="Arial" w:cs="Arial"/>
        </w:rPr>
        <w:t>Tyoalumun</w:t>
      </w:r>
      <w:proofErr w:type="spellEnd"/>
      <w:r w:rsidRPr="009E6508">
        <w:rPr>
          <w:rFonts w:ascii="Arial" w:hAnsi="Arial" w:cs="Arial"/>
        </w:rPr>
        <w:t xml:space="preserve"> et al., 2016; </w:t>
      </w:r>
      <w:proofErr w:type="spellStart"/>
      <w:r w:rsidRPr="009E6508">
        <w:rPr>
          <w:rFonts w:ascii="Arial" w:hAnsi="Arial" w:cs="Arial"/>
        </w:rPr>
        <w:t>Iduh</w:t>
      </w:r>
      <w:proofErr w:type="spellEnd"/>
      <w:r w:rsidRPr="009E6508">
        <w:rPr>
          <w:rFonts w:ascii="Arial" w:hAnsi="Arial" w:cs="Arial"/>
        </w:rPr>
        <w:t xml:space="preserve"> et al., 2015). Conversely, it is higher than the prevalence recorded in Edo (22.9%) and Osun (24%) (</w:t>
      </w:r>
      <w:proofErr w:type="spellStart"/>
      <w:r w:rsidRPr="009E6508">
        <w:rPr>
          <w:rFonts w:ascii="Arial" w:hAnsi="Arial" w:cs="Arial"/>
        </w:rPr>
        <w:t>Osaiyuwu</w:t>
      </w:r>
      <w:proofErr w:type="spellEnd"/>
      <w:r w:rsidRPr="009E6508">
        <w:rPr>
          <w:rFonts w:ascii="Arial" w:hAnsi="Arial" w:cs="Arial"/>
        </w:rPr>
        <w:t xml:space="preserve"> et al., 2025; Olopade et al., 2018; </w:t>
      </w:r>
      <w:proofErr w:type="spellStart"/>
      <w:r w:rsidRPr="009E6508">
        <w:rPr>
          <w:rFonts w:ascii="Arial" w:hAnsi="Arial" w:cs="Arial"/>
        </w:rPr>
        <w:t>Ubachukwu</w:t>
      </w:r>
      <w:proofErr w:type="spellEnd"/>
      <w:r w:rsidRPr="009E6508">
        <w:rPr>
          <w:rFonts w:ascii="Arial" w:hAnsi="Arial" w:cs="Arial"/>
        </w:rPr>
        <w:t xml:space="preserve"> et al., 2016). These variations are likely attributed to differences in ecological conditions, sanitation standards, socioeconomic factors, and cultural practices that influence transmission patterns across regions. </w:t>
      </w:r>
    </w:p>
    <w:p w14:paraId="5E56E5C2" w14:textId="77777777" w:rsidR="009E6508" w:rsidRPr="009E6508" w:rsidRDefault="009E6508" w:rsidP="009E6508">
      <w:pPr>
        <w:pStyle w:val="Body"/>
        <w:rPr>
          <w:rFonts w:ascii="Arial" w:hAnsi="Arial" w:cs="Arial"/>
        </w:rPr>
      </w:pPr>
      <w:r w:rsidRPr="009E6508">
        <w:rPr>
          <w:rFonts w:ascii="Arial" w:hAnsi="Arial" w:cs="Arial"/>
        </w:rPr>
        <w:t>The study identified Schistosoma mansoni (29.4%), hookworm (22.2%), and Ascaris lumbricoides (13.1%) as the most frequently encountered parasites. The high occurrence of S. mansoni corresponds with findings from water-contact communities in northern Nigeria where schistosomiasis continues to be endemic (</w:t>
      </w:r>
      <w:proofErr w:type="spellStart"/>
      <w:r w:rsidRPr="009E6508">
        <w:rPr>
          <w:rFonts w:ascii="Arial" w:hAnsi="Arial" w:cs="Arial"/>
        </w:rPr>
        <w:t>Dawaki</w:t>
      </w:r>
      <w:proofErr w:type="spellEnd"/>
      <w:r w:rsidRPr="009E6508">
        <w:rPr>
          <w:rFonts w:ascii="Arial" w:hAnsi="Arial" w:cs="Arial"/>
        </w:rPr>
        <w:t xml:space="preserve"> et al., 2025). The notable prevalence of hookworm aligns with observations in agrarian and rural environments where children often walk barefoot or have regular contact with contaminated soil (Opara et al., 2012). On the other hand, infections caused by Ascaris </w:t>
      </w:r>
      <w:r w:rsidRPr="009E6508">
        <w:rPr>
          <w:rFonts w:ascii="Arial" w:hAnsi="Arial" w:cs="Arial"/>
        </w:rPr>
        <w:lastRenderedPageBreak/>
        <w:t xml:space="preserve">lumbricoides and Trichuris </w:t>
      </w:r>
      <w:proofErr w:type="spellStart"/>
      <w:r w:rsidRPr="009E6508">
        <w:rPr>
          <w:rFonts w:ascii="Arial" w:hAnsi="Arial" w:cs="Arial"/>
        </w:rPr>
        <w:t>trichiura</w:t>
      </w:r>
      <w:proofErr w:type="spellEnd"/>
      <w:r w:rsidRPr="009E6508">
        <w:rPr>
          <w:rFonts w:ascii="Arial" w:hAnsi="Arial" w:cs="Arial"/>
        </w:rPr>
        <w:t xml:space="preserve"> are more frequently associated with humid climatic zones (</w:t>
      </w:r>
      <w:proofErr w:type="spellStart"/>
      <w:r w:rsidRPr="009E6508">
        <w:rPr>
          <w:rFonts w:ascii="Arial" w:hAnsi="Arial" w:cs="Arial"/>
        </w:rPr>
        <w:t>Ezeamama</w:t>
      </w:r>
      <w:proofErr w:type="spellEnd"/>
      <w:r w:rsidRPr="009E6508">
        <w:rPr>
          <w:rFonts w:ascii="Arial" w:hAnsi="Arial" w:cs="Arial"/>
        </w:rPr>
        <w:t xml:space="preserve"> et al., 2005), which may explain their relatively lower prevalence in this study area.</w:t>
      </w:r>
    </w:p>
    <w:p w14:paraId="46B92482" w14:textId="77777777" w:rsidR="009E6508" w:rsidRPr="009E6508" w:rsidRDefault="009E6508" w:rsidP="009E6508">
      <w:pPr>
        <w:pStyle w:val="Body"/>
        <w:rPr>
          <w:rFonts w:ascii="Arial" w:hAnsi="Arial" w:cs="Arial"/>
        </w:rPr>
      </w:pPr>
      <w:r w:rsidRPr="009E6508">
        <w:rPr>
          <w:rFonts w:ascii="Arial" w:hAnsi="Arial" w:cs="Arial"/>
        </w:rPr>
        <w:t xml:space="preserve">Furthermore, the study documented a 14.4% rate of polyparasitism, indicating that a considerable proportion of children were infected with more than one intestinal parasite. This finding underscores the level of environmental contamination in the area and highlights the continuous exposure of children to multiple sources of infection. </w:t>
      </w:r>
    </w:p>
    <w:p w14:paraId="47BA71AF" w14:textId="77777777" w:rsidR="00D0609B" w:rsidRDefault="009E6508" w:rsidP="009E6508">
      <w:pPr>
        <w:pStyle w:val="Body"/>
        <w:rPr>
          <w:rFonts w:ascii="Arial" w:hAnsi="Arial" w:cs="Arial"/>
        </w:rPr>
      </w:pPr>
      <w:r w:rsidRPr="009E6508">
        <w:rPr>
          <w:rFonts w:ascii="Arial" w:hAnsi="Arial" w:cs="Arial"/>
        </w:rPr>
        <w:t>The most important determinant of intestinal parasitic infection in this population was the source of drinking water. Logistic regression analysis revealed that children who consumed pipe-borne water had a significantly higher risk of infection, with 2.41 times the odds compared to those who consumed reservoir water (AOR = 2.41, p = 0.02</w:t>
      </w:r>
      <w:proofErr w:type="gramStart"/>
      <w:r w:rsidRPr="009E6508">
        <w:rPr>
          <w:rFonts w:ascii="Arial" w:hAnsi="Arial" w:cs="Arial"/>
        </w:rPr>
        <w:t>) .</w:t>
      </w:r>
      <w:proofErr w:type="gramEnd"/>
      <w:r w:rsidRPr="009E6508">
        <w:rPr>
          <w:rFonts w:ascii="Arial" w:hAnsi="Arial" w:cs="Arial"/>
        </w:rPr>
        <w:t xml:space="preserve"> The significant relationship between source of drinking water and infection risk highlights the critical role of unsafe water even when labeled “pipe-borne”. This finding is notable because pipe-borne water is normally considered safer. The elevated risk may indicate possible inadequate treatment before distribution, contamination during storage or distribution, an issue commonly noted in rural Nigerian water systems (Simon et al., 2020), This aligns with findings in Imo where broken or poorly maintained water pipelines were identified as contamination points (Ihejirika et al., 2019). It also confirms the strong role of environmental exposure. This is consistent with observations in Ebonyi and Bayelsa States, where contaminated water and open defecation sites were primary sources of infection (Alo et al., 2021; </w:t>
      </w:r>
      <w:proofErr w:type="spellStart"/>
      <w:r w:rsidRPr="009E6508">
        <w:rPr>
          <w:rFonts w:ascii="Arial" w:hAnsi="Arial" w:cs="Arial"/>
        </w:rPr>
        <w:t>Gbonhinbor</w:t>
      </w:r>
      <w:proofErr w:type="spellEnd"/>
      <w:r w:rsidRPr="009E6508">
        <w:rPr>
          <w:rFonts w:ascii="Arial" w:hAnsi="Arial" w:cs="Arial"/>
        </w:rPr>
        <w:t xml:space="preserve"> et al., 2024). </w:t>
      </w:r>
    </w:p>
    <w:p w14:paraId="56A813F9" w14:textId="77777777" w:rsidR="009E6508" w:rsidRDefault="009E6508" w:rsidP="009E6508">
      <w:pPr>
        <w:pStyle w:val="Body"/>
        <w:rPr>
          <w:rFonts w:ascii="Arial" w:hAnsi="Arial" w:cs="Arial"/>
        </w:rPr>
      </w:pPr>
      <w:r w:rsidRPr="009E6508">
        <w:rPr>
          <w:rFonts w:ascii="Arial" w:hAnsi="Arial" w:cs="Arial"/>
        </w:rPr>
        <w:t>Contrary to expectations, handwashing before eating was associated with higher infection risk (43.1%). This paradox likely stems from reporting bias or poor handwashing technique an issue echoed by research in Ibadan and Kano that found similar results (</w:t>
      </w:r>
      <w:proofErr w:type="spellStart"/>
      <w:r w:rsidRPr="009E6508">
        <w:rPr>
          <w:rFonts w:ascii="Arial" w:hAnsi="Arial" w:cs="Arial"/>
        </w:rPr>
        <w:t>Nmor</w:t>
      </w:r>
      <w:proofErr w:type="spellEnd"/>
      <w:r w:rsidRPr="009E6508">
        <w:rPr>
          <w:rFonts w:ascii="Arial" w:hAnsi="Arial" w:cs="Arial"/>
        </w:rPr>
        <w:t xml:space="preserve"> et al., 2013). It also </w:t>
      </w:r>
      <w:proofErr w:type="gramStart"/>
      <w:r w:rsidRPr="009E6508">
        <w:rPr>
          <w:rFonts w:ascii="Arial" w:hAnsi="Arial" w:cs="Arial"/>
        </w:rPr>
        <w:t>suggest</w:t>
      </w:r>
      <w:proofErr w:type="gramEnd"/>
      <w:r w:rsidRPr="009E6508">
        <w:rPr>
          <w:rFonts w:ascii="Arial" w:hAnsi="Arial" w:cs="Arial"/>
        </w:rPr>
        <w:t xml:space="preserve"> that self-reported hygiene practices often overestimate actual behavioral compliance (Ihejirika et al., 2019).</w:t>
      </w:r>
    </w:p>
    <w:p w14:paraId="091329A7" w14:textId="77777777" w:rsidR="00B01FCD" w:rsidRDefault="009E6508"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Pr>
          <w:rFonts w:ascii="Arial" w:hAnsi="Arial" w:cs="Arial"/>
        </w:rPr>
        <w:t>Conclusion</w:t>
      </w:r>
    </w:p>
    <w:p w14:paraId="3F319840" w14:textId="77777777" w:rsidR="00790ADA" w:rsidRPr="00FB3A86" w:rsidRDefault="00790ADA" w:rsidP="00441B6F">
      <w:pPr>
        <w:pStyle w:val="ConcHead"/>
        <w:spacing w:after="0"/>
        <w:jc w:val="both"/>
        <w:rPr>
          <w:rFonts w:ascii="Arial" w:hAnsi="Arial" w:cs="Arial"/>
        </w:rPr>
      </w:pPr>
    </w:p>
    <w:p w14:paraId="6CAAAC02" w14:textId="77777777" w:rsidR="0081319F" w:rsidRDefault="0081319F" w:rsidP="0081319F">
      <w:pPr>
        <w:pStyle w:val="Body"/>
        <w:spacing w:after="0"/>
        <w:rPr>
          <w:rFonts w:ascii="Arial" w:hAnsi="Arial" w:cs="Arial"/>
        </w:rPr>
      </w:pPr>
      <w:r w:rsidRPr="008641ED">
        <w:rPr>
          <w:rFonts w:ascii="Arial" w:hAnsi="Arial" w:cs="Arial"/>
        </w:rPr>
        <w:t>Hilly, M., Adams, M. L., &amp; Nelson, S. C. (2002). A study of digit fusion in the mouse embryo. Clinical and Experimental Allergy, 32(4), 489-498.</w:t>
      </w:r>
    </w:p>
    <w:p w14:paraId="6A95C3FB" w14:textId="77777777" w:rsidR="00935225" w:rsidRPr="00935225" w:rsidRDefault="00935225" w:rsidP="00935225">
      <w:pPr>
        <w:pStyle w:val="Body"/>
        <w:rPr>
          <w:rFonts w:ascii="Arial" w:hAnsi="Arial" w:cs="Arial"/>
        </w:rPr>
      </w:pPr>
      <w:r w:rsidRPr="00935225">
        <w:rPr>
          <w:rFonts w:ascii="Arial" w:hAnsi="Arial" w:cs="Arial"/>
        </w:rPr>
        <w:t xml:space="preserve">The findings of this study demonstrate that intestinal parasitic infections remain a considerable public health concern among schoolchildren in </w:t>
      </w:r>
      <w:proofErr w:type="spellStart"/>
      <w:r w:rsidRPr="00935225">
        <w:rPr>
          <w:rFonts w:ascii="Arial" w:hAnsi="Arial" w:cs="Arial"/>
        </w:rPr>
        <w:t>Mashi</w:t>
      </w:r>
      <w:proofErr w:type="spellEnd"/>
      <w:r w:rsidRPr="00935225">
        <w:rPr>
          <w:rFonts w:ascii="Arial" w:hAnsi="Arial" w:cs="Arial"/>
        </w:rPr>
        <w:t xml:space="preserve"> Local Government Area. The level of infection observed has meaningful implications for the health, growth, cognitive development, and school performance of the affected children. Such parasitic infections are known to contribute to malnutrition, anemia, poor academic outcomes, and recurrent illness, thereby affecting overall childhood well-being.</w:t>
      </w:r>
    </w:p>
    <w:p w14:paraId="0E8C6CBF" w14:textId="77777777" w:rsidR="00B01FCD" w:rsidRDefault="00935225" w:rsidP="00935225">
      <w:pPr>
        <w:pStyle w:val="Body"/>
        <w:spacing w:after="0"/>
        <w:rPr>
          <w:rFonts w:ascii="Arial" w:hAnsi="Arial" w:cs="Arial"/>
        </w:rPr>
      </w:pPr>
      <w:r w:rsidRPr="00935225">
        <w:rPr>
          <w:rFonts w:ascii="Arial" w:hAnsi="Arial" w:cs="Arial"/>
        </w:rPr>
        <w:t>These results highlight the pressing need for a comprehensive and well-coordinated response. Effective control cannot rely on a single intervention; rather, it requires an integrated strategy that includes periodic mass deworming to reduce infection intensity, nutritional supplementation to address parasite-related deficiencies, and sustained health education aimed at promoting proper hygiene and sanitation practices among schoolchildren, parents, and teachers. Additionally, long-term improvements in water quality, sanitation facilities, and waste management systems within the communities are essential to interrupt transmission and prevent reinfection.</w:t>
      </w:r>
    </w:p>
    <w:p w14:paraId="3C3498D4" w14:textId="77777777" w:rsidR="00790ADA" w:rsidRPr="00FB3A86" w:rsidRDefault="00790ADA" w:rsidP="00441B6F">
      <w:pPr>
        <w:pStyle w:val="Body"/>
        <w:spacing w:after="0"/>
        <w:rPr>
          <w:rFonts w:ascii="Arial" w:hAnsi="Arial" w:cs="Arial"/>
        </w:rPr>
      </w:pPr>
    </w:p>
    <w:p w14:paraId="680B89D0" w14:textId="06C81607" w:rsidR="00371FB6" w:rsidRDefault="00371FB6" w:rsidP="00441B6F">
      <w:pPr>
        <w:pStyle w:val="ReferHead"/>
        <w:spacing w:after="0"/>
        <w:jc w:val="both"/>
        <w:rPr>
          <w:rFonts w:ascii="Arial" w:hAnsi="Arial" w:cs="Arial"/>
          <w:b w:val="0"/>
          <w:caps w:val="0"/>
          <w:sz w:val="20"/>
        </w:rPr>
      </w:pPr>
    </w:p>
    <w:p w14:paraId="4501BF98" w14:textId="77777777" w:rsidR="00BA26CE" w:rsidRPr="00666E54" w:rsidRDefault="00BA26CE" w:rsidP="00441B6F">
      <w:pPr>
        <w:pStyle w:val="ReferHead"/>
        <w:spacing w:after="0"/>
        <w:jc w:val="both"/>
        <w:rPr>
          <w:rFonts w:ascii="Arial" w:hAnsi="Arial" w:cs="Arial"/>
          <w:b w:val="0"/>
          <w:caps w:val="0"/>
          <w:sz w:val="20"/>
        </w:rPr>
      </w:pPr>
      <w:bookmarkStart w:id="2" w:name="_GoBack"/>
      <w:bookmarkEnd w:id="2"/>
    </w:p>
    <w:p w14:paraId="1DB2E84D"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sidR="00666E54">
        <w:rPr>
          <w:rFonts w:ascii="Arial" w:hAnsi="Arial" w:cs="Arial"/>
          <w:bCs/>
        </w:rPr>
        <w:t xml:space="preserve"> </w:t>
      </w:r>
    </w:p>
    <w:p w14:paraId="73868F7C" w14:textId="77777777" w:rsidR="00CF159C" w:rsidRDefault="00CF159C" w:rsidP="00441B6F">
      <w:pPr>
        <w:pStyle w:val="ReferHead"/>
        <w:spacing w:after="0"/>
        <w:jc w:val="both"/>
        <w:rPr>
          <w:rFonts w:ascii="Arial" w:hAnsi="Arial" w:cs="Arial"/>
          <w:bCs/>
        </w:rPr>
      </w:pPr>
    </w:p>
    <w:p w14:paraId="0C3B8D1F" w14:textId="77777777" w:rsidR="005C784C" w:rsidRPr="00CF159C" w:rsidRDefault="00666E54" w:rsidP="00CF159C">
      <w:pPr>
        <w:pStyle w:val="Body"/>
        <w:rPr>
          <w:rFonts w:ascii="Arial" w:hAnsi="Arial" w:cs="Arial"/>
        </w:rPr>
      </w:pPr>
      <w:r w:rsidRPr="00040B5D">
        <w:rPr>
          <w:rFonts w:ascii="Arial" w:hAnsi="Arial" w:cs="Arial"/>
        </w:rPr>
        <w:t xml:space="preserve">Informed consent was </w:t>
      </w:r>
      <w:r w:rsidR="00CF159C">
        <w:rPr>
          <w:rFonts w:ascii="Arial" w:hAnsi="Arial" w:cs="Arial"/>
        </w:rPr>
        <w:t xml:space="preserve">sought and </w:t>
      </w:r>
      <w:r w:rsidRPr="00040B5D">
        <w:rPr>
          <w:rFonts w:ascii="Arial" w:hAnsi="Arial" w:cs="Arial"/>
        </w:rPr>
        <w:t>obtained from parents/guardians of the study participants before the commencement of the study.</w:t>
      </w:r>
    </w:p>
    <w:p w14:paraId="63A1A884" w14:textId="77777777" w:rsidR="00CD6856" w:rsidRDefault="005C784C" w:rsidP="00441B6F">
      <w:pPr>
        <w:pStyle w:val="ReferHead"/>
        <w:spacing w:after="0"/>
        <w:jc w:val="both"/>
        <w:rPr>
          <w:rFonts w:ascii="Arial" w:hAnsi="Arial" w:cs="Arial"/>
          <w:bCs/>
        </w:rPr>
      </w:pPr>
      <w:r>
        <w:rPr>
          <w:rFonts w:ascii="Arial" w:hAnsi="Arial" w:cs="Arial"/>
          <w:bCs/>
        </w:rPr>
        <w:t>E</w:t>
      </w:r>
      <w:r w:rsidR="00CF159C">
        <w:rPr>
          <w:rFonts w:ascii="Arial" w:hAnsi="Arial" w:cs="Arial"/>
          <w:bCs/>
        </w:rPr>
        <w:t>thical approval</w:t>
      </w:r>
    </w:p>
    <w:p w14:paraId="4BCAAA04" w14:textId="77777777" w:rsidR="00CF159C" w:rsidRDefault="00CF159C" w:rsidP="00441B6F">
      <w:pPr>
        <w:pStyle w:val="ReferHead"/>
        <w:spacing w:after="0"/>
        <w:jc w:val="both"/>
        <w:rPr>
          <w:rFonts w:ascii="Arial" w:hAnsi="Arial" w:cs="Arial"/>
          <w:b w:val="0"/>
          <w:caps w:val="0"/>
          <w:sz w:val="20"/>
        </w:rPr>
      </w:pPr>
    </w:p>
    <w:p w14:paraId="38E94208" w14:textId="77777777" w:rsidR="00CF159C" w:rsidRPr="00CF159C" w:rsidRDefault="00CF159C" w:rsidP="00CF159C">
      <w:pPr>
        <w:pStyle w:val="ReferHead"/>
        <w:spacing w:after="0"/>
        <w:jc w:val="both"/>
        <w:rPr>
          <w:rFonts w:ascii="Arial" w:hAnsi="Arial" w:cs="Arial"/>
          <w:b w:val="0"/>
          <w:caps w:val="0"/>
          <w:sz w:val="20"/>
        </w:rPr>
      </w:pPr>
      <w:r w:rsidRPr="00CF159C">
        <w:rPr>
          <w:rFonts w:ascii="Arial" w:hAnsi="Arial" w:cs="Arial"/>
          <w:b w:val="0"/>
          <w:caps w:val="0"/>
          <w:sz w:val="20"/>
        </w:rPr>
        <w:t>Ethical approval was obtained from Katsina State Ministry of Health following a formal review and endorsement by the Ministry’s Ethical Committee. All procedures carried out during the research strictly adhered to established ethical standards. Participants were treated with respect and fairness, confidentiality of collected information was ensured. Throughout the research process, ethical principles guiding human subject research were consistently observed to protect the rights and well-being of all participants.</w:t>
      </w:r>
    </w:p>
    <w:p w14:paraId="6796F9EE" w14:textId="77777777" w:rsidR="00860000" w:rsidRPr="00CF159C" w:rsidRDefault="00860000" w:rsidP="00441B6F">
      <w:pPr>
        <w:pStyle w:val="ReferHead"/>
        <w:spacing w:after="0"/>
        <w:jc w:val="both"/>
        <w:rPr>
          <w:rFonts w:ascii="Arial" w:hAnsi="Arial" w:cs="Arial"/>
        </w:rPr>
      </w:pPr>
    </w:p>
    <w:p w14:paraId="25FF152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5DC2089" w14:textId="77777777" w:rsidR="008B459E" w:rsidRDefault="008B459E" w:rsidP="00441B6F">
      <w:pPr>
        <w:pStyle w:val="Body"/>
        <w:spacing w:after="0"/>
        <w:rPr>
          <w:rFonts w:ascii="Arial" w:hAnsi="Arial" w:cs="Arial"/>
        </w:rPr>
      </w:pPr>
    </w:p>
    <w:p w14:paraId="28D902A9" w14:textId="462FB8C5" w:rsidR="00CF159C" w:rsidRPr="00CF159C" w:rsidRDefault="00006EA0" w:rsidP="00C30E67">
      <w:pPr>
        <w:pStyle w:val="Body"/>
        <w:rPr>
          <w:rFonts w:ascii="Arial" w:hAnsi="Arial" w:cs="Arial"/>
        </w:rPr>
      </w:pPr>
      <w:r w:rsidRPr="00006EA0">
        <w:rPr>
          <w:rFonts w:ascii="Arial" w:hAnsi="Arial" w:cs="Arial"/>
        </w:rPr>
        <w:t xml:space="preserve">Ahmed, M. (2023). Intestinal parasitic infections in 2023. Gastroenterology Research, 16(3), 127–140. </w:t>
      </w:r>
      <w:hyperlink r:id="rId16" w:history="1">
        <w:r w:rsidRPr="001625A9">
          <w:rPr>
            <w:rStyle w:val="Hyperlink"/>
            <w:rFonts w:ascii="Arial" w:hAnsi="Arial" w:cs="Arial"/>
          </w:rPr>
          <w:t>https://doi.org/10.14740/gr1622</w:t>
        </w:r>
      </w:hyperlink>
      <w:r>
        <w:rPr>
          <w:rFonts w:ascii="Arial" w:hAnsi="Arial" w:cs="Arial"/>
        </w:rPr>
        <w:t xml:space="preserve"> </w:t>
      </w:r>
    </w:p>
    <w:p w14:paraId="2847CD89" w14:textId="77777777" w:rsidR="00CF159C" w:rsidRPr="00CF159C" w:rsidRDefault="00CF159C" w:rsidP="00C30E67">
      <w:pPr>
        <w:pStyle w:val="Body"/>
        <w:rPr>
          <w:rFonts w:ascii="Arial" w:hAnsi="Arial" w:cs="Arial"/>
        </w:rPr>
      </w:pPr>
      <w:r w:rsidRPr="00CF159C">
        <w:rPr>
          <w:rFonts w:ascii="Arial" w:hAnsi="Arial" w:cs="Arial"/>
        </w:rPr>
        <w:lastRenderedPageBreak/>
        <w:t xml:space="preserve">Eboh, O. J., </w:t>
      </w:r>
      <w:proofErr w:type="spellStart"/>
      <w:r w:rsidRPr="00CF159C">
        <w:rPr>
          <w:rFonts w:ascii="Arial" w:hAnsi="Arial" w:cs="Arial"/>
        </w:rPr>
        <w:t>Okaka</w:t>
      </w:r>
      <w:proofErr w:type="spellEnd"/>
      <w:r w:rsidRPr="00CF159C">
        <w:rPr>
          <w:rFonts w:ascii="Arial" w:hAnsi="Arial" w:cs="Arial"/>
        </w:rPr>
        <w:t>, C. E., &amp; Onuoha, T. (2022). Prevalence of gastrointestinal parasites among school children in Delta State, Nigeria. Lond J Res Sci: Nat Formal, 22(8), 53-60.</w:t>
      </w:r>
    </w:p>
    <w:p w14:paraId="65A4C6D3" w14:textId="5EC408C5" w:rsidR="00CF159C" w:rsidRPr="00CF159C" w:rsidRDefault="00EA2B22" w:rsidP="00C30E67">
      <w:pPr>
        <w:pStyle w:val="Body"/>
        <w:rPr>
          <w:rFonts w:ascii="Arial" w:hAnsi="Arial" w:cs="Arial"/>
        </w:rPr>
      </w:pPr>
      <w:proofErr w:type="spellStart"/>
      <w:r w:rsidRPr="00EA2B22">
        <w:rPr>
          <w:rFonts w:ascii="Arial" w:hAnsi="Arial" w:cs="Arial"/>
        </w:rPr>
        <w:t>Halliez</w:t>
      </w:r>
      <w:proofErr w:type="spellEnd"/>
      <w:r w:rsidRPr="00EA2B22">
        <w:rPr>
          <w:rFonts w:ascii="Arial" w:hAnsi="Arial" w:cs="Arial"/>
        </w:rPr>
        <w:t xml:space="preserve">, M. C. M., &amp; </w:t>
      </w:r>
      <w:proofErr w:type="spellStart"/>
      <w:r w:rsidRPr="00EA2B22">
        <w:rPr>
          <w:rFonts w:ascii="Arial" w:hAnsi="Arial" w:cs="Arial"/>
        </w:rPr>
        <w:t>Buret</w:t>
      </w:r>
      <w:proofErr w:type="spellEnd"/>
      <w:r w:rsidRPr="00EA2B22">
        <w:rPr>
          <w:rFonts w:ascii="Arial" w:hAnsi="Arial" w:cs="Arial"/>
        </w:rPr>
        <w:t xml:space="preserve">, A. G. (2015). Gastrointestinal parasites and the neural control of gut functions. Frontiers in Cellular Neuroscience, 9, 452. </w:t>
      </w:r>
      <w:hyperlink r:id="rId17" w:history="1">
        <w:r w:rsidRPr="001625A9">
          <w:rPr>
            <w:rStyle w:val="Hyperlink"/>
            <w:rFonts w:ascii="Arial" w:hAnsi="Arial" w:cs="Arial"/>
          </w:rPr>
          <w:t>https://doi.org/10.3389/fncel.2015.00452</w:t>
        </w:r>
      </w:hyperlink>
      <w:r>
        <w:rPr>
          <w:rFonts w:ascii="Arial" w:hAnsi="Arial" w:cs="Arial"/>
        </w:rPr>
        <w:t xml:space="preserve"> </w:t>
      </w:r>
    </w:p>
    <w:p w14:paraId="7D6C867B" w14:textId="4A1656A8" w:rsidR="00CF159C" w:rsidRPr="00CF159C" w:rsidRDefault="00AD4939" w:rsidP="00C30E67">
      <w:pPr>
        <w:pStyle w:val="Body"/>
        <w:rPr>
          <w:rFonts w:ascii="Arial" w:hAnsi="Arial" w:cs="Arial"/>
        </w:rPr>
      </w:pPr>
      <w:proofErr w:type="spellStart"/>
      <w:r w:rsidRPr="00AD4939">
        <w:rPr>
          <w:rFonts w:ascii="Arial" w:hAnsi="Arial" w:cs="Arial"/>
        </w:rPr>
        <w:t>Obateru</w:t>
      </w:r>
      <w:proofErr w:type="spellEnd"/>
      <w:r w:rsidRPr="00AD4939">
        <w:rPr>
          <w:rFonts w:ascii="Arial" w:hAnsi="Arial" w:cs="Arial"/>
        </w:rPr>
        <w:t xml:space="preserve">, O. A., </w:t>
      </w:r>
      <w:proofErr w:type="spellStart"/>
      <w:r w:rsidRPr="00AD4939">
        <w:rPr>
          <w:rFonts w:ascii="Arial" w:hAnsi="Arial" w:cs="Arial"/>
        </w:rPr>
        <w:t>Bojuwoye</w:t>
      </w:r>
      <w:proofErr w:type="spellEnd"/>
      <w:r w:rsidRPr="00AD4939">
        <w:rPr>
          <w:rFonts w:ascii="Arial" w:hAnsi="Arial" w:cs="Arial"/>
        </w:rPr>
        <w:t xml:space="preserve">, B. J., </w:t>
      </w:r>
      <w:proofErr w:type="spellStart"/>
      <w:r w:rsidRPr="00AD4939">
        <w:rPr>
          <w:rFonts w:ascii="Arial" w:hAnsi="Arial" w:cs="Arial"/>
        </w:rPr>
        <w:t>Olokoba</w:t>
      </w:r>
      <w:proofErr w:type="spellEnd"/>
      <w:r w:rsidRPr="00AD4939">
        <w:rPr>
          <w:rFonts w:ascii="Arial" w:hAnsi="Arial" w:cs="Arial"/>
        </w:rPr>
        <w:t xml:space="preserve">, A. B., </w:t>
      </w:r>
      <w:proofErr w:type="spellStart"/>
      <w:r w:rsidRPr="00AD4939">
        <w:rPr>
          <w:rFonts w:ascii="Arial" w:hAnsi="Arial" w:cs="Arial"/>
        </w:rPr>
        <w:t>Fadeyi</w:t>
      </w:r>
      <w:proofErr w:type="spellEnd"/>
      <w:r w:rsidRPr="00AD4939">
        <w:rPr>
          <w:rFonts w:ascii="Arial" w:hAnsi="Arial" w:cs="Arial"/>
        </w:rPr>
        <w:t xml:space="preserve">, A., </w:t>
      </w:r>
      <w:proofErr w:type="spellStart"/>
      <w:r w:rsidRPr="00AD4939">
        <w:rPr>
          <w:rFonts w:ascii="Arial" w:hAnsi="Arial" w:cs="Arial"/>
        </w:rPr>
        <w:t>Fowotade</w:t>
      </w:r>
      <w:proofErr w:type="spellEnd"/>
      <w:r w:rsidRPr="00AD4939">
        <w:rPr>
          <w:rFonts w:ascii="Arial" w:hAnsi="Arial" w:cs="Arial"/>
        </w:rPr>
        <w:t xml:space="preserve">, A., &amp; </w:t>
      </w:r>
      <w:proofErr w:type="spellStart"/>
      <w:r w:rsidRPr="00AD4939">
        <w:rPr>
          <w:rFonts w:ascii="Arial" w:hAnsi="Arial" w:cs="Arial"/>
        </w:rPr>
        <w:t>Olokoba</w:t>
      </w:r>
      <w:proofErr w:type="spellEnd"/>
      <w:r w:rsidRPr="00AD4939">
        <w:rPr>
          <w:rFonts w:ascii="Arial" w:hAnsi="Arial" w:cs="Arial"/>
        </w:rPr>
        <w:t xml:space="preserve">, L. B. (2017). Prevalence of intestinal parasites in newly diagnosed HIV/AIDS patients in Ilorin, Nigeria. Alexandria journal of medicine, 53(2), 111-116. </w:t>
      </w:r>
      <w:hyperlink r:id="rId18" w:history="1">
        <w:r w:rsidRPr="001625A9">
          <w:rPr>
            <w:rStyle w:val="Hyperlink"/>
            <w:rFonts w:ascii="Arial" w:hAnsi="Arial" w:cs="Arial"/>
          </w:rPr>
          <w:t>https://doi.org/10.1016/j.ajme.2016.04.001</w:t>
        </w:r>
      </w:hyperlink>
      <w:r>
        <w:rPr>
          <w:rFonts w:ascii="Arial" w:hAnsi="Arial" w:cs="Arial"/>
        </w:rPr>
        <w:t xml:space="preserve"> </w:t>
      </w:r>
    </w:p>
    <w:p w14:paraId="47702A39" w14:textId="54364CFF" w:rsidR="00CF159C" w:rsidRPr="00CF159C" w:rsidRDefault="007E4FE2" w:rsidP="00C30E67">
      <w:pPr>
        <w:pStyle w:val="Body"/>
        <w:rPr>
          <w:rFonts w:ascii="Arial" w:hAnsi="Arial" w:cs="Arial"/>
        </w:rPr>
      </w:pPr>
      <w:proofErr w:type="spellStart"/>
      <w:r w:rsidRPr="007E4FE2">
        <w:rPr>
          <w:rFonts w:ascii="Arial" w:hAnsi="Arial" w:cs="Arial"/>
        </w:rPr>
        <w:t>Elmonir</w:t>
      </w:r>
      <w:proofErr w:type="spellEnd"/>
      <w:r w:rsidRPr="007E4FE2">
        <w:rPr>
          <w:rFonts w:ascii="Arial" w:hAnsi="Arial" w:cs="Arial"/>
        </w:rPr>
        <w:t xml:space="preserve">, W., </w:t>
      </w:r>
      <w:proofErr w:type="spellStart"/>
      <w:r w:rsidRPr="007E4FE2">
        <w:rPr>
          <w:rFonts w:ascii="Arial" w:hAnsi="Arial" w:cs="Arial"/>
        </w:rPr>
        <w:t>Elaadli</w:t>
      </w:r>
      <w:proofErr w:type="spellEnd"/>
      <w:r w:rsidRPr="007E4FE2">
        <w:rPr>
          <w:rFonts w:ascii="Arial" w:hAnsi="Arial" w:cs="Arial"/>
        </w:rPr>
        <w:t>, H., Amer, A., El-</w:t>
      </w:r>
      <w:proofErr w:type="spellStart"/>
      <w:r w:rsidRPr="007E4FE2">
        <w:rPr>
          <w:rFonts w:ascii="Arial" w:hAnsi="Arial" w:cs="Arial"/>
        </w:rPr>
        <w:t>Sharkawy</w:t>
      </w:r>
      <w:proofErr w:type="spellEnd"/>
      <w:r w:rsidRPr="007E4FE2">
        <w:rPr>
          <w:rFonts w:ascii="Arial" w:hAnsi="Arial" w:cs="Arial"/>
        </w:rPr>
        <w:t xml:space="preserve">, H., </w:t>
      </w:r>
      <w:proofErr w:type="spellStart"/>
      <w:r w:rsidRPr="007E4FE2">
        <w:rPr>
          <w:rFonts w:ascii="Arial" w:hAnsi="Arial" w:cs="Arial"/>
        </w:rPr>
        <w:t>Bessat</w:t>
      </w:r>
      <w:proofErr w:type="spellEnd"/>
      <w:r w:rsidRPr="007E4FE2">
        <w:rPr>
          <w:rFonts w:ascii="Arial" w:hAnsi="Arial" w:cs="Arial"/>
        </w:rPr>
        <w:t xml:space="preserve">, M., Mahmoud, S. F., et al. (2021). Prevalence of intestinal parasitic infections and their associated risk factors among preschool and school children in Egypt. PLOS ONE </w:t>
      </w:r>
      <w:hyperlink r:id="rId19" w:history="1">
        <w:r w:rsidRPr="001625A9">
          <w:rPr>
            <w:rStyle w:val="Hyperlink"/>
            <w:rFonts w:ascii="Arial" w:hAnsi="Arial" w:cs="Arial"/>
          </w:rPr>
          <w:t>https://doi.org/10.1371/journal.pone.0258037</w:t>
        </w:r>
      </w:hyperlink>
      <w:r>
        <w:rPr>
          <w:rFonts w:ascii="Arial" w:hAnsi="Arial" w:cs="Arial"/>
        </w:rPr>
        <w:t xml:space="preserve"> </w:t>
      </w:r>
    </w:p>
    <w:p w14:paraId="3510AB31" w14:textId="3F5D4782" w:rsidR="00CF159C" w:rsidRPr="00CF159C" w:rsidRDefault="007D6891" w:rsidP="00C30E67">
      <w:pPr>
        <w:pStyle w:val="Body"/>
        <w:rPr>
          <w:rFonts w:ascii="Arial" w:hAnsi="Arial" w:cs="Arial"/>
        </w:rPr>
      </w:pPr>
      <w:r w:rsidRPr="007D6891">
        <w:rPr>
          <w:rFonts w:ascii="Arial" w:hAnsi="Arial" w:cs="Arial"/>
        </w:rPr>
        <w:t xml:space="preserve">Kaminsky, R., &amp; </w:t>
      </w:r>
      <w:proofErr w:type="spellStart"/>
      <w:r w:rsidRPr="007D6891">
        <w:rPr>
          <w:rFonts w:ascii="Arial" w:hAnsi="Arial" w:cs="Arial"/>
        </w:rPr>
        <w:t>Mäser</w:t>
      </w:r>
      <w:proofErr w:type="spellEnd"/>
      <w:r w:rsidRPr="007D6891">
        <w:rPr>
          <w:rFonts w:ascii="Arial" w:hAnsi="Arial" w:cs="Arial"/>
        </w:rPr>
        <w:t xml:space="preserve">, P. (2025). Global impact of parasitic infections and the importance of parasite control. Frontiers in Parasitology, 4, 1546195. </w:t>
      </w:r>
      <w:hyperlink r:id="rId20" w:history="1">
        <w:r w:rsidRPr="001625A9">
          <w:rPr>
            <w:rStyle w:val="Hyperlink"/>
            <w:rFonts w:ascii="Arial" w:hAnsi="Arial" w:cs="Arial"/>
          </w:rPr>
          <w:t>https://doi.org/10.3389/fpara.2025.1546195</w:t>
        </w:r>
      </w:hyperlink>
      <w:r>
        <w:rPr>
          <w:rFonts w:ascii="Arial" w:hAnsi="Arial" w:cs="Arial"/>
        </w:rPr>
        <w:t xml:space="preserve"> </w:t>
      </w:r>
    </w:p>
    <w:p w14:paraId="5B845283" w14:textId="70D98DE1" w:rsidR="00CF159C" w:rsidRPr="00CF159C" w:rsidRDefault="002F36C9" w:rsidP="00C30E67">
      <w:pPr>
        <w:pStyle w:val="Body"/>
        <w:rPr>
          <w:rFonts w:ascii="Arial" w:hAnsi="Arial" w:cs="Arial"/>
        </w:rPr>
      </w:pPr>
      <w:proofErr w:type="spellStart"/>
      <w:r w:rsidRPr="002F36C9">
        <w:rPr>
          <w:rFonts w:ascii="Arial" w:hAnsi="Arial" w:cs="Arial"/>
        </w:rPr>
        <w:t>Ifeadike</w:t>
      </w:r>
      <w:proofErr w:type="spellEnd"/>
      <w:r w:rsidRPr="002F36C9">
        <w:rPr>
          <w:rFonts w:ascii="Arial" w:hAnsi="Arial" w:cs="Arial"/>
        </w:rPr>
        <w:t xml:space="preserve">, C. O., </w:t>
      </w:r>
      <w:proofErr w:type="spellStart"/>
      <w:r w:rsidRPr="002F36C9">
        <w:rPr>
          <w:rFonts w:ascii="Arial" w:hAnsi="Arial" w:cs="Arial"/>
        </w:rPr>
        <w:t>Ironkwe</w:t>
      </w:r>
      <w:proofErr w:type="spellEnd"/>
      <w:r w:rsidRPr="002F36C9">
        <w:rPr>
          <w:rFonts w:ascii="Arial" w:hAnsi="Arial" w:cs="Arial"/>
        </w:rPr>
        <w:t xml:space="preserve">, O. C., </w:t>
      </w:r>
      <w:proofErr w:type="spellStart"/>
      <w:r w:rsidRPr="002F36C9">
        <w:rPr>
          <w:rFonts w:ascii="Arial" w:hAnsi="Arial" w:cs="Arial"/>
        </w:rPr>
        <w:t>Adogu</w:t>
      </w:r>
      <w:proofErr w:type="spellEnd"/>
      <w:r w:rsidRPr="002F36C9">
        <w:rPr>
          <w:rFonts w:ascii="Arial" w:hAnsi="Arial" w:cs="Arial"/>
        </w:rPr>
        <w:t xml:space="preserve">, P. O. U., </w:t>
      </w:r>
      <w:proofErr w:type="spellStart"/>
      <w:r w:rsidRPr="002F36C9">
        <w:rPr>
          <w:rFonts w:ascii="Arial" w:hAnsi="Arial" w:cs="Arial"/>
        </w:rPr>
        <w:t>Nnebue</w:t>
      </w:r>
      <w:proofErr w:type="spellEnd"/>
      <w:r w:rsidRPr="002F36C9">
        <w:rPr>
          <w:rFonts w:ascii="Arial" w:hAnsi="Arial" w:cs="Arial"/>
        </w:rPr>
        <w:t xml:space="preserve">, C. C., </w:t>
      </w:r>
      <w:proofErr w:type="spellStart"/>
      <w:r w:rsidRPr="002F36C9">
        <w:rPr>
          <w:rFonts w:ascii="Arial" w:hAnsi="Arial" w:cs="Arial"/>
        </w:rPr>
        <w:t>Emelumadu</w:t>
      </w:r>
      <w:proofErr w:type="spellEnd"/>
      <w:r w:rsidRPr="002F36C9">
        <w:rPr>
          <w:rFonts w:ascii="Arial" w:hAnsi="Arial" w:cs="Arial"/>
        </w:rPr>
        <w:t xml:space="preserve">, O. F., </w:t>
      </w:r>
      <w:proofErr w:type="spellStart"/>
      <w:r w:rsidRPr="002F36C9">
        <w:rPr>
          <w:rFonts w:ascii="Arial" w:hAnsi="Arial" w:cs="Arial"/>
        </w:rPr>
        <w:t>Nwabueze</w:t>
      </w:r>
      <w:proofErr w:type="spellEnd"/>
      <w:r w:rsidRPr="002F36C9">
        <w:rPr>
          <w:rFonts w:ascii="Arial" w:hAnsi="Arial" w:cs="Arial"/>
        </w:rPr>
        <w:t xml:space="preserve">, S. A., &amp; </w:t>
      </w:r>
      <w:proofErr w:type="spellStart"/>
      <w:r w:rsidRPr="002F36C9">
        <w:rPr>
          <w:rFonts w:ascii="Arial" w:hAnsi="Arial" w:cs="Arial"/>
        </w:rPr>
        <w:t>Ubajaka</w:t>
      </w:r>
      <w:proofErr w:type="spellEnd"/>
      <w:r w:rsidRPr="002F36C9">
        <w:rPr>
          <w:rFonts w:ascii="Arial" w:hAnsi="Arial" w:cs="Arial"/>
        </w:rPr>
        <w:t xml:space="preserve">, C. F. (2012). Prevalence and pattern of bacteria and intestinal parasites among food handlers in the Federal Capital Territory of Nigeria. Nigerian Medical Journal, 53(3), 166-171. </w:t>
      </w:r>
      <w:hyperlink r:id="rId21" w:history="1">
        <w:r w:rsidRPr="001625A9">
          <w:rPr>
            <w:rStyle w:val="Hyperlink"/>
            <w:rFonts w:ascii="Arial" w:hAnsi="Arial" w:cs="Arial"/>
          </w:rPr>
          <w:t>https://doi.org/10.4103/0300-1652.104389</w:t>
        </w:r>
      </w:hyperlink>
      <w:r>
        <w:rPr>
          <w:rFonts w:ascii="Arial" w:hAnsi="Arial" w:cs="Arial"/>
        </w:rPr>
        <w:t xml:space="preserve"> </w:t>
      </w:r>
    </w:p>
    <w:p w14:paraId="7E5E5203" w14:textId="71E2E9E0" w:rsidR="00CF159C" w:rsidRPr="00CF159C" w:rsidRDefault="00D00DA0" w:rsidP="00C30E67">
      <w:pPr>
        <w:pStyle w:val="Body"/>
        <w:rPr>
          <w:rFonts w:ascii="Arial" w:hAnsi="Arial" w:cs="Arial"/>
        </w:rPr>
      </w:pPr>
      <w:proofErr w:type="spellStart"/>
      <w:r w:rsidRPr="00D00DA0">
        <w:rPr>
          <w:rFonts w:ascii="Arial" w:hAnsi="Arial" w:cs="Arial"/>
        </w:rPr>
        <w:t>Ihejirika</w:t>
      </w:r>
      <w:proofErr w:type="spellEnd"/>
      <w:r w:rsidRPr="00D00DA0">
        <w:rPr>
          <w:rFonts w:ascii="Arial" w:hAnsi="Arial" w:cs="Arial"/>
        </w:rPr>
        <w:t xml:space="preserve">, O. C., </w:t>
      </w:r>
      <w:proofErr w:type="spellStart"/>
      <w:r w:rsidRPr="00D00DA0">
        <w:rPr>
          <w:rFonts w:ascii="Arial" w:hAnsi="Arial" w:cs="Arial"/>
        </w:rPr>
        <w:t>Nwaorgu</w:t>
      </w:r>
      <w:proofErr w:type="spellEnd"/>
      <w:r w:rsidRPr="00D00DA0">
        <w:rPr>
          <w:rFonts w:ascii="Arial" w:hAnsi="Arial" w:cs="Arial"/>
        </w:rPr>
        <w:t xml:space="preserve">, O. C., </w:t>
      </w:r>
      <w:proofErr w:type="spellStart"/>
      <w:r w:rsidRPr="00D00DA0">
        <w:rPr>
          <w:rFonts w:ascii="Arial" w:hAnsi="Arial" w:cs="Arial"/>
        </w:rPr>
        <w:t>Ebirim</w:t>
      </w:r>
      <w:proofErr w:type="spellEnd"/>
      <w:r w:rsidRPr="00D00DA0">
        <w:rPr>
          <w:rFonts w:ascii="Arial" w:hAnsi="Arial" w:cs="Arial"/>
        </w:rPr>
        <w:t xml:space="preserve">, C. I., &amp; </w:t>
      </w:r>
      <w:proofErr w:type="spellStart"/>
      <w:r w:rsidRPr="00D00DA0">
        <w:rPr>
          <w:rFonts w:ascii="Arial" w:hAnsi="Arial" w:cs="Arial"/>
        </w:rPr>
        <w:t>Nwokeji</w:t>
      </w:r>
      <w:proofErr w:type="spellEnd"/>
      <w:r w:rsidRPr="00D00DA0">
        <w:rPr>
          <w:rFonts w:ascii="Arial" w:hAnsi="Arial" w:cs="Arial"/>
        </w:rPr>
        <w:t xml:space="preserve">, C. M. (2019). Effects of intestinal parasitic infections on nutritional status of primary children in Imo State Nigeria. Pan African Medical Journal, 33(34). </w:t>
      </w:r>
      <w:hyperlink r:id="rId22" w:history="1">
        <w:r w:rsidRPr="001625A9">
          <w:rPr>
            <w:rStyle w:val="Hyperlink"/>
            <w:rFonts w:ascii="Arial" w:hAnsi="Arial" w:cs="Arial"/>
          </w:rPr>
          <w:t>https://doi.org/10.11604/pamj.2019.33.34.17099</w:t>
        </w:r>
      </w:hyperlink>
      <w:r>
        <w:rPr>
          <w:rFonts w:ascii="Arial" w:hAnsi="Arial" w:cs="Arial"/>
        </w:rPr>
        <w:t xml:space="preserve"> </w:t>
      </w:r>
    </w:p>
    <w:p w14:paraId="037D48E9" w14:textId="7081F382" w:rsidR="00CF159C" w:rsidRPr="00CF159C" w:rsidRDefault="00F71675" w:rsidP="00C30E67">
      <w:pPr>
        <w:pStyle w:val="Body"/>
        <w:rPr>
          <w:rFonts w:ascii="Arial" w:hAnsi="Arial" w:cs="Arial"/>
        </w:rPr>
      </w:pPr>
      <w:proofErr w:type="spellStart"/>
      <w:r w:rsidRPr="00F71675">
        <w:rPr>
          <w:rFonts w:ascii="Arial" w:hAnsi="Arial" w:cs="Arial"/>
        </w:rPr>
        <w:t>Dudlová</w:t>
      </w:r>
      <w:proofErr w:type="spellEnd"/>
      <w:r w:rsidRPr="00F71675">
        <w:rPr>
          <w:rFonts w:ascii="Arial" w:hAnsi="Arial" w:cs="Arial"/>
        </w:rPr>
        <w:t xml:space="preserve">, A., </w:t>
      </w:r>
      <w:proofErr w:type="spellStart"/>
      <w:r w:rsidRPr="00F71675">
        <w:rPr>
          <w:rFonts w:ascii="Arial" w:hAnsi="Arial" w:cs="Arial"/>
        </w:rPr>
        <w:t>Juriš</w:t>
      </w:r>
      <w:proofErr w:type="spellEnd"/>
      <w:r w:rsidRPr="00F71675">
        <w:rPr>
          <w:rFonts w:ascii="Arial" w:hAnsi="Arial" w:cs="Arial"/>
        </w:rPr>
        <w:t xml:space="preserve">, P., </w:t>
      </w:r>
      <w:proofErr w:type="spellStart"/>
      <w:r w:rsidRPr="00F71675">
        <w:rPr>
          <w:rFonts w:ascii="Arial" w:hAnsi="Arial" w:cs="Arial"/>
        </w:rPr>
        <w:t>Jurišová</w:t>
      </w:r>
      <w:proofErr w:type="spellEnd"/>
      <w:r w:rsidRPr="00F71675">
        <w:rPr>
          <w:rFonts w:ascii="Arial" w:hAnsi="Arial" w:cs="Arial"/>
        </w:rPr>
        <w:t xml:space="preserve">, S., </w:t>
      </w:r>
      <w:proofErr w:type="spellStart"/>
      <w:r w:rsidRPr="00F71675">
        <w:rPr>
          <w:rFonts w:ascii="Arial" w:hAnsi="Arial" w:cs="Arial"/>
        </w:rPr>
        <w:t>Jarčuška</w:t>
      </w:r>
      <w:proofErr w:type="spellEnd"/>
      <w:r w:rsidRPr="00F71675">
        <w:rPr>
          <w:rFonts w:ascii="Arial" w:hAnsi="Arial" w:cs="Arial"/>
        </w:rPr>
        <w:t xml:space="preserve">, P., &amp; </w:t>
      </w:r>
      <w:proofErr w:type="spellStart"/>
      <w:r w:rsidRPr="00F71675">
        <w:rPr>
          <w:rFonts w:ascii="Arial" w:hAnsi="Arial" w:cs="Arial"/>
        </w:rPr>
        <w:t>Krčméry</w:t>
      </w:r>
      <w:proofErr w:type="spellEnd"/>
      <w:r w:rsidRPr="00F71675">
        <w:rPr>
          <w:rFonts w:ascii="Arial" w:hAnsi="Arial" w:cs="Arial"/>
        </w:rPr>
        <w:t xml:space="preserve">, V. (2016). Epidemiology and geographical distribution of gastrointestinal parasitic infection in humans in Slovakia. </w:t>
      </w:r>
      <w:proofErr w:type="spellStart"/>
      <w:r w:rsidRPr="00F71675">
        <w:rPr>
          <w:rFonts w:ascii="Arial" w:hAnsi="Arial" w:cs="Arial"/>
        </w:rPr>
        <w:t>Helminthologia</w:t>
      </w:r>
      <w:proofErr w:type="spellEnd"/>
      <w:r w:rsidRPr="00F71675">
        <w:rPr>
          <w:rFonts w:ascii="Arial" w:hAnsi="Arial" w:cs="Arial"/>
        </w:rPr>
        <w:t xml:space="preserve">, 53(4), 309-317. </w:t>
      </w:r>
      <w:hyperlink r:id="rId23" w:history="1">
        <w:r w:rsidRPr="001625A9">
          <w:rPr>
            <w:rStyle w:val="Hyperlink"/>
            <w:rFonts w:ascii="Arial" w:hAnsi="Arial" w:cs="Arial"/>
          </w:rPr>
          <w:t>https://doi.org/10.1515/HELMIN-2016-0035</w:t>
        </w:r>
      </w:hyperlink>
      <w:r>
        <w:rPr>
          <w:rFonts w:ascii="Arial" w:hAnsi="Arial" w:cs="Arial"/>
        </w:rPr>
        <w:t xml:space="preserve"> </w:t>
      </w:r>
    </w:p>
    <w:p w14:paraId="7862C405" w14:textId="40EC7FD6" w:rsidR="00CF159C" w:rsidRPr="00CF159C" w:rsidRDefault="00E80A39" w:rsidP="00C30E67">
      <w:pPr>
        <w:pStyle w:val="Body"/>
        <w:rPr>
          <w:rFonts w:ascii="Arial" w:hAnsi="Arial" w:cs="Arial"/>
        </w:rPr>
      </w:pPr>
      <w:r w:rsidRPr="00E80A39">
        <w:rPr>
          <w:rFonts w:ascii="Arial" w:hAnsi="Arial" w:cs="Arial"/>
        </w:rPr>
        <w:t>Ahmed, A., Al-</w:t>
      </w:r>
      <w:proofErr w:type="spellStart"/>
      <w:r w:rsidRPr="00E80A39">
        <w:rPr>
          <w:rFonts w:ascii="Arial" w:hAnsi="Arial" w:cs="Arial"/>
        </w:rPr>
        <w:t>Mekhlafi</w:t>
      </w:r>
      <w:proofErr w:type="spellEnd"/>
      <w:r w:rsidRPr="00E80A39">
        <w:rPr>
          <w:rFonts w:ascii="Arial" w:hAnsi="Arial" w:cs="Arial"/>
        </w:rPr>
        <w:t>, H.M., Al-</w:t>
      </w:r>
      <w:proofErr w:type="spellStart"/>
      <w:r w:rsidRPr="00E80A39">
        <w:rPr>
          <w:rFonts w:ascii="Arial" w:hAnsi="Arial" w:cs="Arial"/>
        </w:rPr>
        <w:t>Adhroey</w:t>
      </w:r>
      <w:proofErr w:type="spellEnd"/>
      <w:r w:rsidRPr="00E80A39">
        <w:rPr>
          <w:rFonts w:ascii="Arial" w:hAnsi="Arial" w:cs="Arial"/>
        </w:rPr>
        <w:t xml:space="preserve">, A.H., </w:t>
      </w:r>
      <w:proofErr w:type="spellStart"/>
      <w:r w:rsidRPr="00E80A39">
        <w:rPr>
          <w:rFonts w:ascii="Arial" w:hAnsi="Arial" w:cs="Arial"/>
        </w:rPr>
        <w:t>Ithoi</w:t>
      </w:r>
      <w:proofErr w:type="spellEnd"/>
      <w:r w:rsidRPr="00E80A39">
        <w:rPr>
          <w:rFonts w:ascii="Arial" w:hAnsi="Arial" w:cs="Arial"/>
        </w:rPr>
        <w:t xml:space="preserve">, I., Abdulsalam, A.M., &amp; </w:t>
      </w:r>
      <w:proofErr w:type="spellStart"/>
      <w:r w:rsidRPr="00E80A39">
        <w:rPr>
          <w:rFonts w:ascii="Arial" w:hAnsi="Arial" w:cs="Arial"/>
        </w:rPr>
        <w:t>Surin</w:t>
      </w:r>
      <w:proofErr w:type="spellEnd"/>
      <w:r w:rsidRPr="00E80A39">
        <w:rPr>
          <w:rFonts w:ascii="Arial" w:hAnsi="Arial" w:cs="Arial"/>
        </w:rPr>
        <w:t xml:space="preserve">, J. (2012). The nutritional impacts of soil-transmitted helminths infections among Orang </w:t>
      </w:r>
      <w:proofErr w:type="spellStart"/>
      <w:r w:rsidRPr="00E80A39">
        <w:rPr>
          <w:rFonts w:ascii="Arial" w:hAnsi="Arial" w:cs="Arial"/>
        </w:rPr>
        <w:t>Asli</w:t>
      </w:r>
      <w:proofErr w:type="spellEnd"/>
      <w:r w:rsidRPr="00E80A39">
        <w:rPr>
          <w:rFonts w:ascii="Arial" w:hAnsi="Arial" w:cs="Arial"/>
        </w:rPr>
        <w:t xml:space="preserve"> schoolchildren in rural Malaysia. Parasites &amp; Vectors, 5, 119. </w:t>
      </w:r>
      <w:hyperlink r:id="rId24" w:history="1">
        <w:r w:rsidRPr="001625A9">
          <w:rPr>
            <w:rStyle w:val="Hyperlink"/>
            <w:rFonts w:ascii="Arial" w:hAnsi="Arial" w:cs="Arial"/>
          </w:rPr>
          <w:t>https://doi.org/10.1186/1756-3305-5-119</w:t>
        </w:r>
      </w:hyperlink>
      <w:r>
        <w:rPr>
          <w:rFonts w:ascii="Arial" w:hAnsi="Arial" w:cs="Arial"/>
        </w:rPr>
        <w:t xml:space="preserve"> </w:t>
      </w:r>
    </w:p>
    <w:p w14:paraId="0006E88F" w14:textId="140E5A64" w:rsidR="00CF159C" w:rsidRPr="00CF159C" w:rsidRDefault="006D2874" w:rsidP="00C30E67">
      <w:pPr>
        <w:pStyle w:val="Body"/>
        <w:rPr>
          <w:rFonts w:ascii="Arial" w:hAnsi="Arial" w:cs="Arial"/>
        </w:rPr>
      </w:pPr>
      <w:proofErr w:type="spellStart"/>
      <w:r w:rsidRPr="006D2874">
        <w:rPr>
          <w:rFonts w:ascii="Arial" w:hAnsi="Arial" w:cs="Arial"/>
        </w:rPr>
        <w:t>Adenusi</w:t>
      </w:r>
      <w:proofErr w:type="spellEnd"/>
      <w:r w:rsidRPr="006D2874">
        <w:rPr>
          <w:rFonts w:ascii="Arial" w:hAnsi="Arial" w:cs="Arial"/>
        </w:rPr>
        <w:t xml:space="preserve">, A. A., Akinyemi, M. I., &amp; </w:t>
      </w:r>
      <w:proofErr w:type="spellStart"/>
      <w:r w:rsidRPr="006D2874">
        <w:rPr>
          <w:rFonts w:ascii="Arial" w:hAnsi="Arial" w:cs="Arial"/>
        </w:rPr>
        <w:t>Akinsanya</w:t>
      </w:r>
      <w:proofErr w:type="spellEnd"/>
      <w:r w:rsidRPr="006D2874">
        <w:rPr>
          <w:rFonts w:ascii="Arial" w:hAnsi="Arial" w:cs="Arial"/>
        </w:rPr>
        <w:t xml:space="preserve">, D. (2018). Domiciliary cockroaches as carriers of human intestinal parasites in Lagos Metropolis, Southwest Nigeria: Implications for Public Health. Journal of Arthropod-Borne Diseases, 12(2), 141. </w:t>
      </w:r>
      <w:hyperlink r:id="rId25" w:history="1">
        <w:r w:rsidRPr="001625A9">
          <w:rPr>
            <w:rStyle w:val="Hyperlink"/>
            <w:rFonts w:ascii="Arial" w:hAnsi="Arial" w:cs="Arial"/>
          </w:rPr>
          <w:t>https://doi.org/10.18502/jad.v12i2.40</w:t>
        </w:r>
      </w:hyperlink>
      <w:r>
        <w:rPr>
          <w:rFonts w:ascii="Arial" w:hAnsi="Arial" w:cs="Arial"/>
        </w:rPr>
        <w:t xml:space="preserve"> </w:t>
      </w:r>
    </w:p>
    <w:p w14:paraId="2414696D" w14:textId="21B49B8F" w:rsidR="00CF159C" w:rsidRPr="00CF159C" w:rsidRDefault="00FB2BBC" w:rsidP="00C30E67">
      <w:pPr>
        <w:pStyle w:val="Body"/>
        <w:rPr>
          <w:rFonts w:ascii="Arial" w:hAnsi="Arial" w:cs="Arial"/>
        </w:rPr>
      </w:pPr>
      <w:r w:rsidRPr="00FB2BBC">
        <w:rPr>
          <w:rFonts w:ascii="Arial" w:hAnsi="Arial" w:cs="Arial"/>
        </w:rPr>
        <w:t xml:space="preserve">Cimino, R. O., </w:t>
      </w:r>
      <w:proofErr w:type="spellStart"/>
      <w:r w:rsidRPr="00FB2BBC">
        <w:rPr>
          <w:rFonts w:ascii="Arial" w:hAnsi="Arial" w:cs="Arial"/>
        </w:rPr>
        <w:t>Jeun</w:t>
      </w:r>
      <w:proofErr w:type="spellEnd"/>
      <w:r w:rsidRPr="00FB2BBC">
        <w:rPr>
          <w:rFonts w:ascii="Arial" w:hAnsi="Arial" w:cs="Arial"/>
        </w:rPr>
        <w:t xml:space="preserve">, R., Juarez, M., </w:t>
      </w:r>
      <w:proofErr w:type="spellStart"/>
      <w:r w:rsidRPr="00FB2BBC">
        <w:rPr>
          <w:rFonts w:ascii="Arial" w:hAnsi="Arial" w:cs="Arial"/>
        </w:rPr>
        <w:t>Cajal</w:t>
      </w:r>
      <w:proofErr w:type="spellEnd"/>
      <w:r w:rsidRPr="00FB2BBC">
        <w:rPr>
          <w:rFonts w:ascii="Arial" w:hAnsi="Arial" w:cs="Arial"/>
        </w:rPr>
        <w:t xml:space="preserve">, P. S., Vargas, P., </w:t>
      </w:r>
      <w:proofErr w:type="spellStart"/>
      <w:r w:rsidRPr="00FB2BBC">
        <w:rPr>
          <w:rFonts w:ascii="Arial" w:hAnsi="Arial" w:cs="Arial"/>
        </w:rPr>
        <w:t>Echazú</w:t>
      </w:r>
      <w:proofErr w:type="spellEnd"/>
      <w:r w:rsidRPr="00FB2BBC">
        <w:rPr>
          <w:rFonts w:ascii="Arial" w:hAnsi="Arial" w:cs="Arial"/>
        </w:rPr>
        <w:t xml:space="preserve">, A., Bryan, P. E., Nasser, J., </w:t>
      </w:r>
      <w:proofErr w:type="spellStart"/>
      <w:r w:rsidRPr="00FB2BBC">
        <w:rPr>
          <w:rFonts w:ascii="Arial" w:hAnsi="Arial" w:cs="Arial"/>
        </w:rPr>
        <w:t>Krolewiecki</w:t>
      </w:r>
      <w:proofErr w:type="spellEnd"/>
      <w:r w:rsidRPr="00FB2BBC">
        <w:rPr>
          <w:rFonts w:ascii="Arial" w:hAnsi="Arial" w:cs="Arial"/>
        </w:rPr>
        <w:t xml:space="preserve">, A., &amp; Mejia, R. (2015). Identification of human intestinal parasites affecting an asymptomatic peri-urban Argentinian population using multi-parallel quantitative real-time polymerase chain reaction. Parasites &amp; vectors, 8(1), 380. </w:t>
      </w:r>
      <w:hyperlink r:id="rId26" w:history="1">
        <w:r w:rsidRPr="001625A9">
          <w:rPr>
            <w:rStyle w:val="Hyperlink"/>
            <w:rFonts w:ascii="Arial" w:hAnsi="Arial" w:cs="Arial"/>
          </w:rPr>
          <w:t>https://doi.org/10.1186/s13071-015-0994-z</w:t>
        </w:r>
      </w:hyperlink>
      <w:r>
        <w:rPr>
          <w:rFonts w:ascii="Arial" w:hAnsi="Arial" w:cs="Arial"/>
        </w:rPr>
        <w:t xml:space="preserve"> </w:t>
      </w:r>
    </w:p>
    <w:p w14:paraId="3E1D4C45" w14:textId="53FB9344" w:rsidR="00CF159C" w:rsidRPr="00CF159C" w:rsidRDefault="009E4E9C" w:rsidP="00C30E67">
      <w:pPr>
        <w:pStyle w:val="Body"/>
        <w:rPr>
          <w:rFonts w:ascii="Arial" w:hAnsi="Arial" w:cs="Arial"/>
        </w:rPr>
      </w:pPr>
      <w:proofErr w:type="spellStart"/>
      <w:r w:rsidRPr="009E4E9C">
        <w:rPr>
          <w:rFonts w:ascii="Arial" w:hAnsi="Arial" w:cs="Arial"/>
        </w:rPr>
        <w:t>Onyeka</w:t>
      </w:r>
      <w:proofErr w:type="spellEnd"/>
      <w:r w:rsidRPr="009E4E9C">
        <w:rPr>
          <w:rFonts w:ascii="Arial" w:hAnsi="Arial" w:cs="Arial"/>
        </w:rPr>
        <w:t xml:space="preserve">, C. C., &amp; ANTIP, T. M. (2025). Prevalence of Intestinal Parasites Among School Aged Children </w:t>
      </w:r>
      <w:proofErr w:type="gramStart"/>
      <w:r w:rsidRPr="009E4E9C">
        <w:rPr>
          <w:rFonts w:ascii="Arial" w:hAnsi="Arial" w:cs="Arial"/>
        </w:rPr>
        <w:t>In</w:t>
      </w:r>
      <w:proofErr w:type="gramEnd"/>
      <w:r w:rsidRPr="009E4E9C">
        <w:rPr>
          <w:rFonts w:ascii="Arial" w:hAnsi="Arial" w:cs="Arial"/>
        </w:rPr>
        <w:t xml:space="preserve"> Primary Schools In </w:t>
      </w:r>
      <w:proofErr w:type="spellStart"/>
      <w:r w:rsidRPr="009E4E9C">
        <w:rPr>
          <w:rFonts w:ascii="Arial" w:hAnsi="Arial" w:cs="Arial"/>
        </w:rPr>
        <w:t>Pankshin</w:t>
      </w:r>
      <w:proofErr w:type="spellEnd"/>
      <w:r w:rsidRPr="009E4E9C">
        <w:rPr>
          <w:rFonts w:ascii="Arial" w:hAnsi="Arial" w:cs="Arial"/>
        </w:rPr>
        <w:t xml:space="preserve"> L.G.A Of Plateau State. Journal of Medical and Dental Science Research, 12(2), 83-93. </w:t>
      </w:r>
      <w:hyperlink r:id="rId27" w:history="1">
        <w:r w:rsidRPr="001625A9">
          <w:rPr>
            <w:rStyle w:val="Hyperlink"/>
            <w:rFonts w:ascii="Arial" w:hAnsi="Arial" w:cs="Arial"/>
          </w:rPr>
          <w:t>https://doi.org/10.35629/076X-12028393</w:t>
        </w:r>
      </w:hyperlink>
      <w:r>
        <w:rPr>
          <w:rFonts w:ascii="Arial" w:hAnsi="Arial" w:cs="Arial"/>
        </w:rPr>
        <w:t xml:space="preserve"> </w:t>
      </w:r>
    </w:p>
    <w:p w14:paraId="0503DA19" w14:textId="43CAB0ED" w:rsidR="00CF159C" w:rsidRPr="00CF159C" w:rsidRDefault="00F30244" w:rsidP="00C30E67">
      <w:pPr>
        <w:pStyle w:val="Body"/>
        <w:rPr>
          <w:rFonts w:ascii="Arial" w:hAnsi="Arial" w:cs="Arial"/>
        </w:rPr>
      </w:pPr>
      <w:proofErr w:type="spellStart"/>
      <w:r w:rsidRPr="00F30244">
        <w:rPr>
          <w:rFonts w:ascii="Arial" w:hAnsi="Arial" w:cs="Arial"/>
        </w:rPr>
        <w:t>Isma'l</w:t>
      </w:r>
      <w:proofErr w:type="spellEnd"/>
      <w:r w:rsidRPr="00F30244">
        <w:rPr>
          <w:rFonts w:ascii="Arial" w:hAnsi="Arial" w:cs="Arial"/>
        </w:rPr>
        <w:t xml:space="preserve">, I., Ahmed, A., Abdullahi, K., Yusuf, A. M., </w:t>
      </w:r>
      <w:proofErr w:type="spellStart"/>
      <w:r w:rsidRPr="00F30244">
        <w:rPr>
          <w:rFonts w:ascii="Arial" w:hAnsi="Arial" w:cs="Arial"/>
        </w:rPr>
        <w:t>Yar'adua</w:t>
      </w:r>
      <w:proofErr w:type="spellEnd"/>
      <w:r w:rsidRPr="00F30244">
        <w:rPr>
          <w:rFonts w:ascii="Arial" w:hAnsi="Arial" w:cs="Arial"/>
        </w:rPr>
        <w:t xml:space="preserve">, Z. A., &amp; Gidado, S. M. (2024). Prevalence and Risk Factors of Intestinal Parasitic Infections among Schoolchildren in </w:t>
      </w:r>
      <w:proofErr w:type="spellStart"/>
      <w:r w:rsidRPr="00F30244">
        <w:rPr>
          <w:rFonts w:ascii="Arial" w:hAnsi="Arial" w:cs="Arial"/>
        </w:rPr>
        <w:t>Katsina</w:t>
      </w:r>
      <w:proofErr w:type="spellEnd"/>
      <w:r w:rsidRPr="00F30244">
        <w:rPr>
          <w:rFonts w:ascii="Arial" w:hAnsi="Arial" w:cs="Arial"/>
        </w:rPr>
        <w:t xml:space="preserve"> Metropolis, </w:t>
      </w:r>
      <w:proofErr w:type="spellStart"/>
      <w:r w:rsidRPr="00F30244">
        <w:rPr>
          <w:rFonts w:ascii="Arial" w:hAnsi="Arial" w:cs="Arial"/>
        </w:rPr>
        <w:t>Katsina</w:t>
      </w:r>
      <w:proofErr w:type="spellEnd"/>
      <w:r w:rsidRPr="00F30244">
        <w:rPr>
          <w:rFonts w:ascii="Arial" w:hAnsi="Arial" w:cs="Arial"/>
        </w:rPr>
        <w:t xml:space="preserve"> State, Nigeria. Sahel Journal of Life Sciences FUDMA, 2(3), 62-68. </w:t>
      </w:r>
      <w:hyperlink r:id="rId28" w:history="1">
        <w:r w:rsidRPr="001625A9">
          <w:rPr>
            <w:rStyle w:val="Hyperlink"/>
            <w:rFonts w:ascii="Arial" w:hAnsi="Arial" w:cs="Arial"/>
          </w:rPr>
          <w:t>https://doi.org/10.33003/sajols-2024-0203-09</w:t>
        </w:r>
      </w:hyperlink>
      <w:r>
        <w:rPr>
          <w:rFonts w:ascii="Arial" w:hAnsi="Arial" w:cs="Arial"/>
        </w:rPr>
        <w:t xml:space="preserve"> </w:t>
      </w:r>
    </w:p>
    <w:p w14:paraId="7FD29B30" w14:textId="5B8009C7" w:rsidR="00CF159C" w:rsidRPr="00CF159C" w:rsidRDefault="00B34AB7" w:rsidP="00C30E67">
      <w:pPr>
        <w:pStyle w:val="Body"/>
        <w:rPr>
          <w:rFonts w:ascii="Arial" w:hAnsi="Arial" w:cs="Arial"/>
        </w:rPr>
      </w:pPr>
      <w:proofErr w:type="spellStart"/>
      <w:r w:rsidRPr="00B34AB7">
        <w:rPr>
          <w:rFonts w:ascii="Arial" w:hAnsi="Arial" w:cs="Arial"/>
        </w:rPr>
        <w:t>Gyang</w:t>
      </w:r>
      <w:proofErr w:type="spellEnd"/>
      <w:r w:rsidRPr="00B34AB7">
        <w:rPr>
          <w:rFonts w:ascii="Arial" w:hAnsi="Arial" w:cs="Arial"/>
        </w:rPr>
        <w:t xml:space="preserve">, P. R., </w:t>
      </w:r>
      <w:proofErr w:type="spellStart"/>
      <w:r w:rsidRPr="00B34AB7">
        <w:rPr>
          <w:rFonts w:ascii="Arial" w:hAnsi="Arial" w:cs="Arial"/>
        </w:rPr>
        <w:t>Uzoigwe</w:t>
      </w:r>
      <w:proofErr w:type="spellEnd"/>
      <w:r w:rsidRPr="00B34AB7">
        <w:rPr>
          <w:rFonts w:ascii="Arial" w:hAnsi="Arial" w:cs="Arial"/>
        </w:rPr>
        <w:t xml:space="preserve">, N. R., </w:t>
      </w:r>
      <w:proofErr w:type="spellStart"/>
      <w:r w:rsidRPr="00B34AB7">
        <w:rPr>
          <w:rFonts w:ascii="Arial" w:hAnsi="Arial" w:cs="Arial"/>
        </w:rPr>
        <w:t>Ayim</w:t>
      </w:r>
      <w:proofErr w:type="spellEnd"/>
      <w:r w:rsidRPr="00B34AB7">
        <w:rPr>
          <w:rFonts w:ascii="Arial" w:hAnsi="Arial" w:cs="Arial"/>
        </w:rPr>
        <w:t xml:space="preserve">, J. O., </w:t>
      </w:r>
      <w:proofErr w:type="spellStart"/>
      <w:r w:rsidRPr="00B34AB7">
        <w:rPr>
          <w:rFonts w:ascii="Arial" w:hAnsi="Arial" w:cs="Arial"/>
        </w:rPr>
        <w:t>Ombugadu</w:t>
      </w:r>
      <w:proofErr w:type="spellEnd"/>
      <w:r w:rsidRPr="00B34AB7">
        <w:rPr>
          <w:rFonts w:ascii="Arial" w:hAnsi="Arial" w:cs="Arial"/>
        </w:rPr>
        <w:t xml:space="preserve">, A., &amp; Ahmed, H. O. (2017). Evaluation of local drinking water sources to determine their possible contamination with parasite in Lafia local government area Nasarawa State, Nigeria. European Journal of Basic and Applied Sciences, 4(1), 63-68. </w:t>
      </w:r>
      <w:hyperlink r:id="rId29" w:history="1">
        <w:r w:rsidRPr="001625A9">
          <w:rPr>
            <w:rStyle w:val="Hyperlink"/>
            <w:rFonts w:ascii="Arial" w:hAnsi="Arial" w:cs="Arial"/>
          </w:rPr>
          <w:t>https://idpublications.org/ejbas-vol-4-no-1-2017/</w:t>
        </w:r>
      </w:hyperlink>
      <w:r>
        <w:rPr>
          <w:rFonts w:ascii="Arial" w:hAnsi="Arial" w:cs="Arial"/>
        </w:rPr>
        <w:t xml:space="preserve"> </w:t>
      </w:r>
    </w:p>
    <w:p w14:paraId="4D9883C9" w14:textId="61712240" w:rsidR="00CF159C" w:rsidRPr="00CF159C" w:rsidRDefault="00097B82" w:rsidP="00C30E67">
      <w:pPr>
        <w:pStyle w:val="Body"/>
        <w:rPr>
          <w:rFonts w:ascii="Arial" w:hAnsi="Arial" w:cs="Arial"/>
        </w:rPr>
      </w:pPr>
      <w:proofErr w:type="spellStart"/>
      <w:r w:rsidRPr="00097B82">
        <w:rPr>
          <w:rFonts w:ascii="Arial" w:hAnsi="Arial" w:cs="Arial"/>
        </w:rPr>
        <w:t>Gbonhinbor</w:t>
      </w:r>
      <w:proofErr w:type="spellEnd"/>
      <w:r w:rsidRPr="00097B82">
        <w:rPr>
          <w:rFonts w:ascii="Arial" w:hAnsi="Arial" w:cs="Arial"/>
        </w:rPr>
        <w:t xml:space="preserve">, J., </w:t>
      </w:r>
      <w:proofErr w:type="spellStart"/>
      <w:r w:rsidRPr="00097B82">
        <w:rPr>
          <w:rFonts w:ascii="Arial" w:hAnsi="Arial" w:cs="Arial"/>
        </w:rPr>
        <w:t>Abah</w:t>
      </w:r>
      <w:proofErr w:type="spellEnd"/>
      <w:r w:rsidRPr="00097B82">
        <w:rPr>
          <w:rFonts w:ascii="Arial" w:hAnsi="Arial" w:cs="Arial"/>
        </w:rPr>
        <w:t xml:space="preserve">, A. E., &amp; </w:t>
      </w:r>
      <w:proofErr w:type="spellStart"/>
      <w:r w:rsidRPr="00097B82">
        <w:rPr>
          <w:rFonts w:ascii="Arial" w:hAnsi="Arial" w:cs="Arial"/>
        </w:rPr>
        <w:t>Awi-Waadu</w:t>
      </w:r>
      <w:proofErr w:type="spellEnd"/>
      <w:r w:rsidRPr="00097B82">
        <w:rPr>
          <w:rFonts w:ascii="Arial" w:hAnsi="Arial" w:cs="Arial"/>
        </w:rPr>
        <w:t xml:space="preserve">, G. D. B. (2024). Geo-Mapping of Intestinal Parasitic Infection in a Southern Community in Nigeria. Ethiopian Journal of Health Sciences, 34(3). </w:t>
      </w:r>
      <w:hyperlink r:id="rId30" w:history="1">
        <w:r w:rsidRPr="001625A9">
          <w:rPr>
            <w:rStyle w:val="Hyperlink"/>
            <w:rFonts w:ascii="Arial" w:hAnsi="Arial" w:cs="Arial"/>
          </w:rPr>
          <w:t>https://doi.org/10.4314/ejhs.v34i3.5</w:t>
        </w:r>
      </w:hyperlink>
      <w:r>
        <w:rPr>
          <w:rFonts w:ascii="Arial" w:hAnsi="Arial" w:cs="Arial"/>
        </w:rPr>
        <w:t xml:space="preserve"> </w:t>
      </w:r>
    </w:p>
    <w:p w14:paraId="6F049FE4" w14:textId="5C0413B3" w:rsidR="00CF159C" w:rsidRPr="00CF159C" w:rsidRDefault="00201CD8" w:rsidP="00C30E67">
      <w:pPr>
        <w:pStyle w:val="Body"/>
        <w:rPr>
          <w:rFonts w:ascii="Arial" w:hAnsi="Arial" w:cs="Arial"/>
        </w:rPr>
      </w:pPr>
      <w:r w:rsidRPr="00201CD8">
        <w:rPr>
          <w:rFonts w:ascii="Arial" w:hAnsi="Arial" w:cs="Arial"/>
        </w:rPr>
        <w:t xml:space="preserve">World Health Organization. (1995). WHO model prescribing information: Drugs used in parasitic </w:t>
      </w:r>
      <w:proofErr w:type="gramStart"/>
      <w:r w:rsidRPr="00201CD8">
        <w:rPr>
          <w:rFonts w:ascii="Arial" w:hAnsi="Arial" w:cs="Arial"/>
        </w:rPr>
        <w:t>diseases.</w:t>
      </w:r>
      <w:proofErr w:type="gramEnd"/>
      <w:r w:rsidRPr="00201CD8">
        <w:rPr>
          <w:rFonts w:ascii="Arial" w:hAnsi="Arial" w:cs="Arial"/>
        </w:rPr>
        <w:t xml:space="preserve"> World Health Organization. </w:t>
      </w:r>
      <w:hyperlink r:id="rId31" w:history="1">
        <w:r w:rsidRPr="001625A9">
          <w:rPr>
            <w:rStyle w:val="Hyperlink"/>
            <w:rFonts w:ascii="Arial" w:hAnsi="Arial" w:cs="Arial"/>
          </w:rPr>
          <w:t>https://library.au.int/who-model-prescribing-information-drugs-used-parasitic-diseases-4</w:t>
        </w:r>
      </w:hyperlink>
      <w:r>
        <w:rPr>
          <w:rFonts w:ascii="Arial" w:hAnsi="Arial" w:cs="Arial"/>
        </w:rPr>
        <w:t xml:space="preserve"> </w:t>
      </w:r>
    </w:p>
    <w:p w14:paraId="1F76E0EC" w14:textId="77777777" w:rsidR="00CF159C" w:rsidRPr="00CF159C" w:rsidRDefault="00CF159C" w:rsidP="00C30E67">
      <w:pPr>
        <w:pStyle w:val="Body"/>
        <w:rPr>
          <w:rFonts w:ascii="Arial" w:hAnsi="Arial" w:cs="Arial"/>
        </w:rPr>
      </w:pPr>
      <w:r w:rsidRPr="00CF159C">
        <w:rPr>
          <w:rFonts w:ascii="Arial" w:hAnsi="Arial" w:cs="Arial"/>
        </w:rPr>
        <w:lastRenderedPageBreak/>
        <w:t>World Health Organization. (1996). Report of the WHO Informal Consultation on the Use of Chemotherapy for the Control of Morbidity Due to Soil-Transmitted Nematodes in Humans, Geneva, 29 April to 1 May 1996 (No. WHO/CTD/SIP/96.2). World Health Organization.</w:t>
      </w:r>
    </w:p>
    <w:p w14:paraId="2E9F7136" w14:textId="0AD9DFD4" w:rsidR="00CF159C" w:rsidRPr="00CF159C" w:rsidRDefault="005D4F8B" w:rsidP="00C30E67">
      <w:pPr>
        <w:pStyle w:val="Body"/>
        <w:rPr>
          <w:rFonts w:ascii="Arial" w:hAnsi="Arial" w:cs="Arial"/>
        </w:rPr>
      </w:pPr>
      <w:r w:rsidRPr="005D4F8B">
        <w:rPr>
          <w:rFonts w:ascii="Arial" w:hAnsi="Arial" w:cs="Arial"/>
        </w:rPr>
        <w:t xml:space="preserve">World Health Organization. (1990). WHO Model Prescribing Information: Drugs Used in Parasitic </w:t>
      </w:r>
      <w:proofErr w:type="gramStart"/>
      <w:r w:rsidRPr="005D4F8B">
        <w:rPr>
          <w:rFonts w:ascii="Arial" w:hAnsi="Arial" w:cs="Arial"/>
        </w:rPr>
        <w:t>Diseases.</w:t>
      </w:r>
      <w:proofErr w:type="gramEnd"/>
      <w:r w:rsidRPr="005D4F8B">
        <w:rPr>
          <w:rFonts w:ascii="Arial" w:hAnsi="Arial" w:cs="Arial"/>
        </w:rPr>
        <w:t xml:space="preserve"> Geneva: World Health Organization. </w:t>
      </w:r>
      <w:hyperlink r:id="rId32" w:history="1">
        <w:r w:rsidRPr="001625A9">
          <w:rPr>
            <w:rStyle w:val="Hyperlink"/>
            <w:rFonts w:ascii="Arial" w:hAnsi="Arial" w:cs="Arial"/>
          </w:rPr>
          <w:t>https://apps.who.int/iris/handle/10665/41765</w:t>
        </w:r>
      </w:hyperlink>
      <w:r>
        <w:rPr>
          <w:rFonts w:ascii="Arial" w:hAnsi="Arial" w:cs="Arial"/>
        </w:rPr>
        <w:t xml:space="preserve"> </w:t>
      </w:r>
    </w:p>
    <w:p w14:paraId="35C6F64A" w14:textId="403711D1" w:rsidR="00CF159C" w:rsidRPr="00CF159C" w:rsidRDefault="00317EFE" w:rsidP="00C30E67">
      <w:pPr>
        <w:pStyle w:val="Body"/>
        <w:rPr>
          <w:rFonts w:ascii="Arial" w:hAnsi="Arial" w:cs="Arial"/>
        </w:rPr>
      </w:pPr>
      <w:proofErr w:type="spellStart"/>
      <w:r w:rsidRPr="00317EFE">
        <w:rPr>
          <w:rFonts w:ascii="Arial" w:hAnsi="Arial" w:cs="Arial"/>
        </w:rPr>
        <w:t>Köppen</w:t>
      </w:r>
      <w:proofErr w:type="spellEnd"/>
      <w:r w:rsidRPr="00317EFE">
        <w:rPr>
          <w:rFonts w:ascii="Arial" w:hAnsi="Arial" w:cs="Arial"/>
        </w:rPr>
        <w:t xml:space="preserve">, W. (1936). Das </w:t>
      </w:r>
      <w:proofErr w:type="spellStart"/>
      <w:r w:rsidRPr="00317EFE">
        <w:rPr>
          <w:rFonts w:ascii="Arial" w:hAnsi="Arial" w:cs="Arial"/>
        </w:rPr>
        <w:t>geographische</w:t>
      </w:r>
      <w:proofErr w:type="spellEnd"/>
      <w:r w:rsidRPr="00317EFE">
        <w:rPr>
          <w:rFonts w:ascii="Arial" w:hAnsi="Arial" w:cs="Arial"/>
        </w:rPr>
        <w:t xml:space="preserve"> System der </w:t>
      </w:r>
      <w:proofErr w:type="spellStart"/>
      <w:r w:rsidRPr="00317EFE">
        <w:rPr>
          <w:rFonts w:ascii="Arial" w:hAnsi="Arial" w:cs="Arial"/>
        </w:rPr>
        <w:t>Klimate</w:t>
      </w:r>
      <w:proofErr w:type="spellEnd"/>
      <w:r w:rsidRPr="00317EFE">
        <w:rPr>
          <w:rFonts w:ascii="Arial" w:hAnsi="Arial" w:cs="Arial"/>
        </w:rPr>
        <w:t>. In *</w:t>
      </w:r>
      <w:proofErr w:type="spellStart"/>
      <w:r w:rsidRPr="00317EFE">
        <w:rPr>
          <w:rFonts w:ascii="Arial" w:hAnsi="Arial" w:cs="Arial"/>
        </w:rPr>
        <w:t>Handbuch</w:t>
      </w:r>
      <w:proofErr w:type="spellEnd"/>
      <w:r w:rsidRPr="00317EFE">
        <w:rPr>
          <w:rFonts w:ascii="Arial" w:hAnsi="Arial" w:cs="Arial"/>
        </w:rPr>
        <w:t xml:space="preserve"> der </w:t>
      </w:r>
      <w:proofErr w:type="spellStart"/>
      <w:r w:rsidRPr="00317EFE">
        <w:rPr>
          <w:rFonts w:ascii="Arial" w:hAnsi="Arial" w:cs="Arial"/>
        </w:rPr>
        <w:t>Klimatologie</w:t>
      </w:r>
      <w:proofErr w:type="spellEnd"/>
      <w:r w:rsidRPr="00317EFE">
        <w:rPr>
          <w:rFonts w:ascii="Arial" w:hAnsi="Arial" w:cs="Arial"/>
        </w:rPr>
        <w:t xml:space="preserve">* (Vol. 1, Part C). </w:t>
      </w:r>
      <w:proofErr w:type="spellStart"/>
      <w:r w:rsidRPr="00317EFE">
        <w:rPr>
          <w:rFonts w:ascii="Arial" w:hAnsi="Arial" w:cs="Arial"/>
        </w:rPr>
        <w:t>Gebrüder</w:t>
      </w:r>
      <w:proofErr w:type="spellEnd"/>
      <w:r w:rsidRPr="00317EFE">
        <w:rPr>
          <w:rFonts w:ascii="Arial" w:hAnsi="Arial" w:cs="Arial"/>
        </w:rPr>
        <w:t xml:space="preserve"> </w:t>
      </w:r>
      <w:proofErr w:type="spellStart"/>
      <w:r w:rsidRPr="00317EFE">
        <w:rPr>
          <w:rFonts w:ascii="Arial" w:hAnsi="Arial" w:cs="Arial"/>
        </w:rPr>
        <w:t>Borntraeger</w:t>
      </w:r>
      <w:proofErr w:type="spellEnd"/>
      <w:r w:rsidRPr="00317EFE">
        <w:rPr>
          <w:rFonts w:ascii="Arial" w:hAnsi="Arial" w:cs="Arial"/>
        </w:rPr>
        <w:t xml:space="preserve">. </w:t>
      </w:r>
      <w:hyperlink r:id="rId33" w:history="1">
        <w:r w:rsidRPr="001625A9">
          <w:rPr>
            <w:rStyle w:val="Hyperlink"/>
            <w:rFonts w:ascii="Arial" w:hAnsi="Arial" w:cs="Arial"/>
          </w:rPr>
          <w:t>https://commons.wikimedia.org/wiki/File:Das_geographische_System_der_Klimate_(1936).pdf</w:t>
        </w:r>
      </w:hyperlink>
      <w:r>
        <w:rPr>
          <w:rFonts w:ascii="Arial" w:hAnsi="Arial" w:cs="Arial"/>
        </w:rPr>
        <w:t xml:space="preserve"> </w:t>
      </w:r>
    </w:p>
    <w:p w14:paraId="2CE34E46" w14:textId="77777777" w:rsidR="00CF159C" w:rsidRPr="00CF159C" w:rsidRDefault="00CF159C" w:rsidP="00C30E67">
      <w:pPr>
        <w:pStyle w:val="Body"/>
        <w:rPr>
          <w:rFonts w:ascii="Arial" w:hAnsi="Arial" w:cs="Arial"/>
        </w:rPr>
      </w:pPr>
      <w:r w:rsidRPr="00CF159C">
        <w:rPr>
          <w:rFonts w:ascii="Arial" w:hAnsi="Arial" w:cs="Arial"/>
        </w:rPr>
        <w:t>National Population Commission (NPC). (2006). Nigeria Population Census, 2006. [Report/Data]. Abuja, Nigeria: National Population Commission.</w:t>
      </w:r>
    </w:p>
    <w:p w14:paraId="273EA1A8" w14:textId="77777777" w:rsidR="00CF159C" w:rsidRPr="00CF159C" w:rsidRDefault="00CF159C" w:rsidP="00C30E67">
      <w:pPr>
        <w:pStyle w:val="Body"/>
        <w:rPr>
          <w:rFonts w:ascii="Arial" w:hAnsi="Arial" w:cs="Arial"/>
        </w:rPr>
      </w:pPr>
      <w:r w:rsidRPr="00CF159C">
        <w:rPr>
          <w:rFonts w:ascii="Arial" w:hAnsi="Arial" w:cs="Arial"/>
        </w:rPr>
        <w:t>Daniel, W. W. (1999). Biostatistics: A Foundation for Analysis in the Health Sciences (7th ed.). John Wiley &amp; Sons.</w:t>
      </w:r>
    </w:p>
    <w:p w14:paraId="28CC75C9" w14:textId="5D2BB831" w:rsidR="00CF159C" w:rsidRPr="00CF159C" w:rsidRDefault="00B55471" w:rsidP="00C30E67">
      <w:pPr>
        <w:pStyle w:val="Body"/>
        <w:rPr>
          <w:rFonts w:ascii="Arial" w:hAnsi="Arial" w:cs="Arial"/>
        </w:rPr>
      </w:pPr>
      <w:r w:rsidRPr="00B55471">
        <w:rPr>
          <w:rFonts w:ascii="Arial" w:hAnsi="Arial" w:cs="Arial"/>
        </w:rPr>
        <w:t xml:space="preserve">World Health Organization. (2019). Bench aids for the diagnosis of intestinal parasites (2nd ed.). World Health Organization. </w:t>
      </w:r>
      <w:hyperlink r:id="rId34" w:history="1">
        <w:r w:rsidRPr="001625A9">
          <w:rPr>
            <w:rStyle w:val="Hyperlink"/>
            <w:rFonts w:ascii="Arial" w:hAnsi="Arial" w:cs="Arial"/>
          </w:rPr>
          <w:t>https://iris.who.int/handle/10665/324883</w:t>
        </w:r>
      </w:hyperlink>
      <w:r>
        <w:rPr>
          <w:rFonts w:ascii="Arial" w:hAnsi="Arial" w:cs="Arial"/>
        </w:rPr>
        <w:t xml:space="preserve"> </w:t>
      </w:r>
    </w:p>
    <w:p w14:paraId="46CF6BFF" w14:textId="27D83829" w:rsidR="00CF159C" w:rsidRPr="00CF159C" w:rsidRDefault="00BB5D7A" w:rsidP="00C30E67">
      <w:pPr>
        <w:pStyle w:val="Body"/>
        <w:rPr>
          <w:rFonts w:ascii="Arial" w:hAnsi="Arial" w:cs="Arial"/>
        </w:rPr>
      </w:pPr>
      <w:proofErr w:type="spellStart"/>
      <w:r w:rsidRPr="00BB5D7A">
        <w:rPr>
          <w:rFonts w:ascii="Arial" w:hAnsi="Arial" w:cs="Arial"/>
        </w:rPr>
        <w:t>Chioma</w:t>
      </w:r>
      <w:proofErr w:type="spellEnd"/>
      <w:r w:rsidRPr="00BB5D7A">
        <w:rPr>
          <w:rFonts w:ascii="Arial" w:hAnsi="Arial" w:cs="Arial"/>
        </w:rPr>
        <w:t xml:space="preserve">, U., </w:t>
      </w:r>
      <w:proofErr w:type="spellStart"/>
      <w:r w:rsidRPr="00BB5D7A">
        <w:rPr>
          <w:rFonts w:ascii="Arial" w:hAnsi="Arial" w:cs="Arial"/>
        </w:rPr>
        <w:t>Mbanugo</w:t>
      </w:r>
      <w:proofErr w:type="spellEnd"/>
      <w:r w:rsidRPr="00BB5D7A">
        <w:rPr>
          <w:rFonts w:ascii="Arial" w:hAnsi="Arial" w:cs="Arial"/>
        </w:rPr>
        <w:t xml:space="preserve">, J. I., &amp; Nwachukwu, E. (2015). Prevalence of intestinal </w:t>
      </w:r>
      <w:proofErr w:type="spellStart"/>
      <w:r w:rsidRPr="00BB5D7A">
        <w:rPr>
          <w:rFonts w:ascii="Arial" w:hAnsi="Arial" w:cs="Arial"/>
        </w:rPr>
        <w:t>helminthes</w:t>
      </w:r>
      <w:proofErr w:type="spellEnd"/>
      <w:r w:rsidRPr="00BB5D7A">
        <w:rPr>
          <w:rFonts w:ascii="Arial" w:hAnsi="Arial" w:cs="Arial"/>
        </w:rPr>
        <w:t xml:space="preserve"> parasite in stools of nursery and primary </w:t>
      </w:r>
      <w:proofErr w:type="gramStart"/>
      <w:r w:rsidRPr="00BB5D7A">
        <w:rPr>
          <w:rFonts w:ascii="Arial" w:hAnsi="Arial" w:cs="Arial"/>
        </w:rPr>
        <w:t>schools</w:t>
      </w:r>
      <w:proofErr w:type="gramEnd"/>
      <w:r w:rsidRPr="00BB5D7A">
        <w:rPr>
          <w:rFonts w:ascii="Arial" w:hAnsi="Arial" w:cs="Arial"/>
        </w:rPr>
        <w:t xml:space="preserve"> pupils in </w:t>
      </w:r>
      <w:proofErr w:type="spellStart"/>
      <w:r w:rsidRPr="00BB5D7A">
        <w:rPr>
          <w:rFonts w:ascii="Arial" w:hAnsi="Arial" w:cs="Arial"/>
        </w:rPr>
        <w:t>Uga</w:t>
      </w:r>
      <w:proofErr w:type="spellEnd"/>
      <w:r w:rsidRPr="00BB5D7A">
        <w:rPr>
          <w:rFonts w:ascii="Arial" w:hAnsi="Arial" w:cs="Arial"/>
        </w:rPr>
        <w:t xml:space="preserve">, Anambra State, Nigeria. Sky Journal of Microbiology Research, 3(1), 006-010. </w:t>
      </w:r>
      <w:hyperlink r:id="rId35" w:history="1">
        <w:r w:rsidRPr="001625A9">
          <w:rPr>
            <w:rStyle w:val="Hyperlink"/>
            <w:rFonts w:ascii="Arial" w:hAnsi="Arial" w:cs="Arial"/>
          </w:rPr>
          <w:t>https://www.researchgate.net/publication/273000000_Prevalence_of_intestinal_helminthes_parasite_in_stools_of_nursery_and_primary_schools_pupils_in_Uga_Anambra_State_Nigeria</w:t>
        </w:r>
      </w:hyperlink>
      <w:r>
        <w:rPr>
          <w:rFonts w:ascii="Arial" w:hAnsi="Arial" w:cs="Arial"/>
        </w:rPr>
        <w:t xml:space="preserve"> </w:t>
      </w:r>
    </w:p>
    <w:p w14:paraId="1E6EF685" w14:textId="0BDCA235" w:rsidR="00CF159C" w:rsidRPr="00CF159C" w:rsidRDefault="009F0BD9" w:rsidP="00C30E67">
      <w:pPr>
        <w:pStyle w:val="Body"/>
        <w:rPr>
          <w:rFonts w:ascii="Arial" w:hAnsi="Arial" w:cs="Arial"/>
        </w:rPr>
      </w:pPr>
      <w:proofErr w:type="spellStart"/>
      <w:r w:rsidRPr="009F0BD9">
        <w:rPr>
          <w:rFonts w:ascii="Arial" w:hAnsi="Arial" w:cs="Arial"/>
        </w:rPr>
        <w:t>Opara</w:t>
      </w:r>
      <w:proofErr w:type="spellEnd"/>
      <w:r w:rsidRPr="009F0BD9">
        <w:rPr>
          <w:rFonts w:ascii="Arial" w:hAnsi="Arial" w:cs="Arial"/>
        </w:rPr>
        <w:t xml:space="preserve">, K. N., </w:t>
      </w:r>
      <w:proofErr w:type="spellStart"/>
      <w:r w:rsidRPr="009F0BD9">
        <w:rPr>
          <w:rFonts w:ascii="Arial" w:hAnsi="Arial" w:cs="Arial"/>
        </w:rPr>
        <w:t>Udoidung</w:t>
      </w:r>
      <w:proofErr w:type="spellEnd"/>
      <w:r w:rsidRPr="009F0BD9">
        <w:rPr>
          <w:rFonts w:ascii="Arial" w:hAnsi="Arial" w:cs="Arial"/>
        </w:rPr>
        <w:t xml:space="preserve">, N. I., </w:t>
      </w:r>
      <w:proofErr w:type="spellStart"/>
      <w:r w:rsidRPr="009F0BD9">
        <w:rPr>
          <w:rFonts w:ascii="Arial" w:hAnsi="Arial" w:cs="Arial"/>
        </w:rPr>
        <w:t>Opara</w:t>
      </w:r>
      <w:proofErr w:type="spellEnd"/>
      <w:r w:rsidRPr="009F0BD9">
        <w:rPr>
          <w:rFonts w:ascii="Arial" w:hAnsi="Arial" w:cs="Arial"/>
        </w:rPr>
        <w:t xml:space="preserve">, D. C., </w:t>
      </w:r>
      <w:proofErr w:type="spellStart"/>
      <w:r w:rsidRPr="009F0BD9">
        <w:rPr>
          <w:rFonts w:ascii="Arial" w:hAnsi="Arial" w:cs="Arial"/>
        </w:rPr>
        <w:t>Okon</w:t>
      </w:r>
      <w:proofErr w:type="spellEnd"/>
      <w:r w:rsidRPr="009F0BD9">
        <w:rPr>
          <w:rFonts w:ascii="Arial" w:hAnsi="Arial" w:cs="Arial"/>
        </w:rPr>
        <w:t xml:space="preserve">, O. E., </w:t>
      </w:r>
      <w:proofErr w:type="spellStart"/>
      <w:r w:rsidRPr="009F0BD9">
        <w:rPr>
          <w:rFonts w:ascii="Arial" w:hAnsi="Arial" w:cs="Arial"/>
        </w:rPr>
        <w:t>Edosomwan</w:t>
      </w:r>
      <w:proofErr w:type="spellEnd"/>
      <w:r w:rsidRPr="009F0BD9">
        <w:rPr>
          <w:rFonts w:ascii="Arial" w:hAnsi="Arial" w:cs="Arial"/>
        </w:rPr>
        <w:t xml:space="preserve">, E. U., &amp; Udoh, A. J. (2012). The impact of intestinal parasitic infections on the nutritional status of rural and urban school-aged children in Nigeria. International Journal of MCH and AIDS, 1(1), 73-82. </w:t>
      </w:r>
      <w:hyperlink r:id="rId36" w:history="1">
        <w:r w:rsidRPr="001625A9">
          <w:rPr>
            <w:rStyle w:val="Hyperlink"/>
            <w:rFonts w:ascii="Arial" w:hAnsi="Arial" w:cs="Arial"/>
          </w:rPr>
          <w:t>https://doi.org/10.21106/ijma.8</w:t>
        </w:r>
      </w:hyperlink>
      <w:r>
        <w:rPr>
          <w:rFonts w:ascii="Arial" w:hAnsi="Arial" w:cs="Arial"/>
        </w:rPr>
        <w:t xml:space="preserve"> </w:t>
      </w:r>
    </w:p>
    <w:p w14:paraId="21F420D6" w14:textId="46CE8640" w:rsidR="00CF159C" w:rsidRPr="00CF159C" w:rsidRDefault="00F66501" w:rsidP="00C30E67">
      <w:pPr>
        <w:pStyle w:val="Body"/>
        <w:rPr>
          <w:rFonts w:ascii="Arial" w:hAnsi="Arial" w:cs="Arial"/>
        </w:rPr>
      </w:pPr>
      <w:proofErr w:type="spellStart"/>
      <w:r w:rsidRPr="00F66501">
        <w:rPr>
          <w:rFonts w:ascii="Arial" w:hAnsi="Arial" w:cs="Arial"/>
        </w:rPr>
        <w:t>Tyoalumun</w:t>
      </w:r>
      <w:proofErr w:type="spellEnd"/>
      <w:r w:rsidRPr="00F66501">
        <w:rPr>
          <w:rFonts w:ascii="Arial" w:hAnsi="Arial" w:cs="Arial"/>
        </w:rPr>
        <w:t xml:space="preserve">, K., Abubakar, S., &amp; Christopher, N. (2016). Prevalence of intestinal parasitic infections and their association with nutritional status of rural and urban pre-school children in Benue State, Nigeria. International Journal of MCH and AIDS, 5(2), 146-152. </w:t>
      </w:r>
      <w:hyperlink r:id="rId37" w:history="1">
        <w:r w:rsidRPr="001625A9">
          <w:rPr>
            <w:rStyle w:val="Hyperlink"/>
            <w:rFonts w:ascii="Arial" w:hAnsi="Arial" w:cs="Arial"/>
          </w:rPr>
          <w:t>https://doi.org/10.21106/ijma.146</w:t>
        </w:r>
      </w:hyperlink>
      <w:r>
        <w:rPr>
          <w:rFonts w:ascii="Arial" w:hAnsi="Arial" w:cs="Arial"/>
        </w:rPr>
        <w:t xml:space="preserve"> </w:t>
      </w:r>
    </w:p>
    <w:p w14:paraId="2D9C8763" w14:textId="589DBF0D" w:rsidR="00CF159C" w:rsidRPr="00CF159C" w:rsidRDefault="0045055C" w:rsidP="00C30E67">
      <w:pPr>
        <w:pStyle w:val="Body"/>
        <w:rPr>
          <w:rFonts w:ascii="Arial" w:hAnsi="Arial" w:cs="Arial"/>
        </w:rPr>
      </w:pPr>
      <w:proofErr w:type="spellStart"/>
      <w:r w:rsidRPr="0045055C">
        <w:rPr>
          <w:rFonts w:ascii="Arial" w:hAnsi="Arial" w:cs="Arial"/>
        </w:rPr>
        <w:t>Iduh</w:t>
      </w:r>
      <w:proofErr w:type="spellEnd"/>
      <w:r w:rsidRPr="0045055C">
        <w:rPr>
          <w:rFonts w:ascii="Arial" w:hAnsi="Arial" w:cs="Arial"/>
        </w:rPr>
        <w:t xml:space="preserve">, M. U., Isaac, I. Z., &amp; Mustapha, S. (2015). PREVALENCE OF INTESTINAL PARASITES AMONG </w:t>
      </w:r>
      <w:proofErr w:type="gramStart"/>
      <w:r w:rsidRPr="0045055C">
        <w:rPr>
          <w:rFonts w:ascii="Arial" w:hAnsi="Arial" w:cs="Arial"/>
        </w:rPr>
        <w:t>THE“</w:t>
      </w:r>
      <w:proofErr w:type="gramEnd"/>
      <w:r w:rsidRPr="0045055C">
        <w:rPr>
          <w:rFonts w:ascii="Arial" w:hAnsi="Arial" w:cs="Arial"/>
        </w:rPr>
        <w:t xml:space="preserve">ALMAJIRIS” IN SOKOTO METROPOLIS, SOKOTO NIGERIA. International Journal of Novel Research in Life Sciences. </w:t>
      </w:r>
      <w:hyperlink r:id="rId38" w:history="1">
        <w:r w:rsidRPr="001625A9">
          <w:rPr>
            <w:rStyle w:val="Hyperlink"/>
            <w:rFonts w:ascii="Arial" w:hAnsi="Arial" w:cs="Arial"/>
          </w:rPr>
          <w:t>https://www.noveltyjournals.com/journal/IJNRLS/Article/IJNRLS-V2I5-11-17</w:t>
        </w:r>
      </w:hyperlink>
      <w:r>
        <w:rPr>
          <w:rFonts w:ascii="Arial" w:hAnsi="Arial" w:cs="Arial"/>
        </w:rPr>
        <w:t xml:space="preserve"> </w:t>
      </w:r>
    </w:p>
    <w:p w14:paraId="6902AC0A" w14:textId="0D03F264" w:rsidR="00CF159C" w:rsidRPr="00CF159C" w:rsidRDefault="0006455B" w:rsidP="00C30E67">
      <w:pPr>
        <w:pStyle w:val="Body"/>
        <w:rPr>
          <w:rFonts w:ascii="Arial" w:hAnsi="Arial" w:cs="Arial"/>
        </w:rPr>
      </w:pPr>
      <w:proofErr w:type="spellStart"/>
      <w:r w:rsidRPr="0006455B">
        <w:rPr>
          <w:rFonts w:ascii="Arial" w:hAnsi="Arial" w:cs="Arial"/>
        </w:rPr>
        <w:t>Osaiyuwu</w:t>
      </w:r>
      <w:proofErr w:type="spellEnd"/>
      <w:r w:rsidRPr="0006455B">
        <w:rPr>
          <w:rFonts w:ascii="Arial" w:hAnsi="Arial" w:cs="Arial"/>
        </w:rPr>
        <w:t xml:space="preserve">, C. O., </w:t>
      </w:r>
      <w:proofErr w:type="spellStart"/>
      <w:r w:rsidRPr="0006455B">
        <w:rPr>
          <w:rFonts w:ascii="Arial" w:hAnsi="Arial" w:cs="Arial"/>
        </w:rPr>
        <w:t>Ugbomoiko</w:t>
      </w:r>
      <w:proofErr w:type="spellEnd"/>
      <w:r w:rsidRPr="0006455B">
        <w:rPr>
          <w:rFonts w:ascii="Arial" w:hAnsi="Arial" w:cs="Arial"/>
        </w:rPr>
        <w:t xml:space="preserve">, D. O., </w:t>
      </w:r>
      <w:proofErr w:type="spellStart"/>
      <w:r w:rsidRPr="0006455B">
        <w:rPr>
          <w:rFonts w:ascii="Arial" w:hAnsi="Arial" w:cs="Arial"/>
        </w:rPr>
        <w:t>Omosigho</w:t>
      </w:r>
      <w:proofErr w:type="spellEnd"/>
      <w:r w:rsidRPr="0006455B">
        <w:rPr>
          <w:rFonts w:ascii="Arial" w:hAnsi="Arial" w:cs="Arial"/>
        </w:rPr>
        <w:t xml:space="preserve">, P. O., </w:t>
      </w:r>
      <w:proofErr w:type="spellStart"/>
      <w:r w:rsidRPr="0006455B">
        <w:rPr>
          <w:rFonts w:ascii="Arial" w:hAnsi="Arial" w:cs="Arial"/>
        </w:rPr>
        <w:t>Erameh</w:t>
      </w:r>
      <w:proofErr w:type="spellEnd"/>
      <w:r w:rsidRPr="0006455B">
        <w:rPr>
          <w:rFonts w:ascii="Arial" w:hAnsi="Arial" w:cs="Arial"/>
        </w:rPr>
        <w:t xml:space="preserve">, T. O., </w:t>
      </w:r>
      <w:proofErr w:type="spellStart"/>
      <w:r w:rsidRPr="0006455B">
        <w:rPr>
          <w:rFonts w:ascii="Arial" w:hAnsi="Arial" w:cs="Arial"/>
        </w:rPr>
        <w:t>Izevbuwa</w:t>
      </w:r>
      <w:proofErr w:type="spellEnd"/>
      <w:r w:rsidRPr="0006455B">
        <w:rPr>
          <w:rFonts w:ascii="Arial" w:hAnsi="Arial" w:cs="Arial"/>
        </w:rPr>
        <w:t xml:space="preserve">, O. E., </w:t>
      </w:r>
      <w:proofErr w:type="spellStart"/>
      <w:r w:rsidRPr="0006455B">
        <w:rPr>
          <w:rFonts w:ascii="Arial" w:hAnsi="Arial" w:cs="Arial"/>
        </w:rPr>
        <w:t>Osaiyuwu</w:t>
      </w:r>
      <w:proofErr w:type="spellEnd"/>
      <w:r w:rsidRPr="0006455B">
        <w:rPr>
          <w:rFonts w:ascii="Arial" w:hAnsi="Arial" w:cs="Arial"/>
        </w:rPr>
        <w:t xml:space="preserve">, F. O., </w:t>
      </w:r>
      <w:proofErr w:type="spellStart"/>
      <w:r w:rsidRPr="0006455B">
        <w:rPr>
          <w:rFonts w:ascii="Arial" w:hAnsi="Arial" w:cs="Arial"/>
        </w:rPr>
        <w:t>Nwaobi</w:t>
      </w:r>
      <w:proofErr w:type="spellEnd"/>
      <w:r w:rsidRPr="0006455B">
        <w:rPr>
          <w:rFonts w:ascii="Arial" w:hAnsi="Arial" w:cs="Arial"/>
        </w:rPr>
        <w:t xml:space="preserve">, A. C., &amp; </w:t>
      </w:r>
      <w:proofErr w:type="spellStart"/>
      <w:r w:rsidRPr="0006455B">
        <w:rPr>
          <w:rFonts w:ascii="Arial" w:hAnsi="Arial" w:cs="Arial"/>
        </w:rPr>
        <w:t>Osaiyuwu</w:t>
      </w:r>
      <w:proofErr w:type="spellEnd"/>
      <w:r w:rsidRPr="0006455B">
        <w:rPr>
          <w:rFonts w:ascii="Arial" w:hAnsi="Arial" w:cs="Arial"/>
        </w:rPr>
        <w:t xml:space="preserve">, O. (2025). Risk Factors Associated with the Distribution of Intestinal Parasites among Primary School Children in the Southern Senatorial District of Edo State, Nigeria. International Journal of Public Health and Pharmacology, 5(1), 87-102. </w:t>
      </w:r>
      <w:hyperlink r:id="rId39" w:history="1">
        <w:r w:rsidRPr="001625A9">
          <w:rPr>
            <w:rStyle w:val="Hyperlink"/>
            <w:rFonts w:ascii="Arial" w:hAnsi="Arial" w:cs="Arial"/>
          </w:rPr>
          <w:t>https://doi.org/10.52589/ijphp-jnvrps9i</w:t>
        </w:r>
      </w:hyperlink>
      <w:r>
        <w:rPr>
          <w:rFonts w:ascii="Arial" w:hAnsi="Arial" w:cs="Arial"/>
        </w:rPr>
        <w:t xml:space="preserve"> </w:t>
      </w:r>
    </w:p>
    <w:p w14:paraId="268EFBFD" w14:textId="5E9DBB7E" w:rsidR="00CF159C" w:rsidRPr="00CF159C" w:rsidRDefault="00C661D4" w:rsidP="00C30E67">
      <w:pPr>
        <w:pStyle w:val="Body"/>
        <w:rPr>
          <w:rFonts w:ascii="Arial" w:hAnsi="Arial" w:cs="Arial"/>
        </w:rPr>
      </w:pPr>
      <w:proofErr w:type="spellStart"/>
      <w:r w:rsidRPr="00C661D4">
        <w:rPr>
          <w:rFonts w:ascii="Arial" w:hAnsi="Arial" w:cs="Arial"/>
        </w:rPr>
        <w:t>Olopade</w:t>
      </w:r>
      <w:proofErr w:type="spellEnd"/>
      <w:r w:rsidRPr="00C661D4">
        <w:rPr>
          <w:rFonts w:ascii="Arial" w:hAnsi="Arial" w:cs="Arial"/>
        </w:rPr>
        <w:t xml:space="preserve">, B. O., Idowu, C. O., </w:t>
      </w:r>
      <w:proofErr w:type="spellStart"/>
      <w:r w:rsidRPr="00C661D4">
        <w:rPr>
          <w:rFonts w:ascii="Arial" w:hAnsi="Arial" w:cs="Arial"/>
        </w:rPr>
        <w:t>Oyelese</w:t>
      </w:r>
      <w:proofErr w:type="spellEnd"/>
      <w:r w:rsidRPr="00C661D4">
        <w:rPr>
          <w:rFonts w:ascii="Arial" w:hAnsi="Arial" w:cs="Arial"/>
        </w:rPr>
        <w:t xml:space="preserve">, A. O., &amp; </w:t>
      </w:r>
      <w:proofErr w:type="spellStart"/>
      <w:r w:rsidRPr="00C661D4">
        <w:rPr>
          <w:rFonts w:ascii="Arial" w:hAnsi="Arial" w:cs="Arial"/>
        </w:rPr>
        <w:t>Aboderin</w:t>
      </w:r>
      <w:proofErr w:type="spellEnd"/>
      <w:r w:rsidRPr="00C661D4">
        <w:rPr>
          <w:rFonts w:ascii="Arial" w:hAnsi="Arial" w:cs="Arial"/>
        </w:rPr>
        <w:t xml:space="preserve">, A. O. (2018). Intestinal parasites, nutritional status and cognitive function among primary school pupils in Ile-Ife, Osun State, Nigeria. African Journal of Infectious Diseases, 12(2), 21-28. </w:t>
      </w:r>
      <w:hyperlink r:id="rId40" w:history="1">
        <w:r w:rsidRPr="001625A9">
          <w:rPr>
            <w:rStyle w:val="Hyperlink"/>
            <w:rFonts w:ascii="Arial" w:hAnsi="Arial" w:cs="Arial"/>
          </w:rPr>
          <w:t>https://doi.org/10.21010/Ajid.v12i2.4</w:t>
        </w:r>
      </w:hyperlink>
      <w:r>
        <w:rPr>
          <w:rFonts w:ascii="Arial" w:hAnsi="Arial" w:cs="Arial"/>
        </w:rPr>
        <w:t xml:space="preserve"> </w:t>
      </w:r>
    </w:p>
    <w:p w14:paraId="5665D228" w14:textId="3B92380C" w:rsidR="00CF159C" w:rsidRPr="00CF159C" w:rsidRDefault="007F39A9" w:rsidP="00C30E67">
      <w:pPr>
        <w:pStyle w:val="Body"/>
        <w:rPr>
          <w:rFonts w:ascii="Arial" w:hAnsi="Arial" w:cs="Arial"/>
        </w:rPr>
      </w:pPr>
      <w:proofErr w:type="spellStart"/>
      <w:r w:rsidRPr="007F39A9">
        <w:rPr>
          <w:rFonts w:ascii="Arial" w:hAnsi="Arial" w:cs="Arial"/>
        </w:rPr>
        <w:t>Odo</w:t>
      </w:r>
      <w:proofErr w:type="spellEnd"/>
      <w:r w:rsidRPr="007F39A9">
        <w:rPr>
          <w:rFonts w:ascii="Arial" w:hAnsi="Arial" w:cs="Arial"/>
        </w:rPr>
        <w:t xml:space="preserve">, G. E., </w:t>
      </w:r>
      <w:proofErr w:type="spellStart"/>
      <w:r w:rsidRPr="007F39A9">
        <w:rPr>
          <w:rFonts w:ascii="Arial" w:hAnsi="Arial" w:cs="Arial"/>
        </w:rPr>
        <w:t>Agwu</w:t>
      </w:r>
      <w:proofErr w:type="spellEnd"/>
      <w:r w:rsidRPr="007F39A9">
        <w:rPr>
          <w:rFonts w:ascii="Arial" w:hAnsi="Arial" w:cs="Arial"/>
        </w:rPr>
        <w:t xml:space="preserve">, J. E., </w:t>
      </w:r>
      <w:proofErr w:type="spellStart"/>
      <w:r w:rsidRPr="007F39A9">
        <w:rPr>
          <w:rFonts w:ascii="Arial" w:hAnsi="Arial" w:cs="Arial"/>
        </w:rPr>
        <w:t>Ekeh</w:t>
      </w:r>
      <w:proofErr w:type="spellEnd"/>
      <w:r w:rsidRPr="007F39A9">
        <w:rPr>
          <w:rFonts w:ascii="Arial" w:hAnsi="Arial" w:cs="Arial"/>
        </w:rPr>
        <w:t xml:space="preserve">, F. N., </w:t>
      </w:r>
      <w:proofErr w:type="spellStart"/>
      <w:r w:rsidRPr="007F39A9">
        <w:rPr>
          <w:rFonts w:ascii="Arial" w:hAnsi="Arial" w:cs="Arial"/>
        </w:rPr>
        <w:t>Ezea</w:t>
      </w:r>
      <w:proofErr w:type="spellEnd"/>
      <w:r w:rsidRPr="007F39A9">
        <w:rPr>
          <w:rFonts w:ascii="Arial" w:hAnsi="Arial" w:cs="Arial"/>
        </w:rPr>
        <w:t xml:space="preserve">, C. O., </w:t>
      </w:r>
      <w:proofErr w:type="spellStart"/>
      <w:r w:rsidRPr="007F39A9">
        <w:rPr>
          <w:rFonts w:ascii="Arial" w:hAnsi="Arial" w:cs="Arial"/>
        </w:rPr>
        <w:t>Aguoru</w:t>
      </w:r>
      <w:proofErr w:type="spellEnd"/>
      <w:r w:rsidRPr="007F39A9">
        <w:rPr>
          <w:rFonts w:ascii="Arial" w:hAnsi="Arial" w:cs="Arial"/>
        </w:rPr>
        <w:t xml:space="preserve">, G. C., Anya, C., </w:t>
      </w:r>
      <w:proofErr w:type="spellStart"/>
      <w:r w:rsidRPr="007F39A9">
        <w:rPr>
          <w:rFonts w:ascii="Arial" w:hAnsi="Arial" w:cs="Arial"/>
        </w:rPr>
        <w:t>Omeje</w:t>
      </w:r>
      <w:proofErr w:type="spellEnd"/>
      <w:r w:rsidRPr="007F39A9">
        <w:rPr>
          <w:rFonts w:ascii="Arial" w:hAnsi="Arial" w:cs="Arial"/>
        </w:rPr>
        <w:t xml:space="preserve">, K. O., &amp; </w:t>
      </w:r>
      <w:proofErr w:type="spellStart"/>
      <w:r w:rsidRPr="007F39A9">
        <w:rPr>
          <w:rFonts w:ascii="Arial" w:hAnsi="Arial" w:cs="Arial"/>
        </w:rPr>
        <w:t>Ubachukwu</w:t>
      </w:r>
      <w:proofErr w:type="spellEnd"/>
      <w:r w:rsidRPr="007F39A9">
        <w:rPr>
          <w:rFonts w:ascii="Arial" w:hAnsi="Arial" w:cs="Arial"/>
        </w:rPr>
        <w:t xml:space="preserve">, P. O. (2016). Prevalence of intestinal parasites among school children in </w:t>
      </w:r>
      <w:proofErr w:type="spellStart"/>
      <w:r w:rsidRPr="007F39A9">
        <w:rPr>
          <w:rFonts w:ascii="Arial" w:hAnsi="Arial" w:cs="Arial"/>
        </w:rPr>
        <w:t>Uzo-Uwani</w:t>
      </w:r>
      <w:proofErr w:type="spellEnd"/>
      <w:r w:rsidRPr="007F39A9">
        <w:rPr>
          <w:rFonts w:ascii="Arial" w:hAnsi="Arial" w:cs="Arial"/>
        </w:rPr>
        <w:t xml:space="preserve"> local </w:t>
      </w:r>
      <w:proofErr w:type="spellStart"/>
      <w:r w:rsidRPr="007F39A9">
        <w:rPr>
          <w:rFonts w:ascii="Arial" w:hAnsi="Arial" w:cs="Arial"/>
        </w:rPr>
        <w:t>governemnt</w:t>
      </w:r>
      <w:proofErr w:type="spellEnd"/>
      <w:r w:rsidRPr="007F39A9">
        <w:rPr>
          <w:rFonts w:ascii="Arial" w:hAnsi="Arial" w:cs="Arial"/>
        </w:rPr>
        <w:t xml:space="preserve"> area of Enugu State. International Journal of Research Studies in Microbiology and Biotechnology, 2(2), 7-14. </w:t>
      </w:r>
      <w:hyperlink r:id="rId41" w:history="1">
        <w:r w:rsidRPr="001625A9">
          <w:rPr>
            <w:rStyle w:val="Hyperlink"/>
            <w:rFonts w:ascii="Arial" w:hAnsi="Arial" w:cs="Arial"/>
          </w:rPr>
          <w:t>https://doi.org/10.20431/2454-9428.0202002</w:t>
        </w:r>
      </w:hyperlink>
      <w:r>
        <w:rPr>
          <w:rFonts w:ascii="Arial" w:hAnsi="Arial" w:cs="Arial"/>
        </w:rPr>
        <w:t xml:space="preserve"> </w:t>
      </w:r>
    </w:p>
    <w:p w14:paraId="1B3C19AE" w14:textId="77777777" w:rsidR="00CF159C" w:rsidRPr="00CF159C" w:rsidRDefault="00CF159C" w:rsidP="00C30E67">
      <w:pPr>
        <w:pStyle w:val="Body"/>
        <w:rPr>
          <w:rFonts w:ascii="Arial" w:hAnsi="Arial" w:cs="Arial"/>
        </w:rPr>
      </w:pPr>
      <w:r w:rsidRPr="00CF159C">
        <w:rPr>
          <w:rFonts w:ascii="Arial" w:hAnsi="Arial" w:cs="Arial"/>
        </w:rPr>
        <w:t>Dawaki, S., Al-</w:t>
      </w:r>
      <w:proofErr w:type="spellStart"/>
      <w:r w:rsidRPr="00CF159C">
        <w:rPr>
          <w:rFonts w:ascii="Arial" w:hAnsi="Arial" w:cs="Arial"/>
        </w:rPr>
        <w:t>Mekhlafi</w:t>
      </w:r>
      <w:proofErr w:type="spellEnd"/>
      <w:r w:rsidRPr="00CF159C">
        <w:rPr>
          <w:rFonts w:ascii="Arial" w:hAnsi="Arial" w:cs="Arial"/>
        </w:rPr>
        <w:t xml:space="preserve">, H. M., </w:t>
      </w:r>
      <w:proofErr w:type="spellStart"/>
      <w:r w:rsidRPr="00CF159C">
        <w:rPr>
          <w:rFonts w:ascii="Arial" w:hAnsi="Arial" w:cs="Arial"/>
        </w:rPr>
        <w:t>Ithoi</w:t>
      </w:r>
      <w:proofErr w:type="spellEnd"/>
      <w:r w:rsidRPr="00CF159C">
        <w:rPr>
          <w:rFonts w:ascii="Arial" w:hAnsi="Arial" w:cs="Arial"/>
        </w:rPr>
        <w:t xml:space="preserve">, I., Ibrahim, J., Abdulsalam, A. M., Ahmed, A., ... &amp; Surin, J. (2016). Prevalence and risk factors of schistosomiasis among Hausa communities in Kano State, Nigeria. </w:t>
      </w:r>
      <w:proofErr w:type="spellStart"/>
      <w:r w:rsidRPr="00CF159C">
        <w:rPr>
          <w:rFonts w:ascii="Arial" w:hAnsi="Arial" w:cs="Arial"/>
        </w:rPr>
        <w:t>Revista</w:t>
      </w:r>
      <w:proofErr w:type="spellEnd"/>
      <w:r w:rsidRPr="00CF159C">
        <w:rPr>
          <w:rFonts w:ascii="Arial" w:hAnsi="Arial" w:cs="Arial"/>
        </w:rPr>
        <w:t xml:space="preserve"> do Instituto de Medicina Tropical de São Paulo, 58, 54.</w:t>
      </w:r>
    </w:p>
    <w:p w14:paraId="6BB1F72F" w14:textId="17305384" w:rsidR="00CF159C" w:rsidRPr="00CF159C" w:rsidRDefault="004642E1" w:rsidP="00C30E67">
      <w:pPr>
        <w:pStyle w:val="Body"/>
        <w:rPr>
          <w:rFonts w:ascii="Arial" w:hAnsi="Arial" w:cs="Arial"/>
        </w:rPr>
      </w:pPr>
      <w:proofErr w:type="spellStart"/>
      <w:r w:rsidRPr="004642E1">
        <w:rPr>
          <w:rFonts w:ascii="Arial" w:hAnsi="Arial" w:cs="Arial"/>
        </w:rPr>
        <w:t>Ezeamama</w:t>
      </w:r>
      <w:proofErr w:type="spellEnd"/>
      <w:r w:rsidRPr="004642E1">
        <w:rPr>
          <w:rFonts w:ascii="Arial" w:hAnsi="Arial" w:cs="Arial"/>
        </w:rPr>
        <w:t xml:space="preserve">, A. E., Friedman, J. F., Acosta, L. P., Bellinger, D. C., Langdon, G. C., Manalo, D. L., </w:t>
      </w:r>
      <w:proofErr w:type="spellStart"/>
      <w:r w:rsidRPr="004642E1">
        <w:rPr>
          <w:rFonts w:ascii="Arial" w:hAnsi="Arial" w:cs="Arial"/>
        </w:rPr>
        <w:t>Olveda</w:t>
      </w:r>
      <w:proofErr w:type="spellEnd"/>
      <w:r w:rsidRPr="004642E1">
        <w:rPr>
          <w:rFonts w:ascii="Arial" w:hAnsi="Arial" w:cs="Arial"/>
        </w:rPr>
        <w:t xml:space="preserve">, R. M., Kurtis, J. D., &amp; McGarvey, S. T. (2005). Helminth infection and cognitive impairment among Filipino children. The American Journal of Tropical Medicine and Hygiene, 72(5), 540–548. </w:t>
      </w:r>
      <w:hyperlink r:id="rId42" w:history="1">
        <w:r w:rsidRPr="001625A9">
          <w:rPr>
            <w:rStyle w:val="Hyperlink"/>
            <w:rFonts w:ascii="Arial" w:hAnsi="Arial" w:cs="Arial"/>
          </w:rPr>
          <w:t>https://doi.org/10.4269/ajtmh.2005.72.540</w:t>
        </w:r>
      </w:hyperlink>
      <w:r>
        <w:rPr>
          <w:rFonts w:ascii="Arial" w:hAnsi="Arial" w:cs="Arial"/>
        </w:rPr>
        <w:t xml:space="preserve"> </w:t>
      </w:r>
    </w:p>
    <w:p w14:paraId="2564B126" w14:textId="4E66E0E2" w:rsidR="00B01FCD" w:rsidRPr="002C0FAB" w:rsidRDefault="00E57E27" w:rsidP="00C30E67">
      <w:pPr>
        <w:pStyle w:val="Body"/>
        <w:spacing w:after="0"/>
        <w:rPr>
          <w:rFonts w:ascii="Arial" w:hAnsi="Arial" w:cs="Arial"/>
        </w:rPr>
      </w:pPr>
      <w:proofErr w:type="spellStart"/>
      <w:r w:rsidRPr="00E57E27">
        <w:rPr>
          <w:rFonts w:ascii="Arial" w:hAnsi="Arial" w:cs="Arial"/>
        </w:rPr>
        <w:t>Nmor</w:t>
      </w:r>
      <w:proofErr w:type="spellEnd"/>
      <w:r w:rsidRPr="00E57E27">
        <w:rPr>
          <w:rFonts w:ascii="Arial" w:hAnsi="Arial" w:cs="Arial"/>
        </w:rPr>
        <w:t xml:space="preserve">, J. C., </w:t>
      </w:r>
      <w:proofErr w:type="spellStart"/>
      <w:r w:rsidRPr="00E57E27">
        <w:rPr>
          <w:rFonts w:ascii="Arial" w:hAnsi="Arial" w:cs="Arial"/>
        </w:rPr>
        <w:t>Sunahara</w:t>
      </w:r>
      <w:proofErr w:type="spellEnd"/>
      <w:r w:rsidRPr="00E57E27">
        <w:rPr>
          <w:rFonts w:ascii="Arial" w:hAnsi="Arial" w:cs="Arial"/>
        </w:rPr>
        <w:t xml:space="preserve">, T., </w:t>
      </w:r>
      <w:proofErr w:type="spellStart"/>
      <w:r w:rsidRPr="00E57E27">
        <w:rPr>
          <w:rFonts w:ascii="Arial" w:hAnsi="Arial" w:cs="Arial"/>
        </w:rPr>
        <w:t>Goto</w:t>
      </w:r>
      <w:proofErr w:type="spellEnd"/>
      <w:r w:rsidRPr="00E57E27">
        <w:rPr>
          <w:rFonts w:ascii="Arial" w:hAnsi="Arial" w:cs="Arial"/>
        </w:rPr>
        <w:t xml:space="preserve">, K., </w:t>
      </w:r>
      <w:proofErr w:type="spellStart"/>
      <w:r w:rsidRPr="00E57E27">
        <w:rPr>
          <w:rFonts w:ascii="Arial" w:hAnsi="Arial" w:cs="Arial"/>
        </w:rPr>
        <w:t>Futami</w:t>
      </w:r>
      <w:proofErr w:type="spellEnd"/>
      <w:r w:rsidRPr="00E57E27">
        <w:rPr>
          <w:rFonts w:ascii="Arial" w:hAnsi="Arial" w:cs="Arial"/>
        </w:rPr>
        <w:t xml:space="preserve">, K., </w:t>
      </w:r>
      <w:proofErr w:type="spellStart"/>
      <w:r w:rsidRPr="00E57E27">
        <w:rPr>
          <w:rFonts w:ascii="Arial" w:hAnsi="Arial" w:cs="Arial"/>
        </w:rPr>
        <w:t>Sonye</w:t>
      </w:r>
      <w:proofErr w:type="spellEnd"/>
      <w:r w:rsidRPr="00E57E27">
        <w:rPr>
          <w:rFonts w:ascii="Arial" w:hAnsi="Arial" w:cs="Arial"/>
        </w:rPr>
        <w:t xml:space="preserve">, G., </w:t>
      </w:r>
      <w:proofErr w:type="spellStart"/>
      <w:r w:rsidRPr="00E57E27">
        <w:rPr>
          <w:rFonts w:ascii="Arial" w:hAnsi="Arial" w:cs="Arial"/>
        </w:rPr>
        <w:t>Akweywa</w:t>
      </w:r>
      <w:proofErr w:type="spellEnd"/>
      <w:r w:rsidRPr="00E57E27">
        <w:rPr>
          <w:rFonts w:ascii="Arial" w:hAnsi="Arial" w:cs="Arial"/>
        </w:rPr>
        <w:t xml:space="preserve">, P., Dida, G., &amp; </w:t>
      </w:r>
      <w:proofErr w:type="spellStart"/>
      <w:r w:rsidRPr="00E57E27">
        <w:rPr>
          <w:rFonts w:ascii="Arial" w:hAnsi="Arial" w:cs="Arial"/>
        </w:rPr>
        <w:t>Minakawa</w:t>
      </w:r>
      <w:proofErr w:type="spellEnd"/>
      <w:r w:rsidRPr="00E57E27">
        <w:rPr>
          <w:rFonts w:ascii="Arial" w:hAnsi="Arial" w:cs="Arial"/>
        </w:rPr>
        <w:t xml:space="preserve">, N. (2013). Topographic models for predicting malaria vector breeding habitats: potential tools for vector control managers. Parasites &amp; vectors, 6(1), 14. </w:t>
      </w:r>
      <w:hyperlink r:id="rId43" w:history="1">
        <w:r w:rsidRPr="001625A9">
          <w:rPr>
            <w:rStyle w:val="Hyperlink"/>
            <w:rFonts w:ascii="Arial" w:hAnsi="Arial" w:cs="Arial"/>
          </w:rPr>
          <w:t>https://doi.org/10.1186/1756-3305-6-14</w:t>
        </w:r>
      </w:hyperlink>
      <w:r>
        <w:rPr>
          <w:rFonts w:ascii="Arial" w:hAnsi="Arial" w:cs="Arial"/>
        </w:rPr>
        <w:t xml:space="preserve"> </w:t>
      </w:r>
    </w:p>
    <w:sectPr w:rsidR="00B01FCD" w:rsidRPr="002C0FAB" w:rsidSect="00BA26CE">
      <w:headerReference w:type="even" r:id="rId44"/>
      <w:headerReference w:type="default" r:id="rId45"/>
      <w:footerReference w:type="default" r:id="rId46"/>
      <w:headerReference w:type="first" r:id="rId4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BC527" w14:textId="77777777" w:rsidR="000D7641" w:rsidRDefault="000D7641" w:rsidP="00C37E61">
      <w:r>
        <w:separator/>
      </w:r>
    </w:p>
  </w:endnote>
  <w:endnote w:type="continuationSeparator" w:id="0">
    <w:p w14:paraId="021D2DCA" w14:textId="77777777" w:rsidR="000D7641" w:rsidRDefault="000D764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IXGeneral-Regular">
    <w:altName w:val="Yu Gothic"/>
    <w:charset w:val="80"/>
    <w:family w:val="auto"/>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80A76" w14:textId="77777777" w:rsidR="00BA26CE" w:rsidRDefault="00BA26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64706" w14:textId="77777777" w:rsidR="00BA26CE" w:rsidRDefault="00BA26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AF595" w14:textId="77777777" w:rsidR="00EA2E44" w:rsidRDefault="00EA2E44">
    <w:pPr>
      <w:pStyle w:val="Footer"/>
      <w:rPr>
        <w:rFonts w:ascii="Arial" w:hAnsi="Arial" w:cs="Arial"/>
        <w:sz w:val="16"/>
      </w:rPr>
    </w:pPr>
  </w:p>
  <w:p w14:paraId="577C4AC4" w14:textId="77777777" w:rsidR="00EA2E44" w:rsidRDefault="00EA2E44"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64D21EF" w14:textId="77777777" w:rsidR="00EA2E44" w:rsidRDefault="00EA2E44">
    <w:pPr>
      <w:pStyle w:val="Footer"/>
      <w:rPr>
        <w:rFonts w:ascii="Arial" w:hAnsi="Arial" w:cs="Arial"/>
        <w:sz w:val="16"/>
      </w:rPr>
    </w:pPr>
  </w:p>
  <w:p w14:paraId="681BBAC5" w14:textId="77777777" w:rsidR="00EA2E44" w:rsidRPr="009E048A" w:rsidRDefault="00EA2E44">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D2D78" w14:textId="77777777" w:rsidR="00EA2E44" w:rsidRPr="00C37E61" w:rsidRDefault="00EA2E4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53FE6" w14:textId="77777777" w:rsidR="000D7641" w:rsidRDefault="000D7641" w:rsidP="00C37E61">
      <w:r>
        <w:separator/>
      </w:r>
    </w:p>
  </w:footnote>
  <w:footnote w:type="continuationSeparator" w:id="0">
    <w:p w14:paraId="3CFAC6C7" w14:textId="77777777" w:rsidR="000D7641" w:rsidRDefault="000D764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E1F81" w14:textId="2CDAB123" w:rsidR="00BA26CE" w:rsidRDefault="00BA26CE">
    <w:pPr>
      <w:pStyle w:val="Header"/>
    </w:pPr>
    <w:r>
      <w:rPr>
        <w:noProof/>
      </w:rPr>
      <w:pict w14:anchorId="2D478C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700563"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BDE44" w14:textId="6082636D" w:rsidR="00BA26CE" w:rsidRDefault="00BA26CE">
    <w:pPr>
      <w:pStyle w:val="Header"/>
    </w:pPr>
    <w:r>
      <w:rPr>
        <w:noProof/>
      </w:rPr>
      <w:pict w14:anchorId="2FA4CE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700564"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8FB82" w14:textId="425975AD" w:rsidR="00EA2E44" w:rsidRPr="00296529" w:rsidRDefault="00BA26CE" w:rsidP="00296529">
    <w:pPr>
      <w:ind w:left="2160"/>
      <w:jc w:val="center"/>
      <w:rPr>
        <w:rFonts w:ascii="Times New Roman" w:eastAsia="Calibri" w:hAnsi="Times New Roman"/>
        <w:i/>
        <w:sz w:val="18"/>
        <w:szCs w:val="22"/>
      </w:rPr>
    </w:pPr>
    <w:r>
      <w:rPr>
        <w:noProof/>
      </w:rPr>
      <w:pict w14:anchorId="2BA3B4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700562"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79597EC" w14:textId="77777777" w:rsidR="00EA2E44" w:rsidRPr="00296529" w:rsidRDefault="00EA2E4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0F20F94" w14:textId="77777777" w:rsidR="00EA2E44" w:rsidRPr="00296529" w:rsidRDefault="00EA2E4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14C6840" w14:textId="77777777" w:rsidR="00EA2E44" w:rsidRPr="00296529" w:rsidRDefault="00EA2E4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B481DAA" w14:textId="77777777" w:rsidR="00EA2E44" w:rsidRDefault="00EA2E4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8A6E85D" w14:textId="77777777" w:rsidR="00EA2E44" w:rsidRDefault="00EA2E4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62D027D" w14:textId="77777777" w:rsidR="00EA2E44" w:rsidRDefault="00EA2E4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64CF5" w14:textId="17C9EC59" w:rsidR="00BA26CE" w:rsidRDefault="00BA26CE">
    <w:pPr>
      <w:pStyle w:val="Header"/>
    </w:pPr>
    <w:r>
      <w:rPr>
        <w:noProof/>
      </w:rPr>
      <w:pict w14:anchorId="46B7E4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700566"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10A97" w14:textId="5CE75CF8" w:rsidR="00BA26CE" w:rsidRDefault="00BA26CE">
    <w:pPr>
      <w:pStyle w:val="Header"/>
    </w:pPr>
    <w:r>
      <w:rPr>
        <w:noProof/>
      </w:rPr>
      <w:pict w14:anchorId="000863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700567"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E3281" w14:textId="1E32E5FD" w:rsidR="00BA26CE" w:rsidRDefault="00BA26CE">
    <w:pPr>
      <w:pStyle w:val="Header"/>
    </w:pPr>
    <w:r>
      <w:rPr>
        <w:noProof/>
      </w:rPr>
      <w:pict w14:anchorId="38688E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700565"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0152DA0"/>
    <w:multiLevelType w:val="hybridMultilevel"/>
    <w:tmpl w:val="2A9C12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6EA0"/>
    <w:rsid w:val="00030174"/>
    <w:rsid w:val="00040B5D"/>
    <w:rsid w:val="0004579C"/>
    <w:rsid w:val="0006455B"/>
    <w:rsid w:val="00097B82"/>
    <w:rsid w:val="000A47FA"/>
    <w:rsid w:val="000A65D3"/>
    <w:rsid w:val="000B1E33"/>
    <w:rsid w:val="000D689F"/>
    <w:rsid w:val="000D7641"/>
    <w:rsid w:val="000E7B7B"/>
    <w:rsid w:val="000E7D62"/>
    <w:rsid w:val="00103357"/>
    <w:rsid w:val="00123C9F"/>
    <w:rsid w:val="00126190"/>
    <w:rsid w:val="00130F17"/>
    <w:rsid w:val="001320BF"/>
    <w:rsid w:val="00163BC4"/>
    <w:rsid w:val="0017332A"/>
    <w:rsid w:val="00191062"/>
    <w:rsid w:val="00192B72"/>
    <w:rsid w:val="0019658F"/>
    <w:rsid w:val="001A29D8"/>
    <w:rsid w:val="001A5CAA"/>
    <w:rsid w:val="001B0427"/>
    <w:rsid w:val="001D3A51"/>
    <w:rsid w:val="001D408D"/>
    <w:rsid w:val="001E10D2"/>
    <w:rsid w:val="001E25B4"/>
    <w:rsid w:val="001E44FE"/>
    <w:rsid w:val="00200595"/>
    <w:rsid w:val="00201CD8"/>
    <w:rsid w:val="00204835"/>
    <w:rsid w:val="002129A9"/>
    <w:rsid w:val="00231920"/>
    <w:rsid w:val="0023195C"/>
    <w:rsid w:val="0024282C"/>
    <w:rsid w:val="0024555A"/>
    <w:rsid w:val="002460DC"/>
    <w:rsid w:val="00250985"/>
    <w:rsid w:val="002556F6"/>
    <w:rsid w:val="002629DD"/>
    <w:rsid w:val="00283105"/>
    <w:rsid w:val="00284C4C"/>
    <w:rsid w:val="00287E68"/>
    <w:rsid w:val="00296529"/>
    <w:rsid w:val="002B27FB"/>
    <w:rsid w:val="002B685A"/>
    <w:rsid w:val="002C0FAB"/>
    <w:rsid w:val="002C57D2"/>
    <w:rsid w:val="002E0D56"/>
    <w:rsid w:val="002F36C9"/>
    <w:rsid w:val="00315186"/>
    <w:rsid w:val="00317BF1"/>
    <w:rsid w:val="00317EFE"/>
    <w:rsid w:val="0033343E"/>
    <w:rsid w:val="003512C2"/>
    <w:rsid w:val="00361902"/>
    <w:rsid w:val="00371FB6"/>
    <w:rsid w:val="003763C1"/>
    <w:rsid w:val="00376BBE"/>
    <w:rsid w:val="0039224F"/>
    <w:rsid w:val="003A43A4"/>
    <w:rsid w:val="003A7A96"/>
    <w:rsid w:val="003A7E18"/>
    <w:rsid w:val="003B2E6E"/>
    <w:rsid w:val="003B49FB"/>
    <w:rsid w:val="003C4C86"/>
    <w:rsid w:val="003C6258"/>
    <w:rsid w:val="003E2904"/>
    <w:rsid w:val="003F3172"/>
    <w:rsid w:val="00401927"/>
    <w:rsid w:val="0041027F"/>
    <w:rsid w:val="00412475"/>
    <w:rsid w:val="00423789"/>
    <w:rsid w:val="00440F43"/>
    <w:rsid w:val="00441B6F"/>
    <w:rsid w:val="00446221"/>
    <w:rsid w:val="0045055C"/>
    <w:rsid w:val="00450E62"/>
    <w:rsid w:val="004539DB"/>
    <w:rsid w:val="004642E1"/>
    <w:rsid w:val="0046470D"/>
    <w:rsid w:val="00471A80"/>
    <w:rsid w:val="004D305E"/>
    <w:rsid w:val="004D4277"/>
    <w:rsid w:val="004F05A8"/>
    <w:rsid w:val="00502516"/>
    <w:rsid w:val="00505F06"/>
    <w:rsid w:val="00506828"/>
    <w:rsid w:val="0053056E"/>
    <w:rsid w:val="00544667"/>
    <w:rsid w:val="00554FDA"/>
    <w:rsid w:val="005C784C"/>
    <w:rsid w:val="005D17F6"/>
    <w:rsid w:val="005D4F8B"/>
    <w:rsid w:val="005E5539"/>
    <w:rsid w:val="00602BF5"/>
    <w:rsid w:val="00617FDD"/>
    <w:rsid w:val="00624A68"/>
    <w:rsid w:val="00633614"/>
    <w:rsid w:val="00633F68"/>
    <w:rsid w:val="00636EB2"/>
    <w:rsid w:val="006375B8"/>
    <w:rsid w:val="0066510A"/>
    <w:rsid w:val="00666E54"/>
    <w:rsid w:val="00673F9F"/>
    <w:rsid w:val="00686953"/>
    <w:rsid w:val="00687DEA"/>
    <w:rsid w:val="00687E67"/>
    <w:rsid w:val="006967F7"/>
    <w:rsid w:val="006A250C"/>
    <w:rsid w:val="006B21D3"/>
    <w:rsid w:val="006B57D0"/>
    <w:rsid w:val="006D0A8C"/>
    <w:rsid w:val="006D2874"/>
    <w:rsid w:val="006D30FF"/>
    <w:rsid w:val="006D6940"/>
    <w:rsid w:val="006F11EC"/>
    <w:rsid w:val="0070082C"/>
    <w:rsid w:val="0073671F"/>
    <w:rsid w:val="007369E6"/>
    <w:rsid w:val="00746E59"/>
    <w:rsid w:val="00751D1E"/>
    <w:rsid w:val="00754C9A"/>
    <w:rsid w:val="0075599A"/>
    <w:rsid w:val="00761D52"/>
    <w:rsid w:val="0077749E"/>
    <w:rsid w:val="00790ADA"/>
    <w:rsid w:val="007B6287"/>
    <w:rsid w:val="007D2288"/>
    <w:rsid w:val="007D6891"/>
    <w:rsid w:val="007E088F"/>
    <w:rsid w:val="007E4FE2"/>
    <w:rsid w:val="007F39A9"/>
    <w:rsid w:val="007F7B32"/>
    <w:rsid w:val="00800E1D"/>
    <w:rsid w:val="00800F17"/>
    <w:rsid w:val="00804BC2"/>
    <w:rsid w:val="00810571"/>
    <w:rsid w:val="0081319F"/>
    <w:rsid w:val="0081431A"/>
    <w:rsid w:val="0083216F"/>
    <w:rsid w:val="00846E29"/>
    <w:rsid w:val="00860000"/>
    <w:rsid w:val="00863BD3"/>
    <w:rsid w:val="008641ED"/>
    <w:rsid w:val="00866D66"/>
    <w:rsid w:val="008671C6"/>
    <w:rsid w:val="00875803"/>
    <w:rsid w:val="008B459E"/>
    <w:rsid w:val="008E13AE"/>
    <w:rsid w:val="008E1506"/>
    <w:rsid w:val="008E710C"/>
    <w:rsid w:val="008F69D6"/>
    <w:rsid w:val="00902823"/>
    <w:rsid w:val="00910EEC"/>
    <w:rsid w:val="00915CA6"/>
    <w:rsid w:val="00927834"/>
    <w:rsid w:val="00935225"/>
    <w:rsid w:val="009500A6"/>
    <w:rsid w:val="00957C18"/>
    <w:rsid w:val="009659BA"/>
    <w:rsid w:val="00983040"/>
    <w:rsid w:val="009B3FB9"/>
    <w:rsid w:val="009C2465"/>
    <w:rsid w:val="009D35A0"/>
    <w:rsid w:val="009D7EB7"/>
    <w:rsid w:val="009E048A"/>
    <w:rsid w:val="009E08E9"/>
    <w:rsid w:val="009E3DB9"/>
    <w:rsid w:val="009E4E9C"/>
    <w:rsid w:val="009E6508"/>
    <w:rsid w:val="009E6E35"/>
    <w:rsid w:val="009F0BD9"/>
    <w:rsid w:val="009F0EDA"/>
    <w:rsid w:val="00A03B96"/>
    <w:rsid w:val="00A05A99"/>
    <w:rsid w:val="00A05B19"/>
    <w:rsid w:val="00A1134E"/>
    <w:rsid w:val="00A24E7E"/>
    <w:rsid w:val="00A258C3"/>
    <w:rsid w:val="00A306B9"/>
    <w:rsid w:val="00A3219E"/>
    <w:rsid w:val="00A347C0"/>
    <w:rsid w:val="00A51431"/>
    <w:rsid w:val="00A539AD"/>
    <w:rsid w:val="00A94063"/>
    <w:rsid w:val="00AA6219"/>
    <w:rsid w:val="00AA74E0"/>
    <w:rsid w:val="00AB703F"/>
    <w:rsid w:val="00AC6BB8"/>
    <w:rsid w:val="00AD4939"/>
    <w:rsid w:val="00AE008F"/>
    <w:rsid w:val="00B01FCD"/>
    <w:rsid w:val="00B1776C"/>
    <w:rsid w:val="00B23FD4"/>
    <w:rsid w:val="00B34AB7"/>
    <w:rsid w:val="00B52583"/>
    <w:rsid w:val="00B52896"/>
    <w:rsid w:val="00B55471"/>
    <w:rsid w:val="00B94C54"/>
    <w:rsid w:val="00B95236"/>
    <w:rsid w:val="00B96BD9"/>
    <w:rsid w:val="00BA1B01"/>
    <w:rsid w:val="00BA2641"/>
    <w:rsid w:val="00BA26CE"/>
    <w:rsid w:val="00BB37AA"/>
    <w:rsid w:val="00BB5D7A"/>
    <w:rsid w:val="00BC53A0"/>
    <w:rsid w:val="00BE62AD"/>
    <w:rsid w:val="00BF121F"/>
    <w:rsid w:val="00BF1F80"/>
    <w:rsid w:val="00C14710"/>
    <w:rsid w:val="00C166EF"/>
    <w:rsid w:val="00C17EB0"/>
    <w:rsid w:val="00C27F5F"/>
    <w:rsid w:val="00C30A0F"/>
    <w:rsid w:val="00C30E67"/>
    <w:rsid w:val="00C37E61"/>
    <w:rsid w:val="00C661D4"/>
    <w:rsid w:val="00C70F1B"/>
    <w:rsid w:val="00C71A47"/>
    <w:rsid w:val="00C7464C"/>
    <w:rsid w:val="00C85588"/>
    <w:rsid w:val="00CD6755"/>
    <w:rsid w:val="00CD6856"/>
    <w:rsid w:val="00CE0089"/>
    <w:rsid w:val="00CE793C"/>
    <w:rsid w:val="00CF159C"/>
    <w:rsid w:val="00CF193C"/>
    <w:rsid w:val="00D00DA0"/>
    <w:rsid w:val="00D0609B"/>
    <w:rsid w:val="00D173F1"/>
    <w:rsid w:val="00D74CB0"/>
    <w:rsid w:val="00D807B2"/>
    <w:rsid w:val="00D8295D"/>
    <w:rsid w:val="00DC2A65"/>
    <w:rsid w:val="00DE15F0"/>
    <w:rsid w:val="00DE5663"/>
    <w:rsid w:val="00DE78AA"/>
    <w:rsid w:val="00E053D0"/>
    <w:rsid w:val="00E15994"/>
    <w:rsid w:val="00E3114E"/>
    <w:rsid w:val="00E31A70"/>
    <w:rsid w:val="00E35B02"/>
    <w:rsid w:val="00E57E27"/>
    <w:rsid w:val="00E66496"/>
    <w:rsid w:val="00E66B35"/>
    <w:rsid w:val="00E66E10"/>
    <w:rsid w:val="00E769F6"/>
    <w:rsid w:val="00E80A39"/>
    <w:rsid w:val="00E8407C"/>
    <w:rsid w:val="00E84F3C"/>
    <w:rsid w:val="00EA012C"/>
    <w:rsid w:val="00EA2B22"/>
    <w:rsid w:val="00EA2E44"/>
    <w:rsid w:val="00EC6A55"/>
    <w:rsid w:val="00ED0288"/>
    <w:rsid w:val="00EE52CB"/>
    <w:rsid w:val="00EF581D"/>
    <w:rsid w:val="00EF7FD8"/>
    <w:rsid w:val="00F06F59"/>
    <w:rsid w:val="00F124C5"/>
    <w:rsid w:val="00F17988"/>
    <w:rsid w:val="00F30244"/>
    <w:rsid w:val="00F469F0"/>
    <w:rsid w:val="00F53273"/>
    <w:rsid w:val="00F66501"/>
    <w:rsid w:val="00F71675"/>
    <w:rsid w:val="00F72D2F"/>
    <w:rsid w:val="00F755E4"/>
    <w:rsid w:val="00F77D02"/>
    <w:rsid w:val="00FB2BB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8CE9D5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3B2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ajme.2016.04.001" TargetMode="External"/><Relationship Id="rId26" Type="http://schemas.openxmlformats.org/officeDocument/2006/relationships/hyperlink" Target="https://doi.org/10.1186/s13071-015-0994-z" TargetMode="External"/><Relationship Id="rId39" Type="http://schemas.openxmlformats.org/officeDocument/2006/relationships/hyperlink" Target="https://doi.org/10.52589/ijphp-jnvrps9i" TargetMode="External"/><Relationship Id="rId21" Type="http://schemas.openxmlformats.org/officeDocument/2006/relationships/hyperlink" Target="https://doi.org/10.4103/0300-1652.104389" TargetMode="External"/><Relationship Id="rId34" Type="http://schemas.openxmlformats.org/officeDocument/2006/relationships/hyperlink" Target="https://iris.who.int/handle/10665/324883" TargetMode="External"/><Relationship Id="rId42" Type="http://schemas.openxmlformats.org/officeDocument/2006/relationships/hyperlink" Target="https://doi.org/10.4269/ajtmh.2005.72.540" TargetMode="External"/><Relationship Id="rId47"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4740/gr1622" TargetMode="External"/><Relationship Id="rId29" Type="http://schemas.openxmlformats.org/officeDocument/2006/relationships/hyperlink" Target="https://idpublications.org/ejbas-vol-4-no-1-2017/" TargetMode="External"/><Relationship Id="rId11" Type="http://schemas.openxmlformats.org/officeDocument/2006/relationships/footer" Target="footer2.xml"/><Relationship Id="rId24" Type="http://schemas.openxmlformats.org/officeDocument/2006/relationships/hyperlink" Target="https://doi.org/10.1186/1756-3305-5-119" TargetMode="External"/><Relationship Id="rId32" Type="http://schemas.openxmlformats.org/officeDocument/2006/relationships/hyperlink" Target="https://apps.who.int/iris/handle/10665/41765" TargetMode="External"/><Relationship Id="rId37" Type="http://schemas.openxmlformats.org/officeDocument/2006/relationships/hyperlink" Target="https://doi.org/10.21106/ijma.146" TargetMode="External"/><Relationship Id="rId40" Type="http://schemas.openxmlformats.org/officeDocument/2006/relationships/hyperlink" Target="https://doi.org/10.21010/Ajid.v12i2.4" TargetMode="External"/><Relationship Id="rId45"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doi.org/10.1515/HELMIN-2016-0035" TargetMode="External"/><Relationship Id="rId28" Type="http://schemas.openxmlformats.org/officeDocument/2006/relationships/hyperlink" Target="https://doi.org/10.33003/sajols-2024-0203-09" TargetMode="External"/><Relationship Id="rId36" Type="http://schemas.openxmlformats.org/officeDocument/2006/relationships/hyperlink" Target="https://doi.org/10.21106/ijma.8"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371/journal.pone.0258037" TargetMode="External"/><Relationship Id="rId31" Type="http://schemas.openxmlformats.org/officeDocument/2006/relationships/hyperlink" Target="https://library.au.int/who-model-prescribing-information-drugs-used-parasitic-diseases-4" TargetMode="External"/><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1604/pamj.2019.33.34.17099" TargetMode="External"/><Relationship Id="rId27" Type="http://schemas.openxmlformats.org/officeDocument/2006/relationships/hyperlink" Target="https://doi.org/10.35629/076X-12028393" TargetMode="External"/><Relationship Id="rId30" Type="http://schemas.openxmlformats.org/officeDocument/2006/relationships/hyperlink" Target="https://doi.org/10.4314/ejhs.v34i3.5" TargetMode="External"/><Relationship Id="rId35" Type="http://schemas.openxmlformats.org/officeDocument/2006/relationships/hyperlink" Target="https://www.researchgate.net/publication/273000000_Prevalence_of_intestinal_helminthes_parasite_in_stools_of_nursery_and_primary_schools_pupils_in_Uga_Anambra_State_Nigeria" TargetMode="External"/><Relationship Id="rId43" Type="http://schemas.openxmlformats.org/officeDocument/2006/relationships/hyperlink" Target="https://doi.org/10.1186/1756-3305-6-14" TargetMode="Externa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3389/fncel.2015.00452" TargetMode="External"/><Relationship Id="rId25" Type="http://schemas.openxmlformats.org/officeDocument/2006/relationships/hyperlink" Target="https://doi.org/10.18502/jad.v12i2.40" TargetMode="External"/><Relationship Id="rId33" Type="http://schemas.openxmlformats.org/officeDocument/2006/relationships/hyperlink" Target="https://commons.wikimedia.org/wiki/File:Das_geographische_System_der_Klimate_(1936).pdf" TargetMode="External"/><Relationship Id="rId38" Type="http://schemas.openxmlformats.org/officeDocument/2006/relationships/hyperlink" Target="https://www.noveltyjournals.com/journal/IJNRLS/Article/IJNRLS-V2I5-11-17" TargetMode="External"/><Relationship Id="rId46" Type="http://schemas.openxmlformats.org/officeDocument/2006/relationships/footer" Target="footer4.xml"/><Relationship Id="rId20" Type="http://schemas.openxmlformats.org/officeDocument/2006/relationships/hyperlink" Target="https://doi.org/10.3389/fpara.2025.1546195" TargetMode="External"/><Relationship Id="rId41" Type="http://schemas.openxmlformats.org/officeDocument/2006/relationships/hyperlink" Target="https://doi.org/10.20431/2454-9428.0202002"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Sheet1!$B$1</c:f>
              <c:strCache>
                <c:ptCount val="1"/>
                <c:pt idx="0">
                  <c:v>Column1</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821F-4806-AE74-7D330AB80E71}"/>
              </c:ext>
            </c:extLst>
          </c:dPt>
          <c:dPt>
            <c:idx val="1"/>
            <c:bubble3D val="0"/>
            <c:spPr>
              <a:solidFill>
                <a:schemeClr val="accent1"/>
              </a:solidFill>
              <a:ln w="19050">
                <a:solidFill>
                  <a:schemeClr val="lt1"/>
                </a:solidFill>
              </a:ln>
              <a:effectLst/>
            </c:spPr>
            <c:extLst>
              <c:ext xmlns:c16="http://schemas.microsoft.com/office/drawing/2014/chart" uri="{C3380CC4-5D6E-409C-BE32-E72D297353CC}">
                <c16:uniqueId val="{00000003-821F-4806-AE74-7D330AB80E71}"/>
              </c:ext>
            </c:extLst>
          </c:dPt>
          <c:dLbls>
            <c:dLbl>
              <c:idx val="0"/>
              <c:layout>
                <c:manualLayout>
                  <c:x val="0.23310181904345301"/>
                  <c:y val="-0.17207308147056599"/>
                </c:manualLayout>
              </c:layout>
              <c:tx>
                <c:rich>
                  <a:bodyPr rot="0" spcFirstLastPara="1" vertOverflow="ellipsis" vert="horz" wrap="square" lIns="38100" tIns="19050" rIns="38100" bIns="19050" anchor="ctr" anchorCtr="0"/>
                  <a:lstStyle/>
                  <a:p>
                    <a:pPr algn="l">
                      <a:defRPr lang="en-US" sz="1200" b="1" i="0" u="none" strike="noStrike" kern="1200" baseline="0">
                        <a:solidFill>
                          <a:schemeClr val="tx1"/>
                        </a:solidFill>
                        <a:latin typeface="Times New Roman" panose="02020603050405020304" charset="0"/>
                        <a:ea typeface="+mn-ea"/>
                        <a:cs typeface="Times New Roman" panose="02020603050405020304" charset="0"/>
                      </a:defRPr>
                    </a:pPr>
                    <a:r>
                      <a:rPr lang="en-US" sz="1200" b="1" i="0" u="none" strike="noStrike" kern="1200" baseline="0">
                        <a:solidFill>
                          <a:schemeClr val="tx1"/>
                        </a:solidFill>
                        <a:latin typeface="Times New Roman" panose="02020603050405020304" charset="0"/>
                        <a:cs typeface="Times New Roman" panose="02020603050405020304" charset="0"/>
                      </a:rPr>
                      <a:t>38%</a:t>
                    </a:r>
                    <a:br>
                      <a:rPr lang="en-US" sz="1200" b="1">
                        <a:solidFill>
                          <a:schemeClr val="tx1"/>
                        </a:solidFill>
                      </a:rPr>
                    </a:br>
                    <a:r>
                      <a:rPr lang="en-US" sz="1200" b="1">
                        <a:solidFill>
                          <a:schemeClr val="tx1"/>
                        </a:solidFill>
                      </a:rPr>
                      <a:t>Infected</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9070586176727899"/>
                      <c:h val="0.14236177356680499"/>
                    </c:manualLayout>
                  </c15:layout>
                </c:ext>
                <c:ext xmlns:c16="http://schemas.microsoft.com/office/drawing/2014/chart" uri="{C3380CC4-5D6E-409C-BE32-E72D297353CC}">
                  <c16:uniqueId val="{00000001-821F-4806-AE74-7D330AB80E71}"/>
                </c:ext>
              </c:extLst>
            </c:dLbl>
            <c:dLbl>
              <c:idx val="1"/>
              <c:layout>
                <c:manualLayout>
                  <c:x val="-0.23305643044619401"/>
                  <c:y val="7.5404883937762401E-2"/>
                </c:manualLayout>
              </c:layout>
              <c:tx>
                <c:rich>
                  <a:bodyPr rot="0" spcFirstLastPara="1" vertOverflow="ellipsis" vert="horz" wrap="square" lIns="38100" tIns="19050" rIns="38100" bIns="19050" anchor="ctr" anchorCtr="0"/>
                  <a:lstStyle/>
                  <a:p>
                    <a:r>
                      <a:rPr lang="en-US" sz="1200" b="1">
                        <a:latin typeface="+mn-lt"/>
                      </a:rPr>
                      <a:t>62%</a:t>
                    </a:r>
                  </a:p>
                  <a:p>
                    <a:r>
                      <a:rPr lang="en-US" sz="1200" b="1">
                        <a:latin typeface="+mn-lt"/>
                      </a:rPr>
                      <a:t>Non-Infected</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5589116360454899"/>
                      <c:h val="0.10838628487660799"/>
                    </c:manualLayout>
                  </c15:layout>
                </c:ext>
                <c:ext xmlns:c16="http://schemas.microsoft.com/office/drawing/2014/chart" uri="{C3380CC4-5D6E-409C-BE32-E72D297353CC}">
                  <c16:uniqueId val="{00000003-821F-4806-AE74-7D330AB80E71}"/>
                </c:ext>
              </c:extLst>
            </c:dLbl>
            <c:spPr>
              <a:noFill/>
              <a:ln>
                <a:noFill/>
              </a:ln>
              <a:effectLst/>
            </c:spPr>
            <c:txPr>
              <a:bodyPr rot="0" spcFirstLastPara="1" vertOverflow="ellipsis" vert="horz" wrap="square" lIns="38100" tIns="19050" rIns="38100" bIns="19050" anchor="ctr" anchorCtr="1"/>
              <a:lstStyle/>
              <a:p>
                <a:pPr>
                  <a:defRPr lang="en-US" sz="12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Infected</c:v>
                </c:pt>
                <c:pt idx="1">
                  <c:v>Not infected</c:v>
                </c:pt>
              </c:strCache>
            </c:strRef>
          </c:cat>
          <c:val>
            <c:numRef>
              <c:f>Sheet1!$B$2:$B$3</c:f>
              <c:numCache>
                <c:formatCode>General</c:formatCode>
                <c:ptCount val="2"/>
                <c:pt idx="0">
                  <c:v>38.299999999999997</c:v>
                </c:pt>
                <c:pt idx="1">
                  <c:v>61.7</c:v>
                </c:pt>
              </c:numCache>
            </c:numRef>
          </c:val>
          <c:extLst>
            <c:ext xmlns:c16="http://schemas.microsoft.com/office/drawing/2014/chart" uri="{C3380CC4-5D6E-409C-BE32-E72D297353CC}">
              <c16:uniqueId val="{00000004-821F-4806-AE74-7D330AB80E71}"/>
            </c:ext>
          </c:extLst>
        </c:ser>
        <c:dLbls>
          <c:showLegendKey val="0"/>
          <c:showVal val="1"/>
          <c:showCatName val="0"/>
          <c:showSerName val="0"/>
          <c:showPercent val="0"/>
          <c:showBubbleSize val="0"/>
          <c:showLeaderLines val="1"/>
        </c:dLbls>
        <c:firstSliceAng val="0"/>
        <c:holeSize val="45"/>
      </c:doughnutChart>
      <c:spPr>
        <a:noFill/>
        <a:ln>
          <a:noFill/>
        </a:ln>
        <a:effectLst/>
      </c:spPr>
    </c:plotArea>
    <c:plotVisOnly val="1"/>
    <c:dispBlanksAs val="gap"/>
    <c:showDLblsOverMax val="0"/>
    <c:extLst>
      <c:ext uri="{0b15fc19-7d7d-44ad-8c2d-2c3a37ce22c3}">
        <chartProps xmlns="https://web.wps.cn/et/2018/main" chartId="{21c6ed7c-22eb-47b1-9443-03044750d7c9}"/>
      </c:ext>
    </c:extLst>
  </c:chart>
  <c:spPr>
    <a:solidFill>
      <a:schemeClr val="bg1"/>
    </a:solidFill>
    <a:ln w="9525" cap="flat" cmpd="sng" algn="ctr">
      <a:noFill/>
      <a:round/>
    </a:ln>
    <a:effectLst/>
  </c:spPr>
  <c:txPr>
    <a:bodyPr/>
    <a:lstStyle/>
    <a:p>
      <a:pPr>
        <a:defRPr lang="en-US" sz="1200">
          <a:latin typeface="Times New Roman" panose="02020603050405020304" charset="0"/>
          <a:cs typeface="Times New Roman" panose="0202060305040502030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8F4CF-BC6A-499A-B3A8-DBB9741A7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TotalTime>
  <Pages>14</Pages>
  <Words>6436</Words>
  <Characters>36686</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43036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50</cp:revision>
  <cp:lastPrinted>1999-07-06T11:00:00Z</cp:lastPrinted>
  <dcterms:created xsi:type="dcterms:W3CDTF">2026-01-01T04:15:00Z</dcterms:created>
  <dcterms:modified xsi:type="dcterms:W3CDTF">2026-01-01T10:27:00Z</dcterms:modified>
</cp:coreProperties>
</file>