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A0E3E" w14:textId="77777777" w:rsidR="00337DDA" w:rsidRDefault="00337DDA" w:rsidP="00904C54">
      <w:pPr>
        <w:pStyle w:val="Author"/>
        <w:spacing w:line="240" w:lineRule="auto"/>
        <w:ind w:right="-972"/>
        <w:rPr>
          <w:rFonts w:ascii="Arial" w:hAnsi="Arial" w:cs="Arial"/>
          <w:bCs/>
          <w:iCs/>
          <w:kern w:val="28"/>
          <w:sz w:val="36"/>
        </w:rPr>
      </w:pPr>
      <w:bookmarkStart w:id="0" w:name="_Hlk219898188"/>
      <w:r w:rsidRPr="00337DDA">
        <w:rPr>
          <w:rFonts w:ascii="Arial" w:hAnsi="Arial" w:cs="Arial"/>
          <w:bCs/>
          <w:iCs/>
          <w:kern w:val="28"/>
          <w:sz w:val="36"/>
        </w:rPr>
        <w:t xml:space="preserve">Original Research Article </w:t>
      </w:r>
    </w:p>
    <w:p w14:paraId="1050C8E1" w14:textId="77777777" w:rsidR="00337DDA" w:rsidRDefault="00337DDA" w:rsidP="00904C54">
      <w:pPr>
        <w:pStyle w:val="Author"/>
        <w:spacing w:line="240" w:lineRule="auto"/>
        <w:ind w:right="-972"/>
        <w:rPr>
          <w:rFonts w:ascii="Arial" w:hAnsi="Arial" w:cs="Arial"/>
          <w:bCs/>
          <w:iCs/>
          <w:kern w:val="28"/>
          <w:sz w:val="36"/>
        </w:rPr>
      </w:pPr>
    </w:p>
    <w:p w14:paraId="604E47D5" w14:textId="5F77C1C0" w:rsidR="00A258C3" w:rsidRDefault="005A3945" w:rsidP="00904C54">
      <w:pPr>
        <w:pStyle w:val="Author"/>
        <w:spacing w:line="240" w:lineRule="auto"/>
        <w:ind w:right="-972"/>
        <w:rPr>
          <w:rFonts w:ascii="Arial" w:hAnsi="Arial" w:cs="Arial"/>
          <w:bCs/>
          <w:iCs/>
          <w:kern w:val="28"/>
          <w:sz w:val="36"/>
        </w:rPr>
      </w:pPr>
      <w:r w:rsidRPr="005A3945">
        <w:rPr>
          <w:rFonts w:ascii="Arial" w:hAnsi="Arial" w:cs="Arial"/>
          <w:bCs/>
          <w:iCs/>
          <w:kern w:val="28"/>
          <w:sz w:val="36"/>
        </w:rPr>
        <w:t>Effect of unilate</w:t>
      </w:r>
      <w:r w:rsidR="00DA3494">
        <w:rPr>
          <w:rFonts w:ascii="Arial" w:hAnsi="Arial" w:cs="Arial"/>
          <w:bCs/>
          <w:iCs/>
          <w:kern w:val="28"/>
          <w:sz w:val="36"/>
        </w:rPr>
        <w:t xml:space="preserve">ral intravitreal </w:t>
      </w:r>
      <w:bookmarkStart w:id="1" w:name="_Hlk219899912"/>
      <w:r w:rsidR="00DA3494">
        <w:rPr>
          <w:rFonts w:ascii="Arial" w:hAnsi="Arial" w:cs="Arial"/>
          <w:bCs/>
          <w:iCs/>
          <w:kern w:val="28"/>
          <w:sz w:val="36"/>
        </w:rPr>
        <w:t xml:space="preserve">bevacizumab </w:t>
      </w:r>
      <w:bookmarkEnd w:id="1"/>
      <w:r w:rsidR="00DA3494">
        <w:rPr>
          <w:rFonts w:ascii="Arial" w:hAnsi="Arial" w:cs="Arial"/>
          <w:bCs/>
          <w:iCs/>
          <w:kern w:val="28"/>
          <w:sz w:val="36"/>
        </w:rPr>
        <w:t xml:space="preserve">on </w:t>
      </w:r>
      <w:r w:rsidRPr="005A3945">
        <w:rPr>
          <w:rFonts w:ascii="Arial" w:hAnsi="Arial" w:cs="Arial"/>
          <w:bCs/>
          <w:iCs/>
          <w:kern w:val="28"/>
          <w:sz w:val="36"/>
        </w:rPr>
        <w:t>contralateral eye and</w:t>
      </w:r>
      <w:r>
        <w:rPr>
          <w:rFonts w:ascii="Arial" w:hAnsi="Arial" w:cs="Arial"/>
          <w:bCs/>
          <w:iCs/>
          <w:kern w:val="28"/>
          <w:sz w:val="36"/>
        </w:rPr>
        <w:t xml:space="preserve"> associated factors in patients</w:t>
      </w:r>
      <w:r w:rsidR="00EF5222">
        <w:rPr>
          <w:rFonts w:ascii="Arial" w:hAnsi="Arial" w:cs="Arial"/>
          <w:bCs/>
          <w:iCs/>
          <w:kern w:val="28"/>
          <w:sz w:val="36"/>
        </w:rPr>
        <w:t xml:space="preserve"> </w:t>
      </w:r>
      <w:r w:rsidRPr="005A3945">
        <w:rPr>
          <w:rFonts w:ascii="Arial" w:hAnsi="Arial" w:cs="Arial"/>
          <w:bCs/>
          <w:iCs/>
          <w:kern w:val="28"/>
          <w:sz w:val="36"/>
        </w:rPr>
        <w:t>with diab</w:t>
      </w:r>
      <w:r w:rsidR="00DA3494">
        <w:rPr>
          <w:rFonts w:ascii="Arial" w:hAnsi="Arial" w:cs="Arial"/>
          <w:bCs/>
          <w:iCs/>
          <w:kern w:val="28"/>
          <w:sz w:val="36"/>
        </w:rPr>
        <w:t xml:space="preserve">etic macular edema </w:t>
      </w:r>
      <w:r w:rsidR="00EF5222">
        <w:rPr>
          <w:rFonts w:ascii="Arial" w:hAnsi="Arial" w:cs="Arial"/>
          <w:bCs/>
          <w:iCs/>
          <w:kern w:val="28"/>
          <w:sz w:val="36"/>
        </w:rPr>
        <w:t>At</w:t>
      </w:r>
      <w:r w:rsidR="00DA3494">
        <w:rPr>
          <w:rFonts w:ascii="Arial" w:hAnsi="Arial" w:cs="Arial"/>
          <w:bCs/>
          <w:iCs/>
          <w:kern w:val="28"/>
          <w:sz w:val="36"/>
        </w:rPr>
        <w:t xml:space="preserve"> </w:t>
      </w:r>
      <w:r w:rsidR="00EF5222">
        <w:rPr>
          <w:rFonts w:ascii="Arial" w:hAnsi="Arial" w:cs="Arial"/>
          <w:bCs/>
          <w:iCs/>
          <w:kern w:val="28"/>
          <w:sz w:val="36"/>
        </w:rPr>
        <w:t>KCMC</w:t>
      </w:r>
      <w:r w:rsidR="00DA3494">
        <w:rPr>
          <w:rFonts w:ascii="Arial" w:hAnsi="Arial" w:cs="Arial"/>
          <w:bCs/>
          <w:iCs/>
          <w:kern w:val="28"/>
          <w:sz w:val="36"/>
        </w:rPr>
        <w:t xml:space="preserve"> 2024-</w:t>
      </w:r>
      <w:r w:rsidRPr="005A3945">
        <w:rPr>
          <w:rFonts w:ascii="Arial" w:hAnsi="Arial" w:cs="Arial"/>
          <w:bCs/>
          <w:iCs/>
          <w:kern w:val="28"/>
          <w:sz w:val="36"/>
        </w:rPr>
        <w:t>2025</w:t>
      </w:r>
    </w:p>
    <w:bookmarkEnd w:id="0"/>
    <w:p w14:paraId="36269C22" w14:textId="77777777" w:rsidR="00DA3494" w:rsidRPr="00790ADA" w:rsidRDefault="00DA3494" w:rsidP="00904C54">
      <w:pPr>
        <w:pStyle w:val="Author"/>
        <w:spacing w:line="240" w:lineRule="auto"/>
        <w:ind w:right="-972"/>
        <w:rPr>
          <w:rFonts w:ascii="Arial" w:hAnsi="Arial" w:cs="Arial"/>
          <w:sz w:val="36"/>
        </w:rPr>
      </w:pPr>
    </w:p>
    <w:p w14:paraId="2C32DCA8" w14:textId="0D9B768A" w:rsidR="00790ADA" w:rsidRPr="00EF5222" w:rsidRDefault="00904C54" w:rsidP="00EF5222">
      <w:pPr>
        <w:pStyle w:val="Author"/>
        <w:spacing w:line="240" w:lineRule="auto"/>
        <w:ind w:right="-972"/>
        <w:rPr>
          <w:rFonts w:ascii="Arial" w:hAnsi="Arial" w:cs="Arial"/>
          <w:b w:val="0"/>
          <w:i/>
          <w:sz w:val="20"/>
        </w:rPr>
      </w:pPr>
      <w:r w:rsidRPr="00904C54">
        <w:rPr>
          <w:rFonts w:ascii="Arial" w:hAnsi="Arial" w:cs="Arial"/>
          <w:b w:val="0"/>
          <w:i/>
          <w:sz w:val="20"/>
        </w:rPr>
        <w:t>.</w:t>
      </w:r>
      <w:r w:rsidR="00337DDA">
        <w:rPr>
          <w:rFonts w:ascii="Arial" w:hAnsi="Arial" w:cs="Arial"/>
          <w:b w:val="0"/>
          <w:i/>
          <w:sz w:val="20"/>
        </w:rPr>
        <w:t xml:space="preserve"> </w:t>
      </w:r>
    </w:p>
    <w:p w14:paraId="3647DF9D" w14:textId="77777777" w:rsidR="002C57D2" w:rsidRPr="00FB3A86" w:rsidRDefault="002C57D2" w:rsidP="00904C54">
      <w:pPr>
        <w:pStyle w:val="Affiliation"/>
        <w:spacing w:after="0" w:line="240" w:lineRule="auto"/>
        <w:ind w:right="-432"/>
        <w:jc w:val="both"/>
        <w:rPr>
          <w:rFonts w:ascii="Arial" w:hAnsi="Arial" w:cs="Arial"/>
        </w:rPr>
      </w:pPr>
    </w:p>
    <w:p w14:paraId="7E5A67EB" w14:textId="77777777" w:rsidR="00B01FCD" w:rsidRPr="00FB3A86" w:rsidRDefault="000D4EA0" w:rsidP="00A519AC">
      <w:pPr>
        <w:pStyle w:val="Copyright"/>
        <w:spacing w:after="0" w:line="240" w:lineRule="auto"/>
        <w:ind w:right="360"/>
        <w:jc w:val="both"/>
        <w:rPr>
          <w:rFonts w:ascii="Arial" w:hAnsi="Arial" w:cs="Arial"/>
        </w:rPr>
        <w:sectPr w:rsidR="00B01FCD" w:rsidRPr="00FB3A86" w:rsidSect="00BB14E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2BDD3D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D519310" w14:textId="77777777" w:rsidR="005E672D" w:rsidRDefault="005E672D" w:rsidP="00A519AC">
      <w:pPr>
        <w:pStyle w:val="AbstHead"/>
        <w:spacing w:after="0"/>
        <w:ind w:right="360"/>
        <w:jc w:val="both"/>
        <w:rPr>
          <w:rFonts w:ascii="Arial" w:hAnsi="Arial" w:cs="Arial"/>
        </w:rPr>
      </w:pPr>
    </w:p>
    <w:p w14:paraId="6D83ADD8" w14:textId="77777777" w:rsidR="00790ADA" w:rsidRDefault="00B01FCD" w:rsidP="00A519AC">
      <w:pPr>
        <w:pStyle w:val="AbstHead"/>
        <w:spacing w:after="0"/>
        <w:ind w:right="360"/>
        <w:jc w:val="both"/>
        <w:rPr>
          <w:rFonts w:ascii="Arial" w:hAnsi="Arial" w:cs="Arial"/>
        </w:rPr>
      </w:pPr>
      <w:r w:rsidRPr="00FB3A86">
        <w:rPr>
          <w:rFonts w:ascii="Arial" w:hAnsi="Arial" w:cs="Arial"/>
        </w:rPr>
        <w:t>ABSTRACT</w:t>
      </w:r>
      <w:r w:rsidR="0066510A">
        <w:rPr>
          <w:rFonts w:ascii="Arial" w:hAnsi="Arial" w:cs="Arial"/>
        </w:rPr>
        <w:t xml:space="preserve"> </w:t>
      </w:r>
    </w:p>
    <w:p w14:paraId="6FB119FF" w14:textId="77777777" w:rsidR="00EF5222" w:rsidRPr="00FB3A86" w:rsidRDefault="00EF5222" w:rsidP="00A519AC">
      <w:pPr>
        <w:pStyle w:val="AbstHead"/>
        <w:spacing w:after="0"/>
        <w:ind w:right="36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86C7F0A" w14:textId="77777777" w:rsidTr="001E44FE">
        <w:tc>
          <w:tcPr>
            <w:tcW w:w="9576" w:type="dxa"/>
            <w:shd w:val="clear" w:color="auto" w:fill="F2F2F2"/>
          </w:tcPr>
          <w:p w14:paraId="783F4671" w14:textId="77777777" w:rsidR="00D0663D" w:rsidRDefault="00D0663D" w:rsidP="00A519AC">
            <w:pPr>
              <w:spacing w:line="276" w:lineRule="auto"/>
              <w:ind w:right="360"/>
              <w:jc w:val="both"/>
              <w:rPr>
                <w:rFonts w:ascii="Arial" w:eastAsia="Calibri" w:hAnsi="Arial" w:cs="Arial"/>
              </w:rPr>
            </w:pPr>
            <w:r w:rsidRPr="00D0663D">
              <w:rPr>
                <w:rFonts w:ascii="Arial" w:eastAsia="Calibri" w:hAnsi="Arial" w:cs="Arial"/>
                <w:b/>
              </w:rPr>
              <w:t xml:space="preserve">Background: </w:t>
            </w:r>
            <w:r w:rsidRPr="00D0663D">
              <w:rPr>
                <w:rFonts w:ascii="Arial" w:eastAsia="Calibri" w:hAnsi="Arial" w:cs="Arial"/>
              </w:rPr>
              <w:t>Diabetic macular edema is a foremost cause of visual loss in the diabetic populace, it is typically managed with intra-</w:t>
            </w:r>
            <w:proofErr w:type="spellStart"/>
            <w:r w:rsidRPr="00D0663D">
              <w:rPr>
                <w:rFonts w:ascii="Arial" w:eastAsia="Calibri" w:hAnsi="Arial" w:cs="Arial"/>
              </w:rPr>
              <w:t>vitreal</w:t>
            </w:r>
            <w:proofErr w:type="spellEnd"/>
            <w:r w:rsidRPr="00D0663D">
              <w:rPr>
                <w:rFonts w:ascii="Arial" w:eastAsia="Calibri" w:hAnsi="Arial" w:cs="Arial"/>
              </w:rPr>
              <w:t xml:space="preserve"> anti-VEGF therapy. The unilateral intra-</w:t>
            </w:r>
            <w:proofErr w:type="spellStart"/>
            <w:r w:rsidRPr="00D0663D">
              <w:rPr>
                <w:rFonts w:ascii="Arial" w:eastAsia="Calibri" w:hAnsi="Arial" w:cs="Arial"/>
              </w:rPr>
              <w:t>vitreal</w:t>
            </w:r>
            <w:proofErr w:type="spellEnd"/>
            <w:r w:rsidRPr="00D0663D">
              <w:rPr>
                <w:rFonts w:ascii="Arial" w:eastAsia="Calibri" w:hAnsi="Arial" w:cs="Arial"/>
              </w:rPr>
              <w:t xml:space="preserve"> bevacizumab (IVB) injections are standard, but the possible bilateral effect on the un-injected eye remains unclear, specifically in the African population.</w:t>
            </w:r>
          </w:p>
          <w:p w14:paraId="2E7E522A" w14:textId="77777777" w:rsidR="00D0663D" w:rsidRPr="00D0663D" w:rsidRDefault="00D0663D" w:rsidP="00A519AC">
            <w:pPr>
              <w:spacing w:line="276" w:lineRule="auto"/>
              <w:ind w:right="360"/>
              <w:jc w:val="both"/>
              <w:rPr>
                <w:rFonts w:ascii="Arial" w:eastAsia="Calibri" w:hAnsi="Arial" w:cs="Arial"/>
              </w:rPr>
            </w:pPr>
          </w:p>
          <w:p w14:paraId="3F22EB80" w14:textId="77777777" w:rsidR="004B053B" w:rsidRPr="00D0663D" w:rsidRDefault="00BA1B01" w:rsidP="00A519AC">
            <w:pPr>
              <w:spacing w:line="276" w:lineRule="auto"/>
              <w:ind w:right="360"/>
              <w:jc w:val="both"/>
              <w:rPr>
                <w:rFonts w:ascii="Arial" w:hAnsi="Arial" w:cs="Arial"/>
              </w:rPr>
            </w:pPr>
            <w:r w:rsidRPr="00D0663D">
              <w:rPr>
                <w:rFonts w:ascii="Arial" w:eastAsia="Calibri" w:hAnsi="Arial" w:cs="Arial"/>
                <w:b/>
              </w:rPr>
              <w:t xml:space="preserve">Aims: </w:t>
            </w:r>
            <w:r w:rsidR="004B053B" w:rsidRPr="00D0663D">
              <w:rPr>
                <w:rFonts w:ascii="Arial" w:hAnsi="Arial" w:cs="Arial"/>
              </w:rPr>
              <w:t>This study intended to evaluate the anatomical and visual outcomes in the un-injected eye after a single dose intra</w:t>
            </w:r>
            <w:r w:rsidR="00333022" w:rsidRPr="00D0663D">
              <w:rPr>
                <w:rFonts w:ascii="Arial" w:hAnsi="Arial" w:cs="Arial"/>
              </w:rPr>
              <w:t>-</w:t>
            </w:r>
            <w:proofErr w:type="spellStart"/>
            <w:r w:rsidR="004B053B" w:rsidRPr="00D0663D">
              <w:rPr>
                <w:rFonts w:ascii="Arial" w:hAnsi="Arial" w:cs="Arial"/>
              </w:rPr>
              <w:t>vitreal</w:t>
            </w:r>
            <w:proofErr w:type="spellEnd"/>
            <w:r w:rsidR="004B053B" w:rsidRPr="00D0663D">
              <w:rPr>
                <w:rFonts w:ascii="Arial" w:hAnsi="Arial" w:cs="Arial"/>
              </w:rPr>
              <w:t xml:space="preserve"> bevacizumab injection and to identify systemic and ocular factors associated with these outcomes in patients with Diabetic Macular edema (DME).</w:t>
            </w:r>
          </w:p>
          <w:p w14:paraId="39B169F6" w14:textId="77777777" w:rsidR="00BA1B01" w:rsidRPr="00D0663D" w:rsidRDefault="00BA1B01" w:rsidP="00A519AC">
            <w:pPr>
              <w:pStyle w:val="Body"/>
              <w:spacing w:after="0"/>
              <w:ind w:right="360"/>
              <w:rPr>
                <w:rFonts w:ascii="Arial" w:eastAsia="Calibri" w:hAnsi="Arial" w:cs="Arial"/>
              </w:rPr>
            </w:pPr>
          </w:p>
          <w:p w14:paraId="663AE1C0" w14:textId="77777777" w:rsidR="00BA1B01" w:rsidRPr="00D0663D" w:rsidRDefault="00BA1B01" w:rsidP="00A519AC">
            <w:pPr>
              <w:pStyle w:val="Body"/>
              <w:spacing w:after="0"/>
              <w:ind w:right="360"/>
              <w:rPr>
                <w:rFonts w:ascii="Arial" w:eastAsia="Calibri" w:hAnsi="Arial" w:cs="Arial"/>
              </w:rPr>
            </w:pPr>
            <w:r w:rsidRPr="00D0663D">
              <w:rPr>
                <w:rFonts w:ascii="Arial" w:eastAsia="Calibri" w:hAnsi="Arial" w:cs="Arial"/>
                <w:b/>
              </w:rPr>
              <w:t>Study design:</w:t>
            </w:r>
            <w:r w:rsidRPr="00D0663D">
              <w:rPr>
                <w:rFonts w:ascii="Arial" w:eastAsia="Calibri" w:hAnsi="Arial" w:cs="Arial"/>
              </w:rPr>
              <w:t xml:space="preserve">  </w:t>
            </w:r>
            <w:r w:rsidR="004B053B" w:rsidRPr="00D0663D">
              <w:rPr>
                <w:rFonts w:ascii="Arial" w:hAnsi="Arial" w:cs="Arial"/>
              </w:rPr>
              <w:t>A hospital-based prospective cohort study</w:t>
            </w:r>
          </w:p>
          <w:p w14:paraId="7BF3655A" w14:textId="77777777" w:rsidR="00BA1B01" w:rsidRPr="00D0663D" w:rsidRDefault="00BA1B01" w:rsidP="00A519AC">
            <w:pPr>
              <w:pStyle w:val="Body"/>
              <w:spacing w:after="0"/>
              <w:ind w:right="360"/>
              <w:rPr>
                <w:rFonts w:ascii="Arial" w:eastAsia="Calibri" w:hAnsi="Arial" w:cs="Arial"/>
              </w:rPr>
            </w:pPr>
            <w:r w:rsidRPr="00D0663D">
              <w:rPr>
                <w:rFonts w:ascii="Arial" w:eastAsia="Calibri" w:hAnsi="Arial" w:cs="Arial"/>
                <w:b/>
              </w:rPr>
              <w:t>Place and Duration of Study:</w:t>
            </w:r>
            <w:r w:rsidR="000536C4" w:rsidRPr="00D0663D">
              <w:rPr>
                <w:rFonts w:ascii="Arial" w:eastAsia="Calibri" w:hAnsi="Arial" w:cs="Arial"/>
              </w:rPr>
              <w:t xml:space="preserve"> Department of Ophthalmology,</w:t>
            </w:r>
            <w:r w:rsidR="004B053B" w:rsidRPr="00D0663D">
              <w:rPr>
                <w:rFonts w:ascii="Arial" w:eastAsia="Calibri" w:hAnsi="Arial" w:cs="Arial"/>
              </w:rPr>
              <w:t xml:space="preserve"> </w:t>
            </w:r>
            <w:r w:rsidR="000536C4" w:rsidRPr="00D0663D">
              <w:rPr>
                <w:rFonts w:ascii="Arial" w:eastAsia="Calibri" w:hAnsi="Arial" w:cs="Arial"/>
              </w:rPr>
              <w:t>Kilimanjaro Christian Medical Centre (KCMC), between Jun 2024 and July 2025</w:t>
            </w:r>
          </w:p>
          <w:p w14:paraId="43842F65" w14:textId="77777777" w:rsidR="00EB6162" w:rsidRPr="00D0663D" w:rsidRDefault="00BA1B01" w:rsidP="00A519AC">
            <w:pPr>
              <w:pStyle w:val="Body"/>
              <w:ind w:right="360"/>
              <w:rPr>
                <w:rFonts w:ascii="Arial" w:hAnsi="Arial" w:cs="Arial"/>
              </w:rPr>
            </w:pPr>
            <w:r w:rsidRPr="00D0663D">
              <w:rPr>
                <w:rFonts w:ascii="Arial" w:eastAsia="Calibri" w:hAnsi="Arial" w:cs="Arial"/>
                <w:b/>
                <w:bCs/>
              </w:rPr>
              <w:t>Methodology:</w:t>
            </w:r>
            <w:r w:rsidRPr="00D0663D">
              <w:rPr>
                <w:rFonts w:ascii="Arial" w:eastAsia="Calibri" w:hAnsi="Arial" w:cs="Arial"/>
              </w:rPr>
              <w:t xml:space="preserve"> </w:t>
            </w:r>
            <w:r w:rsidR="00333022" w:rsidRPr="00D0663D">
              <w:rPr>
                <w:rFonts w:ascii="Arial" w:eastAsia="Calibri" w:hAnsi="Arial" w:cs="Arial"/>
              </w:rPr>
              <w:t>W</w:t>
            </w:r>
            <w:r w:rsidR="000536C4" w:rsidRPr="00D0663D">
              <w:rPr>
                <w:rFonts w:ascii="Arial" w:eastAsia="Calibri" w:hAnsi="Arial" w:cs="Arial"/>
              </w:rPr>
              <w:t xml:space="preserve">e included 105 patients </w:t>
            </w:r>
            <w:r w:rsidR="00EB6162" w:rsidRPr="00D0663D">
              <w:rPr>
                <w:rFonts w:ascii="Arial" w:eastAsia="Calibri" w:hAnsi="Arial" w:cs="Arial"/>
              </w:rPr>
              <w:t>(53</w:t>
            </w:r>
            <w:r w:rsidR="000536C4" w:rsidRPr="00D0663D">
              <w:rPr>
                <w:rFonts w:ascii="Arial" w:eastAsia="Calibri" w:hAnsi="Arial" w:cs="Arial"/>
              </w:rPr>
              <w:t xml:space="preserve"> male, 52 </w:t>
            </w:r>
            <w:proofErr w:type="gramStart"/>
            <w:r w:rsidR="000536C4" w:rsidRPr="00D0663D">
              <w:rPr>
                <w:rFonts w:ascii="Arial" w:eastAsia="Calibri" w:hAnsi="Arial" w:cs="Arial"/>
              </w:rPr>
              <w:t>female</w:t>
            </w:r>
            <w:proofErr w:type="gramEnd"/>
            <w:r w:rsidR="000536C4" w:rsidRPr="00D0663D">
              <w:rPr>
                <w:rFonts w:ascii="Arial" w:eastAsia="Calibri" w:hAnsi="Arial" w:cs="Arial"/>
              </w:rPr>
              <w:t xml:space="preserve">, mean age </w:t>
            </w:r>
            <w:r w:rsidR="000536C4" w:rsidRPr="00D0663D">
              <w:rPr>
                <w:rFonts w:ascii="Arial" w:hAnsi="Arial" w:cs="Arial"/>
              </w:rPr>
              <w:t>64.1(±9.06) years) with diabetic macular edema</w:t>
            </w:r>
            <w:r w:rsidR="00EB6162" w:rsidRPr="00D0663D">
              <w:rPr>
                <w:rFonts w:ascii="Arial" w:hAnsi="Arial" w:cs="Arial"/>
              </w:rPr>
              <w:t xml:space="preserve"> (DME). Each patient received a single intra-</w:t>
            </w:r>
            <w:proofErr w:type="spellStart"/>
            <w:r w:rsidR="00EB6162" w:rsidRPr="00D0663D">
              <w:rPr>
                <w:rFonts w:ascii="Arial" w:hAnsi="Arial" w:cs="Arial"/>
              </w:rPr>
              <w:t>vitreal</w:t>
            </w:r>
            <w:proofErr w:type="spellEnd"/>
            <w:r w:rsidR="00EB6162" w:rsidRPr="00D0663D">
              <w:rPr>
                <w:rFonts w:ascii="Arial" w:hAnsi="Arial" w:cs="Arial"/>
              </w:rPr>
              <w:t xml:space="preserve"> bevacizumab injection in the eye with worse baseline Central Subfield Macular Thickness (CSMT). The un-injected eye was assessed for changes in CSMT and Best Corrected Visual Acuity (BCVA) after 4 weeks post injection. Paired t-tests and Wilcoxon signed-rank tests were applied for within-eye assessments. Pearson and Spearman correlations evaluated inter-eye associations. Generalized linear models (GLM) with a gamma distribution and log link were used to identify factors associated with anatomical and visual outcomes.</w:t>
            </w:r>
          </w:p>
          <w:p w14:paraId="411B1FB7" w14:textId="77777777" w:rsidR="00FC1FB4" w:rsidRPr="00D0663D" w:rsidRDefault="00BA1B01" w:rsidP="00A519AC">
            <w:pPr>
              <w:pStyle w:val="Body"/>
              <w:ind w:right="360"/>
              <w:rPr>
                <w:rFonts w:ascii="Arial" w:eastAsia="Calibri" w:hAnsi="Arial" w:cs="Arial"/>
              </w:rPr>
            </w:pPr>
            <w:r w:rsidRPr="00D0663D">
              <w:rPr>
                <w:rFonts w:ascii="Arial" w:eastAsia="Calibri" w:hAnsi="Arial" w:cs="Arial"/>
                <w:b/>
                <w:bCs/>
              </w:rPr>
              <w:t>Results</w:t>
            </w:r>
            <w:r w:rsidR="00333022" w:rsidRPr="00D0663D">
              <w:rPr>
                <w:rFonts w:ascii="Arial" w:eastAsia="Calibri" w:hAnsi="Arial" w:cs="Arial"/>
                <w:b/>
                <w:bCs/>
              </w:rPr>
              <w:t xml:space="preserve">: </w:t>
            </w:r>
            <w:r w:rsidR="00333022" w:rsidRPr="00D0663D">
              <w:rPr>
                <w:rFonts w:ascii="Arial" w:eastAsia="Calibri" w:hAnsi="Arial" w:cs="Arial"/>
                <w:bCs/>
              </w:rPr>
              <w:t>T</w:t>
            </w:r>
            <w:r w:rsidR="00FC1FB4" w:rsidRPr="00D0663D">
              <w:rPr>
                <w:rFonts w:ascii="Arial" w:eastAsia="Calibri" w:hAnsi="Arial" w:cs="Arial"/>
              </w:rPr>
              <w:t>he mean CSMT of un-injected eye changed from (300.9 ± 31.5 </w:t>
            </w:r>
            <w:proofErr w:type="spellStart"/>
            <w:r w:rsidR="00FC1FB4" w:rsidRPr="00D0663D">
              <w:rPr>
                <w:rFonts w:ascii="Arial" w:eastAsia="Calibri" w:hAnsi="Arial" w:cs="Arial"/>
              </w:rPr>
              <w:t>μm</w:t>
            </w:r>
            <w:proofErr w:type="spellEnd"/>
            <w:r w:rsidR="00FC1FB4" w:rsidRPr="00D0663D">
              <w:rPr>
                <w:rFonts w:ascii="Arial" w:eastAsia="Calibri" w:hAnsi="Arial" w:cs="Arial"/>
              </w:rPr>
              <w:t>) to 304.7 ± 36.9 </w:t>
            </w:r>
            <w:proofErr w:type="spellStart"/>
            <w:r w:rsidR="00FC1FB4" w:rsidRPr="00D0663D">
              <w:rPr>
                <w:rFonts w:ascii="Arial" w:eastAsia="Calibri" w:hAnsi="Arial" w:cs="Arial"/>
              </w:rPr>
              <w:t>μm</w:t>
            </w:r>
            <w:proofErr w:type="spellEnd"/>
            <w:r w:rsidR="00FC1FB4" w:rsidRPr="00D0663D">
              <w:rPr>
                <w:rFonts w:ascii="Arial" w:eastAsia="Calibri" w:hAnsi="Arial" w:cs="Arial"/>
              </w:rPr>
              <w:t>), p = 0.1472, and median BCVA remained unchanged (</w:t>
            </w:r>
            <w:proofErr w:type="spellStart"/>
            <w:r w:rsidR="00FC1FB4" w:rsidRPr="00D0663D">
              <w:rPr>
                <w:rFonts w:ascii="Arial" w:eastAsia="Calibri" w:hAnsi="Arial" w:cs="Arial"/>
              </w:rPr>
              <w:t>LogMAR</w:t>
            </w:r>
            <w:proofErr w:type="spellEnd"/>
            <w:r w:rsidR="00FC1FB4" w:rsidRPr="00D0663D">
              <w:rPr>
                <w:rFonts w:ascii="Arial" w:eastAsia="Calibri" w:hAnsi="Arial" w:cs="Arial"/>
              </w:rPr>
              <w:t xml:space="preserve"> 0.3 at baseline and follow-up), p = 0.1154). Nevertheless, significant associations were observed between increased CSMT and systemic hypertension (ARR = 1.07; p = 0.021), elevated serum creatinine (ARR = 1.002; p = 0.038), and history of prior bevacizumab use (ARR = 1.09; p = 0.001). The history of PRP was associated with decrease in mean CSMT (ARR = 0.94; p = 0.021).</w:t>
            </w:r>
          </w:p>
          <w:p w14:paraId="489C8A25" w14:textId="77777777" w:rsidR="00505F06" w:rsidRPr="00FC1FB4" w:rsidRDefault="00BA1B01" w:rsidP="00A519AC">
            <w:pPr>
              <w:pStyle w:val="Body"/>
              <w:ind w:right="360"/>
              <w:rPr>
                <w:rFonts w:ascii="Arial" w:eastAsia="Calibri" w:hAnsi="Arial" w:cs="Arial"/>
              </w:rPr>
            </w:pPr>
            <w:r w:rsidRPr="00D0663D">
              <w:rPr>
                <w:rFonts w:ascii="Arial" w:eastAsia="Calibri" w:hAnsi="Arial" w:cs="Arial"/>
                <w:b/>
                <w:bCs/>
              </w:rPr>
              <w:t>Conclusion:</w:t>
            </w:r>
            <w:r w:rsidR="00FC1FB4" w:rsidRPr="00D0663D">
              <w:rPr>
                <w:rFonts w:ascii="Arial" w:eastAsia="Calibri" w:hAnsi="Arial" w:cs="Arial"/>
              </w:rPr>
              <w:t xml:space="preserve"> A single unilateral IVB injection did not produce significant anatomical or visual improvements in the contralateral eye after 4 weeks. Though, systemic comorbidities such as hypertension and </w:t>
            </w:r>
            <w:r w:rsidR="00333022" w:rsidRPr="00D0663D">
              <w:rPr>
                <w:rFonts w:ascii="Arial" w:eastAsia="Calibri" w:hAnsi="Arial" w:cs="Arial"/>
              </w:rPr>
              <w:t xml:space="preserve">good </w:t>
            </w:r>
            <w:r w:rsidR="00FC1FB4" w:rsidRPr="00D0663D">
              <w:rPr>
                <w:rFonts w:ascii="Arial" w:eastAsia="Calibri" w:hAnsi="Arial" w:cs="Arial"/>
              </w:rPr>
              <w:t>renal function significantly influenced anatomical outcome, highlighting the need for integrated systemic and ocular management in DME treatment.</w:t>
            </w:r>
          </w:p>
        </w:tc>
      </w:tr>
    </w:tbl>
    <w:p w14:paraId="3552750E" w14:textId="77777777" w:rsidR="00636EB2" w:rsidRDefault="00636EB2" w:rsidP="00A519AC">
      <w:pPr>
        <w:pStyle w:val="Body"/>
        <w:spacing w:after="0"/>
        <w:ind w:right="360"/>
        <w:rPr>
          <w:rFonts w:ascii="Arial" w:hAnsi="Arial" w:cs="Arial"/>
          <w:i/>
        </w:rPr>
      </w:pPr>
    </w:p>
    <w:p w14:paraId="37616C6F" w14:textId="77777777" w:rsidR="00333022" w:rsidRPr="00333022" w:rsidRDefault="00A24E7E" w:rsidP="00A519AC">
      <w:pPr>
        <w:pStyle w:val="Body"/>
        <w:ind w:right="360"/>
        <w:rPr>
          <w:rFonts w:ascii="Arial" w:hAnsi="Arial" w:cs="Arial"/>
          <w:i/>
        </w:rPr>
        <w:sectPr w:rsidR="00333022" w:rsidRPr="00333022" w:rsidSect="00BB14ED">
          <w:type w:val="continuous"/>
          <w:pgSz w:w="12240" w:h="15840"/>
          <w:pgMar w:top="1440" w:right="1440" w:bottom="1440" w:left="1440" w:header="720" w:footer="720" w:gutter="0"/>
          <w:cols w:space="720"/>
          <w:docGrid w:linePitch="360"/>
        </w:sectPr>
      </w:pPr>
      <w:r>
        <w:rPr>
          <w:rFonts w:ascii="Arial" w:hAnsi="Arial" w:cs="Arial"/>
          <w:i/>
        </w:rPr>
        <w:lastRenderedPageBreak/>
        <w:t xml:space="preserve">Keywords: </w:t>
      </w:r>
      <w:r w:rsidR="00333022" w:rsidRPr="00333022">
        <w:rPr>
          <w:rFonts w:ascii="Arial" w:hAnsi="Arial" w:cs="Arial"/>
          <w:i/>
        </w:rPr>
        <w:t>Bilateral Diabetic Macular Edema, Intra-</w:t>
      </w:r>
      <w:proofErr w:type="spellStart"/>
      <w:r w:rsidR="00333022" w:rsidRPr="00333022">
        <w:rPr>
          <w:rFonts w:ascii="Arial" w:hAnsi="Arial" w:cs="Arial"/>
          <w:i/>
        </w:rPr>
        <w:t>vitreal</w:t>
      </w:r>
      <w:proofErr w:type="spellEnd"/>
      <w:r w:rsidR="00333022" w:rsidRPr="00333022">
        <w:rPr>
          <w:rFonts w:ascii="Arial" w:hAnsi="Arial" w:cs="Arial"/>
          <w:i/>
        </w:rPr>
        <w:t xml:space="preserve"> injection of Bevacizumab, Central</w:t>
      </w:r>
      <w:r w:rsidR="00333022">
        <w:rPr>
          <w:rFonts w:ascii="Arial" w:hAnsi="Arial" w:cs="Arial"/>
          <w:i/>
        </w:rPr>
        <w:t xml:space="preserve"> Subfield Macular-Thickness.</w:t>
      </w:r>
    </w:p>
    <w:p w14:paraId="2F89A9B4" w14:textId="77777777" w:rsidR="00A24E7E" w:rsidRDefault="00A24E7E" w:rsidP="00A519AC">
      <w:pPr>
        <w:pStyle w:val="Body"/>
        <w:spacing w:after="0"/>
        <w:ind w:right="360"/>
        <w:rPr>
          <w:rFonts w:ascii="Arial" w:hAnsi="Arial" w:cs="Arial"/>
          <w:i/>
        </w:rPr>
      </w:pPr>
    </w:p>
    <w:p w14:paraId="4F402DE4" w14:textId="77777777" w:rsidR="00790ADA" w:rsidRDefault="00790ADA" w:rsidP="00A519AC">
      <w:pPr>
        <w:pStyle w:val="Body"/>
        <w:spacing w:after="0"/>
        <w:ind w:right="360"/>
        <w:rPr>
          <w:rFonts w:ascii="Arial" w:hAnsi="Arial" w:cs="Arial"/>
          <w:i/>
        </w:rPr>
      </w:pPr>
    </w:p>
    <w:p w14:paraId="6C2D52F3" w14:textId="77777777" w:rsidR="00505F06" w:rsidRPr="00A24E7E" w:rsidRDefault="00505F06" w:rsidP="00A519AC">
      <w:pPr>
        <w:pStyle w:val="Body"/>
        <w:spacing w:after="0"/>
        <w:ind w:right="360"/>
        <w:rPr>
          <w:rFonts w:ascii="Arial" w:hAnsi="Arial" w:cs="Arial"/>
          <w:i/>
        </w:rPr>
      </w:pPr>
    </w:p>
    <w:p w14:paraId="21D42D4A" w14:textId="77777777" w:rsidR="007F7B32" w:rsidRDefault="00902823" w:rsidP="00577D89">
      <w:pPr>
        <w:pStyle w:val="AbstHead"/>
        <w:spacing w:after="0"/>
        <w:ind w:right="720"/>
        <w:jc w:val="both"/>
        <w:rPr>
          <w:rFonts w:ascii="Arial" w:hAnsi="Arial" w:cs="Arial"/>
        </w:rPr>
      </w:pPr>
      <w:r>
        <w:rPr>
          <w:rFonts w:ascii="Arial" w:hAnsi="Arial" w:cs="Arial"/>
        </w:rPr>
        <w:t xml:space="preserve">1. </w:t>
      </w:r>
      <w:r w:rsidR="00B01FCD" w:rsidRPr="00FB3A86">
        <w:rPr>
          <w:rFonts w:ascii="Arial" w:hAnsi="Arial" w:cs="Arial"/>
        </w:rPr>
        <w:t>INTRODUCTION</w:t>
      </w:r>
      <w:r w:rsidR="008F4E22">
        <w:rPr>
          <w:rFonts w:ascii="Arial" w:hAnsi="Arial" w:cs="Arial"/>
        </w:rPr>
        <w:t xml:space="preserve"> </w:t>
      </w:r>
    </w:p>
    <w:p w14:paraId="63DA30D8" w14:textId="77777777" w:rsidR="00EF5222" w:rsidRPr="00EF5222" w:rsidRDefault="00EF5222" w:rsidP="00EF5222">
      <w:pPr>
        <w:spacing w:after="160" w:line="276" w:lineRule="auto"/>
        <w:ind w:right="720"/>
        <w:jc w:val="both"/>
        <w:rPr>
          <w:rFonts w:ascii="Arial" w:eastAsia="Calibri" w:hAnsi="Arial" w:cs="Arial"/>
        </w:rPr>
      </w:pPr>
      <w:r w:rsidRPr="00EF5222">
        <w:rPr>
          <w:rFonts w:ascii="Arial" w:eastAsia="Calibri" w:hAnsi="Arial" w:cs="Arial"/>
        </w:rPr>
        <w:t xml:space="preserve">DME is a retinal condition characterized by fluid accumulation in the macula due to the breakdown of the blood-retinal barrier. The breakdown of RBB is triggered by hyperglycemia, oxidative stress, inflammation and VEGF overexpression, hence macular thickening. DME is a progressive complication of diabetic retinopathy, especially in NPDR stages. </w:t>
      </w:r>
      <w:r w:rsidRPr="00EF5222">
        <w:rPr>
          <w:rFonts w:ascii="Arial" w:eastAsia="Calibri" w:hAnsi="Arial" w:cs="Arial"/>
        </w:rPr>
        <w:fldChar w:fldCharType="begin" w:fldLock="1"/>
      </w:r>
      <w:r>
        <w:rPr>
          <w:rFonts w:ascii="Arial" w:eastAsia="Calibri" w:hAnsi="Arial" w:cs="Arial"/>
        </w:rPr>
        <w:instrText>ADDIN CSL_CITATION {"citationItems":[{"id":"ITEM-1","itemData":{"DOI":"10.26355/eurrev_202010_23379","ISSN":"22840729","abstract":"– OBJECTIVE: Diabetic retinopathy and diabetes represent serious health conditions, being considered among the main causes of blindness. In recent years, anti-VEGF therapies have been of great help in the treatment of retinal pathology and, until now, they represent the primary choice therapy for diabetic retinopathy. Nevertheless, many patients do not experience significant benefits of vision after an anti-VEGF monotherapy. For this reason, several researchers recently focused their attention on the mechanisms that play a central role in the development and progression of diabetic retinopathy. RESULTS: Available scientific evidence confirms that diabetic retinopathy requires other molecules capable of modifying the mechanisms that, together with angiogenesis, contribute to the development of the condition, such as vascular and neuroinflammation. CONCLUSIONS: This review summarizes the current knowledge of the pathological changes that occur in diabetic retinopathy and that might contribute to identify possible new strategies for the treatment of this condition.","author":[{"dropping-particle":"","family":"Taurone","given":"S.","non-dropping-particle":"","parse-names":false,"suffix":""},{"dropping-particle":"","family":"Ralli","given":"M.","non-dropping-particle":"","parse-names":false,"suffix":""},{"dropping-particle":"","family":"Nebbioso","given":"M.","non-dropping-particle":"","parse-names":false,"suffix":""},{"dropping-particle":"","family":"Greco","given":"A.","non-dropping-particle":"","parse-names":false,"suffix":""},{"dropping-particle":"","family":"Artico","given":"M.","non-dropping-particle":"","parse-names":false,"suffix":""},{"dropping-particle":"","family":"Attanasio","given":"G.","non-dropping-particle":"","parse-names":false,"suffix":""},{"dropping-particle":"","family":"Gharbiya","given":"M.","non-dropping-particle":"","parse-names":false,"suffix":""},{"dropping-particle":"","family":"Plateroti","given":"A. M.","non-dropping-particle":"","parse-names":false,"suffix":""},{"dropping-particle":"","family":"Zamai","given":"L.","non-dropping-particle":"","parse-names":false,"suffix":""},{"dropping-particle":"","family":"Micera","given":"A.","non-dropping-particle":"","parse-names":false,"suffix":""}],"container-title":"European Review for Medical and Pharmacological Sciences","id":"ITEM-1","issue":"20","issued":{"date-parts":[["2020"]]},"title":"The role of inflammation in diabetic retinopathy: a review","type":"article-journal","volume":"24"},"uris":["http://www.mendeley.com/documents/?uuid=779230d2-eab6-382a-abe7-3eae3667760f"]},{"id":"ITEM-2","itemData":{"DOI":"10.3389/fimmu.2020.583687","ISSN":"16643224","abstract":"Inflammation is central to pathogenic processes in diabetes mellitus and the metabolic syndrome and particularly implicates innate immunity in the development of complications. Inflammation is a primary event in Type 1 diabetes where infectious (viral) and/or autoimmune processes initiate disease; in contrast, chronic inflammation is typical in Type 2 diabetes and is considered a sequel to increasing insulin resistance and disturbed glucose metabolism. Diabetic retinopathy (DR) is perceived as a vascular and neurodegenerative disease which occurs after some years of poorly controlled diabetes. However, many of the clinical features of DR are late events and reflect the nature of the retinal architecture and its cellular composition. Retinal microvascular disease is, in fact, an early event pathogenetically, induced by low grade, persistent leukocyte activation which causes repeated episodes of capillary occlusion and, progressive, attritional retinal ischemia. The later, overt clinical signs of DR are a consequence of the retinal ischemia. Metabolic dysregulation involving both lipid and glucose metabolism may lead to leukocyte activation. On a molecular level, we have shown that macrophage-restricted protein tyrosine phosphatase 1B (PTP1B) is a key regulator of inflammation in the metabolic syndrome involving insulin resistance and it is possible that PTP1B dysregulation may underlie retinal microvascular disease. We have also shown that adherent CCR5+CD11b+ monocyte macrophages appear to be selectively involved in retinal microvascular occlusion. In this review, we discuss the relationship between early leukocyte activation and the later features of DR, common pathogenetic processes between diabetic microvascular disease and other vascular retinopathies, the mechanisms whereby leukocyte activation is induced in hyperglycemia and dyslipidemia, the signaling mechanisms involved in diabetic microvascular disease, and possible interventions which may prevent these retinopathies. We also address a possible role for adaptive immunity in DR. Although significant improvements in treatment of DR have been made with intravitreal anti-VEGF therapy, a sizeable proportion of patients, particularly with sight-threatening macular edema, fail to respond. Alternative therapies targeting inflammatory processes may offer an advantage.","author":[{"dropping-particle":"V.","family":"Forrester","given":"John","non-dropping-particle":"","parse-names":false,"suffix":""},{"dropping-particle":"","family":"Kuffova","given":"Lucia","non-dropping-particle":"","parse-names":false,"suffix":""},{"dropping-particle":"","family":"Delibegovic","given":"Mirela","non-dropping-particle":"","parse-names":false,"suffix":""}],"container-title":"Frontiers in Immunology","id":"ITEM-2","issued":{"date-parts":[["2020"]]},"title":"The Role of Inflammation in Diabetic Retinopathy","type":"article","volume":"11"},"uris":["http://www.mendeley.com/documents/?uuid=4e9a5588-af60-3a78-827b-35e698ce2276"]}],"mendeley":{"formattedCitation":"(Forrester, Kuffova and Delibegovic, 2020; Taurone &lt;i&gt;et al.&lt;/i&gt;, 2020)","plainTextFormattedCitation":"(Forrester, Kuffova and Delibegovic, 2020; Taurone et al., 2020)","previouslyFormattedCitation":"(Forrester, Kuffova and Delibegovic, 2020; Taurone &lt;i&gt;et al.&lt;/i&gt;, 2020)"},"properties":{"noteIndex":0},"schema":"https://github.com/citation-style-language/schema/raw/master/csl-citation.json"}</w:instrText>
      </w:r>
      <w:r w:rsidRPr="00EF5222">
        <w:rPr>
          <w:rFonts w:ascii="Arial" w:eastAsia="Calibri" w:hAnsi="Arial" w:cs="Arial"/>
        </w:rPr>
        <w:fldChar w:fldCharType="separate"/>
      </w:r>
      <w:r w:rsidRPr="00EF5222">
        <w:rPr>
          <w:rFonts w:ascii="Arial" w:eastAsia="Calibri" w:hAnsi="Arial" w:cs="Arial"/>
          <w:noProof/>
        </w:rPr>
        <w:t xml:space="preserve">(Forrester, Kuffova and Delibegovic, 2020; Taurone </w:t>
      </w:r>
      <w:r w:rsidRPr="00EF5222">
        <w:rPr>
          <w:rFonts w:ascii="Arial" w:eastAsia="Calibri" w:hAnsi="Arial" w:cs="Arial"/>
          <w:i/>
          <w:noProof/>
        </w:rPr>
        <w:t>et al.</w:t>
      </w:r>
      <w:r w:rsidRPr="00EF5222">
        <w:rPr>
          <w:rFonts w:ascii="Arial" w:eastAsia="Calibri" w:hAnsi="Arial" w:cs="Arial"/>
          <w:noProof/>
        </w:rPr>
        <w:t>, 2020)</w:t>
      </w:r>
      <w:r w:rsidRPr="00EF5222">
        <w:rPr>
          <w:rFonts w:ascii="Arial" w:eastAsia="Calibri" w:hAnsi="Arial" w:cs="Arial"/>
        </w:rPr>
        <w:fldChar w:fldCharType="end"/>
      </w:r>
    </w:p>
    <w:p w14:paraId="4490BAD1" w14:textId="77777777" w:rsidR="00EF5222" w:rsidRPr="00EF5222" w:rsidRDefault="00EF5222" w:rsidP="00EF5222">
      <w:pPr>
        <w:spacing w:after="160" w:line="276" w:lineRule="auto"/>
        <w:ind w:right="720"/>
        <w:jc w:val="both"/>
        <w:rPr>
          <w:rFonts w:ascii="Arial" w:eastAsia="Calibri" w:hAnsi="Arial" w:cs="Arial"/>
        </w:rPr>
      </w:pPr>
      <w:r w:rsidRPr="00EF5222">
        <w:rPr>
          <w:rFonts w:ascii="Arial" w:eastAsia="Calibri" w:hAnsi="Arial" w:cs="Arial"/>
        </w:rPr>
        <w:t xml:space="preserve">Several systemic factors have been implicated in the increased severity of DME and the reduced response to anti-VEGF therapy. Poor glycemic control (HbA1c &gt; 6%) increases VEGF expression. Hypertension raises capillary pressure, thereby exacerbating leakage. Dyslipidemia (low HDL, high TGs) damages the capillary vascular endothelium. Renal dysfunction raises systemic VEGF levels, which is linked to a poor response to anti-VEGF treatment </w:t>
      </w:r>
      <w:r w:rsidRPr="00EF5222">
        <w:rPr>
          <w:rFonts w:ascii="Arial" w:eastAsia="Calibri" w:hAnsi="Arial" w:cs="Arial"/>
        </w:rPr>
        <w:fldChar w:fldCharType="begin" w:fldLock="1"/>
      </w:r>
      <w:r>
        <w:rPr>
          <w:rFonts w:ascii="Arial" w:eastAsia="Calibri" w:hAnsi="Arial" w:cs="Arial"/>
        </w:rPr>
        <w:instrText>ADDIN CSL_CITATION {"citationItems":[{"id":"ITEM-1","itemData":{"DOI":"10.3390/life11020083","ISSN":"20751729","abstract":"Diabetic macular edema (DME) is a common cause of visual impairment in patients with diabetes. Although intravitreal anti-vascular endothelial growth factor (VEGF) injections were efficacious in clinical trials, several patients exhibited a poor response. This study aimed to compare clinical features between patients who were susceptible to intravitreal anti-VEGF injections for DME and those who were not. A single-center, retrospective study of 102 such patients was conducted (123 eyes; mean ± standard deviation age, 63.4 ± 10.8 years; 57.8% males). Systemic and ocular data, assessed at baseline and after a month, were compared between good (&gt;20% decrease in central macular thickness (CMT)) and poor (≤20% decrease in CMT) responders using the Mann–Whitney U test/Fisher’s exact test. Eighty-one eyes (65.9%) were good responders. The glycosylated hemoglobin level was higher (p = 0.011) in poor (7.5% ± 0.94%) than in good (7.04% ± 1.19%) responders. The foveal avascular zone was larger (p = 0.0003) in poor (0.67 ± 0.33 µm2 ) than in good (0.47 ± 0.23 µm2 ) responders. The number of microaneurysms in the pericapillary network was higher (p = 0.0007) in poor (2.7 ± 2.2) than in good (1.4 ± 2.0) responders. Baseline glycemic control and macular ischemia may be associated with the short-term response to intravitreal anti-VEGF injections.","author":[{"dropping-particle":"","family":"Usui-Ouchi","given":"Ayumi","non-dropping-particle":"","parse-names":false,"suffix":""},{"dropping-particle":"","family":"Tamaki","given":"Asaka","non-dropping-particle":"","parse-names":false,"suffix":""},{"dropping-particle":"","family":"Sakanishi","given":"Yoshihito","non-dropping-particle":"","parse-names":false,"suffix":""},{"dropping-particle":"","family":"Tamaki","given":"Kazunori","non-dropping-particle":"","parse-names":false,"suffix":""},{"dropping-particle":"","family":"Mashimo","given":"Keitaro","non-dropping-particle":"","parse-names":false,"suffix":""},{"dropping-particle":"","family":"Sakuma","given":"Toshiro","non-dropping-particle":"","parse-names":false,"suffix":""},{"dropping-particle":"","family":"Ebihara","given":"Nobuyuki","non-dropping-particle":"","parse-names":false,"suffix":""}],"container-title":"Life","id":"ITEM-1","issue":"2","issued":{"date-parts":[["2021"]]},"page":"1-9","title":"Factors affecting a short-term response to anti-vegf therapy in diabetic macular edema","type":"article-journal","volume":"11"},"uris":["http://www.mendeley.com/documents/?uuid=f481e7c4-b148-4b9c-be6f-1822a2245dfd"]},{"id":"ITEM-2","itemData":{"DOI":"10.26355/eurrev_202010_23379","ISSN":"22840729","abstract":"– OBJECTIVE: Diabetic retinopathy and diabetes represent serious health conditions, being considered among the main causes of blindness. In recent years, anti-VEGF therapies have been of great help in the treatment of retinal pathology and, until now, they represent the primary choice therapy for diabetic retinopathy. Nevertheless, many patients do not experience significant benefits of vision after an anti-VEGF monotherapy. For this reason, several researchers recently focused their attention on the mechanisms that play a central role in the development and progression of diabetic retinopathy. RESULTS: Available scientific evidence confirms that diabetic retinopathy requires other molecules capable of modifying the mechanisms that, together with angiogenesis, contribute to the development of the condition, such as vascular and neuroinflammation. CONCLUSIONS: This review summarizes the current knowledge of the pathological changes that occur in diabetic retinopathy and that might contribute to identify possible new strategies for the treatment of this condition.","author":[{"dropping-particle":"","family":"Taurone","given":"S.","non-dropping-particle":"","parse-names":false,"suffix":""},{"dropping-particle":"","family":"Ralli","given":"M.","non-dropping-particle":"","parse-names":false,"suffix":""},{"dropping-particle":"","family":"Nebbioso","given":"M.","non-dropping-particle":"","parse-names":false,"suffix":""},{"dropping-particle":"","family":"Greco","given":"A.","non-dropping-particle":"","parse-names":false,"suffix":""},{"dropping-particle":"","family":"Artico","given":"M.","non-dropping-particle":"","parse-names":false,"suffix":""},{"dropping-particle":"","family":"Attanasio","given":"G.","non-dropping-particle":"","parse-names":false,"suffix":""},{"dropping-particle":"","family":"Gharbiya","given":"M.","non-dropping-particle":"","parse-names":false,"suffix":""},{"dropping-particle":"","family":"Plateroti","given":"A. M.","non-dropping-particle":"","parse-names":false,"suffix":""},{"dropping-particle":"","family":"Zamai","given":"L.","non-dropping-particle":"","parse-names":false,"suffix":""},{"dropping-particle":"","family":"Micera","given":"A.","non-dropping-particle":"","parse-names":false,"suffix":""}],"container-title":"European Review for Medical and Pharmacological Sciences","id":"ITEM-2","issue":"20","issued":{"date-parts":[["2020"]]},"title":"The role of inflammation in diabetic retinopathy: a review","type":"article-journal","volume":"24"},"uris":["http://www.mendeley.com/documents/?uuid=779230d2-eab6-382a-abe7-3eae3667760f"]}],"mendeley":{"formattedCitation":"(Taurone &lt;i&gt;et al.&lt;/i&gt;, 2020; Usui-Ouchi &lt;i&gt;et al.&lt;/i&gt;, 2021)","plainTextFormattedCitation":"(Taurone et al., 2020; Usui-Ouchi et al., 2021)","previouslyFormattedCitation":"(Taurone &lt;i&gt;et al.&lt;/i&gt;, 2020; Usui-Ouchi &lt;i&gt;et al.&lt;/i&gt;, 2021)"},"properties":{"noteIndex":0},"schema":"https://github.com/citation-style-language/schema/raw/master/csl-citation.json"}</w:instrText>
      </w:r>
      <w:r w:rsidRPr="00EF5222">
        <w:rPr>
          <w:rFonts w:ascii="Arial" w:eastAsia="Calibri" w:hAnsi="Arial" w:cs="Arial"/>
        </w:rPr>
        <w:fldChar w:fldCharType="separate"/>
      </w:r>
      <w:r w:rsidRPr="00EF5222">
        <w:rPr>
          <w:rFonts w:ascii="Arial" w:eastAsia="Calibri" w:hAnsi="Arial" w:cs="Arial"/>
          <w:noProof/>
        </w:rPr>
        <w:t xml:space="preserve">(Taurone </w:t>
      </w:r>
      <w:r w:rsidRPr="00EF5222">
        <w:rPr>
          <w:rFonts w:ascii="Arial" w:eastAsia="Calibri" w:hAnsi="Arial" w:cs="Arial"/>
          <w:i/>
          <w:noProof/>
        </w:rPr>
        <w:t>et al.</w:t>
      </w:r>
      <w:r w:rsidRPr="00EF5222">
        <w:rPr>
          <w:rFonts w:ascii="Arial" w:eastAsia="Calibri" w:hAnsi="Arial" w:cs="Arial"/>
          <w:noProof/>
        </w:rPr>
        <w:t xml:space="preserve">, 2020; Usui-Ouchi </w:t>
      </w:r>
      <w:r w:rsidRPr="00EF5222">
        <w:rPr>
          <w:rFonts w:ascii="Arial" w:eastAsia="Calibri" w:hAnsi="Arial" w:cs="Arial"/>
          <w:i/>
          <w:noProof/>
        </w:rPr>
        <w:t>et al.</w:t>
      </w:r>
      <w:r w:rsidRPr="00EF5222">
        <w:rPr>
          <w:rFonts w:ascii="Arial" w:eastAsia="Calibri" w:hAnsi="Arial" w:cs="Arial"/>
          <w:noProof/>
        </w:rPr>
        <w:t>, 2021)</w:t>
      </w:r>
      <w:r w:rsidRPr="00EF5222">
        <w:rPr>
          <w:rFonts w:ascii="Arial" w:eastAsia="Calibri" w:hAnsi="Arial" w:cs="Arial"/>
        </w:rPr>
        <w:fldChar w:fldCharType="end"/>
      </w:r>
      <w:r w:rsidRPr="00EF5222">
        <w:rPr>
          <w:rFonts w:ascii="Arial" w:eastAsia="Calibri" w:hAnsi="Arial" w:cs="Arial"/>
        </w:rPr>
        <w:t>.</w:t>
      </w:r>
    </w:p>
    <w:p w14:paraId="7F5BB06D" w14:textId="77777777" w:rsidR="00EF5222" w:rsidRPr="00EF5222" w:rsidRDefault="00EF5222" w:rsidP="00EF5222">
      <w:pPr>
        <w:spacing w:after="160" w:line="276" w:lineRule="auto"/>
        <w:ind w:right="720"/>
        <w:jc w:val="both"/>
        <w:rPr>
          <w:rFonts w:ascii="Arial" w:eastAsia="Calibri" w:hAnsi="Arial" w:cs="Arial"/>
        </w:rPr>
      </w:pPr>
      <w:r w:rsidRPr="00EF5222">
        <w:rPr>
          <w:rFonts w:ascii="Arial" w:eastAsia="Calibri" w:hAnsi="Arial" w:cs="Arial"/>
        </w:rPr>
        <w:t xml:space="preserve">Macular </w:t>
      </w:r>
      <w:proofErr w:type="spellStart"/>
      <w:r w:rsidRPr="00EF5222">
        <w:rPr>
          <w:rFonts w:ascii="Arial" w:eastAsia="Calibri" w:hAnsi="Arial" w:cs="Arial"/>
        </w:rPr>
        <w:t>oedema</w:t>
      </w:r>
      <w:proofErr w:type="spellEnd"/>
      <w:r w:rsidRPr="00EF5222">
        <w:rPr>
          <w:rFonts w:ascii="Arial" w:eastAsia="Calibri" w:hAnsi="Arial" w:cs="Arial"/>
        </w:rPr>
        <w:t xml:space="preserve"> is assessed clinically through dilated fundus examination and confirmed by OCT (gold standard for DME diagnosis and monitoring). DME is a common problem among the DM population. Global prevalence: approximately 6.8%, Northern Tanzania: approximately 16.1% </w:t>
      </w:r>
      <w:r w:rsidRPr="00EF5222">
        <w:rPr>
          <w:rFonts w:ascii="Arial" w:eastAsia="Calibri" w:hAnsi="Arial" w:cs="Arial"/>
        </w:rPr>
        <w:fldChar w:fldCharType="begin" w:fldLock="1"/>
      </w:r>
      <w:r>
        <w:rPr>
          <w:rFonts w:ascii="Arial" w:eastAsia="Calibri" w:hAnsi="Arial" w:cs="Arial"/>
        </w:rPr>
        <w:instrText>ADDIN CSL_CITATION {"citationItems":[{"id":"ITEM-1","itemData":{"DOI":"10.1111/tmi.12652","ISSN":"13653156","abstract":"Objective: The number of adults with diabetes in sub-Saharan Africa (SSA) is expected to almost double by 2035. This study investigated the prevalence of diabetic retinopathy (DR) and its risk factors at entry into a community-based screening programme. Methods: All persons with diabetes screened for retinopathy at entry into a screening programme in Kilimanjaro Region, Tanzania between November 2010 and December 2014 were included. Fundus photographs were taken with a Topcon retinal camera following pupil dilation. Data were collected on BP, random blood sugar, duration of diabetes, BMI and visual acuity on entry. Results: A total of 3187 persons were screened for DR. The prevalence of any DR was 27.9% (95%CI 26.4-29.5%) with background diabetic retinopathy (BDR), pre-proliferative diabetic retinopathy (PPDR) and proliferative diabetic retinopathy (PDR) having a prevalence of 19.1% (95% CI 17.7-20.4%), 6.0% (95%CI 5.2-6.8%) and 2.9% (95%CI 2.3-3.5%), respectively. Maculopathy was present in 16.1% (95%CI 14.8-17.4%) of participants. Multivariable logistic regression analysis for the presence of any DR found independent associations with duration of diabetes (P &lt; 0.0001), systolic BP (P &lt; 0.0001), random blood sugar (P &lt; 0.0001) and attending a government hospital diabetic clinic (P = 0.0339). Conclusions: This study is the first to present data from a DR screening programme in SSA. The results will provide policymakers with data to aid planning of DR screening and treatment services in the African region. The study highlights the importance of managing comorbidities within DR screening programmes.","author":[{"dropping-particle":"","family":"Cleland","given":"Charles R.","non-dropping-particle":"","parse-names":false,"suffix":""},{"dropping-particle":"","family":"Burton","given":"Matthew J.","non-dropping-particle":"","parse-names":false,"suffix":""},{"dropping-particle":"","family":"Hall","given":"Claudette","non-dropping-particle":"","parse-names":false,"suffix":""},{"dropping-particle":"","family":"Hall","given":"Anthony","non-dropping-particle":"","parse-names":false,"suffix":""},{"dropping-particle":"","family":"Courtright","given":"Paul","non-dropping-particle":"","parse-names":false,"suffix":""},{"dropping-particle":"","family":"Makupa","given":"William U.","non-dropping-particle":"","parse-names":false,"suffix":""},{"dropping-particle":"","family":"Philippin","given":"Heiko","non-dropping-particle":"","parse-names":false,"suffix":""}],"container-title":"Tropical Medicine and International Health","id":"ITEM-1","issue":"3","issued":{"date-parts":[["2016"]]},"title":"Diabetic retinopathy in Tanzania: Prevalence and risk factors at entry into a regional screening programme","type":"article-journal","volume":"21"},"uris":["http://www.mendeley.com/documents/?uuid=65dcf147-64d4-3d1b-80dc-045584a8e64d"]}],"mendeley":{"formattedCitation":"(Cleland &lt;i&gt;et al.&lt;/i&gt;, 2016)","plainTextFormattedCitation":"(Cleland et al., 2016)","previouslyFormattedCitation":"(Cleland &lt;i&gt;et al.&lt;/i&gt;, 2016)"},"properties":{"noteIndex":0},"schema":"https://github.com/citation-style-language/schema/raw/master/csl-citation.json"}</w:instrText>
      </w:r>
      <w:r w:rsidRPr="00EF5222">
        <w:rPr>
          <w:rFonts w:ascii="Arial" w:eastAsia="Calibri" w:hAnsi="Arial" w:cs="Arial"/>
        </w:rPr>
        <w:fldChar w:fldCharType="separate"/>
      </w:r>
      <w:r w:rsidRPr="00EF5222">
        <w:rPr>
          <w:rFonts w:ascii="Arial" w:eastAsia="Calibri" w:hAnsi="Arial" w:cs="Arial"/>
          <w:noProof/>
        </w:rPr>
        <w:t xml:space="preserve">(Cleland </w:t>
      </w:r>
      <w:r w:rsidRPr="00EF5222">
        <w:rPr>
          <w:rFonts w:ascii="Arial" w:eastAsia="Calibri" w:hAnsi="Arial" w:cs="Arial"/>
          <w:i/>
          <w:noProof/>
        </w:rPr>
        <w:t>et al.</w:t>
      </w:r>
      <w:r w:rsidRPr="00EF5222">
        <w:rPr>
          <w:rFonts w:ascii="Arial" w:eastAsia="Calibri" w:hAnsi="Arial" w:cs="Arial"/>
          <w:noProof/>
        </w:rPr>
        <w:t>, 2016)</w:t>
      </w:r>
      <w:r w:rsidRPr="00EF5222">
        <w:rPr>
          <w:rFonts w:ascii="Arial" w:eastAsia="Calibri" w:hAnsi="Arial" w:cs="Arial"/>
        </w:rPr>
        <w:fldChar w:fldCharType="end"/>
      </w:r>
      <w:r w:rsidRPr="00EF5222">
        <w:rPr>
          <w:rFonts w:ascii="Arial" w:eastAsia="Calibri" w:hAnsi="Arial" w:cs="Arial"/>
        </w:rPr>
        <w:t xml:space="preserve">, with KCMC treating over 800 DME. Patients annually. </w:t>
      </w:r>
    </w:p>
    <w:p w14:paraId="7B8C30E4" w14:textId="77777777" w:rsidR="00EF5222" w:rsidRPr="00EF5222" w:rsidRDefault="00EF5222" w:rsidP="00EF5222">
      <w:pPr>
        <w:spacing w:after="160" w:line="276" w:lineRule="auto"/>
        <w:ind w:right="720"/>
        <w:jc w:val="both"/>
        <w:rPr>
          <w:rFonts w:ascii="Arial" w:eastAsia="Calibri" w:hAnsi="Arial" w:cs="Arial"/>
        </w:rPr>
      </w:pPr>
      <w:r w:rsidRPr="00EF5222">
        <w:rPr>
          <w:rFonts w:ascii="Arial" w:eastAsia="Calibri" w:hAnsi="Arial" w:cs="Arial"/>
        </w:rPr>
        <w:t>Current treatment of DME is intra-</w:t>
      </w:r>
      <w:proofErr w:type="spellStart"/>
      <w:r w:rsidRPr="00EF5222">
        <w:rPr>
          <w:rFonts w:ascii="Arial" w:eastAsia="Calibri" w:hAnsi="Arial" w:cs="Arial"/>
        </w:rPr>
        <w:t>vitreal</w:t>
      </w:r>
      <w:proofErr w:type="spellEnd"/>
      <w:r w:rsidRPr="00EF5222">
        <w:rPr>
          <w:rFonts w:ascii="Arial" w:eastAsia="Calibri" w:hAnsi="Arial" w:cs="Arial"/>
        </w:rPr>
        <w:t xml:space="preserve"> Bevacizumab injection, while Laser photocoagulation treatment is still viable for specific cases of DME. Bevacizumab is a full-length anti-VEGF monoclonal antibody (~149 </w:t>
      </w:r>
      <w:proofErr w:type="spellStart"/>
      <w:r w:rsidRPr="00EF5222">
        <w:rPr>
          <w:rFonts w:ascii="Arial" w:eastAsia="Calibri" w:hAnsi="Arial" w:cs="Arial"/>
        </w:rPr>
        <w:t>kDa</w:t>
      </w:r>
      <w:proofErr w:type="spellEnd"/>
      <w:r w:rsidRPr="00EF5222">
        <w:rPr>
          <w:rFonts w:ascii="Arial" w:eastAsia="Calibri" w:hAnsi="Arial" w:cs="Arial"/>
        </w:rPr>
        <w:t xml:space="preserve">). Blocks VEGF-A reduce vascular permeability and inflammation </w:t>
      </w:r>
      <w:r w:rsidRPr="00EF5222">
        <w:rPr>
          <w:rFonts w:ascii="Arial" w:eastAsia="Calibri" w:hAnsi="Arial" w:cs="Arial"/>
        </w:rPr>
        <w:fldChar w:fldCharType="begin" w:fldLock="1"/>
      </w:r>
      <w:r>
        <w:rPr>
          <w:rFonts w:ascii="Arial" w:eastAsia="Calibri" w:hAnsi="Arial" w:cs="Arial"/>
        </w:rPr>
        <w:instrText>ADDIN CSL_CITATION {"citationItems":[{"id":"ITEM-1","itemData":{"DOI":"10.1038/s41433-018-0021-7","ISSN":"14765454","abstract":"Clinical efficacy of intravitreal anti-VEGF drugs has been widely demonstrated in several angiogenesis-driven eye diseases including diabetic macular edema and the neovascular form of age-related macular degeneration. Pegaptanib, ranibizumab, and aflibercept have been approved for use in the eye, whereas bevacizumab is widely used by ophthalmologists to treat patients \"off-label\". These drugs are active in the nanomolar to picomolar range; however, caution is required when establishing the rank order of affinity and potency due to in vitro inter-experimental variation. Despite the small doses used for eye diseases and the intravitreal route of administration may limit systemic side effects, these drugs can penetrate into blood circulation and alter systemic VEGF with unknown clinical consequences, particularly in vulnerable groups of patients. Clinical pharmacokinetics of ocular anti-VEGF agents should therefore be taken into account when choosing the right drug for the individual patient. The gaps in current understanding that leave open important questions are as follows: (i) uncertainty about which drug should be given first, (ii) how long these drugs can be used safely, and (iii) the choice of the best pharmacological strategy after first-line treatment failure. The current review article, based on the information published in peer-reviewed published papers relevant to anti-VEGF treatments and available on the PubMed database, describes in detail the clinical pharmacology of this class of drugs to provide a sound pharmacological basis for their proper use in ophthalmology clinical practice.","author":[{"dropping-particle":"","family":"Fogli","given":"Stefano","non-dropping-particle":"","parse-names":false,"suffix":""},{"dropping-particle":"","family":"Re","given":"Marzia","non-dropping-particle":"Del","parse-names":false,"suffix":""},{"dropping-particle":"","family":"Rofi","given":"Eleonora","non-dropping-particle":"","parse-names":false,"suffix":""},{"dropping-particle":"","family":"Posarelli","given":"Chiara","non-dropping-particle":"","parse-names":false,"suffix":""},{"dropping-particle":"","family":"Figus","given":"Michele","non-dropping-particle":"","parse-names":false,"suffix":""},{"dropping-particle":"","family":"Danesi","given":"Romano","non-dropping-particle":"","parse-names":false,"suffix":""}],"container-title":"Eye (Basingstoke)","id":"ITEM-1","issue":"6","issued":{"date-parts":[["2018"]]},"title":"Clinical pharmacology of intravitreal anti-VEGF drugs","type":"article","volume":"32"},"uris":["http://www.mendeley.com/documents/?uuid=465c5657-bc3d-3ad8-94e8-0675eb056f3f"]},{"id":"ITEM-2","itemData":{"DOI":"10.3389/fimmu.2020.583687","ISSN":"16643224","abstract":"Inflammation is central to pathogenic processes in diabetes mellitus and the metabolic syndrome and particularly implicates innate immunity in the development of complications. Inflammation is a primary event in Type 1 diabetes where infectious (viral) and/or autoimmune processes initiate disease; in contrast, chronic inflammation is typical in Type 2 diabetes and is considered a sequel to increasing insulin resistance and disturbed glucose metabolism. Diabetic retinopathy (DR) is perceived as a vascular and neurodegenerative disease which occurs after some years of poorly controlled diabetes. However, many of the clinical features of DR are late events and reflect the nature of the retinal architecture and its cellular composition. Retinal microvascular disease is, in fact, an early event pathogenetically, induced by low grade, persistent leukocyte activation which causes repeated episodes of capillary occlusion and, progressive, attritional retinal ischemia. The later, overt clinical signs of DR are a consequence of the retinal ischemia. Metabolic dysregulation involving both lipid and glucose metabolism may lead to leukocyte activation. On a molecular level, we have shown that macrophage-restricted protein tyrosine phosphatase 1B (PTP1B) is a key regulator of inflammation in the metabolic syndrome involving insulin resistance and it is possible that PTP1B dysregulation may underlie retinal microvascular disease. We have also shown that adherent CCR5+CD11b+ monocyte macrophages appear to be selectively involved in retinal microvascular occlusion. In this review, we discuss the relationship between early leukocyte activation and the later features of DR, common pathogenetic processes between diabetic microvascular disease and other vascular retinopathies, the mechanisms whereby leukocyte activation is induced in hyperglycemia and dyslipidemia, the signaling mechanisms involved in diabetic microvascular disease, and possible interventions which may prevent these retinopathies. We also address a possible role for adaptive immunity in DR. Although significant improvements in treatment of DR have been made with intravitreal anti-VEGF therapy, a sizeable proportion of patients, particularly with sight-threatening macular edema, fail to respond. Alternative therapies targeting inflammatory processes may offer an advantage.","author":[{"dropping-particle":"V.","family":"Forrester","given":"John","non-dropping-particle":"","parse-names":false,"suffix":""},{"dropping-particle":"","family":"Kuffova","given":"Lucia","non-dropping-particle":"","parse-names":false,"suffix":""},{"dropping-particle":"","family":"Delibegovic","given":"Mirela","non-dropping-particle":"","parse-names":false,"suffix":""}],"container-title":"Frontiers in Immunology","id":"ITEM-2","issued":{"date-parts":[["2020"]]},"title":"The Role of Inflammation in Diabetic Retinopathy","type":"article","volume":"11"},"uris":["http://www.mendeley.com/documents/?uuid=4e9a5588-af60-3a78-827b-35e698ce2276"]},{"id":"ITEM-3","itemData":{"DOI":"10.4103/0301-4738.178154","ISSN":"19983689","abstract":"The blood-retinal barrier (BRB) alteration is the hallmark feature of diabetic retinopathy. Vascular endothelial growth factor (VEGF) is a potent vasopermeability factor that has been implicated in the pathogenesis of BRB alteration. Inflammation also plays a crucial role in this process with involvement of several chemokines and cytokines. Multiple anti-VEGF drugs are widely used as in the treatment of diabetic macular edema (DME) as well as proliferative diabetic retinopathy. Several clinical trials have proved the beneficial effects of these drugs in improvement of vision and prevention of vision loss. However, the response to anti-VEGF drugs in DME is not complete in a significant number of patients. The effect seems transient in this latter group, and many patients do not show complete resolution of fluid. Potential novel therapies targeting molecules beyond VEGF are being developed and examined in clinical trials.","author":[{"dropping-particle":"","family":"Das","given":"Arup","non-dropping-particle":"","parse-names":false,"suffix":""},{"dropping-particle":"","family":"McGuire","given":"Paul","non-dropping-particle":"","parse-names":false,"suffix":""},{"dropping-particle":"","family":"Monickaraj","given":"Finny","non-dropping-particle":"","parse-names":false,"suffix":""}],"container-title":"Indian Journal of Ophthalmology","id":"ITEM-3","issue":"1","issued":{"date-parts":[["2016"]]},"title":"Novel pharmacotherapies in diabetic retinopathy: Current status and what's in the horizon?","type":"article","volume":"64"},"uris":["http://www.mendeley.com/documents/?uuid=60083802-b5e4-3d70-a729-fbbb2209f067"]}],"mendeley":{"formattedCitation":"(Das, McGuire and Monickaraj, 2016; Fogli &lt;i&gt;et al.&lt;/i&gt;, 2018; Forrester, Kuffova and Delibegovic, 2020)","plainTextFormattedCitation":"(Das, McGuire and Monickaraj, 2016; Fogli et al., 2018; Forrester, Kuffova and Delibegovic, 2020)","previouslyFormattedCitation":"(Das, McGuire and Monickaraj, 2016; Fogli &lt;i&gt;et al.&lt;/i&gt;, 2018; Forrester, Kuffova and Delibegovic, 2020)"},"properties":{"noteIndex":0},"schema":"https://github.com/citation-style-language/schema/raw/master/csl-citation.json"}</w:instrText>
      </w:r>
      <w:r w:rsidRPr="00EF5222">
        <w:rPr>
          <w:rFonts w:ascii="Arial" w:eastAsia="Calibri" w:hAnsi="Arial" w:cs="Arial"/>
        </w:rPr>
        <w:fldChar w:fldCharType="separate"/>
      </w:r>
      <w:r w:rsidRPr="00EF5222">
        <w:rPr>
          <w:rFonts w:ascii="Arial" w:eastAsia="Calibri" w:hAnsi="Arial" w:cs="Arial"/>
          <w:noProof/>
        </w:rPr>
        <w:t xml:space="preserve">(Das, McGuire and Monickaraj, 2016; Fogli </w:t>
      </w:r>
      <w:r w:rsidRPr="00EF5222">
        <w:rPr>
          <w:rFonts w:ascii="Arial" w:eastAsia="Calibri" w:hAnsi="Arial" w:cs="Arial"/>
          <w:i/>
          <w:noProof/>
        </w:rPr>
        <w:t>et al.</w:t>
      </w:r>
      <w:r w:rsidRPr="00EF5222">
        <w:rPr>
          <w:rFonts w:ascii="Arial" w:eastAsia="Calibri" w:hAnsi="Arial" w:cs="Arial"/>
          <w:noProof/>
        </w:rPr>
        <w:t>, 2018; Forrester, Kuffova and Delibegovic, 2020)</w:t>
      </w:r>
      <w:r w:rsidRPr="00EF5222">
        <w:rPr>
          <w:rFonts w:ascii="Arial" w:eastAsia="Calibri" w:hAnsi="Arial" w:cs="Arial"/>
        </w:rPr>
        <w:fldChar w:fldCharType="end"/>
      </w:r>
      <w:r w:rsidRPr="00EF5222">
        <w:rPr>
          <w:rFonts w:ascii="Arial" w:eastAsia="Calibri" w:hAnsi="Arial" w:cs="Arial"/>
        </w:rPr>
        <w:t>. Through intra-</w:t>
      </w:r>
      <w:proofErr w:type="spellStart"/>
      <w:r w:rsidRPr="00EF5222">
        <w:rPr>
          <w:rFonts w:ascii="Arial" w:eastAsia="Calibri" w:hAnsi="Arial" w:cs="Arial"/>
        </w:rPr>
        <w:t>vitreal</w:t>
      </w:r>
      <w:proofErr w:type="spellEnd"/>
      <w:r w:rsidRPr="00EF5222">
        <w:rPr>
          <w:rFonts w:ascii="Arial" w:eastAsia="Calibri" w:hAnsi="Arial" w:cs="Arial"/>
        </w:rPr>
        <w:t xml:space="preserve"> Avastin, the systemic absorption was documented (Avery et al., 2014).</w:t>
      </w:r>
    </w:p>
    <w:p w14:paraId="4C3C9F3A" w14:textId="77777777" w:rsidR="00505F06" w:rsidRPr="00EF5222" w:rsidRDefault="00060827" w:rsidP="00EF5222">
      <w:pPr>
        <w:pStyle w:val="Body"/>
        <w:spacing w:after="0"/>
        <w:ind w:right="720"/>
        <w:rPr>
          <w:rFonts w:ascii="Arial" w:hAnsi="Arial" w:cs="Arial"/>
        </w:rPr>
      </w:pPr>
      <w:r w:rsidRPr="00EF5222">
        <w:rPr>
          <w:rFonts w:ascii="Arial" w:hAnsi="Arial" w:cs="Arial"/>
        </w:rPr>
        <w:t xml:space="preserve">Given evidence of systemic absorption, the hypothesis is raised: Can unilateral IVB have a bilateral therapeutic effect? The evidence is mixed: some studies report contralateral CMT reduction, while others do not. Prior research lacks evaluation of systemic factors such as HbA1c, HDL, and creatinine. There is no data from African populations with high comorbidity burdens, except for one study conducted in Egypt involving only female patients. The impact of PRP and previous IVB on contralateral response remains unexplored. This study assessed contralateral anatomical and visual outcomes and related factors following-unilateral IVB  </w:t>
      </w:r>
    </w:p>
    <w:p w14:paraId="4CB54C69" w14:textId="77777777" w:rsidR="00060827" w:rsidRDefault="00060827" w:rsidP="00EF5222">
      <w:pPr>
        <w:pStyle w:val="AbstHead"/>
        <w:spacing w:after="0"/>
        <w:ind w:right="720"/>
        <w:jc w:val="both"/>
        <w:rPr>
          <w:rFonts w:ascii="Arial" w:hAnsi="Arial" w:cs="Arial"/>
        </w:rPr>
      </w:pPr>
    </w:p>
    <w:p w14:paraId="624137E7" w14:textId="77777777" w:rsidR="007F7B32" w:rsidRDefault="00902823" w:rsidP="00EF5222">
      <w:pPr>
        <w:pStyle w:val="AbstHead"/>
        <w:spacing w:after="0"/>
        <w:ind w:right="72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B0A7800" w14:textId="77777777" w:rsidR="009D0604" w:rsidRDefault="00060827" w:rsidP="00EF5222">
      <w:pPr>
        <w:pStyle w:val="Body"/>
        <w:ind w:right="720"/>
        <w:rPr>
          <w:rFonts w:ascii="Arial" w:hAnsi="Arial" w:cs="Arial"/>
        </w:rPr>
      </w:pPr>
      <w:r w:rsidRPr="00060827">
        <w:rPr>
          <w:rFonts w:ascii="Arial" w:hAnsi="Arial" w:cs="Arial"/>
        </w:rPr>
        <w:t xml:space="preserve">A hospital-based prospective cohort study was conducted from </w:t>
      </w:r>
      <w:r w:rsidR="008F4E22">
        <w:rPr>
          <w:rFonts w:ascii="Arial" w:hAnsi="Arial" w:cs="Arial"/>
        </w:rPr>
        <w:t xml:space="preserve">June </w:t>
      </w:r>
      <w:r w:rsidRPr="00060827">
        <w:rPr>
          <w:rFonts w:ascii="Arial" w:hAnsi="Arial" w:cs="Arial"/>
        </w:rPr>
        <w:t xml:space="preserve">2024 to </w:t>
      </w:r>
      <w:r w:rsidR="008F4E22">
        <w:rPr>
          <w:rFonts w:ascii="Arial" w:hAnsi="Arial" w:cs="Arial"/>
        </w:rPr>
        <w:t xml:space="preserve">July </w:t>
      </w:r>
      <w:r w:rsidRPr="00060827">
        <w:rPr>
          <w:rFonts w:ascii="Arial" w:hAnsi="Arial" w:cs="Arial"/>
        </w:rPr>
        <w:t>2025 at the Department of Ophthalmology, Kilimanjaro Christian Medical Centre (KCMC). Moshi Tanzania. KCMC is a specialized zonal referral hospital providing comprehensive eye care services to northern Tanzania and neighboring regions, managing over 37,000 patients annually, including approximately 1,900 with diabetic retinopathy and 200 with bilateral diabetic macular edema (DME) requiring anti-VEGF treatment.</w:t>
      </w:r>
    </w:p>
    <w:p w14:paraId="5BAA8518" w14:textId="77777777" w:rsidR="009D0604" w:rsidRDefault="00060827" w:rsidP="00577D89">
      <w:pPr>
        <w:pStyle w:val="Body"/>
        <w:ind w:right="720"/>
        <w:rPr>
          <w:rFonts w:ascii="Arial" w:hAnsi="Arial" w:cs="Arial"/>
        </w:rPr>
      </w:pPr>
      <w:r w:rsidRPr="00060827">
        <w:rPr>
          <w:rFonts w:ascii="Arial" w:hAnsi="Arial" w:cs="Arial"/>
        </w:rPr>
        <w:t>The study enrolled diabetic patients aged ≥18 years with bilateral DME, who were either treatment-naïve or had last received intra-</w:t>
      </w:r>
      <w:proofErr w:type="spellStart"/>
      <w:r w:rsidRPr="00060827">
        <w:rPr>
          <w:rFonts w:ascii="Arial" w:hAnsi="Arial" w:cs="Arial"/>
        </w:rPr>
        <w:t>vitreal</w:t>
      </w:r>
      <w:proofErr w:type="spellEnd"/>
      <w:r w:rsidRPr="00060827">
        <w:rPr>
          <w:rFonts w:ascii="Arial" w:hAnsi="Arial" w:cs="Arial"/>
        </w:rPr>
        <w:t xml:space="preserve"> bevacizumab or pan-retinal photocoagulation (PRP) at least three months prior. Patients with proliferative diabetic retinopathy, glaucoma, history of intraocular surgery, ocular inflammation, myocardial infarction, or stroke were excluded.</w:t>
      </w:r>
    </w:p>
    <w:p w14:paraId="37C0D58B" w14:textId="77777777" w:rsidR="009D0604" w:rsidRDefault="00060827" w:rsidP="00577D89">
      <w:pPr>
        <w:pStyle w:val="Body"/>
        <w:ind w:right="720"/>
        <w:rPr>
          <w:rFonts w:ascii="Arial" w:hAnsi="Arial" w:cs="Arial"/>
        </w:rPr>
      </w:pPr>
      <w:r w:rsidRPr="00060827">
        <w:rPr>
          <w:rFonts w:ascii="Arial" w:hAnsi="Arial" w:cs="Arial"/>
        </w:rPr>
        <w:lastRenderedPageBreak/>
        <w:t>The sample size was calculated using a continuous variable formula, resulting in a minimum of 90 patients based on expected changes in central subfield macular thickn</w:t>
      </w:r>
      <w:r w:rsidR="008F4E22">
        <w:rPr>
          <w:rFonts w:ascii="Arial" w:hAnsi="Arial" w:cs="Arial"/>
        </w:rPr>
        <w:t>ess (CSMT) from previous recent study</w:t>
      </w:r>
      <w:r w:rsidRPr="00060827">
        <w:rPr>
          <w:rFonts w:ascii="Arial" w:hAnsi="Arial" w:cs="Arial"/>
        </w:rPr>
        <w:t>. Consecutive sampling was employed to recruit eligible patients attending the KCMC Eye Department.</w:t>
      </w:r>
    </w:p>
    <w:p w14:paraId="7BCCF794" w14:textId="77777777" w:rsidR="00060827" w:rsidRPr="00060827" w:rsidRDefault="00060827" w:rsidP="00577D89">
      <w:pPr>
        <w:pStyle w:val="Body"/>
        <w:ind w:right="720"/>
        <w:rPr>
          <w:rFonts w:ascii="Arial" w:hAnsi="Arial" w:cs="Arial"/>
        </w:rPr>
      </w:pPr>
      <w:r w:rsidRPr="00060827">
        <w:rPr>
          <w:rFonts w:ascii="Arial" w:hAnsi="Arial" w:cs="Arial"/>
        </w:rPr>
        <w:t>Data were collected using a standardized form covering demographic, clinical, and laboratory information. Comprehensive eye examinations were performed, including visual acuity, slit-lamp bio-microscopy, fundoscopy, and optical coherence tomography (OCT) to confirm bilateral DME. Laboratory tests included HbA1c, serum creatinine, HDL, and triglycerides. The eye with worse CSMT was selected for a single intra-</w:t>
      </w:r>
      <w:proofErr w:type="spellStart"/>
      <w:r w:rsidRPr="00060827">
        <w:rPr>
          <w:rFonts w:ascii="Arial" w:hAnsi="Arial" w:cs="Arial"/>
        </w:rPr>
        <w:t>vitreal</w:t>
      </w:r>
      <w:proofErr w:type="spellEnd"/>
      <w:r w:rsidRPr="00060827">
        <w:rPr>
          <w:rFonts w:ascii="Arial" w:hAnsi="Arial" w:cs="Arial"/>
        </w:rPr>
        <w:t xml:space="preserve"> injection of 1.25 mg/0.05 mL bevacizumab, administered by one ophthalmologist following strict aseptic protocols. Patients were followed up after four weeks for repeat OCT and visual acuity assessment.</w:t>
      </w:r>
    </w:p>
    <w:p w14:paraId="0142F0EA" w14:textId="77777777" w:rsidR="00060827" w:rsidRDefault="00060827" w:rsidP="00577D89">
      <w:pPr>
        <w:pStyle w:val="Body"/>
        <w:spacing w:after="0"/>
        <w:ind w:right="720"/>
        <w:rPr>
          <w:rFonts w:ascii="Arial" w:hAnsi="Arial" w:cs="Arial"/>
        </w:rPr>
      </w:pPr>
      <w:r w:rsidRPr="00060827">
        <w:rPr>
          <w:rFonts w:ascii="Arial" w:hAnsi="Arial" w:cs="Arial"/>
        </w:rPr>
        <w:t xml:space="preserve">Data were coded, cleaned, and entered into Microsoft Excel before analysis in STATA version 17. Descriptive statistics summarized patient characteristics. Paired t-tests and Wilcoxon signed-rank tests assessed changes in anatomical and visual outcomes, respectively. Correlations between injected and un-injected eyes were </w:t>
      </w:r>
      <w:r w:rsidR="009D0604" w:rsidRPr="00060827">
        <w:rPr>
          <w:rFonts w:ascii="Arial" w:hAnsi="Arial" w:cs="Arial"/>
        </w:rPr>
        <w:t>c</w:t>
      </w:r>
      <w:r w:rsidR="009D0604">
        <w:rPr>
          <w:rFonts w:ascii="Arial" w:hAnsi="Arial" w:cs="Arial"/>
        </w:rPr>
        <w:t>alculated by</w:t>
      </w:r>
      <w:r w:rsidRPr="00060827">
        <w:rPr>
          <w:rFonts w:ascii="Arial" w:hAnsi="Arial" w:cs="Arial"/>
        </w:rPr>
        <w:t xml:space="preserve"> using Pearson and Spearman coefficients. Factors associated with </w:t>
      </w:r>
      <w:r w:rsidR="009D0604">
        <w:rPr>
          <w:rFonts w:ascii="Arial" w:hAnsi="Arial" w:cs="Arial"/>
        </w:rPr>
        <w:t xml:space="preserve">un-injected eye </w:t>
      </w:r>
      <w:r w:rsidRPr="00060827">
        <w:rPr>
          <w:rFonts w:ascii="Arial" w:hAnsi="Arial" w:cs="Arial"/>
        </w:rPr>
        <w:t>anatomical and visual outcomes were evaluated using Generalized Linear Models with gamma distribution, reporting crude and adjusted relative ratios. A p-value &lt;0.05 was considered statistically significant.</w:t>
      </w:r>
    </w:p>
    <w:p w14:paraId="0020F623" w14:textId="77777777" w:rsidR="00790ADA" w:rsidRPr="00FB3A86" w:rsidRDefault="00790ADA" w:rsidP="00577D89">
      <w:pPr>
        <w:pStyle w:val="Body"/>
        <w:spacing w:after="0"/>
        <w:ind w:right="720"/>
        <w:rPr>
          <w:rFonts w:ascii="Arial" w:hAnsi="Arial" w:cs="Arial"/>
        </w:rPr>
      </w:pPr>
    </w:p>
    <w:p w14:paraId="0B8F47E1" w14:textId="77777777" w:rsidR="006B1EF1" w:rsidRDefault="00000F8F" w:rsidP="00577D89">
      <w:pPr>
        <w:pStyle w:val="Head1"/>
        <w:spacing w:after="0"/>
        <w:ind w:right="72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12C53355" w14:textId="77777777" w:rsidR="00364E9A" w:rsidRDefault="00364E9A" w:rsidP="00577D89">
      <w:pPr>
        <w:pStyle w:val="Head1"/>
        <w:spacing w:after="0"/>
        <w:ind w:right="720"/>
        <w:jc w:val="both"/>
        <w:rPr>
          <w:rFonts w:ascii="Arial" w:hAnsi="Arial" w:cs="Arial"/>
        </w:rPr>
      </w:pPr>
    </w:p>
    <w:p w14:paraId="324EEE84" w14:textId="77777777" w:rsidR="006B1EF1" w:rsidRPr="00364E9A" w:rsidRDefault="009D0604" w:rsidP="00577D89">
      <w:pPr>
        <w:pStyle w:val="Body"/>
        <w:ind w:right="720"/>
        <w:rPr>
          <w:rFonts w:ascii="Arial" w:hAnsi="Arial" w:cs="Arial"/>
          <w:b/>
        </w:rPr>
      </w:pPr>
      <w:r>
        <w:rPr>
          <w:rFonts w:ascii="Arial" w:hAnsi="Arial" w:cs="Arial"/>
          <w:b/>
        </w:rPr>
        <w:t xml:space="preserve">3.1 </w:t>
      </w:r>
      <w:r w:rsidR="006B1EF1" w:rsidRPr="00364E9A">
        <w:rPr>
          <w:rFonts w:ascii="Arial" w:hAnsi="Arial" w:cs="Arial"/>
          <w:b/>
        </w:rPr>
        <w:t>Background characteristics of the study participants</w:t>
      </w:r>
    </w:p>
    <w:p w14:paraId="1920FEFE" w14:textId="77777777" w:rsidR="006B1EF1" w:rsidRDefault="006B1EF1" w:rsidP="00577D89">
      <w:pPr>
        <w:pStyle w:val="Body"/>
        <w:ind w:right="720"/>
        <w:rPr>
          <w:rFonts w:ascii="Arial" w:hAnsi="Arial" w:cs="Arial"/>
        </w:rPr>
      </w:pPr>
      <w:r w:rsidRPr="006B1EF1">
        <w:rPr>
          <w:rFonts w:ascii="Arial" w:hAnsi="Arial" w:cs="Arial"/>
        </w:rPr>
        <w:t>The study involved a total of 105 research subjects, and all subjects were type 2 DM patients. The mean age was 64.1 years (SD± 9.06), whereby the majority (54.3%) were under 65 years of age. The sex distribution was nearly equal, with 50.5% female participants. The mean duration of DM among participants was 12.5 years (SD ± 6.34), and 62.9% had lived with DM for more than 10 years. Concerning ocular history, 22.9% of participants had a history of pan-retinal photocoagulation (PRP), while 23.8% had previously had intra-</w:t>
      </w:r>
      <w:proofErr w:type="spellStart"/>
      <w:r w:rsidRPr="006B1EF1">
        <w:rPr>
          <w:rFonts w:ascii="Arial" w:hAnsi="Arial" w:cs="Arial"/>
        </w:rPr>
        <w:t>vitreal</w:t>
      </w:r>
      <w:proofErr w:type="spellEnd"/>
      <w:r w:rsidRPr="006B1EF1">
        <w:rPr>
          <w:rFonts w:ascii="Arial" w:hAnsi="Arial" w:cs="Arial"/>
        </w:rPr>
        <w:t xml:space="preserve"> bevacizumab injections. A high proportion (74.3% had comorbid hypertension, indicating a population with multiple systemic vascular risk factors, and 74.3% total sample were hypertensive, in Table 1, below</w:t>
      </w:r>
    </w:p>
    <w:p w14:paraId="21E3233A" w14:textId="77777777" w:rsidR="006B1EF1" w:rsidRDefault="006B1EF1" w:rsidP="00577D89">
      <w:pPr>
        <w:pStyle w:val="Body"/>
        <w:spacing w:after="0"/>
        <w:ind w:right="720"/>
        <w:rPr>
          <w:rFonts w:ascii="Arial" w:hAnsi="Arial" w:cs="Arial"/>
        </w:rPr>
      </w:pPr>
      <w:r w:rsidRPr="006B1EF1">
        <w:rPr>
          <w:rFonts w:ascii="Arial" w:hAnsi="Arial" w:cs="Arial"/>
          <w:b/>
        </w:rPr>
        <w:t>Table 1:</w:t>
      </w:r>
      <w:r w:rsidRPr="00364E9A">
        <w:rPr>
          <w:rFonts w:ascii="Arial" w:hAnsi="Arial" w:cs="Arial"/>
          <w:b/>
        </w:rPr>
        <w:t xml:space="preserve"> </w:t>
      </w:r>
      <w:r w:rsidRPr="00364E9A">
        <w:rPr>
          <w:rFonts w:ascii="Arial" w:hAnsi="Arial" w:cs="Arial"/>
        </w:rPr>
        <w:t>Participants’ background characteristics (N=105)</w:t>
      </w:r>
    </w:p>
    <w:p w14:paraId="21CB3074" w14:textId="77777777" w:rsidR="00364E9A" w:rsidRPr="006B1EF1" w:rsidRDefault="00364E9A" w:rsidP="00577D89">
      <w:pPr>
        <w:pStyle w:val="Body"/>
        <w:spacing w:after="0"/>
        <w:ind w:right="720"/>
        <w:rPr>
          <w:rFonts w:ascii="Arial" w:hAnsi="Arial" w:cs="Arial"/>
        </w:rPr>
      </w:pPr>
    </w:p>
    <w:tbl>
      <w:tblPr>
        <w:tblW w:w="7685" w:type="dxa"/>
        <w:tblInd w:w="612" w:type="dxa"/>
        <w:tblLook w:val="04A0" w:firstRow="1" w:lastRow="0" w:firstColumn="1" w:lastColumn="0" w:noHBand="0" w:noVBand="1"/>
      </w:tblPr>
      <w:tblGrid>
        <w:gridCol w:w="4878"/>
        <w:gridCol w:w="1958"/>
        <w:gridCol w:w="1326"/>
      </w:tblGrid>
      <w:tr w:rsidR="006B1EF1" w:rsidRPr="006B1EF1" w14:paraId="0005D7F3" w14:textId="77777777" w:rsidTr="00947DB4">
        <w:trPr>
          <w:trHeight w:val="235"/>
        </w:trPr>
        <w:tc>
          <w:tcPr>
            <w:tcW w:w="4878" w:type="dxa"/>
            <w:tcBorders>
              <w:top w:val="single" w:sz="12" w:space="0" w:color="auto"/>
              <w:bottom w:val="single" w:sz="12" w:space="0" w:color="auto"/>
            </w:tcBorders>
            <w:noWrap/>
            <w:vAlign w:val="bottom"/>
            <w:hideMark/>
          </w:tcPr>
          <w:p w14:paraId="0B0E9774" w14:textId="77777777" w:rsidR="006B1EF1" w:rsidRPr="006B1EF1" w:rsidRDefault="006B1EF1" w:rsidP="00577D89">
            <w:pPr>
              <w:pStyle w:val="Body"/>
              <w:ind w:right="720"/>
              <w:rPr>
                <w:rFonts w:ascii="Arial" w:hAnsi="Arial" w:cs="Arial"/>
                <w:b/>
                <w:bCs/>
              </w:rPr>
            </w:pPr>
            <w:r w:rsidRPr="006B1EF1">
              <w:rPr>
                <w:rFonts w:ascii="Arial" w:hAnsi="Arial" w:cs="Arial"/>
                <w:b/>
                <w:bCs/>
              </w:rPr>
              <w:t> Characteristics</w:t>
            </w:r>
          </w:p>
        </w:tc>
        <w:tc>
          <w:tcPr>
            <w:tcW w:w="1689" w:type="dxa"/>
            <w:tcBorders>
              <w:top w:val="single" w:sz="12" w:space="0" w:color="auto"/>
              <w:bottom w:val="single" w:sz="12" w:space="0" w:color="auto"/>
            </w:tcBorders>
            <w:noWrap/>
            <w:vAlign w:val="bottom"/>
            <w:hideMark/>
          </w:tcPr>
          <w:p w14:paraId="49D4F14A" w14:textId="77777777" w:rsidR="006B1EF1" w:rsidRPr="006B1EF1" w:rsidRDefault="006B1EF1" w:rsidP="00577D89">
            <w:pPr>
              <w:pStyle w:val="Body"/>
              <w:ind w:right="720"/>
              <w:rPr>
                <w:rFonts w:ascii="Arial" w:hAnsi="Arial" w:cs="Arial"/>
                <w:b/>
                <w:bCs/>
              </w:rPr>
            </w:pPr>
            <w:r w:rsidRPr="006B1EF1">
              <w:rPr>
                <w:rFonts w:ascii="Arial" w:hAnsi="Arial" w:cs="Arial"/>
                <w:b/>
                <w:bCs/>
              </w:rPr>
              <w:t>n</w:t>
            </w:r>
          </w:p>
        </w:tc>
        <w:tc>
          <w:tcPr>
            <w:tcW w:w="1118" w:type="dxa"/>
            <w:tcBorders>
              <w:top w:val="single" w:sz="12" w:space="0" w:color="auto"/>
              <w:bottom w:val="single" w:sz="12" w:space="0" w:color="auto"/>
            </w:tcBorders>
            <w:noWrap/>
            <w:vAlign w:val="bottom"/>
            <w:hideMark/>
          </w:tcPr>
          <w:p w14:paraId="09398DE9" w14:textId="77777777" w:rsidR="006B1EF1" w:rsidRPr="006B1EF1" w:rsidRDefault="006B1EF1" w:rsidP="00577D89">
            <w:pPr>
              <w:pStyle w:val="Body"/>
              <w:ind w:right="720"/>
              <w:rPr>
                <w:rFonts w:ascii="Arial" w:hAnsi="Arial" w:cs="Arial"/>
                <w:b/>
                <w:bCs/>
              </w:rPr>
            </w:pPr>
            <w:r w:rsidRPr="006B1EF1">
              <w:rPr>
                <w:rFonts w:ascii="Arial" w:hAnsi="Arial" w:cs="Arial"/>
                <w:b/>
                <w:bCs/>
              </w:rPr>
              <w:t>%</w:t>
            </w:r>
          </w:p>
        </w:tc>
      </w:tr>
      <w:tr w:rsidR="006B1EF1" w:rsidRPr="006B1EF1" w14:paraId="25065104" w14:textId="77777777" w:rsidTr="00947DB4">
        <w:trPr>
          <w:trHeight w:val="251"/>
        </w:trPr>
        <w:tc>
          <w:tcPr>
            <w:tcW w:w="4878" w:type="dxa"/>
            <w:tcBorders>
              <w:top w:val="single" w:sz="12" w:space="0" w:color="auto"/>
            </w:tcBorders>
            <w:noWrap/>
            <w:vAlign w:val="bottom"/>
            <w:hideMark/>
          </w:tcPr>
          <w:p w14:paraId="7B3A3082" w14:textId="77777777" w:rsidR="006B1EF1" w:rsidRPr="006B1EF1" w:rsidRDefault="006B1EF1" w:rsidP="00577D89">
            <w:pPr>
              <w:pStyle w:val="Body"/>
              <w:ind w:right="720"/>
              <w:rPr>
                <w:rFonts w:ascii="Arial" w:hAnsi="Arial" w:cs="Arial"/>
                <w:b/>
                <w:bCs/>
              </w:rPr>
            </w:pPr>
            <w:r w:rsidRPr="006B1EF1">
              <w:rPr>
                <w:rFonts w:ascii="Arial" w:hAnsi="Arial" w:cs="Arial"/>
                <w:b/>
                <w:bCs/>
              </w:rPr>
              <w:t>Sex of the participant</w:t>
            </w:r>
          </w:p>
        </w:tc>
        <w:tc>
          <w:tcPr>
            <w:tcW w:w="1689" w:type="dxa"/>
            <w:tcBorders>
              <w:top w:val="single" w:sz="12" w:space="0" w:color="auto"/>
            </w:tcBorders>
            <w:noWrap/>
            <w:vAlign w:val="bottom"/>
            <w:hideMark/>
          </w:tcPr>
          <w:p w14:paraId="0263E404" w14:textId="77777777" w:rsidR="006B1EF1" w:rsidRPr="006B1EF1" w:rsidRDefault="006B1EF1" w:rsidP="00577D89">
            <w:pPr>
              <w:pStyle w:val="Body"/>
              <w:ind w:right="720"/>
              <w:rPr>
                <w:rFonts w:ascii="Arial" w:hAnsi="Arial" w:cs="Arial"/>
              </w:rPr>
            </w:pPr>
          </w:p>
        </w:tc>
        <w:tc>
          <w:tcPr>
            <w:tcW w:w="1118" w:type="dxa"/>
            <w:tcBorders>
              <w:top w:val="single" w:sz="12" w:space="0" w:color="auto"/>
            </w:tcBorders>
            <w:noWrap/>
            <w:vAlign w:val="bottom"/>
            <w:hideMark/>
          </w:tcPr>
          <w:p w14:paraId="4D2F275F" w14:textId="77777777" w:rsidR="006B1EF1" w:rsidRPr="006B1EF1" w:rsidRDefault="006B1EF1" w:rsidP="00577D89">
            <w:pPr>
              <w:pStyle w:val="Body"/>
              <w:ind w:right="720"/>
              <w:rPr>
                <w:rFonts w:ascii="Arial" w:hAnsi="Arial" w:cs="Arial"/>
              </w:rPr>
            </w:pPr>
          </w:p>
        </w:tc>
      </w:tr>
      <w:tr w:rsidR="006B1EF1" w:rsidRPr="006B1EF1" w14:paraId="04D1C16B" w14:textId="77777777" w:rsidTr="00947DB4">
        <w:trPr>
          <w:trHeight w:val="235"/>
        </w:trPr>
        <w:tc>
          <w:tcPr>
            <w:tcW w:w="4878" w:type="dxa"/>
            <w:noWrap/>
            <w:vAlign w:val="bottom"/>
            <w:hideMark/>
          </w:tcPr>
          <w:p w14:paraId="7E5EC756" w14:textId="77777777" w:rsidR="006B1EF1" w:rsidRPr="006B1EF1" w:rsidRDefault="006B1EF1" w:rsidP="00577D89">
            <w:pPr>
              <w:pStyle w:val="Body"/>
              <w:ind w:right="720"/>
              <w:rPr>
                <w:rFonts w:ascii="Arial" w:hAnsi="Arial" w:cs="Arial"/>
              </w:rPr>
            </w:pPr>
            <w:r w:rsidRPr="006B1EF1">
              <w:rPr>
                <w:rFonts w:ascii="Arial" w:hAnsi="Arial" w:cs="Arial"/>
              </w:rPr>
              <w:t>Male</w:t>
            </w:r>
          </w:p>
        </w:tc>
        <w:tc>
          <w:tcPr>
            <w:tcW w:w="1689" w:type="dxa"/>
            <w:noWrap/>
            <w:vAlign w:val="bottom"/>
            <w:hideMark/>
          </w:tcPr>
          <w:p w14:paraId="151239FD" w14:textId="77777777" w:rsidR="006B1EF1" w:rsidRPr="006B1EF1" w:rsidRDefault="006B1EF1" w:rsidP="00577D89">
            <w:pPr>
              <w:pStyle w:val="Body"/>
              <w:ind w:right="720"/>
              <w:rPr>
                <w:rFonts w:ascii="Arial" w:hAnsi="Arial" w:cs="Arial"/>
              </w:rPr>
            </w:pPr>
            <w:r w:rsidRPr="006B1EF1">
              <w:rPr>
                <w:rFonts w:ascii="Arial" w:hAnsi="Arial" w:cs="Arial"/>
              </w:rPr>
              <w:t>53</w:t>
            </w:r>
          </w:p>
        </w:tc>
        <w:tc>
          <w:tcPr>
            <w:tcW w:w="1118" w:type="dxa"/>
            <w:noWrap/>
            <w:vAlign w:val="bottom"/>
            <w:hideMark/>
          </w:tcPr>
          <w:p w14:paraId="7747493E" w14:textId="77777777" w:rsidR="006B1EF1" w:rsidRPr="006B1EF1" w:rsidRDefault="006B1EF1" w:rsidP="00577D89">
            <w:pPr>
              <w:pStyle w:val="Body"/>
              <w:ind w:right="720"/>
              <w:rPr>
                <w:rFonts w:ascii="Arial" w:hAnsi="Arial" w:cs="Arial"/>
              </w:rPr>
            </w:pPr>
            <w:r w:rsidRPr="006B1EF1">
              <w:rPr>
                <w:rFonts w:ascii="Arial" w:hAnsi="Arial" w:cs="Arial"/>
              </w:rPr>
              <w:t>50.5</w:t>
            </w:r>
          </w:p>
        </w:tc>
      </w:tr>
      <w:tr w:rsidR="006B1EF1" w:rsidRPr="006B1EF1" w14:paraId="4C77CBD0" w14:textId="77777777" w:rsidTr="00947DB4">
        <w:trPr>
          <w:trHeight w:val="300"/>
        </w:trPr>
        <w:tc>
          <w:tcPr>
            <w:tcW w:w="4878" w:type="dxa"/>
            <w:noWrap/>
            <w:vAlign w:val="bottom"/>
            <w:hideMark/>
          </w:tcPr>
          <w:p w14:paraId="7DF5DCF1" w14:textId="77777777" w:rsidR="006B1EF1" w:rsidRPr="006B1EF1" w:rsidRDefault="006B1EF1" w:rsidP="00577D89">
            <w:pPr>
              <w:pStyle w:val="Body"/>
              <w:ind w:right="720"/>
              <w:rPr>
                <w:rFonts w:ascii="Arial" w:hAnsi="Arial" w:cs="Arial"/>
              </w:rPr>
            </w:pPr>
            <w:r w:rsidRPr="006B1EF1">
              <w:rPr>
                <w:rFonts w:ascii="Arial" w:hAnsi="Arial" w:cs="Arial"/>
              </w:rPr>
              <w:t>Female</w:t>
            </w:r>
          </w:p>
        </w:tc>
        <w:tc>
          <w:tcPr>
            <w:tcW w:w="1689" w:type="dxa"/>
            <w:noWrap/>
            <w:vAlign w:val="bottom"/>
            <w:hideMark/>
          </w:tcPr>
          <w:p w14:paraId="5C29F6CB" w14:textId="77777777" w:rsidR="006B1EF1" w:rsidRPr="006B1EF1" w:rsidRDefault="006B1EF1" w:rsidP="00577D89">
            <w:pPr>
              <w:pStyle w:val="Body"/>
              <w:ind w:right="720"/>
              <w:rPr>
                <w:rFonts w:ascii="Arial" w:hAnsi="Arial" w:cs="Arial"/>
              </w:rPr>
            </w:pPr>
            <w:r w:rsidRPr="006B1EF1">
              <w:rPr>
                <w:rFonts w:ascii="Arial" w:hAnsi="Arial" w:cs="Arial"/>
              </w:rPr>
              <w:t>52</w:t>
            </w:r>
          </w:p>
        </w:tc>
        <w:tc>
          <w:tcPr>
            <w:tcW w:w="1118" w:type="dxa"/>
            <w:noWrap/>
            <w:vAlign w:val="bottom"/>
            <w:hideMark/>
          </w:tcPr>
          <w:p w14:paraId="50EDC3A7" w14:textId="77777777" w:rsidR="006B1EF1" w:rsidRPr="006B1EF1" w:rsidRDefault="006B1EF1" w:rsidP="00577D89">
            <w:pPr>
              <w:pStyle w:val="Body"/>
              <w:ind w:right="720"/>
              <w:rPr>
                <w:rFonts w:ascii="Arial" w:hAnsi="Arial" w:cs="Arial"/>
              </w:rPr>
            </w:pPr>
            <w:r w:rsidRPr="006B1EF1">
              <w:rPr>
                <w:rFonts w:ascii="Arial" w:hAnsi="Arial" w:cs="Arial"/>
              </w:rPr>
              <w:t>49.5</w:t>
            </w:r>
          </w:p>
        </w:tc>
      </w:tr>
      <w:tr w:rsidR="006B1EF1" w:rsidRPr="006B1EF1" w14:paraId="1E6A6AE8" w14:textId="77777777" w:rsidTr="00947DB4">
        <w:trPr>
          <w:trHeight w:val="235"/>
        </w:trPr>
        <w:tc>
          <w:tcPr>
            <w:tcW w:w="4878" w:type="dxa"/>
            <w:noWrap/>
            <w:vAlign w:val="bottom"/>
            <w:hideMark/>
          </w:tcPr>
          <w:p w14:paraId="2AD2C4DA" w14:textId="77777777" w:rsidR="006B1EF1" w:rsidRPr="006B1EF1" w:rsidRDefault="006B1EF1" w:rsidP="00577D89">
            <w:pPr>
              <w:pStyle w:val="Body"/>
              <w:ind w:right="720"/>
              <w:rPr>
                <w:rFonts w:ascii="Arial" w:hAnsi="Arial" w:cs="Arial"/>
                <w:b/>
                <w:bCs/>
              </w:rPr>
            </w:pPr>
            <w:r w:rsidRPr="006B1EF1">
              <w:rPr>
                <w:rFonts w:ascii="Arial" w:hAnsi="Arial" w:cs="Arial"/>
                <w:b/>
                <w:bCs/>
              </w:rPr>
              <w:t>Age of the participant (In years)</w:t>
            </w:r>
          </w:p>
        </w:tc>
        <w:tc>
          <w:tcPr>
            <w:tcW w:w="1689" w:type="dxa"/>
            <w:noWrap/>
            <w:vAlign w:val="bottom"/>
            <w:hideMark/>
          </w:tcPr>
          <w:p w14:paraId="72D6B450" w14:textId="77777777" w:rsidR="006B1EF1" w:rsidRPr="006B1EF1" w:rsidRDefault="006B1EF1" w:rsidP="00577D89">
            <w:pPr>
              <w:pStyle w:val="Body"/>
              <w:ind w:right="720"/>
              <w:rPr>
                <w:rFonts w:ascii="Arial" w:hAnsi="Arial" w:cs="Arial"/>
              </w:rPr>
            </w:pPr>
            <w:r w:rsidRPr="006B1EF1">
              <w:rPr>
                <w:rFonts w:ascii="Arial" w:hAnsi="Arial" w:cs="Arial"/>
              </w:rPr>
              <w:t>No.</w:t>
            </w:r>
          </w:p>
        </w:tc>
        <w:tc>
          <w:tcPr>
            <w:tcW w:w="1118" w:type="dxa"/>
            <w:noWrap/>
            <w:vAlign w:val="bottom"/>
            <w:hideMark/>
          </w:tcPr>
          <w:p w14:paraId="31D04817" w14:textId="77777777" w:rsidR="006B1EF1" w:rsidRPr="006B1EF1" w:rsidRDefault="006B1EF1" w:rsidP="00577D89">
            <w:pPr>
              <w:pStyle w:val="Body"/>
              <w:ind w:right="720"/>
              <w:rPr>
                <w:rFonts w:ascii="Arial" w:hAnsi="Arial" w:cs="Arial"/>
              </w:rPr>
            </w:pPr>
            <w:r w:rsidRPr="006B1EF1">
              <w:rPr>
                <w:rFonts w:ascii="Arial" w:hAnsi="Arial" w:cs="Arial"/>
              </w:rPr>
              <w:t>%</w:t>
            </w:r>
          </w:p>
        </w:tc>
      </w:tr>
      <w:tr w:rsidR="006B1EF1" w:rsidRPr="006B1EF1" w14:paraId="6357D7A2" w14:textId="77777777" w:rsidTr="00947DB4">
        <w:trPr>
          <w:trHeight w:val="235"/>
        </w:trPr>
        <w:tc>
          <w:tcPr>
            <w:tcW w:w="4878" w:type="dxa"/>
            <w:noWrap/>
            <w:vAlign w:val="bottom"/>
            <w:hideMark/>
          </w:tcPr>
          <w:p w14:paraId="739403DF" w14:textId="77777777" w:rsidR="006B1EF1" w:rsidRPr="006B1EF1" w:rsidRDefault="006B1EF1" w:rsidP="00577D89">
            <w:pPr>
              <w:pStyle w:val="Body"/>
              <w:ind w:right="720"/>
              <w:rPr>
                <w:rFonts w:ascii="Arial" w:hAnsi="Arial" w:cs="Arial"/>
              </w:rPr>
            </w:pPr>
            <w:r w:rsidRPr="006B1EF1">
              <w:rPr>
                <w:rFonts w:ascii="Arial" w:hAnsi="Arial" w:cs="Arial"/>
              </w:rPr>
              <w:t>&lt;65</w:t>
            </w:r>
          </w:p>
        </w:tc>
        <w:tc>
          <w:tcPr>
            <w:tcW w:w="1689" w:type="dxa"/>
            <w:noWrap/>
            <w:vAlign w:val="bottom"/>
            <w:hideMark/>
          </w:tcPr>
          <w:p w14:paraId="106567B1" w14:textId="77777777" w:rsidR="006B1EF1" w:rsidRPr="006B1EF1" w:rsidRDefault="006B1EF1" w:rsidP="00577D89">
            <w:pPr>
              <w:pStyle w:val="Body"/>
              <w:ind w:right="720"/>
              <w:rPr>
                <w:rFonts w:ascii="Arial" w:hAnsi="Arial" w:cs="Arial"/>
              </w:rPr>
            </w:pPr>
            <w:r w:rsidRPr="006B1EF1">
              <w:rPr>
                <w:rFonts w:ascii="Arial" w:hAnsi="Arial" w:cs="Arial"/>
              </w:rPr>
              <w:t>57</w:t>
            </w:r>
          </w:p>
        </w:tc>
        <w:tc>
          <w:tcPr>
            <w:tcW w:w="1118" w:type="dxa"/>
            <w:noWrap/>
            <w:vAlign w:val="bottom"/>
            <w:hideMark/>
          </w:tcPr>
          <w:p w14:paraId="1D47B783" w14:textId="77777777" w:rsidR="006B1EF1" w:rsidRPr="006B1EF1" w:rsidRDefault="006B1EF1" w:rsidP="00577D89">
            <w:pPr>
              <w:pStyle w:val="Body"/>
              <w:ind w:right="720"/>
              <w:rPr>
                <w:rFonts w:ascii="Arial" w:hAnsi="Arial" w:cs="Arial"/>
              </w:rPr>
            </w:pPr>
            <w:r w:rsidRPr="006B1EF1">
              <w:rPr>
                <w:rFonts w:ascii="Arial" w:hAnsi="Arial" w:cs="Arial"/>
              </w:rPr>
              <w:t>54.3</w:t>
            </w:r>
          </w:p>
        </w:tc>
      </w:tr>
      <w:tr w:rsidR="006B1EF1" w:rsidRPr="006B1EF1" w14:paraId="4FD0FBD8" w14:textId="77777777" w:rsidTr="00947DB4">
        <w:trPr>
          <w:trHeight w:val="235"/>
        </w:trPr>
        <w:tc>
          <w:tcPr>
            <w:tcW w:w="4878" w:type="dxa"/>
            <w:noWrap/>
            <w:vAlign w:val="bottom"/>
            <w:hideMark/>
          </w:tcPr>
          <w:p w14:paraId="3BF840C9" w14:textId="77777777" w:rsidR="006B1EF1" w:rsidRPr="006B1EF1" w:rsidRDefault="006B1EF1" w:rsidP="00577D89">
            <w:pPr>
              <w:pStyle w:val="Body"/>
              <w:ind w:right="720"/>
              <w:rPr>
                <w:rFonts w:ascii="Arial" w:hAnsi="Arial" w:cs="Arial"/>
              </w:rPr>
            </w:pPr>
            <w:r w:rsidRPr="006B1EF1">
              <w:rPr>
                <w:rFonts w:ascii="Arial" w:hAnsi="Arial" w:cs="Arial"/>
              </w:rPr>
              <w:t>≥65</w:t>
            </w:r>
          </w:p>
        </w:tc>
        <w:tc>
          <w:tcPr>
            <w:tcW w:w="1689" w:type="dxa"/>
            <w:noWrap/>
            <w:vAlign w:val="bottom"/>
            <w:hideMark/>
          </w:tcPr>
          <w:p w14:paraId="3DDA3E2E" w14:textId="77777777" w:rsidR="006B1EF1" w:rsidRPr="006B1EF1" w:rsidRDefault="006B1EF1" w:rsidP="00577D89">
            <w:pPr>
              <w:pStyle w:val="Body"/>
              <w:ind w:right="720"/>
              <w:rPr>
                <w:rFonts w:ascii="Arial" w:hAnsi="Arial" w:cs="Arial"/>
              </w:rPr>
            </w:pPr>
            <w:r w:rsidRPr="006B1EF1">
              <w:rPr>
                <w:rFonts w:ascii="Arial" w:hAnsi="Arial" w:cs="Arial"/>
              </w:rPr>
              <w:t>48</w:t>
            </w:r>
          </w:p>
        </w:tc>
        <w:tc>
          <w:tcPr>
            <w:tcW w:w="1118" w:type="dxa"/>
            <w:noWrap/>
            <w:vAlign w:val="bottom"/>
            <w:hideMark/>
          </w:tcPr>
          <w:p w14:paraId="78903869" w14:textId="77777777" w:rsidR="006B1EF1" w:rsidRPr="006B1EF1" w:rsidRDefault="006B1EF1" w:rsidP="00577D89">
            <w:pPr>
              <w:pStyle w:val="Body"/>
              <w:ind w:right="720"/>
              <w:rPr>
                <w:rFonts w:ascii="Arial" w:hAnsi="Arial" w:cs="Arial"/>
              </w:rPr>
            </w:pPr>
            <w:r w:rsidRPr="006B1EF1">
              <w:rPr>
                <w:rFonts w:ascii="Arial" w:hAnsi="Arial" w:cs="Arial"/>
              </w:rPr>
              <w:t>45.7</w:t>
            </w:r>
          </w:p>
        </w:tc>
      </w:tr>
      <w:tr w:rsidR="006B1EF1" w:rsidRPr="006B1EF1" w14:paraId="0162A0C7" w14:textId="77777777" w:rsidTr="00947DB4">
        <w:trPr>
          <w:trHeight w:val="235"/>
        </w:trPr>
        <w:tc>
          <w:tcPr>
            <w:tcW w:w="4878" w:type="dxa"/>
            <w:noWrap/>
            <w:vAlign w:val="bottom"/>
            <w:hideMark/>
          </w:tcPr>
          <w:p w14:paraId="1F5A764C" w14:textId="77777777" w:rsidR="006B1EF1" w:rsidRPr="006B1EF1" w:rsidRDefault="006B1EF1" w:rsidP="00577D89">
            <w:pPr>
              <w:pStyle w:val="Body"/>
              <w:ind w:right="720"/>
              <w:rPr>
                <w:rFonts w:ascii="Arial" w:hAnsi="Arial" w:cs="Arial"/>
              </w:rPr>
            </w:pPr>
            <w:proofErr w:type="gramStart"/>
            <w:r w:rsidRPr="006B1EF1">
              <w:rPr>
                <w:rFonts w:ascii="Arial" w:hAnsi="Arial" w:cs="Arial"/>
              </w:rPr>
              <w:t>Mean(</w:t>
            </w:r>
            <w:proofErr w:type="gramEnd"/>
            <w:r w:rsidRPr="006B1EF1">
              <w:rPr>
                <w:rFonts w:ascii="Arial" w:hAnsi="Arial" w:cs="Arial"/>
              </w:rPr>
              <w:t>SD)</w:t>
            </w:r>
          </w:p>
        </w:tc>
        <w:tc>
          <w:tcPr>
            <w:tcW w:w="1689" w:type="dxa"/>
            <w:noWrap/>
            <w:vAlign w:val="bottom"/>
            <w:hideMark/>
          </w:tcPr>
          <w:p w14:paraId="6C78F981" w14:textId="77777777" w:rsidR="006B1EF1" w:rsidRPr="006B1EF1" w:rsidRDefault="006B1EF1" w:rsidP="00577D89">
            <w:pPr>
              <w:pStyle w:val="Body"/>
              <w:ind w:right="720"/>
              <w:rPr>
                <w:rFonts w:ascii="Arial" w:hAnsi="Arial" w:cs="Arial"/>
              </w:rPr>
            </w:pPr>
            <w:r w:rsidRPr="006B1EF1">
              <w:rPr>
                <w:rFonts w:ascii="Arial" w:hAnsi="Arial" w:cs="Arial"/>
              </w:rPr>
              <w:t>64.1(±9.06)</w:t>
            </w:r>
          </w:p>
        </w:tc>
        <w:tc>
          <w:tcPr>
            <w:tcW w:w="1118" w:type="dxa"/>
            <w:noWrap/>
            <w:vAlign w:val="bottom"/>
            <w:hideMark/>
          </w:tcPr>
          <w:p w14:paraId="7808B708" w14:textId="77777777" w:rsidR="006B1EF1" w:rsidRPr="006B1EF1" w:rsidRDefault="006B1EF1" w:rsidP="00577D89">
            <w:pPr>
              <w:pStyle w:val="Body"/>
              <w:ind w:right="720"/>
              <w:rPr>
                <w:rFonts w:ascii="Arial" w:hAnsi="Arial" w:cs="Arial"/>
              </w:rPr>
            </w:pPr>
          </w:p>
        </w:tc>
      </w:tr>
      <w:tr w:rsidR="006B1EF1" w:rsidRPr="006B1EF1" w14:paraId="50A0144B" w14:textId="77777777" w:rsidTr="00947DB4">
        <w:trPr>
          <w:trHeight w:val="235"/>
        </w:trPr>
        <w:tc>
          <w:tcPr>
            <w:tcW w:w="4878" w:type="dxa"/>
            <w:noWrap/>
            <w:vAlign w:val="bottom"/>
            <w:hideMark/>
          </w:tcPr>
          <w:p w14:paraId="3FBE90F0" w14:textId="77777777" w:rsidR="006B1EF1" w:rsidRPr="006B1EF1" w:rsidRDefault="006B1EF1" w:rsidP="00577D89">
            <w:pPr>
              <w:pStyle w:val="Body"/>
              <w:ind w:right="720"/>
              <w:rPr>
                <w:rFonts w:ascii="Arial" w:hAnsi="Arial" w:cs="Arial"/>
                <w:b/>
                <w:bCs/>
              </w:rPr>
            </w:pPr>
            <w:r w:rsidRPr="006B1EF1">
              <w:rPr>
                <w:rFonts w:ascii="Arial" w:hAnsi="Arial" w:cs="Arial"/>
                <w:b/>
                <w:bCs/>
              </w:rPr>
              <w:t>Duration of Diabetes mellitus (In years)</w:t>
            </w:r>
          </w:p>
        </w:tc>
        <w:tc>
          <w:tcPr>
            <w:tcW w:w="1689" w:type="dxa"/>
            <w:noWrap/>
            <w:vAlign w:val="bottom"/>
            <w:hideMark/>
          </w:tcPr>
          <w:p w14:paraId="0CCB2C32" w14:textId="77777777" w:rsidR="006B1EF1" w:rsidRPr="006B1EF1" w:rsidRDefault="006B1EF1" w:rsidP="00577D89">
            <w:pPr>
              <w:pStyle w:val="Body"/>
              <w:ind w:right="720"/>
              <w:rPr>
                <w:rFonts w:ascii="Arial" w:hAnsi="Arial" w:cs="Arial"/>
              </w:rPr>
            </w:pPr>
          </w:p>
        </w:tc>
        <w:tc>
          <w:tcPr>
            <w:tcW w:w="1118" w:type="dxa"/>
            <w:noWrap/>
            <w:vAlign w:val="bottom"/>
            <w:hideMark/>
          </w:tcPr>
          <w:p w14:paraId="696B3368" w14:textId="77777777" w:rsidR="006B1EF1" w:rsidRPr="006B1EF1" w:rsidRDefault="006B1EF1" w:rsidP="00577D89">
            <w:pPr>
              <w:pStyle w:val="Body"/>
              <w:ind w:right="720"/>
              <w:rPr>
                <w:rFonts w:ascii="Arial" w:hAnsi="Arial" w:cs="Arial"/>
              </w:rPr>
            </w:pPr>
          </w:p>
        </w:tc>
      </w:tr>
      <w:tr w:rsidR="006B1EF1" w:rsidRPr="006B1EF1" w14:paraId="1B53C5A2" w14:textId="77777777" w:rsidTr="00947DB4">
        <w:trPr>
          <w:trHeight w:val="235"/>
        </w:trPr>
        <w:tc>
          <w:tcPr>
            <w:tcW w:w="4878" w:type="dxa"/>
            <w:noWrap/>
            <w:vAlign w:val="bottom"/>
            <w:hideMark/>
          </w:tcPr>
          <w:p w14:paraId="28375039" w14:textId="77777777" w:rsidR="006B1EF1" w:rsidRPr="006B1EF1" w:rsidRDefault="006B1EF1" w:rsidP="00577D89">
            <w:pPr>
              <w:pStyle w:val="Body"/>
              <w:ind w:right="720"/>
              <w:rPr>
                <w:rFonts w:ascii="Arial" w:hAnsi="Arial" w:cs="Arial"/>
              </w:rPr>
            </w:pPr>
            <w:r w:rsidRPr="006B1EF1">
              <w:rPr>
                <w:rFonts w:ascii="Arial" w:hAnsi="Arial" w:cs="Arial"/>
              </w:rPr>
              <w:lastRenderedPageBreak/>
              <w:t>≤10</w:t>
            </w:r>
          </w:p>
        </w:tc>
        <w:tc>
          <w:tcPr>
            <w:tcW w:w="1689" w:type="dxa"/>
            <w:noWrap/>
            <w:vAlign w:val="bottom"/>
            <w:hideMark/>
          </w:tcPr>
          <w:p w14:paraId="6D0D5F6A" w14:textId="77777777" w:rsidR="006B1EF1" w:rsidRPr="006B1EF1" w:rsidRDefault="006B1EF1" w:rsidP="00577D89">
            <w:pPr>
              <w:pStyle w:val="Body"/>
              <w:ind w:right="720"/>
              <w:rPr>
                <w:rFonts w:ascii="Arial" w:hAnsi="Arial" w:cs="Arial"/>
              </w:rPr>
            </w:pPr>
            <w:r w:rsidRPr="006B1EF1">
              <w:rPr>
                <w:rFonts w:ascii="Arial" w:hAnsi="Arial" w:cs="Arial"/>
              </w:rPr>
              <w:t>39</w:t>
            </w:r>
          </w:p>
        </w:tc>
        <w:tc>
          <w:tcPr>
            <w:tcW w:w="1118" w:type="dxa"/>
            <w:noWrap/>
            <w:vAlign w:val="bottom"/>
            <w:hideMark/>
          </w:tcPr>
          <w:p w14:paraId="35125501" w14:textId="77777777" w:rsidR="006B1EF1" w:rsidRPr="006B1EF1" w:rsidRDefault="006B1EF1" w:rsidP="00577D89">
            <w:pPr>
              <w:pStyle w:val="Body"/>
              <w:ind w:right="720"/>
              <w:rPr>
                <w:rFonts w:ascii="Arial" w:hAnsi="Arial" w:cs="Arial"/>
              </w:rPr>
            </w:pPr>
            <w:r w:rsidRPr="006B1EF1">
              <w:rPr>
                <w:rFonts w:ascii="Arial" w:hAnsi="Arial" w:cs="Arial"/>
              </w:rPr>
              <w:t>37.1</w:t>
            </w:r>
          </w:p>
        </w:tc>
      </w:tr>
      <w:tr w:rsidR="006B1EF1" w:rsidRPr="006B1EF1" w14:paraId="48B85E3B" w14:textId="77777777" w:rsidTr="00947DB4">
        <w:trPr>
          <w:trHeight w:val="235"/>
        </w:trPr>
        <w:tc>
          <w:tcPr>
            <w:tcW w:w="4878" w:type="dxa"/>
            <w:noWrap/>
            <w:vAlign w:val="bottom"/>
            <w:hideMark/>
          </w:tcPr>
          <w:p w14:paraId="77D18927" w14:textId="77777777" w:rsidR="006B1EF1" w:rsidRPr="006B1EF1" w:rsidRDefault="006B1EF1" w:rsidP="00577D89">
            <w:pPr>
              <w:pStyle w:val="Body"/>
              <w:ind w:right="720"/>
              <w:rPr>
                <w:rFonts w:ascii="Arial" w:hAnsi="Arial" w:cs="Arial"/>
              </w:rPr>
            </w:pPr>
            <w:r w:rsidRPr="006B1EF1">
              <w:rPr>
                <w:rFonts w:ascii="Arial" w:hAnsi="Arial" w:cs="Arial"/>
              </w:rPr>
              <w:t>&gt;10</w:t>
            </w:r>
          </w:p>
        </w:tc>
        <w:tc>
          <w:tcPr>
            <w:tcW w:w="1689" w:type="dxa"/>
            <w:noWrap/>
            <w:vAlign w:val="bottom"/>
            <w:hideMark/>
          </w:tcPr>
          <w:p w14:paraId="3C878AF0" w14:textId="77777777" w:rsidR="006B1EF1" w:rsidRPr="006B1EF1" w:rsidRDefault="006B1EF1" w:rsidP="00577D89">
            <w:pPr>
              <w:pStyle w:val="Body"/>
              <w:ind w:right="720"/>
              <w:rPr>
                <w:rFonts w:ascii="Arial" w:hAnsi="Arial" w:cs="Arial"/>
              </w:rPr>
            </w:pPr>
            <w:r w:rsidRPr="006B1EF1">
              <w:rPr>
                <w:rFonts w:ascii="Arial" w:hAnsi="Arial" w:cs="Arial"/>
              </w:rPr>
              <w:t>66</w:t>
            </w:r>
          </w:p>
        </w:tc>
        <w:tc>
          <w:tcPr>
            <w:tcW w:w="1118" w:type="dxa"/>
            <w:noWrap/>
            <w:vAlign w:val="bottom"/>
            <w:hideMark/>
          </w:tcPr>
          <w:p w14:paraId="36E9F713" w14:textId="77777777" w:rsidR="006B1EF1" w:rsidRPr="006B1EF1" w:rsidRDefault="006B1EF1" w:rsidP="00577D89">
            <w:pPr>
              <w:pStyle w:val="Body"/>
              <w:ind w:right="720"/>
              <w:rPr>
                <w:rFonts w:ascii="Arial" w:hAnsi="Arial" w:cs="Arial"/>
              </w:rPr>
            </w:pPr>
            <w:r w:rsidRPr="006B1EF1">
              <w:rPr>
                <w:rFonts w:ascii="Arial" w:hAnsi="Arial" w:cs="Arial"/>
              </w:rPr>
              <w:t>62.9</w:t>
            </w:r>
          </w:p>
        </w:tc>
      </w:tr>
      <w:tr w:rsidR="006B1EF1" w:rsidRPr="006B1EF1" w14:paraId="3DBF336F" w14:textId="77777777" w:rsidTr="00947DB4">
        <w:trPr>
          <w:trHeight w:val="235"/>
        </w:trPr>
        <w:tc>
          <w:tcPr>
            <w:tcW w:w="4878" w:type="dxa"/>
            <w:noWrap/>
            <w:vAlign w:val="bottom"/>
            <w:hideMark/>
          </w:tcPr>
          <w:p w14:paraId="6403DE77" w14:textId="77777777" w:rsidR="006B1EF1" w:rsidRPr="006B1EF1" w:rsidRDefault="006B1EF1" w:rsidP="00577D89">
            <w:pPr>
              <w:pStyle w:val="Body"/>
              <w:ind w:right="720"/>
              <w:rPr>
                <w:rFonts w:ascii="Arial" w:hAnsi="Arial" w:cs="Arial"/>
              </w:rPr>
            </w:pPr>
            <w:proofErr w:type="gramStart"/>
            <w:r w:rsidRPr="006B1EF1">
              <w:rPr>
                <w:rFonts w:ascii="Arial" w:hAnsi="Arial" w:cs="Arial"/>
              </w:rPr>
              <w:t>Mean(</w:t>
            </w:r>
            <w:proofErr w:type="gramEnd"/>
            <w:r w:rsidRPr="006B1EF1">
              <w:rPr>
                <w:rFonts w:ascii="Arial" w:hAnsi="Arial" w:cs="Arial"/>
              </w:rPr>
              <w:t>SD)</w:t>
            </w:r>
          </w:p>
        </w:tc>
        <w:tc>
          <w:tcPr>
            <w:tcW w:w="1689" w:type="dxa"/>
            <w:noWrap/>
            <w:vAlign w:val="bottom"/>
            <w:hideMark/>
          </w:tcPr>
          <w:p w14:paraId="037A5DB1" w14:textId="77777777" w:rsidR="006B1EF1" w:rsidRPr="006B1EF1" w:rsidRDefault="006B1EF1" w:rsidP="00577D89">
            <w:pPr>
              <w:pStyle w:val="Body"/>
              <w:ind w:right="720"/>
              <w:rPr>
                <w:rFonts w:ascii="Arial" w:hAnsi="Arial" w:cs="Arial"/>
              </w:rPr>
            </w:pPr>
            <w:r w:rsidRPr="006B1EF1">
              <w:rPr>
                <w:rFonts w:ascii="Arial" w:hAnsi="Arial" w:cs="Arial"/>
              </w:rPr>
              <w:t>12.5(±6.34)</w:t>
            </w:r>
          </w:p>
        </w:tc>
        <w:tc>
          <w:tcPr>
            <w:tcW w:w="1118" w:type="dxa"/>
            <w:noWrap/>
            <w:vAlign w:val="bottom"/>
            <w:hideMark/>
          </w:tcPr>
          <w:p w14:paraId="0868F658" w14:textId="77777777" w:rsidR="006B1EF1" w:rsidRPr="006B1EF1" w:rsidRDefault="006B1EF1" w:rsidP="00577D89">
            <w:pPr>
              <w:pStyle w:val="Body"/>
              <w:ind w:right="720"/>
              <w:rPr>
                <w:rFonts w:ascii="Arial" w:hAnsi="Arial" w:cs="Arial"/>
              </w:rPr>
            </w:pPr>
            <w:r w:rsidRPr="006B1EF1">
              <w:rPr>
                <w:rFonts w:ascii="Arial" w:hAnsi="Arial" w:cs="Arial"/>
              </w:rPr>
              <w:t>100</w:t>
            </w:r>
          </w:p>
        </w:tc>
      </w:tr>
      <w:tr w:rsidR="006B1EF1" w:rsidRPr="006B1EF1" w14:paraId="3C960882" w14:textId="77777777" w:rsidTr="00947DB4">
        <w:trPr>
          <w:trHeight w:val="235"/>
        </w:trPr>
        <w:tc>
          <w:tcPr>
            <w:tcW w:w="4878" w:type="dxa"/>
            <w:noWrap/>
            <w:vAlign w:val="bottom"/>
            <w:hideMark/>
          </w:tcPr>
          <w:p w14:paraId="6B24FC44" w14:textId="77777777" w:rsidR="006B1EF1" w:rsidRPr="006B1EF1" w:rsidRDefault="006B1EF1" w:rsidP="00577D89">
            <w:pPr>
              <w:pStyle w:val="Body"/>
              <w:ind w:right="720"/>
              <w:rPr>
                <w:rFonts w:ascii="Arial" w:hAnsi="Arial" w:cs="Arial"/>
                <w:b/>
                <w:bCs/>
              </w:rPr>
            </w:pPr>
            <w:r w:rsidRPr="006B1EF1">
              <w:rPr>
                <w:rFonts w:ascii="Arial" w:hAnsi="Arial" w:cs="Arial"/>
                <w:b/>
                <w:bCs/>
              </w:rPr>
              <w:t>History of PRP</w:t>
            </w:r>
          </w:p>
        </w:tc>
        <w:tc>
          <w:tcPr>
            <w:tcW w:w="1689" w:type="dxa"/>
            <w:noWrap/>
            <w:vAlign w:val="bottom"/>
            <w:hideMark/>
          </w:tcPr>
          <w:p w14:paraId="04EEBFD5" w14:textId="77777777" w:rsidR="006B1EF1" w:rsidRPr="006B1EF1" w:rsidRDefault="006B1EF1" w:rsidP="00577D89">
            <w:pPr>
              <w:pStyle w:val="Body"/>
              <w:ind w:right="720"/>
              <w:rPr>
                <w:rFonts w:ascii="Arial" w:hAnsi="Arial" w:cs="Arial"/>
              </w:rPr>
            </w:pPr>
          </w:p>
        </w:tc>
        <w:tc>
          <w:tcPr>
            <w:tcW w:w="1118" w:type="dxa"/>
            <w:noWrap/>
            <w:vAlign w:val="bottom"/>
            <w:hideMark/>
          </w:tcPr>
          <w:p w14:paraId="5641FD0F" w14:textId="77777777" w:rsidR="006B1EF1" w:rsidRPr="006B1EF1" w:rsidRDefault="006B1EF1" w:rsidP="00577D89">
            <w:pPr>
              <w:pStyle w:val="Body"/>
              <w:ind w:right="720"/>
              <w:rPr>
                <w:rFonts w:ascii="Arial" w:hAnsi="Arial" w:cs="Arial"/>
              </w:rPr>
            </w:pPr>
          </w:p>
        </w:tc>
      </w:tr>
      <w:tr w:rsidR="006B1EF1" w:rsidRPr="006B1EF1" w14:paraId="761DC6BC" w14:textId="77777777" w:rsidTr="00947DB4">
        <w:trPr>
          <w:trHeight w:val="235"/>
        </w:trPr>
        <w:tc>
          <w:tcPr>
            <w:tcW w:w="4878" w:type="dxa"/>
            <w:noWrap/>
            <w:vAlign w:val="bottom"/>
            <w:hideMark/>
          </w:tcPr>
          <w:p w14:paraId="62D137D2" w14:textId="77777777" w:rsidR="006B1EF1" w:rsidRPr="006B1EF1" w:rsidRDefault="006B1EF1" w:rsidP="00577D89">
            <w:pPr>
              <w:pStyle w:val="Body"/>
              <w:ind w:right="720"/>
              <w:rPr>
                <w:rFonts w:ascii="Arial" w:hAnsi="Arial" w:cs="Arial"/>
              </w:rPr>
            </w:pPr>
            <w:r w:rsidRPr="006B1EF1">
              <w:rPr>
                <w:rFonts w:ascii="Arial" w:hAnsi="Arial" w:cs="Arial"/>
              </w:rPr>
              <w:t>Yes</w:t>
            </w:r>
          </w:p>
        </w:tc>
        <w:tc>
          <w:tcPr>
            <w:tcW w:w="1689" w:type="dxa"/>
            <w:noWrap/>
            <w:vAlign w:val="bottom"/>
            <w:hideMark/>
          </w:tcPr>
          <w:p w14:paraId="0F574FE7" w14:textId="77777777" w:rsidR="006B1EF1" w:rsidRPr="006B1EF1" w:rsidRDefault="006B1EF1" w:rsidP="00577D89">
            <w:pPr>
              <w:pStyle w:val="Body"/>
              <w:ind w:right="720"/>
              <w:rPr>
                <w:rFonts w:ascii="Arial" w:hAnsi="Arial" w:cs="Arial"/>
              </w:rPr>
            </w:pPr>
            <w:r w:rsidRPr="006B1EF1">
              <w:rPr>
                <w:rFonts w:ascii="Arial" w:hAnsi="Arial" w:cs="Arial"/>
              </w:rPr>
              <w:t>24</w:t>
            </w:r>
          </w:p>
        </w:tc>
        <w:tc>
          <w:tcPr>
            <w:tcW w:w="1118" w:type="dxa"/>
            <w:noWrap/>
            <w:vAlign w:val="bottom"/>
            <w:hideMark/>
          </w:tcPr>
          <w:p w14:paraId="23A117E1" w14:textId="77777777" w:rsidR="006B1EF1" w:rsidRPr="006B1EF1" w:rsidRDefault="006B1EF1" w:rsidP="00577D89">
            <w:pPr>
              <w:pStyle w:val="Body"/>
              <w:ind w:right="720"/>
              <w:rPr>
                <w:rFonts w:ascii="Arial" w:hAnsi="Arial" w:cs="Arial"/>
              </w:rPr>
            </w:pPr>
            <w:r w:rsidRPr="006B1EF1">
              <w:rPr>
                <w:rFonts w:ascii="Arial" w:hAnsi="Arial" w:cs="Arial"/>
              </w:rPr>
              <w:t>22.9</w:t>
            </w:r>
          </w:p>
        </w:tc>
      </w:tr>
      <w:tr w:rsidR="006B1EF1" w:rsidRPr="006B1EF1" w14:paraId="30726FF2" w14:textId="77777777" w:rsidTr="00947DB4">
        <w:trPr>
          <w:trHeight w:val="235"/>
        </w:trPr>
        <w:tc>
          <w:tcPr>
            <w:tcW w:w="4878" w:type="dxa"/>
            <w:noWrap/>
            <w:vAlign w:val="bottom"/>
            <w:hideMark/>
          </w:tcPr>
          <w:p w14:paraId="6F5E1CBF" w14:textId="77777777" w:rsidR="006B1EF1" w:rsidRPr="006B1EF1" w:rsidRDefault="006B1EF1" w:rsidP="00577D89">
            <w:pPr>
              <w:pStyle w:val="Body"/>
              <w:ind w:right="720"/>
              <w:rPr>
                <w:rFonts w:ascii="Arial" w:hAnsi="Arial" w:cs="Arial"/>
              </w:rPr>
            </w:pPr>
            <w:r w:rsidRPr="006B1EF1">
              <w:rPr>
                <w:rFonts w:ascii="Arial" w:hAnsi="Arial" w:cs="Arial"/>
              </w:rPr>
              <w:t>No</w:t>
            </w:r>
          </w:p>
        </w:tc>
        <w:tc>
          <w:tcPr>
            <w:tcW w:w="1689" w:type="dxa"/>
            <w:noWrap/>
            <w:vAlign w:val="bottom"/>
            <w:hideMark/>
          </w:tcPr>
          <w:p w14:paraId="0881AE5F" w14:textId="77777777" w:rsidR="006B1EF1" w:rsidRPr="006B1EF1" w:rsidRDefault="006B1EF1" w:rsidP="00577D89">
            <w:pPr>
              <w:pStyle w:val="Body"/>
              <w:ind w:right="720"/>
              <w:rPr>
                <w:rFonts w:ascii="Arial" w:hAnsi="Arial" w:cs="Arial"/>
              </w:rPr>
            </w:pPr>
            <w:r w:rsidRPr="006B1EF1">
              <w:rPr>
                <w:rFonts w:ascii="Arial" w:hAnsi="Arial" w:cs="Arial"/>
              </w:rPr>
              <w:t>81</w:t>
            </w:r>
          </w:p>
        </w:tc>
        <w:tc>
          <w:tcPr>
            <w:tcW w:w="1118" w:type="dxa"/>
            <w:noWrap/>
            <w:vAlign w:val="bottom"/>
            <w:hideMark/>
          </w:tcPr>
          <w:p w14:paraId="720B2409" w14:textId="77777777" w:rsidR="006B1EF1" w:rsidRPr="006B1EF1" w:rsidRDefault="006B1EF1" w:rsidP="00577D89">
            <w:pPr>
              <w:pStyle w:val="Body"/>
              <w:ind w:right="720"/>
              <w:rPr>
                <w:rFonts w:ascii="Arial" w:hAnsi="Arial" w:cs="Arial"/>
              </w:rPr>
            </w:pPr>
            <w:r w:rsidRPr="006B1EF1">
              <w:rPr>
                <w:rFonts w:ascii="Arial" w:hAnsi="Arial" w:cs="Arial"/>
              </w:rPr>
              <w:t>77.1</w:t>
            </w:r>
          </w:p>
        </w:tc>
      </w:tr>
      <w:tr w:rsidR="006B1EF1" w:rsidRPr="006B1EF1" w14:paraId="562720A9" w14:textId="77777777" w:rsidTr="00947DB4">
        <w:trPr>
          <w:trHeight w:val="235"/>
        </w:trPr>
        <w:tc>
          <w:tcPr>
            <w:tcW w:w="4878" w:type="dxa"/>
            <w:noWrap/>
            <w:vAlign w:val="bottom"/>
            <w:hideMark/>
          </w:tcPr>
          <w:p w14:paraId="313D685D" w14:textId="77777777" w:rsidR="006B1EF1" w:rsidRPr="006B1EF1" w:rsidRDefault="006B1EF1" w:rsidP="00577D89">
            <w:pPr>
              <w:pStyle w:val="Body"/>
              <w:ind w:right="720"/>
              <w:rPr>
                <w:rFonts w:ascii="Arial" w:hAnsi="Arial" w:cs="Arial"/>
                <w:b/>
                <w:bCs/>
              </w:rPr>
            </w:pPr>
            <w:r w:rsidRPr="006B1EF1">
              <w:rPr>
                <w:rFonts w:ascii="Arial" w:hAnsi="Arial" w:cs="Arial"/>
                <w:b/>
                <w:bCs/>
              </w:rPr>
              <w:t>History of Intra-</w:t>
            </w:r>
            <w:proofErr w:type="spellStart"/>
            <w:r w:rsidRPr="006B1EF1">
              <w:rPr>
                <w:rFonts w:ascii="Arial" w:hAnsi="Arial" w:cs="Arial"/>
                <w:b/>
                <w:bCs/>
              </w:rPr>
              <w:t>vitreal</w:t>
            </w:r>
            <w:proofErr w:type="spellEnd"/>
            <w:r w:rsidRPr="006B1EF1">
              <w:rPr>
                <w:rFonts w:ascii="Arial" w:hAnsi="Arial" w:cs="Arial"/>
                <w:b/>
                <w:bCs/>
              </w:rPr>
              <w:t xml:space="preserve"> Bevacizumab injection</w:t>
            </w:r>
          </w:p>
        </w:tc>
        <w:tc>
          <w:tcPr>
            <w:tcW w:w="1689" w:type="dxa"/>
            <w:noWrap/>
            <w:vAlign w:val="bottom"/>
            <w:hideMark/>
          </w:tcPr>
          <w:p w14:paraId="1BD97C46" w14:textId="77777777" w:rsidR="006B1EF1" w:rsidRPr="006B1EF1" w:rsidRDefault="006B1EF1" w:rsidP="00577D89">
            <w:pPr>
              <w:pStyle w:val="Body"/>
              <w:ind w:right="720"/>
              <w:rPr>
                <w:rFonts w:ascii="Arial" w:hAnsi="Arial" w:cs="Arial"/>
              </w:rPr>
            </w:pPr>
          </w:p>
        </w:tc>
        <w:tc>
          <w:tcPr>
            <w:tcW w:w="1118" w:type="dxa"/>
            <w:noWrap/>
            <w:vAlign w:val="bottom"/>
            <w:hideMark/>
          </w:tcPr>
          <w:p w14:paraId="01813DA9" w14:textId="77777777" w:rsidR="006B1EF1" w:rsidRPr="006B1EF1" w:rsidRDefault="006B1EF1" w:rsidP="00577D89">
            <w:pPr>
              <w:pStyle w:val="Body"/>
              <w:ind w:right="720"/>
              <w:rPr>
                <w:rFonts w:ascii="Arial" w:hAnsi="Arial" w:cs="Arial"/>
              </w:rPr>
            </w:pPr>
          </w:p>
        </w:tc>
      </w:tr>
      <w:tr w:rsidR="006B1EF1" w:rsidRPr="006B1EF1" w14:paraId="347F9E1F" w14:textId="77777777" w:rsidTr="00947DB4">
        <w:trPr>
          <w:trHeight w:val="235"/>
        </w:trPr>
        <w:tc>
          <w:tcPr>
            <w:tcW w:w="4878" w:type="dxa"/>
            <w:noWrap/>
            <w:vAlign w:val="bottom"/>
            <w:hideMark/>
          </w:tcPr>
          <w:p w14:paraId="361CC9F0" w14:textId="77777777" w:rsidR="006B1EF1" w:rsidRPr="006B1EF1" w:rsidRDefault="006B1EF1" w:rsidP="00577D89">
            <w:pPr>
              <w:pStyle w:val="Body"/>
              <w:ind w:right="720"/>
              <w:rPr>
                <w:rFonts w:ascii="Arial" w:hAnsi="Arial" w:cs="Arial"/>
              </w:rPr>
            </w:pPr>
            <w:r w:rsidRPr="006B1EF1">
              <w:rPr>
                <w:rFonts w:ascii="Arial" w:hAnsi="Arial" w:cs="Arial"/>
              </w:rPr>
              <w:t>Yes</w:t>
            </w:r>
          </w:p>
        </w:tc>
        <w:tc>
          <w:tcPr>
            <w:tcW w:w="1689" w:type="dxa"/>
            <w:noWrap/>
            <w:vAlign w:val="bottom"/>
            <w:hideMark/>
          </w:tcPr>
          <w:p w14:paraId="097BD9A0" w14:textId="77777777" w:rsidR="006B1EF1" w:rsidRPr="006B1EF1" w:rsidRDefault="006B1EF1" w:rsidP="00577D89">
            <w:pPr>
              <w:pStyle w:val="Body"/>
              <w:ind w:right="720"/>
              <w:rPr>
                <w:rFonts w:ascii="Arial" w:hAnsi="Arial" w:cs="Arial"/>
              </w:rPr>
            </w:pPr>
            <w:r w:rsidRPr="006B1EF1">
              <w:rPr>
                <w:rFonts w:ascii="Arial" w:hAnsi="Arial" w:cs="Arial"/>
              </w:rPr>
              <w:t>25</w:t>
            </w:r>
          </w:p>
        </w:tc>
        <w:tc>
          <w:tcPr>
            <w:tcW w:w="1118" w:type="dxa"/>
            <w:noWrap/>
            <w:vAlign w:val="bottom"/>
            <w:hideMark/>
          </w:tcPr>
          <w:p w14:paraId="6F589601" w14:textId="77777777" w:rsidR="006B1EF1" w:rsidRPr="006B1EF1" w:rsidRDefault="006B1EF1" w:rsidP="00577D89">
            <w:pPr>
              <w:pStyle w:val="Body"/>
              <w:ind w:right="720"/>
              <w:rPr>
                <w:rFonts w:ascii="Arial" w:hAnsi="Arial" w:cs="Arial"/>
              </w:rPr>
            </w:pPr>
            <w:r w:rsidRPr="006B1EF1">
              <w:rPr>
                <w:rFonts w:ascii="Arial" w:hAnsi="Arial" w:cs="Arial"/>
              </w:rPr>
              <w:t>23.8</w:t>
            </w:r>
          </w:p>
        </w:tc>
      </w:tr>
      <w:tr w:rsidR="006B1EF1" w:rsidRPr="006B1EF1" w14:paraId="13A3F68D" w14:textId="77777777" w:rsidTr="00947DB4">
        <w:trPr>
          <w:trHeight w:val="235"/>
        </w:trPr>
        <w:tc>
          <w:tcPr>
            <w:tcW w:w="4878" w:type="dxa"/>
            <w:noWrap/>
            <w:vAlign w:val="bottom"/>
            <w:hideMark/>
          </w:tcPr>
          <w:p w14:paraId="1EE1EB8C" w14:textId="77777777" w:rsidR="006B1EF1" w:rsidRPr="006B1EF1" w:rsidRDefault="006B1EF1" w:rsidP="00577D89">
            <w:pPr>
              <w:pStyle w:val="Body"/>
              <w:ind w:right="720"/>
              <w:rPr>
                <w:rFonts w:ascii="Arial" w:hAnsi="Arial" w:cs="Arial"/>
              </w:rPr>
            </w:pPr>
            <w:r w:rsidRPr="006B1EF1">
              <w:rPr>
                <w:rFonts w:ascii="Arial" w:hAnsi="Arial" w:cs="Arial"/>
              </w:rPr>
              <w:t>No</w:t>
            </w:r>
          </w:p>
        </w:tc>
        <w:tc>
          <w:tcPr>
            <w:tcW w:w="1689" w:type="dxa"/>
            <w:noWrap/>
            <w:vAlign w:val="bottom"/>
            <w:hideMark/>
          </w:tcPr>
          <w:p w14:paraId="5C161CFE" w14:textId="77777777" w:rsidR="006B1EF1" w:rsidRPr="006B1EF1" w:rsidRDefault="006B1EF1" w:rsidP="00577D89">
            <w:pPr>
              <w:pStyle w:val="Body"/>
              <w:ind w:right="720"/>
              <w:rPr>
                <w:rFonts w:ascii="Arial" w:hAnsi="Arial" w:cs="Arial"/>
              </w:rPr>
            </w:pPr>
            <w:r w:rsidRPr="006B1EF1">
              <w:rPr>
                <w:rFonts w:ascii="Arial" w:hAnsi="Arial" w:cs="Arial"/>
              </w:rPr>
              <w:t>80</w:t>
            </w:r>
          </w:p>
        </w:tc>
        <w:tc>
          <w:tcPr>
            <w:tcW w:w="1118" w:type="dxa"/>
            <w:noWrap/>
            <w:vAlign w:val="bottom"/>
            <w:hideMark/>
          </w:tcPr>
          <w:p w14:paraId="576332E2" w14:textId="77777777" w:rsidR="006B1EF1" w:rsidRPr="006B1EF1" w:rsidRDefault="006B1EF1" w:rsidP="00577D89">
            <w:pPr>
              <w:pStyle w:val="Body"/>
              <w:ind w:right="720"/>
              <w:rPr>
                <w:rFonts w:ascii="Arial" w:hAnsi="Arial" w:cs="Arial"/>
              </w:rPr>
            </w:pPr>
            <w:r w:rsidRPr="006B1EF1">
              <w:rPr>
                <w:rFonts w:ascii="Arial" w:hAnsi="Arial" w:cs="Arial"/>
              </w:rPr>
              <w:t>76.2</w:t>
            </w:r>
          </w:p>
        </w:tc>
      </w:tr>
      <w:tr w:rsidR="006B1EF1" w:rsidRPr="006B1EF1" w14:paraId="066F1601" w14:textId="77777777" w:rsidTr="00947DB4">
        <w:trPr>
          <w:trHeight w:val="235"/>
        </w:trPr>
        <w:tc>
          <w:tcPr>
            <w:tcW w:w="4878" w:type="dxa"/>
            <w:noWrap/>
            <w:vAlign w:val="bottom"/>
            <w:hideMark/>
          </w:tcPr>
          <w:p w14:paraId="143628A9" w14:textId="77777777" w:rsidR="006B1EF1" w:rsidRPr="006B1EF1" w:rsidRDefault="006B1EF1" w:rsidP="00577D89">
            <w:pPr>
              <w:pStyle w:val="Body"/>
              <w:ind w:right="720"/>
              <w:rPr>
                <w:rFonts w:ascii="Arial" w:hAnsi="Arial" w:cs="Arial"/>
                <w:b/>
                <w:bCs/>
              </w:rPr>
            </w:pPr>
            <w:r w:rsidRPr="006B1EF1">
              <w:rPr>
                <w:rFonts w:ascii="Arial" w:hAnsi="Arial" w:cs="Arial"/>
                <w:b/>
                <w:bCs/>
              </w:rPr>
              <w:t>Hypertension</w:t>
            </w:r>
          </w:p>
        </w:tc>
        <w:tc>
          <w:tcPr>
            <w:tcW w:w="1689" w:type="dxa"/>
            <w:noWrap/>
            <w:vAlign w:val="bottom"/>
            <w:hideMark/>
          </w:tcPr>
          <w:p w14:paraId="7CC2A007" w14:textId="77777777" w:rsidR="006B1EF1" w:rsidRPr="006B1EF1" w:rsidRDefault="006B1EF1" w:rsidP="00577D89">
            <w:pPr>
              <w:pStyle w:val="Body"/>
              <w:ind w:right="720"/>
              <w:rPr>
                <w:rFonts w:ascii="Arial" w:hAnsi="Arial" w:cs="Arial"/>
              </w:rPr>
            </w:pPr>
          </w:p>
        </w:tc>
        <w:tc>
          <w:tcPr>
            <w:tcW w:w="1118" w:type="dxa"/>
            <w:noWrap/>
            <w:vAlign w:val="bottom"/>
            <w:hideMark/>
          </w:tcPr>
          <w:p w14:paraId="51821511" w14:textId="77777777" w:rsidR="006B1EF1" w:rsidRPr="006B1EF1" w:rsidRDefault="006B1EF1" w:rsidP="00577D89">
            <w:pPr>
              <w:pStyle w:val="Body"/>
              <w:ind w:right="720"/>
              <w:rPr>
                <w:rFonts w:ascii="Arial" w:hAnsi="Arial" w:cs="Arial"/>
              </w:rPr>
            </w:pPr>
          </w:p>
        </w:tc>
      </w:tr>
      <w:tr w:rsidR="006B1EF1" w:rsidRPr="006B1EF1" w14:paraId="7CF6C6A1" w14:textId="77777777" w:rsidTr="00947DB4">
        <w:trPr>
          <w:trHeight w:val="235"/>
        </w:trPr>
        <w:tc>
          <w:tcPr>
            <w:tcW w:w="4878" w:type="dxa"/>
            <w:noWrap/>
            <w:vAlign w:val="bottom"/>
            <w:hideMark/>
          </w:tcPr>
          <w:p w14:paraId="6EABDC42" w14:textId="77777777" w:rsidR="006B1EF1" w:rsidRPr="006B1EF1" w:rsidRDefault="006B1EF1" w:rsidP="00577D89">
            <w:pPr>
              <w:pStyle w:val="Body"/>
              <w:ind w:right="720"/>
              <w:rPr>
                <w:rFonts w:ascii="Arial" w:hAnsi="Arial" w:cs="Arial"/>
              </w:rPr>
            </w:pPr>
            <w:r w:rsidRPr="006B1EF1">
              <w:rPr>
                <w:rFonts w:ascii="Arial" w:hAnsi="Arial" w:cs="Arial"/>
              </w:rPr>
              <w:t>Yes</w:t>
            </w:r>
          </w:p>
        </w:tc>
        <w:tc>
          <w:tcPr>
            <w:tcW w:w="1689" w:type="dxa"/>
            <w:noWrap/>
            <w:vAlign w:val="bottom"/>
            <w:hideMark/>
          </w:tcPr>
          <w:p w14:paraId="522DBD25" w14:textId="77777777" w:rsidR="006B1EF1" w:rsidRPr="006B1EF1" w:rsidRDefault="006B1EF1" w:rsidP="00577D89">
            <w:pPr>
              <w:pStyle w:val="Body"/>
              <w:ind w:right="720"/>
              <w:rPr>
                <w:rFonts w:ascii="Arial" w:hAnsi="Arial" w:cs="Arial"/>
              </w:rPr>
            </w:pPr>
            <w:r w:rsidRPr="006B1EF1">
              <w:rPr>
                <w:rFonts w:ascii="Arial" w:hAnsi="Arial" w:cs="Arial"/>
              </w:rPr>
              <w:t>78</w:t>
            </w:r>
          </w:p>
        </w:tc>
        <w:tc>
          <w:tcPr>
            <w:tcW w:w="1118" w:type="dxa"/>
            <w:noWrap/>
            <w:vAlign w:val="bottom"/>
            <w:hideMark/>
          </w:tcPr>
          <w:p w14:paraId="3FBE274F" w14:textId="77777777" w:rsidR="006B1EF1" w:rsidRPr="006B1EF1" w:rsidRDefault="006B1EF1" w:rsidP="00577D89">
            <w:pPr>
              <w:pStyle w:val="Body"/>
              <w:ind w:right="720"/>
              <w:rPr>
                <w:rFonts w:ascii="Arial" w:hAnsi="Arial" w:cs="Arial"/>
              </w:rPr>
            </w:pPr>
            <w:r w:rsidRPr="006B1EF1">
              <w:rPr>
                <w:rFonts w:ascii="Arial" w:hAnsi="Arial" w:cs="Arial"/>
              </w:rPr>
              <w:t>74.3</w:t>
            </w:r>
          </w:p>
        </w:tc>
      </w:tr>
      <w:tr w:rsidR="006B1EF1" w:rsidRPr="006B1EF1" w14:paraId="536DC24E" w14:textId="77777777" w:rsidTr="00947DB4">
        <w:trPr>
          <w:trHeight w:val="59"/>
        </w:trPr>
        <w:tc>
          <w:tcPr>
            <w:tcW w:w="4878" w:type="dxa"/>
            <w:tcBorders>
              <w:bottom w:val="single" w:sz="12" w:space="0" w:color="auto"/>
            </w:tcBorders>
            <w:noWrap/>
            <w:vAlign w:val="bottom"/>
            <w:hideMark/>
          </w:tcPr>
          <w:p w14:paraId="222F12E4" w14:textId="77777777" w:rsidR="006B1EF1" w:rsidRPr="006B1EF1" w:rsidRDefault="006B1EF1" w:rsidP="00577D89">
            <w:pPr>
              <w:pStyle w:val="Body"/>
              <w:ind w:right="720"/>
              <w:rPr>
                <w:rFonts w:ascii="Arial" w:hAnsi="Arial" w:cs="Arial"/>
              </w:rPr>
            </w:pPr>
            <w:r w:rsidRPr="006B1EF1">
              <w:rPr>
                <w:rFonts w:ascii="Arial" w:hAnsi="Arial" w:cs="Arial"/>
              </w:rPr>
              <w:t>No</w:t>
            </w:r>
          </w:p>
        </w:tc>
        <w:tc>
          <w:tcPr>
            <w:tcW w:w="1689" w:type="dxa"/>
            <w:tcBorders>
              <w:bottom w:val="single" w:sz="12" w:space="0" w:color="auto"/>
            </w:tcBorders>
            <w:noWrap/>
            <w:vAlign w:val="bottom"/>
            <w:hideMark/>
          </w:tcPr>
          <w:p w14:paraId="02F466CF" w14:textId="77777777" w:rsidR="006B1EF1" w:rsidRPr="006B1EF1" w:rsidRDefault="006B1EF1" w:rsidP="00577D89">
            <w:pPr>
              <w:pStyle w:val="Body"/>
              <w:ind w:right="720"/>
              <w:rPr>
                <w:rFonts w:ascii="Arial" w:hAnsi="Arial" w:cs="Arial"/>
              </w:rPr>
            </w:pPr>
            <w:r w:rsidRPr="006B1EF1">
              <w:rPr>
                <w:rFonts w:ascii="Arial" w:hAnsi="Arial" w:cs="Arial"/>
              </w:rPr>
              <w:t>27</w:t>
            </w:r>
          </w:p>
        </w:tc>
        <w:tc>
          <w:tcPr>
            <w:tcW w:w="1118" w:type="dxa"/>
            <w:tcBorders>
              <w:bottom w:val="single" w:sz="12" w:space="0" w:color="auto"/>
            </w:tcBorders>
            <w:noWrap/>
            <w:vAlign w:val="bottom"/>
            <w:hideMark/>
          </w:tcPr>
          <w:p w14:paraId="7518CC97" w14:textId="77777777" w:rsidR="006B1EF1" w:rsidRPr="006B1EF1" w:rsidRDefault="006B1EF1" w:rsidP="00577D89">
            <w:pPr>
              <w:pStyle w:val="Body"/>
              <w:ind w:right="720"/>
              <w:rPr>
                <w:rFonts w:ascii="Arial" w:hAnsi="Arial" w:cs="Arial"/>
              </w:rPr>
            </w:pPr>
            <w:r w:rsidRPr="006B1EF1">
              <w:rPr>
                <w:rFonts w:ascii="Arial" w:hAnsi="Arial" w:cs="Arial"/>
              </w:rPr>
              <w:t>25.7</w:t>
            </w:r>
          </w:p>
        </w:tc>
      </w:tr>
    </w:tbl>
    <w:p w14:paraId="34C40812" w14:textId="77777777" w:rsidR="006B1EF1" w:rsidRDefault="006B1EF1" w:rsidP="00577D89">
      <w:pPr>
        <w:pStyle w:val="Body"/>
        <w:spacing w:after="0"/>
        <w:ind w:right="720"/>
        <w:rPr>
          <w:rFonts w:ascii="Arial" w:hAnsi="Arial" w:cs="Arial"/>
        </w:rPr>
      </w:pPr>
    </w:p>
    <w:p w14:paraId="5F767D4B" w14:textId="77777777" w:rsidR="00364E9A" w:rsidRPr="00364E9A" w:rsidRDefault="009D0604" w:rsidP="00577D89">
      <w:pPr>
        <w:pStyle w:val="Body"/>
        <w:spacing w:after="0"/>
        <w:ind w:right="720"/>
        <w:rPr>
          <w:rFonts w:ascii="Arial" w:hAnsi="Arial" w:cs="Arial"/>
          <w:b/>
        </w:rPr>
      </w:pPr>
      <w:r>
        <w:rPr>
          <w:rFonts w:ascii="Arial" w:hAnsi="Arial" w:cs="Arial"/>
          <w:b/>
        </w:rPr>
        <w:t xml:space="preserve">3.2 </w:t>
      </w:r>
      <w:r w:rsidR="00364E9A" w:rsidRPr="00364E9A">
        <w:rPr>
          <w:rFonts w:ascii="Arial" w:hAnsi="Arial" w:cs="Arial"/>
          <w:b/>
        </w:rPr>
        <w:t>Participants Laboratory results</w:t>
      </w:r>
    </w:p>
    <w:p w14:paraId="5FB18F85" w14:textId="77777777" w:rsidR="00364E9A" w:rsidRDefault="00364E9A" w:rsidP="00577D89">
      <w:pPr>
        <w:pStyle w:val="Body"/>
        <w:spacing w:after="0"/>
        <w:ind w:right="720"/>
        <w:rPr>
          <w:rFonts w:ascii="Arial" w:hAnsi="Arial" w:cs="Arial"/>
        </w:rPr>
      </w:pPr>
    </w:p>
    <w:p w14:paraId="39DBC306" w14:textId="77777777" w:rsidR="00364E9A" w:rsidRPr="00364E9A" w:rsidRDefault="00364E9A" w:rsidP="00577D89">
      <w:pPr>
        <w:pStyle w:val="Body"/>
        <w:spacing w:after="0"/>
        <w:ind w:right="720"/>
        <w:rPr>
          <w:rFonts w:ascii="Arial" w:hAnsi="Arial" w:cs="Arial"/>
        </w:rPr>
        <w:sectPr w:rsidR="00364E9A" w:rsidRPr="00364E9A" w:rsidSect="00BB14ED">
          <w:type w:val="continuous"/>
          <w:pgSz w:w="12240" w:h="15840"/>
          <w:pgMar w:top="1440" w:right="1440" w:bottom="1440" w:left="1440" w:header="720" w:footer="720" w:gutter="0"/>
          <w:cols w:space="720"/>
          <w:docGrid w:linePitch="360"/>
        </w:sectPr>
      </w:pPr>
    </w:p>
    <w:p w14:paraId="3ED591A0" w14:textId="77777777" w:rsidR="00364E9A" w:rsidRPr="00364E9A" w:rsidRDefault="00364E9A" w:rsidP="00577D89">
      <w:pPr>
        <w:pStyle w:val="Body"/>
        <w:spacing w:after="0"/>
        <w:ind w:right="720"/>
        <w:rPr>
          <w:rFonts w:ascii="Arial" w:hAnsi="Arial" w:cs="Arial"/>
        </w:rPr>
      </w:pPr>
      <w:r w:rsidRPr="00364E9A">
        <w:rPr>
          <w:rFonts w:ascii="Arial" w:hAnsi="Arial" w:cs="Arial"/>
        </w:rPr>
        <w:t>In the laboratory results, the study subjects had mean HbA1c level was 7.1% (SD ± 1.92). Notably, 58.1% of subjects had an HbA1c level above 6% showing sub-optimal long-term blood sugar control in the majority. For lipid profile, 50.5% had HDL levels below 1.56 mmol/L, with a mean HDL of 1.7mmol/L (SD ± 0.97). Elevated Triglyceride levels (&gt;2.26 mmol/L) were shown in 30.5% of subjects, while the mean triglyceride level was 1.9 mmol/L (SD± 0.09), within the normal range. The mean serum creatinine level was 78.0 µmol/L (SD ± 11.24), which is within the normal range for most laboratory results</w:t>
      </w:r>
    </w:p>
    <w:p w14:paraId="224075CD" w14:textId="77777777" w:rsidR="00364E9A" w:rsidRPr="00364E9A" w:rsidRDefault="00364E9A" w:rsidP="00577D89">
      <w:pPr>
        <w:pStyle w:val="Body"/>
        <w:spacing w:after="0"/>
        <w:ind w:right="720"/>
        <w:rPr>
          <w:rFonts w:ascii="Arial" w:hAnsi="Arial" w:cs="Arial"/>
        </w:rPr>
      </w:pPr>
    </w:p>
    <w:p w14:paraId="1DF408AD" w14:textId="77777777" w:rsidR="00364E9A" w:rsidRPr="00364E9A" w:rsidRDefault="00364E9A" w:rsidP="00577D89">
      <w:pPr>
        <w:pStyle w:val="Body"/>
        <w:spacing w:after="0"/>
        <w:ind w:right="720"/>
        <w:rPr>
          <w:rFonts w:ascii="Arial" w:hAnsi="Arial" w:cs="Arial"/>
        </w:rPr>
      </w:pPr>
    </w:p>
    <w:p w14:paraId="35FD8819" w14:textId="77777777" w:rsidR="00364E9A" w:rsidRPr="00364E9A" w:rsidRDefault="00364E9A" w:rsidP="00577D89">
      <w:pPr>
        <w:pStyle w:val="Body"/>
        <w:spacing w:after="0"/>
        <w:ind w:right="720"/>
        <w:rPr>
          <w:rFonts w:ascii="Arial" w:hAnsi="Arial" w:cs="Arial"/>
        </w:rPr>
      </w:pPr>
    </w:p>
    <w:p w14:paraId="5A5B0A36" w14:textId="77777777" w:rsidR="00364E9A" w:rsidRPr="00364E9A" w:rsidRDefault="00364E9A" w:rsidP="00577D89">
      <w:pPr>
        <w:pStyle w:val="Body"/>
        <w:spacing w:after="0"/>
        <w:ind w:right="720"/>
        <w:rPr>
          <w:rFonts w:ascii="Arial" w:hAnsi="Arial" w:cs="Arial"/>
        </w:rPr>
        <w:sectPr w:rsidR="00364E9A" w:rsidRPr="00364E9A" w:rsidSect="00BB14ED">
          <w:type w:val="continuous"/>
          <w:pgSz w:w="12240" w:h="15840"/>
          <w:pgMar w:top="1440" w:right="1440" w:bottom="1440" w:left="1440" w:header="720" w:footer="720" w:gutter="0"/>
          <w:cols w:space="720"/>
          <w:docGrid w:linePitch="360"/>
        </w:sectPr>
      </w:pPr>
    </w:p>
    <w:p w14:paraId="71A39F5E" w14:textId="77777777" w:rsidR="00364E9A" w:rsidRPr="00364E9A" w:rsidRDefault="00364E9A" w:rsidP="00577D89">
      <w:pPr>
        <w:pStyle w:val="Body"/>
        <w:spacing w:after="0"/>
        <w:ind w:right="720"/>
        <w:rPr>
          <w:rFonts w:ascii="Arial" w:hAnsi="Arial" w:cs="Arial"/>
        </w:rPr>
      </w:pPr>
      <w:r w:rsidRPr="00364E9A">
        <w:rPr>
          <w:rFonts w:ascii="Arial" w:hAnsi="Arial" w:cs="Arial"/>
          <w:b/>
          <w:bCs/>
        </w:rPr>
        <w:t>Table 2:</w:t>
      </w:r>
      <w:r w:rsidRPr="00364E9A">
        <w:rPr>
          <w:rFonts w:ascii="Arial" w:hAnsi="Arial" w:cs="Arial"/>
        </w:rPr>
        <w:t xml:space="preserve"> Participants’ laboratory results (N=105)</w:t>
      </w:r>
    </w:p>
    <w:tbl>
      <w:tblPr>
        <w:tblW w:w="8222" w:type="dxa"/>
        <w:tblInd w:w="612" w:type="dxa"/>
        <w:tblLook w:val="04A0" w:firstRow="1" w:lastRow="0" w:firstColumn="1" w:lastColumn="0" w:noHBand="0" w:noVBand="1"/>
      </w:tblPr>
      <w:tblGrid>
        <w:gridCol w:w="4833"/>
        <w:gridCol w:w="2069"/>
        <w:gridCol w:w="1326"/>
      </w:tblGrid>
      <w:tr w:rsidR="00364E9A" w:rsidRPr="00364E9A" w14:paraId="647FF1C7" w14:textId="77777777" w:rsidTr="00947DB4">
        <w:trPr>
          <w:trHeight w:val="303"/>
        </w:trPr>
        <w:tc>
          <w:tcPr>
            <w:tcW w:w="4833" w:type="dxa"/>
            <w:tcBorders>
              <w:top w:val="single" w:sz="12" w:space="0" w:color="auto"/>
              <w:bottom w:val="single" w:sz="12" w:space="0" w:color="auto"/>
            </w:tcBorders>
            <w:noWrap/>
            <w:vAlign w:val="bottom"/>
          </w:tcPr>
          <w:p w14:paraId="2D25CC9D"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 Characteristics</w:t>
            </w:r>
          </w:p>
        </w:tc>
        <w:tc>
          <w:tcPr>
            <w:tcW w:w="2065" w:type="dxa"/>
            <w:tcBorders>
              <w:top w:val="single" w:sz="12" w:space="0" w:color="auto"/>
              <w:bottom w:val="single" w:sz="12" w:space="0" w:color="auto"/>
            </w:tcBorders>
            <w:noWrap/>
            <w:vAlign w:val="bottom"/>
          </w:tcPr>
          <w:p w14:paraId="1E27796E" w14:textId="77777777" w:rsidR="00364E9A" w:rsidRPr="00364E9A" w:rsidRDefault="00364E9A" w:rsidP="00577D89">
            <w:pPr>
              <w:pStyle w:val="Body"/>
              <w:spacing w:after="0"/>
              <w:ind w:right="720"/>
              <w:rPr>
                <w:rFonts w:ascii="Arial" w:hAnsi="Arial" w:cs="Arial"/>
              </w:rPr>
            </w:pPr>
            <w:r w:rsidRPr="00364E9A">
              <w:rPr>
                <w:rFonts w:ascii="Arial" w:hAnsi="Arial" w:cs="Arial"/>
                <w:b/>
                <w:bCs/>
              </w:rPr>
              <w:t>n</w:t>
            </w:r>
          </w:p>
        </w:tc>
        <w:tc>
          <w:tcPr>
            <w:tcW w:w="1324" w:type="dxa"/>
            <w:tcBorders>
              <w:top w:val="single" w:sz="12" w:space="0" w:color="auto"/>
              <w:bottom w:val="single" w:sz="12" w:space="0" w:color="auto"/>
            </w:tcBorders>
            <w:noWrap/>
            <w:vAlign w:val="bottom"/>
          </w:tcPr>
          <w:p w14:paraId="6B6A34FE" w14:textId="77777777" w:rsidR="00364E9A" w:rsidRPr="00364E9A" w:rsidRDefault="00364E9A" w:rsidP="00577D89">
            <w:pPr>
              <w:pStyle w:val="Body"/>
              <w:spacing w:after="0"/>
              <w:ind w:right="720"/>
              <w:rPr>
                <w:rFonts w:ascii="Arial" w:hAnsi="Arial" w:cs="Arial"/>
              </w:rPr>
            </w:pPr>
            <w:r w:rsidRPr="00364E9A">
              <w:rPr>
                <w:rFonts w:ascii="Arial" w:hAnsi="Arial" w:cs="Arial"/>
                <w:b/>
                <w:bCs/>
              </w:rPr>
              <w:t>%</w:t>
            </w:r>
          </w:p>
        </w:tc>
      </w:tr>
      <w:tr w:rsidR="00364E9A" w:rsidRPr="00364E9A" w14:paraId="7916034A" w14:textId="77777777" w:rsidTr="00947DB4">
        <w:trPr>
          <w:trHeight w:val="303"/>
        </w:trPr>
        <w:tc>
          <w:tcPr>
            <w:tcW w:w="4833" w:type="dxa"/>
            <w:tcBorders>
              <w:top w:val="single" w:sz="12" w:space="0" w:color="auto"/>
            </w:tcBorders>
            <w:noWrap/>
            <w:vAlign w:val="bottom"/>
            <w:hideMark/>
          </w:tcPr>
          <w:p w14:paraId="1B6B42BA" w14:textId="77777777" w:rsidR="00364E9A" w:rsidRPr="00364E9A" w:rsidRDefault="00364E9A" w:rsidP="00577D89">
            <w:pPr>
              <w:pStyle w:val="Body"/>
              <w:spacing w:after="0"/>
              <w:ind w:right="720"/>
              <w:rPr>
                <w:rFonts w:ascii="Arial" w:hAnsi="Arial" w:cs="Arial"/>
              </w:rPr>
            </w:pPr>
            <w:r w:rsidRPr="00364E9A">
              <w:rPr>
                <w:rFonts w:ascii="Arial" w:hAnsi="Arial" w:cs="Arial"/>
                <w:b/>
                <w:bCs/>
              </w:rPr>
              <w:t>Hemoglobin A1C Level (%)</w:t>
            </w:r>
          </w:p>
        </w:tc>
        <w:tc>
          <w:tcPr>
            <w:tcW w:w="2065" w:type="dxa"/>
            <w:tcBorders>
              <w:top w:val="single" w:sz="12" w:space="0" w:color="auto"/>
            </w:tcBorders>
            <w:noWrap/>
            <w:vAlign w:val="bottom"/>
            <w:hideMark/>
          </w:tcPr>
          <w:p w14:paraId="7CEB8E77" w14:textId="77777777" w:rsidR="00364E9A" w:rsidRPr="00364E9A" w:rsidRDefault="00364E9A" w:rsidP="00577D89">
            <w:pPr>
              <w:pStyle w:val="Body"/>
              <w:spacing w:after="0"/>
              <w:ind w:right="720"/>
              <w:rPr>
                <w:rFonts w:ascii="Arial" w:hAnsi="Arial" w:cs="Arial"/>
              </w:rPr>
            </w:pPr>
          </w:p>
        </w:tc>
        <w:tc>
          <w:tcPr>
            <w:tcW w:w="1324" w:type="dxa"/>
            <w:tcBorders>
              <w:top w:val="single" w:sz="12" w:space="0" w:color="auto"/>
            </w:tcBorders>
            <w:noWrap/>
            <w:vAlign w:val="bottom"/>
            <w:hideMark/>
          </w:tcPr>
          <w:p w14:paraId="73C57492" w14:textId="77777777" w:rsidR="00364E9A" w:rsidRPr="00364E9A" w:rsidRDefault="00364E9A" w:rsidP="00577D89">
            <w:pPr>
              <w:pStyle w:val="Body"/>
              <w:spacing w:after="0"/>
              <w:ind w:right="720"/>
              <w:rPr>
                <w:rFonts w:ascii="Arial" w:hAnsi="Arial" w:cs="Arial"/>
              </w:rPr>
            </w:pPr>
          </w:p>
        </w:tc>
      </w:tr>
      <w:tr w:rsidR="00364E9A" w:rsidRPr="00364E9A" w14:paraId="336762D1" w14:textId="77777777" w:rsidTr="00947DB4">
        <w:trPr>
          <w:trHeight w:val="303"/>
        </w:trPr>
        <w:tc>
          <w:tcPr>
            <w:tcW w:w="4833" w:type="dxa"/>
            <w:noWrap/>
            <w:vAlign w:val="bottom"/>
            <w:hideMark/>
          </w:tcPr>
          <w:p w14:paraId="5C8930A2" w14:textId="77777777" w:rsidR="00364E9A" w:rsidRPr="00364E9A" w:rsidRDefault="00364E9A" w:rsidP="00577D89">
            <w:pPr>
              <w:pStyle w:val="Body"/>
              <w:spacing w:after="0"/>
              <w:ind w:right="720"/>
              <w:rPr>
                <w:rFonts w:ascii="Arial" w:hAnsi="Arial" w:cs="Arial"/>
              </w:rPr>
            </w:pPr>
            <w:r w:rsidRPr="00364E9A">
              <w:rPr>
                <w:rFonts w:ascii="Arial" w:hAnsi="Arial" w:cs="Arial"/>
              </w:rPr>
              <w:t>≤6</w:t>
            </w:r>
          </w:p>
        </w:tc>
        <w:tc>
          <w:tcPr>
            <w:tcW w:w="2065" w:type="dxa"/>
            <w:noWrap/>
            <w:vAlign w:val="bottom"/>
            <w:hideMark/>
          </w:tcPr>
          <w:p w14:paraId="161B8F58" w14:textId="77777777" w:rsidR="00364E9A" w:rsidRPr="00364E9A" w:rsidRDefault="00364E9A" w:rsidP="00577D89">
            <w:pPr>
              <w:pStyle w:val="Body"/>
              <w:spacing w:after="0"/>
              <w:ind w:right="720"/>
              <w:rPr>
                <w:rFonts w:ascii="Arial" w:hAnsi="Arial" w:cs="Arial"/>
              </w:rPr>
            </w:pPr>
            <w:r w:rsidRPr="00364E9A">
              <w:rPr>
                <w:rFonts w:ascii="Arial" w:hAnsi="Arial" w:cs="Arial"/>
              </w:rPr>
              <w:t>44</w:t>
            </w:r>
          </w:p>
        </w:tc>
        <w:tc>
          <w:tcPr>
            <w:tcW w:w="1324" w:type="dxa"/>
            <w:noWrap/>
            <w:vAlign w:val="bottom"/>
            <w:hideMark/>
          </w:tcPr>
          <w:p w14:paraId="3A56EA4D" w14:textId="77777777" w:rsidR="00364E9A" w:rsidRPr="00364E9A" w:rsidRDefault="00364E9A" w:rsidP="00577D89">
            <w:pPr>
              <w:pStyle w:val="Body"/>
              <w:spacing w:after="0"/>
              <w:ind w:right="720"/>
              <w:rPr>
                <w:rFonts w:ascii="Arial" w:hAnsi="Arial" w:cs="Arial"/>
              </w:rPr>
            </w:pPr>
            <w:r w:rsidRPr="00364E9A">
              <w:rPr>
                <w:rFonts w:ascii="Arial" w:hAnsi="Arial" w:cs="Arial"/>
              </w:rPr>
              <w:t>41.9</w:t>
            </w:r>
          </w:p>
        </w:tc>
      </w:tr>
      <w:tr w:rsidR="00364E9A" w:rsidRPr="00364E9A" w14:paraId="4A9376C0" w14:textId="77777777" w:rsidTr="00947DB4">
        <w:trPr>
          <w:trHeight w:val="303"/>
        </w:trPr>
        <w:tc>
          <w:tcPr>
            <w:tcW w:w="4833" w:type="dxa"/>
            <w:noWrap/>
            <w:vAlign w:val="bottom"/>
            <w:hideMark/>
          </w:tcPr>
          <w:p w14:paraId="2046B369" w14:textId="77777777" w:rsidR="00364E9A" w:rsidRPr="00364E9A" w:rsidRDefault="00364E9A" w:rsidP="00577D89">
            <w:pPr>
              <w:pStyle w:val="Body"/>
              <w:spacing w:after="0"/>
              <w:ind w:right="720"/>
              <w:rPr>
                <w:rFonts w:ascii="Arial" w:hAnsi="Arial" w:cs="Arial"/>
              </w:rPr>
            </w:pPr>
            <w:r w:rsidRPr="00364E9A">
              <w:rPr>
                <w:rFonts w:ascii="Arial" w:hAnsi="Arial" w:cs="Arial"/>
              </w:rPr>
              <w:t>&gt;6</w:t>
            </w:r>
          </w:p>
        </w:tc>
        <w:tc>
          <w:tcPr>
            <w:tcW w:w="2065" w:type="dxa"/>
            <w:noWrap/>
            <w:vAlign w:val="bottom"/>
            <w:hideMark/>
          </w:tcPr>
          <w:p w14:paraId="535D818F" w14:textId="77777777" w:rsidR="00364E9A" w:rsidRPr="00364E9A" w:rsidRDefault="00364E9A" w:rsidP="00577D89">
            <w:pPr>
              <w:pStyle w:val="Body"/>
              <w:spacing w:after="0"/>
              <w:ind w:right="720"/>
              <w:rPr>
                <w:rFonts w:ascii="Arial" w:hAnsi="Arial" w:cs="Arial"/>
              </w:rPr>
            </w:pPr>
            <w:r w:rsidRPr="00364E9A">
              <w:rPr>
                <w:rFonts w:ascii="Arial" w:hAnsi="Arial" w:cs="Arial"/>
              </w:rPr>
              <w:t>61</w:t>
            </w:r>
          </w:p>
        </w:tc>
        <w:tc>
          <w:tcPr>
            <w:tcW w:w="1324" w:type="dxa"/>
            <w:noWrap/>
            <w:vAlign w:val="bottom"/>
            <w:hideMark/>
          </w:tcPr>
          <w:p w14:paraId="4540308D" w14:textId="77777777" w:rsidR="00364E9A" w:rsidRPr="00364E9A" w:rsidRDefault="00364E9A" w:rsidP="00577D89">
            <w:pPr>
              <w:pStyle w:val="Body"/>
              <w:spacing w:after="0"/>
              <w:ind w:right="720"/>
              <w:rPr>
                <w:rFonts w:ascii="Arial" w:hAnsi="Arial" w:cs="Arial"/>
              </w:rPr>
            </w:pPr>
            <w:r w:rsidRPr="00364E9A">
              <w:rPr>
                <w:rFonts w:ascii="Arial" w:hAnsi="Arial" w:cs="Arial"/>
              </w:rPr>
              <w:t>58.1</w:t>
            </w:r>
          </w:p>
        </w:tc>
      </w:tr>
      <w:tr w:rsidR="00364E9A" w:rsidRPr="00364E9A" w14:paraId="46C56453" w14:textId="77777777" w:rsidTr="00947DB4">
        <w:trPr>
          <w:trHeight w:val="303"/>
        </w:trPr>
        <w:tc>
          <w:tcPr>
            <w:tcW w:w="4833" w:type="dxa"/>
            <w:noWrap/>
            <w:vAlign w:val="bottom"/>
            <w:hideMark/>
          </w:tcPr>
          <w:p w14:paraId="163F8250" w14:textId="77777777" w:rsidR="00364E9A" w:rsidRPr="00364E9A" w:rsidRDefault="00364E9A" w:rsidP="00577D89">
            <w:pPr>
              <w:pStyle w:val="Body"/>
              <w:spacing w:after="0"/>
              <w:ind w:right="720"/>
              <w:rPr>
                <w:rFonts w:ascii="Arial" w:hAnsi="Arial" w:cs="Arial"/>
                <w:i/>
                <w:iCs/>
              </w:rPr>
            </w:pPr>
            <w:proofErr w:type="gramStart"/>
            <w:r w:rsidRPr="00364E9A">
              <w:rPr>
                <w:rFonts w:ascii="Arial" w:hAnsi="Arial" w:cs="Arial"/>
                <w:i/>
                <w:iCs/>
              </w:rPr>
              <w:t>Mean(</w:t>
            </w:r>
            <w:proofErr w:type="gramEnd"/>
            <w:r w:rsidRPr="00364E9A">
              <w:rPr>
                <w:rFonts w:ascii="Arial" w:hAnsi="Arial" w:cs="Arial"/>
                <w:i/>
                <w:iCs/>
              </w:rPr>
              <w:t>SD)</w:t>
            </w:r>
          </w:p>
        </w:tc>
        <w:tc>
          <w:tcPr>
            <w:tcW w:w="2065" w:type="dxa"/>
            <w:noWrap/>
            <w:vAlign w:val="bottom"/>
            <w:hideMark/>
          </w:tcPr>
          <w:p w14:paraId="1D76F362" w14:textId="77777777" w:rsidR="00364E9A" w:rsidRPr="00364E9A" w:rsidRDefault="00364E9A" w:rsidP="00577D89">
            <w:pPr>
              <w:pStyle w:val="Body"/>
              <w:spacing w:after="0"/>
              <w:ind w:right="720"/>
              <w:rPr>
                <w:rFonts w:ascii="Arial" w:hAnsi="Arial" w:cs="Arial"/>
                <w:i/>
                <w:iCs/>
              </w:rPr>
            </w:pPr>
            <w:r w:rsidRPr="00364E9A">
              <w:rPr>
                <w:rFonts w:ascii="Arial" w:hAnsi="Arial" w:cs="Arial"/>
                <w:i/>
                <w:iCs/>
              </w:rPr>
              <w:t>7.1(±1.92)</w:t>
            </w:r>
          </w:p>
        </w:tc>
        <w:tc>
          <w:tcPr>
            <w:tcW w:w="1324" w:type="dxa"/>
            <w:noWrap/>
            <w:vAlign w:val="bottom"/>
            <w:hideMark/>
          </w:tcPr>
          <w:p w14:paraId="7763B28B" w14:textId="77777777" w:rsidR="00364E9A" w:rsidRPr="00364E9A" w:rsidRDefault="00364E9A" w:rsidP="00577D89">
            <w:pPr>
              <w:pStyle w:val="Body"/>
              <w:spacing w:after="0"/>
              <w:ind w:right="720"/>
              <w:rPr>
                <w:rFonts w:ascii="Arial" w:hAnsi="Arial" w:cs="Arial"/>
              </w:rPr>
            </w:pPr>
          </w:p>
        </w:tc>
      </w:tr>
      <w:tr w:rsidR="00364E9A" w:rsidRPr="00364E9A" w14:paraId="3B8EF227" w14:textId="77777777" w:rsidTr="00947DB4">
        <w:trPr>
          <w:trHeight w:val="303"/>
        </w:trPr>
        <w:tc>
          <w:tcPr>
            <w:tcW w:w="4833" w:type="dxa"/>
            <w:noWrap/>
            <w:vAlign w:val="bottom"/>
            <w:hideMark/>
          </w:tcPr>
          <w:p w14:paraId="1DA6984D"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HDL blood Levels (mmol/L)</w:t>
            </w:r>
          </w:p>
        </w:tc>
        <w:tc>
          <w:tcPr>
            <w:tcW w:w="2065" w:type="dxa"/>
            <w:noWrap/>
            <w:vAlign w:val="bottom"/>
            <w:hideMark/>
          </w:tcPr>
          <w:p w14:paraId="1B2D74C7" w14:textId="77777777" w:rsidR="00364E9A" w:rsidRPr="00364E9A" w:rsidRDefault="00364E9A" w:rsidP="00577D89">
            <w:pPr>
              <w:pStyle w:val="Body"/>
              <w:spacing w:after="0"/>
              <w:ind w:right="720"/>
              <w:rPr>
                <w:rFonts w:ascii="Arial" w:hAnsi="Arial" w:cs="Arial"/>
              </w:rPr>
            </w:pPr>
          </w:p>
        </w:tc>
        <w:tc>
          <w:tcPr>
            <w:tcW w:w="1324" w:type="dxa"/>
            <w:noWrap/>
            <w:vAlign w:val="bottom"/>
            <w:hideMark/>
          </w:tcPr>
          <w:p w14:paraId="39E5AF9D" w14:textId="77777777" w:rsidR="00364E9A" w:rsidRPr="00364E9A" w:rsidRDefault="00364E9A" w:rsidP="00577D89">
            <w:pPr>
              <w:pStyle w:val="Body"/>
              <w:spacing w:after="0"/>
              <w:ind w:right="720"/>
              <w:rPr>
                <w:rFonts w:ascii="Arial" w:hAnsi="Arial" w:cs="Arial"/>
              </w:rPr>
            </w:pPr>
          </w:p>
        </w:tc>
      </w:tr>
      <w:tr w:rsidR="00364E9A" w:rsidRPr="00364E9A" w14:paraId="17BAEED4" w14:textId="77777777" w:rsidTr="00947DB4">
        <w:trPr>
          <w:trHeight w:val="303"/>
        </w:trPr>
        <w:tc>
          <w:tcPr>
            <w:tcW w:w="4833" w:type="dxa"/>
            <w:noWrap/>
            <w:vAlign w:val="bottom"/>
            <w:hideMark/>
          </w:tcPr>
          <w:p w14:paraId="75EC8D05" w14:textId="77777777" w:rsidR="00364E9A" w:rsidRPr="00364E9A" w:rsidRDefault="00364E9A" w:rsidP="00577D89">
            <w:pPr>
              <w:pStyle w:val="Body"/>
              <w:spacing w:after="0"/>
              <w:ind w:right="720"/>
              <w:rPr>
                <w:rFonts w:ascii="Arial" w:hAnsi="Arial" w:cs="Arial"/>
              </w:rPr>
            </w:pPr>
            <w:r w:rsidRPr="00364E9A">
              <w:rPr>
                <w:rFonts w:ascii="Arial" w:hAnsi="Arial" w:cs="Arial"/>
              </w:rPr>
              <w:t>&lt;1.56</w:t>
            </w:r>
          </w:p>
        </w:tc>
        <w:tc>
          <w:tcPr>
            <w:tcW w:w="2065" w:type="dxa"/>
            <w:noWrap/>
            <w:vAlign w:val="bottom"/>
            <w:hideMark/>
          </w:tcPr>
          <w:p w14:paraId="0EEAE444" w14:textId="77777777" w:rsidR="00364E9A" w:rsidRPr="00364E9A" w:rsidRDefault="00364E9A" w:rsidP="00577D89">
            <w:pPr>
              <w:pStyle w:val="Body"/>
              <w:spacing w:after="0"/>
              <w:ind w:right="720"/>
              <w:rPr>
                <w:rFonts w:ascii="Arial" w:hAnsi="Arial" w:cs="Arial"/>
              </w:rPr>
            </w:pPr>
            <w:r w:rsidRPr="00364E9A">
              <w:rPr>
                <w:rFonts w:ascii="Arial" w:hAnsi="Arial" w:cs="Arial"/>
              </w:rPr>
              <w:t>53</w:t>
            </w:r>
          </w:p>
        </w:tc>
        <w:tc>
          <w:tcPr>
            <w:tcW w:w="1324" w:type="dxa"/>
            <w:noWrap/>
            <w:vAlign w:val="bottom"/>
            <w:hideMark/>
          </w:tcPr>
          <w:p w14:paraId="6443CA76" w14:textId="77777777" w:rsidR="00364E9A" w:rsidRPr="00364E9A" w:rsidRDefault="00364E9A" w:rsidP="00577D89">
            <w:pPr>
              <w:pStyle w:val="Body"/>
              <w:spacing w:after="0"/>
              <w:ind w:right="720"/>
              <w:rPr>
                <w:rFonts w:ascii="Arial" w:hAnsi="Arial" w:cs="Arial"/>
              </w:rPr>
            </w:pPr>
            <w:r w:rsidRPr="00364E9A">
              <w:rPr>
                <w:rFonts w:ascii="Arial" w:hAnsi="Arial" w:cs="Arial"/>
              </w:rPr>
              <w:t>50.5</w:t>
            </w:r>
          </w:p>
        </w:tc>
      </w:tr>
      <w:tr w:rsidR="00364E9A" w:rsidRPr="00364E9A" w14:paraId="4A0B04C3" w14:textId="77777777" w:rsidTr="00947DB4">
        <w:trPr>
          <w:trHeight w:val="303"/>
        </w:trPr>
        <w:tc>
          <w:tcPr>
            <w:tcW w:w="4833" w:type="dxa"/>
            <w:noWrap/>
            <w:vAlign w:val="bottom"/>
            <w:hideMark/>
          </w:tcPr>
          <w:p w14:paraId="79690C4F" w14:textId="77777777" w:rsidR="00364E9A" w:rsidRPr="00364E9A" w:rsidRDefault="00364E9A" w:rsidP="00577D89">
            <w:pPr>
              <w:pStyle w:val="Body"/>
              <w:spacing w:after="0"/>
              <w:ind w:right="720"/>
              <w:rPr>
                <w:rFonts w:ascii="Arial" w:hAnsi="Arial" w:cs="Arial"/>
              </w:rPr>
            </w:pPr>
            <w:r w:rsidRPr="00364E9A">
              <w:rPr>
                <w:rFonts w:ascii="Arial" w:hAnsi="Arial" w:cs="Arial"/>
              </w:rPr>
              <w:t>≥1.56</w:t>
            </w:r>
          </w:p>
        </w:tc>
        <w:tc>
          <w:tcPr>
            <w:tcW w:w="2065" w:type="dxa"/>
            <w:noWrap/>
            <w:vAlign w:val="bottom"/>
            <w:hideMark/>
          </w:tcPr>
          <w:p w14:paraId="4E0A35F9" w14:textId="77777777" w:rsidR="00364E9A" w:rsidRPr="00364E9A" w:rsidRDefault="00364E9A" w:rsidP="00577D89">
            <w:pPr>
              <w:pStyle w:val="Body"/>
              <w:spacing w:after="0"/>
              <w:ind w:right="720"/>
              <w:rPr>
                <w:rFonts w:ascii="Arial" w:hAnsi="Arial" w:cs="Arial"/>
              </w:rPr>
            </w:pPr>
            <w:r w:rsidRPr="00364E9A">
              <w:rPr>
                <w:rFonts w:ascii="Arial" w:hAnsi="Arial" w:cs="Arial"/>
              </w:rPr>
              <w:t>52</w:t>
            </w:r>
          </w:p>
        </w:tc>
        <w:tc>
          <w:tcPr>
            <w:tcW w:w="1324" w:type="dxa"/>
            <w:noWrap/>
            <w:vAlign w:val="bottom"/>
            <w:hideMark/>
          </w:tcPr>
          <w:p w14:paraId="78C57449" w14:textId="77777777" w:rsidR="00364E9A" w:rsidRPr="00364E9A" w:rsidRDefault="00364E9A" w:rsidP="00577D89">
            <w:pPr>
              <w:pStyle w:val="Body"/>
              <w:spacing w:after="0"/>
              <w:ind w:right="720"/>
              <w:rPr>
                <w:rFonts w:ascii="Arial" w:hAnsi="Arial" w:cs="Arial"/>
              </w:rPr>
            </w:pPr>
            <w:r w:rsidRPr="00364E9A">
              <w:rPr>
                <w:rFonts w:ascii="Arial" w:hAnsi="Arial" w:cs="Arial"/>
              </w:rPr>
              <w:t>49.5</w:t>
            </w:r>
          </w:p>
        </w:tc>
      </w:tr>
      <w:tr w:rsidR="00364E9A" w:rsidRPr="00364E9A" w14:paraId="571C179E" w14:textId="77777777" w:rsidTr="00947DB4">
        <w:trPr>
          <w:trHeight w:val="303"/>
        </w:trPr>
        <w:tc>
          <w:tcPr>
            <w:tcW w:w="4833" w:type="dxa"/>
            <w:noWrap/>
            <w:vAlign w:val="bottom"/>
            <w:hideMark/>
          </w:tcPr>
          <w:p w14:paraId="23C28A94" w14:textId="77777777" w:rsidR="00364E9A" w:rsidRPr="00364E9A" w:rsidRDefault="00364E9A" w:rsidP="00577D89">
            <w:pPr>
              <w:pStyle w:val="Body"/>
              <w:spacing w:after="0"/>
              <w:ind w:right="720"/>
              <w:rPr>
                <w:rFonts w:ascii="Arial" w:hAnsi="Arial" w:cs="Arial"/>
                <w:i/>
                <w:iCs/>
              </w:rPr>
            </w:pPr>
            <w:proofErr w:type="gramStart"/>
            <w:r w:rsidRPr="00364E9A">
              <w:rPr>
                <w:rFonts w:ascii="Arial" w:hAnsi="Arial" w:cs="Arial"/>
                <w:i/>
                <w:iCs/>
              </w:rPr>
              <w:t>Mean(</w:t>
            </w:r>
            <w:proofErr w:type="gramEnd"/>
            <w:r w:rsidRPr="00364E9A">
              <w:rPr>
                <w:rFonts w:ascii="Arial" w:hAnsi="Arial" w:cs="Arial"/>
                <w:i/>
                <w:iCs/>
              </w:rPr>
              <w:t>SD)</w:t>
            </w:r>
          </w:p>
        </w:tc>
        <w:tc>
          <w:tcPr>
            <w:tcW w:w="2065" w:type="dxa"/>
            <w:noWrap/>
            <w:vAlign w:val="bottom"/>
            <w:hideMark/>
          </w:tcPr>
          <w:p w14:paraId="794B0C28" w14:textId="77777777" w:rsidR="00364E9A" w:rsidRPr="00364E9A" w:rsidRDefault="00364E9A" w:rsidP="00577D89">
            <w:pPr>
              <w:pStyle w:val="Body"/>
              <w:spacing w:after="0"/>
              <w:ind w:right="720"/>
              <w:rPr>
                <w:rFonts w:ascii="Arial" w:hAnsi="Arial" w:cs="Arial"/>
                <w:i/>
                <w:iCs/>
              </w:rPr>
            </w:pPr>
            <w:r w:rsidRPr="00364E9A">
              <w:rPr>
                <w:rFonts w:ascii="Arial" w:hAnsi="Arial" w:cs="Arial"/>
                <w:i/>
                <w:iCs/>
              </w:rPr>
              <w:t>1.7(±0.97)</w:t>
            </w:r>
          </w:p>
        </w:tc>
        <w:tc>
          <w:tcPr>
            <w:tcW w:w="1324" w:type="dxa"/>
            <w:noWrap/>
            <w:vAlign w:val="bottom"/>
            <w:hideMark/>
          </w:tcPr>
          <w:p w14:paraId="4F1E43CE" w14:textId="77777777" w:rsidR="00364E9A" w:rsidRPr="00364E9A" w:rsidRDefault="00364E9A" w:rsidP="00577D89">
            <w:pPr>
              <w:pStyle w:val="Body"/>
              <w:spacing w:after="0"/>
              <w:ind w:right="720"/>
              <w:rPr>
                <w:rFonts w:ascii="Arial" w:hAnsi="Arial" w:cs="Arial"/>
              </w:rPr>
            </w:pPr>
          </w:p>
        </w:tc>
      </w:tr>
      <w:tr w:rsidR="00364E9A" w:rsidRPr="00364E9A" w14:paraId="4B47C2EC" w14:textId="77777777" w:rsidTr="00947DB4">
        <w:trPr>
          <w:trHeight w:val="303"/>
        </w:trPr>
        <w:tc>
          <w:tcPr>
            <w:tcW w:w="4833" w:type="dxa"/>
            <w:noWrap/>
            <w:vAlign w:val="bottom"/>
            <w:hideMark/>
          </w:tcPr>
          <w:p w14:paraId="6BC2E3CF"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Triglyceride blood levels (mmol/L)</w:t>
            </w:r>
          </w:p>
        </w:tc>
        <w:tc>
          <w:tcPr>
            <w:tcW w:w="2065" w:type="dxa"/>
            <w:noWrap/>
            <w:vAlign w:val="bottom"/>
            <w:hideMark/>
          </w:tcPr>
          <w:p w14:paraId="2EAA6D1E" w14:textId="77777777" w:rsidR="00364E9A" w:rsidRPr="00364E9A" w:rsidRDefault="00364E9A" w:rsidP="00577D89">
            <w:pPr>
              <w:pStyle w:val="Body"/>
              <w:spacing w:after="0"/>
              <w:ind w:right="720"/>
              <w:rPr>
                <w:rFonts w:ascii="Arial" w:hAnsi="Arial" w:cs="Arial"/>
              </w:rPr>
            </w:pPr>
          </w:p>
        </w:tc>
        <w:tc>
          <w:tcPr>
            <w:tcW w:w="1324" w:type="dxa"/>
            <w:noWrap/>
            <w:vAlign w:val="bottom"/>
            <w:hideMark/>
          </w:tcPr>
          <w:p w14:paraId="5B28E78C" w14:textId="77777777" w:rsidR="00364E9A" w:rsidRPr="00364E9A" w:rsidRDefault="00364E9A" w:rsidP="00577D89">
            <w:pPr>
              <w:pStyle w:val="Body"/>
              <w:spacing w:after="0"/>
              <w:ind w:right="720"/>
              <w:rPr>
                <w:rFonts w:ascii="Arial" w:hAnsi="Arial" w:cs="Arial"/>
              </w:rPr>
            </w:pPr>
          </w:p>
        </w:tc>
      </w:tr>
      <w:tr w:rsidR="00364E9A" w:rsidRPr="00364E9A" w14:paraId="28ED01C7" w14:textId="77777777" w:rsidTr="00947DB4">
        <w:trPr>
          <w:trHeight w:val="303"/>
        </w:trPr>
        <w:tc>
          <w:tcPr>
            <w:tcW w:w="4833" w:type="dxa"/>
            <w:noWrap/>
            <w:vAlign w:val="bottom"/>
            <w:hideMark/>
          </w:tcPr>
          <w:p w14:paraId="1B0DA224" w14:textId="77777777" w:rsidR="00364E9A" w:rsidRPr="00364E9A" w:rsidRDefault="00364E9A" w:rsidP="00577D89">
            <w:pPr>
              <w:pStyle w:val="Body"/>
              <w:spacing w:after="0"/>
              <w:ind w:right="720"/>
              <w:rPr>
                <w:rFonts w:ascii="Arial" w:hAnsi="Arial" w:cs="Arial"/>
              </w:rPr>
            </w:pPr>
            <w:r w:rsidRPr="00364E9A">
              <w:rPr>
                <w:rFonts w:ascii="Arial" w:hAnsi="Arial" w:cs="Arial"/>
              </w:rPr>
              <w:t>≤2.26</w:t>
            </w:r>
          </w:p>
        </w:tc>
        <w:tc>
          <w:tcPr>
            <w:tcW w:w="2065" w:type="dxa"/>
            <w:noWrap/>
            <w:vAlign w:val="bottom"/>
            <w:hideMark/>
          </w:tcPr>
          <w:p w14:paraId="751200B6" w14:textId="77777777" w:rsidR="00364E9A" w:rsidRPr="00364E9A" w:rsidRDefault="00364E9A" w:rsidP="00577D89">
            <w:pPr>
              <w:pStyle w:val="Body"/>
              <w:spacing w:after="0"/>
              <w:ind w:right="720"/>
              <w:rPr>
                <w:rFonts w:ascii="Arial" w:hAnsi="Arial" w:cs="Arial"/>
              </w:rPr>
            </w:pPr>
            <w:r w:rsidRPr="00364E9A">
              <w:rPr>
                <w:rFonts w:ascii="Arial" w:hAnsi="Arial" w:cs="Arial"/>
              </w:rPr>
              <w:t>73</w:t>
            </w:r>
          </w:p>
        </w:tc>
        <w:tc>
          <w:tcPr>
            <w:tcW w:w="1324" w:type="dxa"/>
            <w:noWrap/>
            <w:vAlign w:val="bottom"/>
            <w:hideMark/>
          </w:tcPr>
          <w:p w14:paraId="4EB24AD1" w14:textId="77777777" w:rsidR="00364E9A" w:rsidRPr="00364E9A" w:rsidRDefault="00364E9A" w:rsidP="00577D89">
            <w:pPr>
              <w:pStyle w:val="Body"/>
              <w:spacing w:after="0"/>
              <w:ind w:right="720"/>
              <w:rPr>
                <w:rFonts w:ascii="Arial" w:hAnsi="Arial" w:cs="Arial"/>
              </w:rPr>
            </w:pPr>
            <w:r w:rsidRPr="00364E9A">
              <w:rPr>
                <w:rFonts w:ascii="Arial" w:hAnsi="Arial" w:cs="Arial"/>
              </w:rPr>
              <w:t>69.5</w:t>
            </w:r>
          </w:p>
        </w:tc>
      </w:tr>
      <w:tr w:rsidR="00364E9A" w:rsidRPr="00364E9A" w14:paraId="405FCCAD" w14:textId="77777777" w:rsidTr="00947DB4">
        <w:trPr>
          <w:trHeight w:val="303"/>
        </w:trPr>
        <w:tc>
          <w:tcPr>
            <w:tcW w:w="4833" w:type="dxa"/>
            <w:noWrap/>
            <w:vAlign w:val="bottom"/>
            <w:hideMark/>
          </w:tcPr>
          <w:p w14:paraId="2769FE92" w14:textId="77777777" w:rsidR="00364E9A" w:rsidRPr="00364E9A" w:rsidRDefault="00364E9A" w:rsidP="00577D89">
            <w:pPr>
              <w:pStyle w:val="Body"/>
              <w:spacing w:after="0"/>
              <w:ind w:right="720"/>
              <w:rPr>
                <w:rFonts w:ascii="Arial" w:hAnsi="Arial" w:cs="Arial"/>
              </w:rPr>
            </w:pPr>
            <w:r w:rsidRPr="00364E9A">
              <w:rPr>
                <w:rFonts w:ascii="Arial" w:hAnsi="Arial" w:cs="Arial"/>
              </w:rPr>
              <w:t>&gt;2.26</w:t>
            </w:r>
          </w:p>
        </w:tc>
        <w:tc>
          <w:tcPr>
            <w:tcW w:w="2065" w:type="dxa"/>
            <w:noWrap/>
            <w:vAlign w:val="bottom"/>
            <w:hideMark/>
          </w:tcPr>
          <w:p w14:paraId="2857E143" w14:textId="77777777" w:rsidR="00364E9A" w:rsidRPr="00364E9A" w:rsidRDefault="00364E9A" w:rsidP="00577D89">
            <w:pPr>
              <w:pStyle w:val="Body"/>
              <w:spacing w:after="0"/>
              <w:ind w:right="720"/>
              <w:rPr>
                <w:rFonts w:ascii="Arial" w:hAnsi="Arial" w:cs="Arial"/>
              </w:rPr>
            </w:pPr>
            <w:r w:rsidRPr="00364E9A">
              <w:rPr>
                <w:rFonts w:ascii="Arial" w:hAnsi="Arial" w:cs="Arial"/>
              </w:rPr>
              <w:t>32</w:t>
            </w:r>
          </w:p>
        </w:tc>
        <w:tc>
          <w:tcPr>
            <w:tcW w:w="1324" w:type="dxa"/>
            <w:noWrap/>
            <w:vAlign w:val="bottom"/>
            <w:hideMark/>
          </w:tcPr>
          <w:p w14:paraId="4E697FFC" w14:textId="77777777" w:rsidR="00364E9A" w:rsidRPr="00364E9A" w:rsidRDefault="00364E9A" w:rsidP="00577D89">
            <w:pPr>
              <w:pStyle w:val="Body"/>
              <w:spacing w:after="0"/>
              <w:ind w:right="720"/>
              <w:rPr>
                <w:rFonts w:ascii="Arial" w:hAnsi="Arial" w:cs="Arial"/>
              </w:rPr>
            </w:pPr>
            <w:r w:rsidRPr="00364E9A">
              <w:rPr>
                <w:rFonts w:ascii="Arial" w:hAnsi="Arial" w:cs="Arial"/>
              </w:rPr>
              <w:t>30.5</w:t>
            </w:r>
          </w:p>
        </w:tc>
      </w:tr>
      <w:tr w:rsidR="00364E9A" w:rsidRPr="00364E9A" w14:paraId="79D22D09" w14:textId="77777777" w:rsidTr="00947DB4">
        <w:trPr>
          <w:trHeight w:val="303"/>
        </w:trPr>
        <w:tc>
          <w:tcPr>
            <w:tcW w:w="4833" w:type="dxa"/>
            <w:noWrap/>
            <w:vAlign w:val="bottom"/>
            <w:hideMark/>
          </w:tcPr>
          <w:p w14:paraId="363BD26E" w14:textId="77777777" w:rsidR="00364E9A" w:rsidRPr="00364E9A" w:rsidRDefault="00364E9A" w:rsidP="00577D89">
            <w:pPr>
              <w:pStyle w:val="Body"/>
              <w:spacing w:after="0"/>
              <w:ind w:right="720"/>
              <w:rPr>
                <w:rFonts w:ascii="Arial" w:hAnsi="Arial" w:cs="Arial"/>
                <w:i/>
                <w:iCs/>
              </w:rPr>
            </w:pPr>
            <w:proofErr w:type="gramStart"/>
            <w:r w:rsidRPr="00364E9A">
              <w:rPr>
                <w:rFonts w:ascii="Arial" w:hAnsi="Arial" w:cs="Arial"/>
                <w:i/>
                <w:iCs/>
              </w:rPr>
              <w:lastRenderedPageBreak/>
              <w:t>Mean(</w:t>
            </w:r>
            <w:proofErr w:type="gramEnd"/>
            <w:r w:rsidRPr="00364E9A">
              <w:rPr>
                <w:rFonts w:ascii="Arial" w:hAnsi="Arial" w:cs="Arial"/>
                <w:i/>
                <w:iCs/>
              </w:rPr>
              <w:t>SD)</w:t>
            </w:r>
          </w:p>
        </w:tc>
        <w:tc>
          <w:tcPr>
            <w:tcW w:w="2065" w:type="dxa"/>
            <w:noWrap/>
            <w:vAlign w:val="bottom"/>
            <w:hideMark/>
          </w:tcPr>
          <w:p w14:paraId="300487AD" w14:textId="77777777" w:rsidR="00364E9A" w:rsidRPr="00364E9A" w:rsidRDefault="00364E9A" w:rsidP="00577D89">
            <w:pPr>
              <w:pStyle w:val="Body"/>
              <w:spacing w:after="0"/>
              <w:ind w:right="720"/>
              <w:rPr>
                <w:rFonts w:ascii="Arial" w:hAnsi="Arial" w:cs="Arial"/>
                <w:i/>
                <w:iCs/>
              </w:rPr>
            </w:pPr>
            <w:r w:rsidRPr="00364E9A">
              <w:rPr>
                <w:rFonts w:ascii="Arial" w:hAnsi="Arial" w:cs="Arial"/>
                <w:i/>
                <w:iCs/>
              </w:rPr>
              <w:t>1.9(±0.09)</w:t>
            </w:r>
          </w:p>
        </w:tc>
        <w:tc>
          <w:tcPr>
            <w:tcW w:w="1324" w:type="dxa"/>
            <w:noWrap/>
            <w:vAlign w:val="bottom"/>
            <w:hideMark/>
          </w:tcPr>
          <w:p w14:paraId="38D5B6CA" w14:textId="77777777" w:rsidR="00364E9A" w:rsidRPr="00364E9A" w:rsidRDefault="00364E9A" w:rsidP="00577D89">
            <w:pPr>
              <w:pStyle w:val="Body"/>
              <w:spacing w:after="0"/>
              <w:ind w:right="720"/>
              <w:rPr>
                <w:rFonts w:ascii="Arial" w:hAnsi="Arial" w:cs="Arial"/>
              </w:rPr>
            </w:pPr>
          </w:p>
        </w:tc>
      </w:tr>
      <w:tr w:rsidR="00364E9A" w:rsidRPr="00364E9A" w14:paraId="0C115577" w14:textId="77777777" w:rsidTr="00947DB4">
        <w:trPr>
          <w:trHeight w:val="303"/>
        </w:trPr>
        <w:tc>
          <w:tcPr>
            <w:tcW w:w="4833" w:type="dxa"/>
            <w:noWrap/>
            <w:vAlign w:val="bottom"/>
            <w:hideMark/>
          </w:tcPr>
          <w:p w14:paraId="0F16A151"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Serum Creatinine blood levels (µmol/L)</w:t>
            </w:r>
          </w:p>
        </w:tc>
        <w:tc>
          <w:tcPr>
            <w:tcW w:w="2065" w:type="dxa"/>
            <w:noWrap/>
            <w:vAlign w:val="bottom"/>
            <w:hideMark/>
          </w:tcPr>
          <w:p w14:paraId="72375B64" w14:textId="77777777" w:rsidR="00364E9A" w:rsidRPr="00364E9A" w:rsidRDefault="00364E9A" w:rsidP="00577D89">
            <w:pPr>
              <w:pStyle w:val="Body"/>
              <w:spacing w:after="0"/>
              <w:ind w:right="720"/>
              <w:rPr>
                <w:rFonts w:ascii="Arial" w:hAnsi="Arial" w:cs="Arial"/>
              </w:rPr>
            </w:pPr>
          </w:p>
        </w:tc>
        <w:tc>
          <w:tcPr>
            <w:tcW w:w="1324" w:type="dxa"/>
            <w:noWrap/>
            <w:vAlign w:val="bottom"/>
            <w:hideMark/>
          </w:tcPr>
          <w:p w14:paraId="50BA09A8" w14:textId="77777777" w:rsidR="00364E9A" w:rsidRPr="00364E9A" w:rsidRDefault="00364E9A" w:rsidP="00577D89">
            <w:pPr>
              <w:pStyle w:val="Body"/>
              <w:spacing w:after="0"/>
              <w:ind w:right="720"/>
              <w:rPr>
                <w:rFonts w:ascii="Arial" w:hAnsi="Arial" w:cs="Arial"/>
              </w:rPr>
            </w:pPr>
          </w:p>
        </w:tc>
      </w:tr>
      <w:tr w:rsidR="00364E9A" w:rsidRPr="00364E9A" w14:paraId="13C5A7FE" w14:textId="77777777" w:rsidTr="00947DB4">
        <w:trPr>
          <w:trHeight w:val="303"/>
        </w:trPr>
        <w:tc>
          <w:tcPr>
            <w:tcW w:w="4833" w:type="dxa"/>
            <w:tcBorders>
              <w:bottom w:val="single" w:sz="12" w:space="0" w:color="auto"/>
            </w:tcBorders>
            <w:noWrap/>
            <w:vAlign w:val="bottom"/>
            <w:hideMark/>
          </w:tcPr>
          <w:p w14:paraId="10086B22" w14:textId="77777777" w:rsidR="00364E9A" w:rsidRPr="00364E9A" w:rsidRDefault="00364E9A" w:rsidP="00577D89">
            <w:pPr>
              <w:pStyle w:val="Body"/>
              <w:spacing w:after="0"/>
              <w:ind w:right="720"/>
              <w:rPr>
                <w:rFonts w:ascii="Arial" w:hAnsi="Arial" w:cs="Arial"/>
                <w:i/>
                <w:iCs/>
              </w:rPr>
            </w:pPr>
            <w:proofErr w:type="gramStart"/>
            <w:r w:rsidRPr="00364E9A">
              <w:rPr>
                <w:rFonts w:ascii="Arial" w:hAnsi="Arial" w:cs="Arial"/>
                <w:i/>
                <w:iCs/>
              </w:rPr>
              <w:t>Mean(</w:t>
            </w:r>
            <w:proofErr w:type="gramEnd"/>
            <w:r w:rsidRPr="00364E9A">
              <w:rPr>
                <w:rFonts w:ascii="Arial" w:hAnsi="Arial" w:cs="Arial"/>
                <w:i/>
                <w:iCs/>
              </w:rPr>
              <w:t>SD)</w:t>
            </w:r>
          </w:p>
        </w:tc>
        <w:tc>
          <w:tcPr>
            <w:tcW w:w="2065" w:type="dxa"/>
            <w:tcBorders>
              <w:bottom w:val="single" w:sz="12" w:space="0" w:color="auto"/>
            </w:tcBorders>
            <w:noWrap/>
            <w:vAlign w:val="bottom"/>
            <w:hideMark/>
          </w:tcPr>
          <w:p w14:paraId="2E02B3F8" w14:textId="77777777" w:rsidR="00364E9A" w:rsidRPr="00364E9A" w:rsidRDefault="00364E9A" w:rsidP="00577D89">
            <w:pPr>
              <w:pStyle w:val="Body"/>
              <w:spacing w:after="0"/>
              <w:ind w:right="720"/>
              <w:rPr>
                <w:rFonts w:ascii="Arial" w:hAnsi="Arial" w:cs="Arial"/>
                <w:i/>
                <w:iCs/>
              </w:rPr>
            </w:pPr>
            <w:r w:rsidRPr="00364E9A">
              <w:rPr>
                <w:rFonts w:ascii="Arial" w:hAnsi="Arial" w:cs="Arial"/>
                <w:i/>
                <w:iCs/>
              </w:rPr>
              <w:t>78.0(±11.24)</w:t>
            </w:r>
          </w:p>
        </w:tc>
        <w:tc>
          <w:tcPr>
            <w:tcW w:w="1324" w:type="dxa"/>
            <w:tcBorders>
              <w:bottom w:val="single" w:sz="12" w:space="0" w:color="auto"/>
            </w:tcBorders>
            <w:noWrap/>
            <w:vAlign w:val="bottom"/>
            <w:hideMark/>
          </w:tcPr>
          <w:p w14:paraId="38BF08E9" w14:textId="77777777" w:rsidR="00364E9A" w:rsidRPr="00364E9A" w:rsidRDefault="00364E9A" w:rsidP="00577D89">
            <w:pPr>
              <w:pStyle w:val="Body"/>
              <w:spacing w:after="0"/>
              <w:ind w:right="720"/>
              <w:rPr>
                <w:rFonts w:ascii="Arial" w:hAnsi="Arial" w:cs="Arial"/>
              </w:rPr>
            </w:pPr>
          </w:p>
        </w:tc>
      </w:tr>
    </w:tbl>
    <w:p w14:paraId="20CA6A7B" w14:textId="77777777" w:rsidR="00364E9A" w:rsidRDefault="00364E9A" w:rsidP="00577D89">
      <w:pPr>
        <w:pStyle w:val="Body"/>
        <w:spacing w:after="0"/>
        <w:ind w:right="720"/>
        <w:rPr>
          <w:rFonts w:ascii="Arial" w:hAnsi="Arial" w:cs="Arial"/>
        </w:rPr>
      </w:pPr>
    </w:p>
    <w:p w14:paraId="1063B4CC" w14:textId="77777777" w:rsidR="00364E9A" w:rsidRPr="00364E9A" w:rsidRDefault="00364E9A" w:rsidP="00577D89">
      <w:pPr>
        <w:pStyle w:val="Body"/>
        <w:spacing w:after="0"/>
        <w:ind w:right="720"/>
        <w:rPr>
          <w:rFonts w:ascii="Arial" w:hAnsi="Arial" w:cs="Arial"/>
          <w:b/>
        </w:rPr>
      </w:pPr>
      <w:r w:rsidRPr="00364E9A">
        <w:rPr>
          <w:rFonts w:ascii="Arial" w:hAnsi="Arial" w:cs="Arial"/>
          <w:b/>
        </w:rPr>
        <w:t>Distribution of CSMT and BCVA of injected eyes 4 weeks after injection</w:t>
      </w:r>
    </w:p>
    <w:p w14:paraId="5C1BADDB" w14:textId="77777777" w:rsidR="00364E9A" w:rsidRDefault="00364E9A" w:rsidP="00577D89">
      <w:pPr>
        <w:pStyle w:val="Body"/>
        <w:spacing w:after="0"/>
        <w:ind w:right="720"/>
        <w:rPr>
          <w:rFonts w:ascii="Arial" w:hAnsi="Arial" w:cs="Arial"/>
          <w:b/>
        </w:rPr>
      </w:pPr>
    </w:p>
    <w:p w14:paraId="2CE989CB" w14:textId="77777777" w:rsidR="00364E9A" w:rsidRPr="00364E9A" w:rsidRDefault="00364E9A" w:rsidP="00577D89">
      <w:pPr>
        <w:pStyle w:val="Body"/>
        <w:spacing w:after="0"/>
        <w:ind w:right="720"/>
        <w:rPr>
          <w:rFonts w:ascii="Arial" w:hAnsi="Arial" w:cs="Arial"/>
          <w:b/>
        </w:rPr>
        <w:sectPr w:rsidR="00364E9A" w:rsidRPr="00364E9A" w:rsidSect="00BB14ED">
          <w:type w:val="continuous"/>
          <w:pgSz w:w="12240" w:h="15840"/>
          <w:pgMar w:top="1440" w:right="1440" w:bottom="1440" w:left="1440" w:header="720" w:footer="720" w:gutter="0"/>
          <w:cols w:space="720"/>
          <w:docGrid w:linePitch="360"/>
        </w:sectPr>
      </w:pPr>
    </w:p>
    <w:p w14:paraId="1658056B" w14:textId="77777777" w:rsidR="00364E9A" w:rsidRPr="00364E9A" w:rsidRDefault="00364E9A" w:rsidP="00577D89">
      <w:pPr>
        <w:pStyle w:val="Body"/>
        <w:tabs>
          <w:tab w:val="left" w:pos="9000"/>
        </w:tabs>
        <w:spacing w:after="0"/>
        <w:ind w:right="720"/>
        <w:rPr>
          <w:rFonts w:ascii="Arial" w:hAnsi="Arial" w:cs="Arial"/>
        </w:rPr>
        <w:sectPr w:rsidR="00364E9A" w:rsidRPr="00364E9A" w:rsidSect="00BB14ED">
          <w:type w:val="continuous"/>
          <w:pgSz w:w="12240" w:h="15840"/>
          <w:pgMar w:top="1440" w:right="1440" w:bottom="1440" w:left="1440" w:header="720" w:footer="720" w:gutter="0"/>
          <w:cols w:space="720"/>
          <w:docGrid w:linePitch="360"/>
        </w:sectPr>
      </w:pPr>
      <w:r w:rsidRPr="00364E9A">
        <w:rPr>
          <w:rFonts w:ascii="Arial" w:hAnsi="Arial" w:cs="Arial"/>
          <w:b/>
        </w:rPr>
        <w:t xml:space="preserve">Table 3, </w:t>
      </w:r>
      <w:r w:rsidRPr="00364E9A">
        <w:rPr>
          <w:rFonts w:ascii="Arial" w:hAnsi="Arial" w:cs="Arial"/>
        </w:rPr>
        <w:t>below showing distribution of CSMT and BCVA of injected eyes 4weeks after injection, among the 105 injected eyes assed at four weeks after intra-</w:t>
      </w:r>
      <w:proofErr w:type="spellStart"/>
      <w:r w:rsidRPr="00364E9A">
        <w:rPr>
          <w:rFonts w:ascii="Arial" w:hAnsi="Arial" w:cs="Arial"/>
        </w:rPr>
        <w:t>vitreal</w:t>
      </w:r>
      <w:proofErr w:type="spellEnd"/>
      <w:r w:rsidRPr="00364E9A">
        <w:rPr>
          <w:rFonts w:ascii="Arial" w:hAnsi="Arial" w:cs="Arial"/>
        </w:rPr>
        <w:t xml:space="preserve"> bevacizumab injection, 83 eyes (79.05%) showed a decrease in CSMT, 22 eyes (20.95%) showed an increase in the CSMT, among all no eyes (0%) had unchanged CSMT. Among 105 44 eyes (41.9%) experienced a decrease in the </w:t>
      </w:r>
      <w:proofErr w:type="spellStart"/>
      <w:r w:rsidRPr="00364E9A">
        <w:rPr>
          <w:rFonts w:ascii="Arial" w:hAnsi="Arial" w:cs="Arial"/>
        </w:rPr>
        <w:t>LogMAR</w:t>
      </w:r>
      <w:proofErr w:type="spellEnd"/>
      <w:r w:rsidRPr="00364E9A">
        <w:rPr>
          <w:rFonts w:ascii="Arial" w:hAnsi="Arial" w:cs="Arial"/>
        </w:rPr>
        <w:t xml:space="preserve"> VA, 11 eyes (10.5%) showed an increase in </w:t>
      </w:r>
      <w:proofErr w:type="spellStart"/>
      <w:r w:rsidRPr="00364E9A">
        <w:rPr>
          <w:rFonts w:ascii="Arial" w:hAnsi="Arial" w:cs="Arial"/>
        </w:rPr>
        <w:t>LogMAR</w:t>
      </w:r>
      <w:proofErr w:type="spellEnd"/>
      <w:r w:rsidRPr="00364E9A">
        <w:rPr>
          <w:rFonts w:ascii="Arial" w:hAnsi="Arial" w:cs="Arial"/>
        </w:rPr>
        <w:t xml:space="preserve"> VA (indicating worsened VA), whereas 50 eyes (47.6%) had no change in the </w:t>
      </w:r>
      <w:proofErr w:type="spellStart"/>
      <w:r w:rsidRPr="00364E9A">
        <w:rPr>
          <w:rFonts w:ascii="Arial" w:hAnsi="Arial" w:cs="Arial"/>
        </w:rPr>
        <w:t>LogMAR</w:t>
      </w:r>
      <w:proofErr w:type="spellEnd"/>
      <w:r w:rsidRPr="00364E9A">
        <w:rPr>
          <w:rFonts w:ascii="Arial" w:hAnsi="Arial" w:cs="Arial"/>
        </w:rPr>
        <w:t xml:space="preserve"> VA. These findings indicate that while the majority of eyes showed anatomical improvement in CSMT following treatment, fewer eyes showed corresponding imp</w:t>
      </w:r>
      <w:r w:rsidR="00577D89">
        <w:rPr>
          <w:rFonts w:ascii="Arial" w:hAnsi="Arial" w:cs="Arial"/>
        </w:rPr>
        <w:t>rovement in visual-</w:t>
      </w:r>
      <w:r w:rsidRPr="00364E9A">
        <w:rPr>
          <w:rFonts w:ascii="Arial" w:hAnsi="Arial" w:cs="Arial"/>
        </w:rPr>
        <w:t>acuity</w:t>
      </w:r>
      <w:r w:rsidRPr="00364E9A">
        <w:rPr>
          <w:rFonts w:ascii="Arial" w:hAnsi="Arial" w:cs="Arial"/>
          <w:b/>
        </w:rPr>
        <w:t>.</w:t>
      </w:r>
    </w:p>
    <w:p w14:paraId="49D49716" w14:textId="77777777" w:rsidR="00364E9A" w:rsidRPr="00364E9A" w:rsidRDefault="00364E9A" w:rsidP="00577D89">
      <w:pPr>
        <w:pStyle w:val="Body"/>
        <w:tabs>
          <w:tab w:val="left" w:pos="9000"/>
        </w:tabs>
        <w:spacing w:after="0"/>
        <w:ind w:right="720"/>
        <w:rPr>
          <w:rFonts w:ascii="Arial" w:hAnsi="Arial" w:cs="Arial"/>
          <w:b/>
        </w:rPr>
      </w:pPr>
    </w:p>
    <w:p w14:paraId="7BB51030" w14:textId="77777777" w:rsidR="00364E9A" w:rsidRPr="00364E9A" w:rsidRDefault="00364E9A" w:rsidP="00577D89">
      <w:pPr>
        <w:pStyle w:val="Body"/>
        <w:spacing w:after="0"/>
        <w:ind w:right="720"/>
        <w:rPr>
          <w:rFonts w:ascii="Arial" w:hAnsi="Arial" w:cs="Arial"/>
          <w:b/>
        </w:rPr>
      </w:pPr>
    </w:p>
    <w:p w14:paraId="6C3B0289" w14:textId="77777777" w:rsidR="00364E9A" w:rsidRPr="00364E9A" w:rsidRDefault="00364E9A" w:rsidP="00577D89">
      <w:pPr>
        <w:pStyle w:val="Body"/>
        <w:spacing w:after="0"/>
        <w:ind w:right="720"/>
        <w:rPr>
          <w:rFonts w:ascii="Arial" w:hAnsi="Arial" w:cs="Arial"/>
          <w:b/>
        </w:rPr>
      </w:pPr>
    </w:p>
    <w:p w14:paraId="2EDD40C6" w14:textId="77777777" w:rsidR="00364E9A" w:rsidRPr="00364E9A" w:rsidRDefault="00364E9A" w:rsidP="00577D89">
      <w:pPr>
        <w:pStyle w:val="Body"/>
        <w:spacing w:after="0"/>
        <w:ind w:right="720"/>
        <w:rPr>
          <w:rFonts w:ascii="Arial" w:hAnsi="Arial" w:cs="Arial"/>
        </w:rPr>
      </w:pPr>
      <w:r w:rsidRPr="00364E9A">
        <w:rPr>
          <w:rFonts w:ascii="Arial" w:hAnsi="Arial" w:cs="Arial"/>
          <w:b/>
        </w:rPr>
        <w:t>Table 3:</w:t>
      </w:r>
      <w:r w:rsidRPr="00364E9A">
        <w:rPr>
          <w:rFonts w:ascii="Arial" w:hAnsi="Arial" w:cs="Arial"/>
        </w:rPr>
        <w:t xml:space="preserve"> Distribution of CSMT and BCVA of injected eyes 4 weeks after injection (N=105)</w:t>
      </w:r>
    </w:p>
    <w:tbl>
      <w:tblPr>
        <w:tblW w:w="8696" w:type="dxa"/>
        <w:tblLook w:val="04A0" w:firstRow="1" w:lastRow="0" w:firstColumn="1" w:lastColumn="0" w:noHBand="0" w:noVBand="1"/>
      </w:tblPr>
      <w:tblGrid>
        <w:gridCol w:w="3918"/>
        <w:gridCol w:w="2599"/>
        <w:gridCol w:w="2179"/>
      </w:tblGrid>
      <w:tr w:rsidR="00364E9A" w:rsidRPr="00364E9A" w14:paraId="1566F407" w14:textId="77777777" w:rsidTr="00947DB4">
        <w:trPr>
          <w:trHeight w:val="253"/>
        </w:trPr>
        <w:tc>
          <w:tcPr>
            <w:tcW w:w="3918" w:type="dxa"/>
            <w:tcBorders>
              <w:top w:val="nil"/>
              <w:left w:val="nil"/>
              <w:bottom w:val="single" w:sz="12" w:space="0" w:color="auto"/>
              <w:right w:val="nil"/>
            </w:tcBorders>
            <w:noWrap/>
            <w:vAlign w:val="bottom"/>
            <w:hideMark/>
          </w:tcPr>
          <w:p w14:paraId="790AC145"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Characteristics</w:t>
            </w:r>
          </w:p>
        </w:tc>
        <w:tc>
          <w:tcPr>
            <w:tcW w:w="2599" w:type="dxa"/>
            <w:tcBorders>
              <w:top w:val="nil"/>
              <w:left w:val="nil"/>
              <w:bottom w:val="single" w:sz="12" w:space="0" w:color="auto"/>
              <w:right w:val="nil"/>
            </w:tcBorders>
            <w:noWrap/>
            <w:vAlign w:val="bottom"/>
            <w:hideMark/>
          </w:tcPr>
          <w:p w14:paraId="2CA57000"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n</w:t>
            </w:r>
          </w:p>
        </w:tc>
        <w:tc>
          <w:tcPr>
            <w:tcW w:w="2179" w:type="dxa"/>
            <w:tcBorders>
              <w:top w:val="nil"/>
              <w:left w:val="nil"/>
              <w:bottom w:val="single" w:sz="12" w:space="0" w:color="auto"/>
              <w:right w:val="nil"/>
            </w:tcBorders>
            <w:noWrap/>
            <w:vAlign w:val="bottom"/>
            <w:hideMark/>
          </w:tcPr>
          <w:p w14:paraId="61C67442"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w:t>
            </w:r>
          </w:p>
        </w:tc>
      </w:tr>
      <w:tr w:rsidR="00364E9A" w:rsidRPr="00364E9A" w14:paraId="037A2FFF" w14:textId="77777777" w:rsidTr="00947DB4">
        <w:trPr>
          <w:trHeight w:val="265"/>
        </w:trPr>
        <w:tc>
          <w:tcPr>
            <w:tcW w:w="3918" w:type="dxa"/>
            <w:tcBorders>
              <w:top w:val="nil"/>
              <w:left w:val="nil"/>
              <w:bottom w:val="nil"/>
              <w:right w:val="nil"/>
            </w:tcBorders>
            <w:noWrap/>
            <w:vAlign w:val="bottom"/>
            <w:hideMark/>
          </w:tcPr>
          <w:p w14:paraId="29AC612C"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CSMT Changes</w:t>
            </w:r>
          </w:p>
        </w:tc>
        <w:tc>
          <w:tcPr>
            <w:tcW w:w="2599" w:type="dxa"/>
            <w:tcBorders>
              <w:top w:val="nil"/>
              <w:left w:val="nil"/>
              <w:bottom w:val="single" w:sz="12" w:space="0" w:color="auto"/>
              <w:right w:val="nil"/>
            </w:tcBorders>
            <w:noWrap/>
            <w:vAlign w:val="bottom"/>
            <w:hideMark/>
          </w:tcPr>
          <w:p w14:paraId="5518AA67"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 </w:t>
            </w:r>
          </w:p>
        </w:tc>
        <w:tc>
          <w:tcPr>
            <w:tcW w:w="2179" w:type="dxa"/>
            <w:tcBorders>
              <w:top w:val="nil"/>
              <w:left w:val="nil"/>
              <w:bottom w:val="single" w:sz="12" w:space="0" w:color="auto"/>
              <w:right w:val="nil"/>
            </w:tcBorders>
            <w:noWrap/>
            <w:vAlign w:val="bottom"/>
            <w:hideMark/>
          </w:tcPr>
          <w:p w14:paraId="2E4E0DF5"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 </w:t>
            </w:r>
          </w:p>
        </w:tc>
      </w:tr>
      <w:tr w:rsidR="00364E9A" w:rsidRPr="00364E9A" w14:paraId="231E4D3E" w14:textId="77777777" w:rsidTr="00947DB4">
        <w:trPr>
          <w:trHeight w:val="253"/>
        </w:trPr>
        <w:tc>
          <w:tcPr>
            <w:tcW w:w="3918" w:type="dxa"/>
            <w:tcBorders>
              <w:top w:val="nil"/>
              <w:left w:val="nil"/>
              <w:bottom w:val="nil"/>
              <w:right w:val="nil"/>
            </w:tcBorders>
            <w:noWrap/>
            <w:vAlign w:val="bottom"/>
            <w:hideMark/>
          </w:tcPr>
          <w:p w14:paraId="019001C3"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 xml:space="preserve">Decreased </w:t>
            </w:r>
          </w:p>
        </w:tc>
        <w:tc>
          <w:tcPr>
            <w:tcW w:w="2599" w:type="dxa"/>
            <w:tcBorders>
              <w:top w:val="nil"/>
              <w:left w:val="nil"/>
              <w:bottom w:val="nil"/>
              <w:right w:val="nil"/>
            </w:tcBorders>
            <w:noWrap/>
            <w:vAlign w:val="bottom"/>
            <w:hideMark/>
          </w:tcPr>
          <w:p w14:paraId="0CA04B31"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83</w:t>
            </w:r>
          </w:p>
        </w:tc>
        <w:tc>
          <w:tcPr>
            <w:tcW w:w="2179" w:type="dxa"/>
            <w:tcBorders>
              <w:top w:val="nil"/>
              <w:left w:val="nil"/>
              <w:bottom w:val="nil"/>
              <w:right w:val="nil"/>
            </w:tcBorders>
            <w:noWrap/>
            <w:vAlign w:val="bottom"/>
            <w:hideMark/>
          </w:tcPr>
          <w:p w14:paraId="7C7156DD"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79.05</w:t>
            </w:r>
          </w:p>
        </w:tc>
      </w:tr>
      <w:tr w:rsidR="00364E9A" w:rsidRPr="00364E9A" w14:paraId="063F1043" w14:textId="77777777" w:rsidTr="00947DB4">
        <w:trPr>
          <w:trHeight w:val="241"/>
        </w:trPr>
        <w:tc>
          <w:tcPr>
            <w:tcW w:w="3918" w:type="dxa"/>
            <w:tcBorders>
              <w:top w:val="nil"/>
              <w:left w:val="nil"/>
              <w:bottom w:val="nil"/>
              <w:right w:val="nil"/>
            </w:tcBorders>
            <w:noWrap/>
            <w:vAlign w:val="bottom"/>
            <w:hideMark/>
          </w:tcPr>
          <w:p w14:paraId="5C860370"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Increased</w:t>
            </w:r>
          </w:p>
        </w:tc>
        <w:tc>
          <w:tcPr>
            <w:tcW w:w="2599" w:type="dxa"/>
            <w:tcBorders>
              <w:top w:val="nil"/>
              <w:left w:val="nil"/>
              <w:bottom w:val="nil"/>
              <w:right w:val="nil"/>
            </w:tcBorders>
            <w:noWrap/>
            <w:vAlign w:val="bottom"/>
            <w:hideMark/>
          </w:tcPr>
          <w:p w14:paraId="1C3EB735"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22</w:t>
            </w:r>
          </w:p>
        </w:tc>
        <w:tc>
          <w:tcPr>
            <w:tcW w:w="2179" w:type="dxa"/>
            <w:tcBorders>
              <w:top w:val="nil"/>
              <w:left w:val="nil"/>
              <w:bottom w:val="nil"/>
              <w:right w:val="nil"/>
            </w:tcBorders>
            <w:noWrap/>
            <w:vAlign w:val="bottom"/>
            <w:hideMark/>
          </w:tcPr>
          <w:p w14:paraId="2D0725BA"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20.95</w:t>
            </w:r>
          </w:p>
        </w:tc>
      </w:tr>
      <w:tr w:rsidR="00364E9A" w:rsidRPr="00364E9A" w14:paraId="745091A3" w14:textId="77777777" w:rsidTr="00947DB4">
        <w:trPr>
          <w:trHeight w:val="241"/>
        </w:trPr>
        <w:tc>
          <w:tcPr>
            <w:tcW w:w="3918" w:type="dxa"/>
            <w:tcBorders>
              <w:top w:val="nil"/>
              <w:left w:val="nil"/>
              <w:bottom w:val="nil"/>
              <w:right w:val="nil"/>
            </w:tcBorders>
            <w:noWrap/>
            <w:vAlign w:val="bottom"/>
            <w:hideMark/>
          </w:tcPr>
          <w:p w14:paraId="3C5F9CF4"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Unchanged</w:t>
            </w:r>
          </w:p>
        </w:tc>
        <w:tc>
          <w:tcPr>
            <w:tcW w:w="2599" w:type="dxa"/>
            <w:tcBorders>
              <w:top w:val="nil"/>
              <w:left w:val="nil"/>
              <w:bottom w:val="nil"/>
              <w:right w:val="nil"/>
            </w:tcBorders>
            <w:noWrap/>
            <w:vAlign w:val="bottom"/>
            <w:hideMark/>
          </w:tcPr>
          <w:p w14:paraId="3B150279"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0</w:t>
            </w:r>
          </w:p>
        </w:tc>
        <w:tc>
          <w:tcPr>
            <w:tcW w:w="2179" w:type="dxa"/>
            <w:tcBorders>
              <w:top w:val="nil"/>
              <w:left w:val="nil"/>
              <w:bottom w:val="nil"/>
              <w:right w:val="nil"/>
            </w:tcBorders>
            <w:noWrap/>
            <w:vAlign w:val="bottom"/>
            <w:hideMark/>
          </w:tcPr>
          <w:p w14:paraId="300CC0E3" w14:textId="77777777" w:rsidR="00364E9A" w:rsidRPr="00364E9A" w:rsidRDefault="00364E9A" w:rsidP="00577D89">
            <w:pPr>
              <w:pStyle w:val="Body"/>
              <w:spacing w:after="0"/>
              <w:ind w:right="720"/>
              <w:rPr>
                <w:rFonts w:ascii="Arial" w:hAnsi="Arial" w:cs="Arial"/>
                <w:bCs/>
              </w:rPr>
            </w:pPr>
          </w:p>
        </w:tc>
      </w:tr>
      <w:tr w:rsidR="00364E9A" w:rsidRPr="00364E9A" w14:paraId="54AF2AE8" w14:textId="77777777" w:rsidTr="00947DB4">
        <w:trPr>
          <w:trHeight w:val="241"/>
        </w:trPr>
        <w:tc>
          <w:tcPr>
            <w:tcW w:w="3918" w:type="dxa"/>
            <w:tcBorders>
              <w:top w:val="nil"/>
              <w:left w:val="nil"/>
              <w:bottom w:val="nil"/>
              <w:right w:val="nil"/>
            </w:tcBorders>
            <w:noWrap/>
            <w:vAlign w:val="bottom"/>
            <w:hideMark/>
          </w:tcPr>
          <w:p w14:paraId="51F01DDD" w14:textId="77777777" w:rsidR="00364E9A" w:rsidRPr="00364E9A" w:rsidRDefault="00364E9A" w:rsidP="00577D89">
            <w:pPr>
              <w:pStyle w:val="Body"/>
              <w:spacing w:after="0"/>
              <w:ind w:right="720"/>
              <w:rPr>
                <w:rFonts w:ascii="Arial" w:hAnsi="Arial" w:cs="Arial"/>
              </w:rPr>
            </w:pPr>
          </w:p>
        </w:tc>
        <w:tc>
          <w:tcPr>
            <w:tcW w:w="2599" w:type="dxa"/>
            <w:tcBorders>
              <w:top w:val="nil"/>
              <w:left w:val="nil"/>
              <w:bottom w:val="nil"/>
              <w:right w:val="nil"/>
            </w:tcBorders>
            <w:noWrap/>
            <w:vAlign w:val="bottom"/>
            <w:hideMark/>
          </w:tcPr>
          <w:p w14:paraId="03B686AC"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1</w:t>
            </w:r>
            <w:r w:rsidRPr="00364E9A">
              <w:rPr>
                <w:rFonts w:ascii="Arial" w:hAnsi="Arial" w:cs="Arial"/>
                <w:b/>
                <w:bCs/>
              </w:rPr>
              <w:t>05</w:t>
            </w:r>
          </w:p>
        </w:tc>
        <w:tc>
          <w:tcPr>
            <w:tcW w:w="2179" w:type="dxa"/>
            <w:tcBorders>
              <w:top w:val="nil"/>
              <w:left w:val="nil"/>
              <w:bottom w:val="nil"/>
              <w:right w:val="nil"/>
            </w:tcBorders>
            <w:noWrap/>
            <w:vAlign w:val="bottom"/>
            <w:hideMark/>
          </w:tcPr>
          <w:p w14:paraId="0C5930BB"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100</w:t>
            </w:r>
          </w:p>
        </w:tc>
      </w:tr>
      <w:tr w:rsidR="00364E9A" w:rsidRPr="00364E9A" w14:paraId="7B2F2FCC" w14:textId="77777777" w:rsidTr="00947DB4">
        <w:trPr>
          <w:trHeight w:val="253"/>
        </w:trPr>
        <w:tc>
          <w:tcPr>
            <w:tcW w:w="3918" w:type="dxa"/>
            <w:tcBorders>
              <w:top w:val="nil"/>
              <w:left w:val="nil"/>
              <w:bottom w:val="nil"/>
              <w:right w:val="nil"/>
            </w:tcBorders>
            <w:noWrap/>
            <w:vAlign w:val="bottom"/>
            <w:hideMark/>
          </w:tcPr>
          <w:p w14:paraId="5F0DF03A" w14:textId="77777777" w:rsidR="00364E9A" w:rsidRPr="00364E9A" w:rsidRDefault="00364E9A" w:rsidP="00577D89">
            <w:pPr>
              <w:pStyle w:val="Body"/>
              <w:spacing w:after="0"/>
              <w:ind w:right="720"/>
              <w:rPr>
                <w:rFonts w:ascii="Arial" w:hAnsi="Arial" w:cs="Arial"/>
                <w:b/>
                <w:bCs/>
              </w:rPr>
            </w:pPr>
            <w:proofErr w:type="spellStart"/>
            <w:r w:rsidRPr="00364E9A">
              <w:rPr>
                <w:rFonts w:ascii="Arial" w:hAnsi="Arial" w:cs="Arial"/>
                <w:b/>
                <w:bCs/>
              </w:rPr>
              <w:t>LogMAR</w:t>
            </w:r>
            <w:proofErr w:type="spellEnd"/>
            <w:r w:rsidRPr="00364E9A">
              <w:rPr>
                <w:rFonts w:ascii="Arial" w:hAnsi="Arial" w:cs="Arial"/>
                <w:b/>
                <w:bCs/>
              </w:rPr>
              <w:t xml:space="preserve"> VA Changes</w:t>
            </w:r>
          </w:p>
        </w:tc>
        <w:tc>
          <w:tcPr>
            <w:tcW w:w="2599" w:type="dxa"/>
            <w:tcBorders>
              <w:top w:val="nil"/>
              <w:left w:val="nil"/>
              <w:bottom w:val="single" w:sz="12" w:space="0" w:color="auto"/>
              <w:right w:val="nil"/>
            </w:tcBorders>
            <w:noWrap/>
            <w:vAlign w:val="bottom"/>
            <w:hideMark/>
          </w:tcPr>
          <w:p w14:paraId="34C5DB21"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 </w:t>
            </w:r>
          </w:p>
        </w:tc>
        <w:tc>
          <w:tcPr>
            <w:tcW w:w="2179" w:type="dxa"/>
            <w:tcBorders>
              <w:top w:val="nil"/>
              <w:left w:val="nil"/>
              <w:bottom w:val="single" w:sz="12" w:space="0" w:color="auto"/>
              <w:right w:val="nil"/>
            </w:tcBorders>
            <w:noWrap/>
            <w:vAlign w:val="bottom"/>
            <w:hideMark/>
          </w:tcPr>
          <w:p w14:paraId="257456B5"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 </w:t>
            </w:r>
          </w:p>
        </w:tc>
      </w:tr>
      <w:tr w:rsidR="00364E9A" w:rsidRPr="00364E9A" w14:paraId="5B742F32" w14:textId="77777777" w:rsidTr="00947DB4">
        <w:trPr>
          <w:trHeight w:val="253"/>
        </w:trPr>
        <w:tc>
          <w:tcPr>
            <w:tcW w:w="3918" w:type="dxa"/>
            <w:tcBorders>
              <w:top w:val="nil"/>
              <w:left w:val="nil"/>
              <w:bottom w:val="nil"/>
              <w:right w:val="nil"/>
            </w:tcBorders>
            <w:vAlign w:val="center"/>
            <w:hideMark/>
          </w:tcPr>
          <w:p w14:paraId="5C49A157"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 xml:space="preserve">Decreased </w:t>
            </w:r>
          </w:p>
        </w:tc>
        <w:tc>
          <w:tcPr>
            <w:tcW w:w="2599" w:type="dxa"/>
            <w:tcBorders>
              <w:top w:val="nil"/>
              <w:left w:val="nil"/>
              <w:bottom w:val="nil"/>
              <w:right w:val="nil"/>
            </w:tcBorders>
            <w:noWrap/>
            <w:vAlign w:val="bottom"/>
            <w:hideMark/>
          </w:tcPr>
          <w:p w14:paraId="0FBF66BE"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44</w:t>
            </w:r>
          </w:p>
        </w:tc>
        <w:tc>
          <w:tcPr>
            <w:tcW w:w="2179" w:type="dxa"/>
            <w:tcBorders>
              <w:top w:val="nil"/>
              <w:left w:val="nil"/>
              <w:bottom w:val="nil"/>
              <w:right w:val="nil"/>
            </w:tcBorders>
            <w:noWrap/>
            <w:vAlign w:val="bottom"/>
            <w:hideMark/>
          </w:tcPr>
          <w:p w14:paraId="3CD53C39"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41.9</w:t>
            </w:r>
          </w:p>
        </w:tc>
      </w:tr>
      <w:tr w:rsidR="00364E9A" w:rsidRPr="00364E9A" w14:paraId="09E9205B" w14:textId="77777777" w:rsidTr="00947DB4">
        <w:trPr>
          <w:trHeight w:val="241"/>
        </w:trPr>
        <w:tc>
          <w:tcPr>
            <w:tcW w:w="3918" w:type="dxa"/>
            <w:tcBorders>
              <w:top w:val="nil"/>
              <w:left w:val="nil"/>
              <w:bottom w:val="nil"/>
              <w:right w:val="nil"/>
            </w:tcBorders>
            <w:vAlign w:val="center"/>
            <w:hideMark/>
          </w:tcPr>
          <w:p w14:paraId="13437EDD"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Increased</w:t>
            </w:r>
          </w:p>
        </w:tc>
        <w:tc>
          <w:tcPr>
            <w:tcW w:w="2599" w:type="dxa"/>
            <w:tcBorders>
              <w:top w:val="nil"/>
              <w:left w:val="nil"/>
              <w:bottom w:val="nil"/>
              <w:right w:val="nil"/>
            </w:tcBorders>
            <w:noWrap/>
            <w:vAlign w:val="bottom"/>
            <w:hideMark/>
          </w:tcPr>
          <w:p w14:paraId="1F6694C4"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11</w:t>
            </w:r>
          </w:p>
        </w:tc>
        <w:tc>
          <w:tcPr>
            <w:tcW w:w="2179" w:type="dxa"/>
            <w:tcBorders>
              <w:top w:val="nil"/>
              <w:left w:val="nil"/>
              <w:bottom w:val="nil"/>
              <w:right w:val="nil"/>
            </w:tcBorders>
            <w:noWrap/>
            <w:vAlign w:val="bottom"/>
            <w:hideMark/>
          </w:tcPr>
          <w:p w14:paraId="3D65EAAF"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10.5</w:t>
            </w:r>
          </w:p>
        </w:tc>
      </w:tr>
      <w:tr w:rsidR="00364E9A" w:rsidRPr="00364E9A" w14:paraId="1937441D" w14:textId="77777777" w:rsidTr="00947DB4">
        <w:trPr>
          <w:trHeight w:val="253"/>
        </w:trPr>
        <w:tc>
          <w:tcPr>
            <w:tcW w:w="3918" w:type="dxa"/>
            <w:tcBorders>
              <w:top w:val="nil"/>
              <w:left w:val="nil"/>
              <w:bottom w:val="single" w:sz="12" w:space="0" w:color="auto"/>
              <w:right w:val="nil"/>
            </w:tcBorders>
            <w:vAlign w:val="center"/>
            <w:hideMark/>
          </w:tcPr>
          <w:p w14:paraId="4F8B024C"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 xml:space="preserve">Unchanged </w:t>
            </w:r>
          </w:p>
        </w:tc>
        <w:tc>
          <w:tcPr>
            <w:tcW w:w="2599" w:type="dxa"/>
            <w:tcBorders>
              <w:top w:val="nil"/>
              <w:left w:val="nil"/>
              <w:bottom w:val="single" w:sz="12" w:space="0" w:color="auto"/>
              <w:right w:val="nil"/>
            </w:tcBorders>
            <w:noWrap/>
            <w:vAlign w:val="bottom"/>
            <w:hideMark/>
          </w:tcPr>
          <w:p w14:paraId="22E40324"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50</w:t>
            </w:r>
          </w:p>
        </w:tc>
        <w:tc>
          <w:tcPr>
            <w:tcW w:w="2179" w:type="dxa"/>
            <w:tcBorders>
              <w:top w:val="nil"/>
              <w:left w:val="nil"/>
              <w:bottom w:val="single" w:sz="12" w:space="0" w:color="auto"/>
              <w:right w:val="nil"/>
            </w:tcBorders>
            <w:noWrap/>
            <w:vAlign w:val="bottom"/>
            <w:hideMark/>
          </w:tcPr>
          <w:p w14:paraId="20593447"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47.6</w:t>
            </w:r>
          </w:p>
        </w:tc>
      </w:tr>
      <w:tr w:rsidR="00364E9A" w:rsidRPr="00364E9A" w14:paraId="008A9A72" w14:textId="77777777" w:rsidTr="00947DB4">
        <w:trPr>
          <w:trHeight w:val="265"/>
        </w:trPr>
        <w:tc>
          <w:tcPr>
            <w:tcW w:w="3918" w:type="dxa"/>
            <w:tcBorders>
              <w:top w:val="nil"/>
              <w:left w:val="nil"/>
              <w:bottom w:val="nil"/>
              <w:right w:val="nil"/>
            </w:tcBorders>
            <w:noWrap/>
            <w:vAlign w:val="bottom"/>
            <w:hideMark/>
          </w:tcPr>
          <w:p w14:paraId="783CC87A" w14:textId="77777777" w:rsidR="00364E9A" w:rsidRPr="00364E9A" w:rsidRDefault="00364E9A" w:rsidP="00577D89">
            <w:pPr>
              <w:pStyle w:val="Body"/>
              <w:spacing w:after="0"/>
              <w:ind w:right="720"/>
              <w:rPr>
                <w:rFonts w:ascii="Arial" w:hAnsi="Arial" w:cs="Arial"/>
                <w:bCs/>
              </w:rPr>
            </w:pPr>
            <w:r w:rsidRPr="00364E9A">
              <w:rPr>
                <w:rFonts w:ascii="Arial" w:hAnsi="Arial" w:cs="Arial"/>
                <w:bCs/>
              </w:rPr>
              <w:t> </w:t>
            </w:r>
          </w:p>
        </w:tc>
        <w:tc>
          <w:tcPr>
            <w:tcW w:w="2599" w:type="dxa"/>
            <w:tcBorders>
              <w:top w:val="nil"/>
              <w:left w:val="nil"/>
              <w:bottom w:val="single" w:sz="12" w:space="0" w:color="auto"/>
              <w:right w:val="nil"/>
            </w:tcBorders>
            <w:noWrap/>
            <w:vAlign w:val="bottom"/>
            <w:hideMark/>
          </w:tcPr>
          <w:p w14:paraId="4EE3D626"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105 </w:t>
            </w:r>
          </w:p>
        </w:tc>
        <w:tc>
          <w:tcPr>
            <w:tcW w:w="2179" w:type="dxa"/>
            <w:tcBorders>
              <w:top w:val="nil"/>
              <w:left w:val="nil"/>
              <w:bottom w:val="single" w:sz="12" w:space="0" w:color="auto"/>
              <w:right w:val="nil"/>
            </w:tcBorders>
            <w:noWrap/>
            <w:vAlign w:val="bottom"/>
            <w:hideMark/>
          </w:tcPr>
          <w:p w14:paraId="159B43F4"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100</w:t>
            </w:r>
          </w:p>
        </w:tc>
      </w:tr>
    </w:tbl>
    <w:p w14:paraId="6053C0BC" w14:textId="77777777" w:rsidR="00364E9A" w:rsidRPr="00364E9A" w:rsidRDefault="00364E9A" w:rsidP="00577D89">
      <w:pPr>
        <w:pStyle w:val="Body"/>
        <w:spacing w:after="0"/>
        <w:ind w:right="720"/>
        <w:rPr>
          <w:rFonts w:ascii="Arial" w:hAnsi="Arial" w:cs="Arial"/>
        </w:rPr>
      </w:pPr>
    </w:p>
    <w:p w14:paraId="0815C46B" w14:textId="77777777" w:rsidR="00364E9A" w:rsidRPr="00364E9A" w:rsidRDefault="009D0604" w:rsidP="00577D89">
      <w:pPr>
        <w:pStyle w:val="Body"/>
        <w:spacing w:after="0"/>
        <w:ind w:right="720"/>
        <w:rPr>
          <w:rFonts w:ascii="Arial" w:hAnsi="Arial" w:cs="Arial"/>
          <w:b/>
        </w:rPr>
      </w:pPr>
      <w:r>
        <w:rPr>
          <w:rFonts w:ascii="Arial" w:hAnsi="Arial" w:cs="Arial"/>
          <w:b/>
        </w:rPr>
        <w:t xml:space="preserve">3.3 </w:t>
      </w:r>
      <w:r w:rsidR="00364E9A" w:rsidRPr="00364E9A">
        <w:rPr>
          <w:rFonts w:ascii="Arial" w:hAnsi="Arial" w:cs="Arial"/>
          <w:b/>
        </w:rPr>
        <w:t>Distribution of CSMT and BCVA of un-injected eyes 4 weeks after injection</w:t>
      </w:r>
    </w:p>
    <w:p w14:paraId="461CECD3" w14:textId="77777777" w:rsidR="00364E9A" w:rsidRDefault="00364E9A" w:rsidP="00577D89">
      <w:pPr>
        <w:pStyle w:val="Body"/>
        <w:spacing w:after="0"/>
        <w:ind w:right="720"/>
        <w:rPr>
          <w:rFonts w:ascii="Arial" w:hAnsi="Arial" w:cs="Arial"/>
        </w:rPr>
      </w:pPr>
    </w:p>
    <w:p w14:paraId="5EB63E15" w14:textId="77777777" w:rsidR="009D0604" w:rsidRPr="00364E9A" w:rsidRDefault="009D0604" w:rsidP="00577D89">
      <w:pPr>
        <w:pStyle w:val="Body"/>
        <w:spacing w:after="0"/>
        <w:ind w:right="720"/>
        <w:rPr>
          <w:rFonts w:ascii="Arial" w:hAnsi="Arial" w:cs="Arial"/>
        </w:rPr>
        <w:sectPr w:rsidR="009D0604" w:rsidRPr="00364E9A" w:rsidSect="00BB14ED">
          <w:type w:val="continuous"/>
          <w:pgSz w:w="12240" w:h="15840"/>
          <w:pgMar w:top="1440" w:right="1440" w:bottom="1440" w:left="1440" w:header="720" w:footer="720" w:gutter="0"/>
          <w:cols w:space="720"/>
          <w:docGrid w:linePitch="360"/>
        </w:sectPr>
      </w:pPr>
    </w:p>
    <w:p w14:paraId="107886E5" w14:textId="77777777" w:rsidR="00364E9A" w:rsidRPr="00364E9A" w:rsidRDefault="00364E9A" w:rsidP="00577D89">
      <w:pPr>
        <w:pStyle w:val="Body"/>
        <w:spacing w:after="0"/>
        <w:ind w:right="720"/>
        <w:rPr>
          <w:rFonts w:ascii="Arial" w:hAnsi="Arial" w:cs="Arial"/>
        </w:rPr>
      </w:pPr>
      <w:r w:rsidRPr="00364E9A">
        <w:rPr>
          <w:rFonts w:ascii="Arial" w:hAnsi="Arial" w:cs="Arial"/>
        </w:rPr>
        <w:t xml:space="preserve">Among the 105 un-injected eyes evaluated, 43 eyes (40.95%) showed a decrease in CSMT; on the other hand, the 60 eyes (57.14%) showed an increase in CSMT, whereby 2 eyes (1.91%) had no change in CSMT. On the other hand, among 105 un-injected eyes, 22 eyes (20.95%) had a decrease in </w:t>
      </w:r>
      <w:proofErr w:type="spellStart"/>
      <w:r w:rsidRPr="00364E9A">
        <w:rPr>
          <w:rFonts w:ascii="Arial" w:hAnsi="Arial" w:cs="Arial"/>
        </w:rPr>
        <w:t>LogMAR</w:t>
      </w:r>
      <w:proofErr w:type="spellEnd"/>
      <w:r w:rsidRPr="00364E9A">
        <w:rPr>
          <w:rFonts w:ascii="Arial" w:hAnsi="Arial" w:cs="Arial"/>
        </w:rPr>
        <w:t xml:space="preserve"> VA, 33 eyes (31.43%) showed an increase in </w:t>
      </w:r>
      <w:proofErr w:type="spellStart"/>
      <w:r w:rsidRPr="00364E9A">
        <w:rPr>
          <w:rFonts w:ascii="Arial" w:hAnsi="Arial" w:cs="Arial"/>
        </w:rPr>
        <w:t>LogMAR</w:t>
      </w:r>
      <w:proofErr w:type="spellEnd"/>
      <w:r w:rsidRPr="00364E9A">
        <w:rPr>
          <w:rFonts w:ascii="Arial" w:hAnsi="Arial" w:cs="Arial"/>
        </w:rPr>
        <w:t xml:space="preserve"> VA, whereas 50 eyes (47.62%) showed no change in </w:t>
      </w:r>
      <w:proofErr w:type="spellStart"/>
      <w:r w:rsidRPr="00364E9A">
        <w:rPr>
          <w:rFonts w:ascii="Arial" w:hAnsi="Arial" w:cs="Arial"/>
        </w:rPr>
        <w:t>LogMAR</w:t>
      </w:r>
      <w:proofErr w:type="spellEnd"/>
      <w:r w:rsidRPr="00364E9A">
        <w:rPr>
          <w:rFonts w:ascii="Arial" w:hAnsi="Arial" w:cs="Arial"/>
        </w:rPr>
        <w:t xml:space="preserve"> VA after the four weeks following contralateral injection, as illustrated in table 4, below.</w:t>
      </w:r>
    </w:p>
    <w:p w14:paraId="7ADBBBCE" w14:textId="77777777" w:rsidR="00364E9A" w:rsidRPr="00364E9A" w:rsidRDefault="00364E9A" w:rsidP="00577D89">
      <w:pPr>
        <w:pStyle w:val="Body"/>
        <w:spacing w:after="0"/>
        <w:ind w:right="720"/>
        <w:rPr>
          <w:rFonts w:ascii="Arial" w:hAnsi="Arial" w:cs="Arial"/>
        </w:rPr>
        <w:sectPr w:rsidR="00364E9A" w:rsidRPr="00364E9A" w:rsidSect="00BB14ED">
          <w:type w:val="continuous"/>
          <w:pgSz w:w="12240" w:h="15840"/>
          <w:pgMar w:top="1440" w:right="1440" w:bottom="1440" w:left="1440" w:header="720" w:footer="720" w:gutter="0"/>
          <w:cols w:space="720"/>
          <w:docGrid w:linePitch="360"/>
        </w:sectPr>
      </w:pPr>
      <w:r w:rsidRPr="00364E9A">
        <w:rPr>
          <w:rFonts w:ascii="Arial" w:hAnsi="Arial" w:cs="Arial"/>
        </w:rPr>
        <w:t xml:space="preserve">While a subset of un-injected eyes (around 41%) showed a reduction in CSMT, suggesting a possible indirect therapeutic benefit, whereas the large proportion (57%) experienced anatomical worsening, in functional aspect, most eyes either remain stable (47.6%) or worsening (31.4%) in visual acuity, with only the </w:t>
      </w:r>
      <w:proofErr w:type="gramStart"/>
      <w:r w:rsidRPr="00364E9A">
        <w:rPr>
          <w:rFonts w:ascii="Arial" w:hAnsi="Arial" w:cs="Arial"/>
        </w:rPr>
        <w:t>minority  (</w:t>
      </w:r>
      <w:proofErr w:type="gramEnd"/>
      <w:r w:rsidRPr="00364E9A">
        <w:rPr>
          <w:rFonts w:ascii="Arial" w:hAnsi="Arial" w:cs="Arial"/>
        </w:rPr>
        <w:t>20.9%) improved. These findings imply that there is a contralateral effect of intra-</w:t>
      </w:r>
      <w:proofErr w:type="spellStart"/>
      <w:r w:rsidRPr="00364E9A">
        <w:rPr>
          <w:rFonts w:ascii="Arial" w:hAnsi="Arial" w:cs="Arial"/>
        </w:rPr>
        <w:t>vit</w:t>
      </w:r>
      <w:r w:rsidR="002C53D7">
        <w:rPr>
          <w:rFonts w:ascii="Arial" w:hAnsi="Arial" w:cs="Arial"/>
        </w:rPr>
        <w:t>real</w:t>
      </w:r>
      <w:proofErr w:type="spellEnd"/>
      <w:r w:rsidR="002C53D7">
        <w:rPr>
          <w:rFonts w:ascii="Arial" w:hAnsi="Arial" w:cs="Arial"/>
        </w:rPr>
        <w:t xml:space="preserve"> bevacizumab.</w:t>
      </w:r>
    </w:p>
    <w:p w14:paraId="5AC0CC04" w14:textId="77777777" w:rsidR="00364E9A" w:rsidRPr="00364E9A" w:rsidRDefault="00364E9A" w:rsidP="00577D89">
      <w:pPr>
        <w:pStyle w:val="Body"/>
        <w:spacing w:after="0"/>
        <w:ind w:right="720"/>
        <w:rPr>
          <w:rFonts w:ascii="Arial" w:hAnsi="Arial" w:cs="Arial"/>
          <w:b/>
        </w:rPr>
      </w:pPr>
    </w:p>
    <w:p w14:paraId="315F8ACC" w14:textId="77777777" w:rsidR="00364E9A" w:rsidRPr="00364E9A" w:rsidRDefault="00364E9A" w:rsidP="00577D89">
      <w:pPr>
        <w:pStyle w:val="Body"/>
        <w:spacing w:after="0"/>
        <w:ind w:right="720"/>
        <w:rPr>
          <w:rFonts w:ascii="Arial" w:hAnsi="Arial" w:cs="Arial"/>
        </w:rPr>
      </w:pPr>
      <w:r w:rsidRPr="00364E9A">
        <w:rPr>
          <w:rFonts w:ascii="Arial" w:hAnsi="Arial" w:cs="Arial"/>
          <w:b/>
        </w:rPr>
        <w:t>Table 4:</w:t>
      </w:r>
      <w:r w:rsidRPr="00364E9A">
        <w:rPr>
          <w:rFonts w:ascii="Arial" w:hAnsi="Arial" w:cs="Arial"/>
        </w:rPr>
        <w:t xml:space="preserve"> Distribution of CSMT and BCVA of un-injected eyes 4 weeks after injection</w:t>
      </w:r>
    </w:p>
    <w:tbl>
      <w:tblPr>
        <w:tblW w:w="8722" w:type="dxa"/>
        <w:tblLook w:val="04A0" w:firstRow="1" w:lastRow="0" w:firstColumn="1" w:lastColumn="0" w:noHBand="0" w:noVBand="1"/>
      </w:tblPr>
      <w:tblGrid>
        <w:gridCol w:w="3025"/>
        <w:gridCol w:w="3005"/>
        <w:gridCol w:w="2692"/>
      </w:tblGrid>
      <w:tr w:rsidR="00364E9A" w:rsidRPr="00364E9A" w14:paraId="6B2CFDC9" w14:textId="77777777" w:rsidTr="00947DB4">
        <w:trPr>
          <w:trHeight w:val="208"/>
        </w:trPr>
        <w:tc>
          <w:tcPr>
            <w:tcW w:w="3025" w:type="dxa"/>
            <w:tcBorders>
              <w:top w:val="nil"/>
              <w:left w:val="nil"/>
              <w:bottom w:val="single" w:sz="12" w:space="0" w:color="auto"/>
              <w:right w:val="nil"/>
            </w:tcBorders>
            <w:noWrap/>
            <w:vAlign w:val="bottom"/>
            <w:hideMark/>
          </w:tcPr>
          <w:p w14:paraId="395C89AE" w14:textId="77777777" w:rsidR="00364E9A" w:rsidRPr="00364E9A" w:rsidRDefault="00364E9A" w:rsidP="00577D89">
            <w:pPr>
              <w:pStyle w:val="Body"/>
              <w:spacing w:after="0"/>
              <w:ind w:right="720"/>
              <w:rPr>
                <w:rFonts w:ascii="Arial" w:hAnsi="Arial" w:cs="Arial"/>
                <w:b/>
              </w:rPr>
            </w:pPr>
            <w:r w:rsidRPr="00364E9A">
              <w:rPr>
                <w:rFonts w:ascii="Arial" w:hAnsi="Arial" w:cs="Arial"/>
                <w:b/>
              </w:rPr>
              <w:t>Characteristics</w:t>
            </w:r>
          </w:p>
        </w:tc>
        <w:tc>
          <w:tcPr>
            <w:tcW w:w="3005" w:type="dxa"/>
            <w:tcBorders>
              <w:top w:val="nil"/>
              <w:left w:val="nil"/>
              <w:bottom w:val="single" w:sz="12" w:space="0" w:color="auto"/>
              <w:right w:val="nil"/>
            </w:tcBorders>
            <w:noWrap/>
            <w:vAlign w:val="bottom"/>
            <w:hideMark/>
          </w:tcPr>
          <w:p w14:paraId="2E1A9C52" w14:textId="77777777" w:rsidR="00364E9A" w:rsidRPr="00364E9A" w:rsidRDefault="00364E9A" w:rsidP="00577D89">
            <w:pPr>
              <w:pStyle w:val="Body"/>
              <w:spacing w:after="0"/>
              <w:ind w:right="720"/>
              <w:rPr>
                <w:rFonts w:ascii="Arial" w:hAnsi="Arial" w:cs="Arial"/>
                <w:b/>
              </w:rPr>
            </w:pPr>
            <w:r w:rsidRPr="00364E9A">
              <w:rPr>
                <w:rFonts w:ascii="Arial" w:hAnsi="Arial" w:cs="Arial"/>
                <w:b/>
              </w:rPr>
              <w:t>n</w:t>
            </w:r>
          </w:p>
        </w:tc>
        <w:tc>
          <w:tcPr>
            <w:tcW w:w="2692" w:type="dxa"/>
            <w:tcBorders>
              <w:top w:val="nil"/>
              <w:left w:val="nil"/>
              <w:bottom w:val="single" w:sz="12" w:space="0" w:color="auto"/>
              <w:right w:val="nil"/>
            </w:tcBorders>
            <w:noWrap/>
            <w:vAlign w:val="bottom"/>
            <w:hideMark/>
          </w:tcPr>
          <w:p w14:paraId="4DEBD3E6" w14:textId="77777777" w:rsidR="00364E9A" w:rsidRPr="00364E9A" w:rsidRDefault="00364E9A" w:rsidP="00577D89">
            <w:pPr>
              <w:pStyle w:val="Body"/>
              <w:spacing w:after="0"/>
              <w:ind w:right="720"/>
              <w:rPr>
                <w:rFonts w:ascii="Arial" w:hAnsi="Arial" w:cs="Arial"/>
                <w:b/>
              </w:rPr>
            </w:pPr>
            <w:r w:rsidRPr="00364E9A">
              <w:rPr>
                <w:rFonts w:ascii="Arial" w:hAnsi="Arial" w:cs="Arial"/>
                <w:b/>
              </w:rPr>
              <w:t>%</w:t>
            </w:r>
          </w:p>
        </w:tc>
      </w:tr>
      <w:tr w:rsidR="00364E9A" w:rsidRPr="00364E9A" w14:paraId="28E522A8" w14:textId="77777777" w:rsidTr="00947DB4">
        <w:trPr>
          <w:trHeight w:val="218"/>
        </w:trPr>
        <w:tc>
          <w:tcPr>
            <w:tcW w:w="3025" w:type="dxa"/>
            <w:tcBorders>
              <w:top w:val="nil"/>
              <w:left w:val="nil"/>
              <w:bottom w:val="nil"/>
              <w:right w:val="nil"/>
            </w:tcBorders>
            <w:noWrap/>
            <w:vAlign w:val="bottom"/>
            <w:hideMark/>
          </w:tcPr>
          <w:p w14:paraId="3811030D" w14:textId="77777777" w:rsidR="00364E9A" w:rsidRPr="00364E9A" w:rsidRDefault="00364E9A" w:rsidP="00577D89">
            <w:pPr>
              <w:pStyle w:val="Body"/>
              <w:spacing w:after="0"/>
              <w:ind w:right="720"/>
              <w:rPr>
                <w:rFonts w:ascii="Arial" w:hAnsi="Arial" w:cs="Arial"/>
                <w:b/>
              </w:rPr>
            </w:pPr>
            <w:r w:rsidRPr="00364E9A">
              <w:rPr>
                <w:rFonts w:ascii="Arial" w:hAnsi="Arial" w:cs="Arial"/>
                <w:b/>
              </w:rPr>
              <w:t>CSMT Changes</w:t>
            </w:r>
          </w:p>
        </w:tc>
        <w:tc>
          <w:tcPr>
            <w:tcW w:w="3005" w:type="dxa"/>
            <w:tcBorders>
              <w:top w:val="nil"/>
              <w:left w:val="nil"/>
              <w:bottom w:val="single" w:sz="12" w:space="0" w:color="auto"/>
              <w:right w:val="nil"/>
            </w:tcBorders>
            <w:noWrap/>
            <w:vAlign w:val="bottom"/>
            <w:hideMark/>
          </w:tcPr>
          <w:p w14:paraId="7FAEED73" w14:textId="77777777" w:rsidR="00364E9A" w:rsidRPr="00364E9A" w:rsidRDefault="00364E9A" w:rsidP="00577D89">
            <w:pPr>
              <w:pStyle w:val="Body"/>
              <w:spacing w:after="0"/>
              <w:ind w:right="720"/>
              <w:rPr>
                <w:rFonts w:ascii="Arial" w:hAnsi="Arial" w:cs="Arial"/>
              </w:rPr>
            </w:pPr>
            <w:r w:rsidRPr="00364E9A">
              <w:rPr>
                <w:rFonts w:ascii="Arial" w:hAnsi="Arial" w:cs="Arial"/>
              </w:rPr>
              <w:t> </w:t>
            </w:r>
          </w:p>
        </w:tc>
        <w:tc>
          <w:tcPr>
            <w:tcW w:w="2692" w:type="dxa"/>
            <w:tcBorders>
              <w:top w:val="nil"/>
              <w:left w:val="nil"/>
              <w:bottom w:val="single" w:sz="12" w:space="0" w:color="auto"/>
              <w:right w:val="nil"/>
            </w:tcBorders>
            <w:noWrap/>
            <w:vAlign w:val="bottom"/>
            <w:hideMark/>
          </w:tcPr>
          <w:p w14:paraId="74D84BE9" w14:textId="77777777" w:rsidR="00364E9A" w:rsidRPr="00364E9A" w:rsidRDefault="00364E9A" w:rsidP="00577D89">
            <w:pPr>
              <w:pStyle w:val="Body"/>
              <w:spacing w:after="0"/>
              <w:ind w:right="720"/>
              <w:rPr>
                <w:rFonts w:ascii="Arial" w:hAnsi="Arial" w:cs="Arial"/>
              </w:rPr>
            </w:pPr>
            <w:r w:rsidRPr="00364E9A">
              <w:rPr>
                <w:rFonts w:ascii="Arial" w:hAnsi="Arial" w:cs="Arial"/>
              </w:rPr>
              <w:t> </w:t>
            </w:r>
          </w:p>
        </w:tc>
      </w:tr>
      <w:tr w:rsidR="00364E9A" w:rsidRPr="00364E9A" w14:paraId="3DE31461" w14:textId="77777777" w:rsidTr="00947DB4">
        <w:trPr>
          <w:trHeight w:val="208"/>
        </w:trPr>
        <w:tc>
          <w:tcPr>
            <w:tcW w:w="3025" w:type="dxa"/>
            <w:tcBorders>
              <w:top w:val="nil"/>
              <w:left w:val="nil"/>
              <w:bottom w:val="nil"/>
              <w:right w:val="nil"/>
            </w:tcBorders>
            <w:noWrap/>
            <w:vAlign w:val="bottom"/>
            <w:hideMark/>
          </w:tcPr>
          <w:p w14:paraId="796F47FE" w14:textId="77777777" w:rsidR="00364E9A" w:rsidRPr="00364E9A" w:rsidRDefault="00364E9A" w:rsidP="00577D89">
            <w:pPr>
              <w:pStyle w:val="Body"/>
              <w:spacing w:after="0"/>
              <w:ind w:right="720"/>
              <w:rPr>
                <w:rFonts w:ascii="Arial" w:hAnsi="Arial" w:cs="Arial"/>
              </w:rPr>
            </w:pPr>
            <w:r w:rsidRPr="00364E9A">
              <w:rPr>
                <w:rFonts w:ascii="Arial" w:hAnsi="Arial" w:cs="Arial"/>
              </w:rPr>
              <w:t>Decreased</w:t>
            </w:r>
          </w:p>
        </w:tc>
        <w:tc>
          <w:tcPr>
            <w:tcW w:w="3005" w:type="dxa"/>
            <w:tcBorders>
              <w:top w:val="nil"/>
              <w:left w:val="nil"/>
              <w:bottom w:val="nil"/>
              <w:right w:val="nil"/>
            </w:tcBorders>
            <w:noWrap/>
            <w:vAlign w:val="bottom"/>
            <w:hideMark/>
          </w:tcPr>
          <w:p w14:paraId="3D29C79F" w14:textId="77777777" w:rsidR="00364E9A" w:rsidRPr="00364E9A" w:rsidRDefault="00364E9A" w:rsidP="00577D89">
            <w:pPr>
              <w:pStyle w:val="Body"/>
              <w:spacing w:after="0"/>
              <w:ind w:right="720"/>
              <w:rPr>
                <w:rFonts w:ascii="Arial" w:hAnsi="Arial" w:cs="Arial"/>
              </w:rPr>
            </w:pPr>
            <w:r w:rsidRPr="00364E9A">
              <w:rPr>
                <w:rFonts w:ascii="Arial" w:hAnsi="Arial" w:cs="Arial"/>
              </w:rPr>
              <w:t>43</w:t>
            </w:r>
          </w:p>
        </w:tc>
        <w:tc>
          <w:tcPr>
            <w:tcW w:w="2692" w:type="dxa"/>
            <w:tcBorders>
              <w:top w:val="nil"/>
              <w:left w:val="nil"/>
              <w:bottom w:val="nil"/>
              <w:right w:val="nil"/>
            </w:tcBorders>
            <w:noWrap/>
            <w:vAlign w:val="bottom"/>
            <w:hideMark/>
          </w:tcPr>
          <w:p w14:paraId="06DBEB6B" w14:textId="77777777" w:rsidR="00364E9A" w:rsidRPr="00364E9A" w:rsidRDefault="00364E9A" w:rsidP="00577D89">
            <w:pPr>
              <w:pStyle w:val="Body"/>
              <w:spacing w:after="0"/>
              <w:ind w:right="720"/>
              <w:rPr>
                <w:rFonts w:ascii="Arial" w:hAnsi="Arial" w:cs="Arial"/>
              </w:rPr>
            </w:pPr>
            <w:r w:rsidRPr="00364E9A">
              <w:rPr>
                <w:rFonts w:ascii="Arial" w:hAnsi="Arial" w:cs="Arial"/>
              </w:rPr>
              <w:t>40.95</w:t>
            </w:r>
          </w:p>
        </w:tc>
      </w:tr>
      <w:tr w:rsidR="00364E9A" w:rsidRPr="00364E9A" w14:paraId="0DF0340B" w14:textId="77777777" w:rsidTr="00947DB4">
        <w:trPr>
          <w:trHeight w:val="198"/>
        </w:trPr>
        <w:tc>
          <w:tcPr>
            <w:tcW w:w="3025" w:type="dxa"/>
            <w:tcBorders>
              <w:top w:val="nil"/>
              <w:left w:val="nil"/>
              <w:bottom w:val="nil"/>
              <w:right w:val="nil"/>
            </w:tcBorders>
            <w:noWrap/>
            <w:vAlign w:val="bottom"/>
            <w:hideMark/>
          </w:tcPr>
          <w:p w14:paraId="4B91A308" w14:textId="77777777" w:rsidR="00364E9A" w:rsidRPr="00364E9A" w:rsidRDefault="00364E9A" w:rsidP="00577D89">
            <w:pPr>
              <w:pStyle w:val="Body"/>
              <w:spacing w:after="0"/>
              <w:ind w:right="720"/>
              <w:rPr>
                <w:rFonts w:ascii="Arial" w:hAnsi="Arial" w:cs="Arial"/>
              </w:rPr>
            </w:pPr>
            <w:r w:rsidRPr="00364E9A">
              <w:rPr>
                <w:rFonts w:ascii="Arial" w:hAnsi="Arial" w:cs="Arial"/>
              </w:rPr>
              <w:t>Increased</w:t>
            </w:r>
          </w:p>
        </w:tc>
        <w:tc>
          <w:tcPr>
            <w:tcW w:w="3005" w:type="dxa"/>
            <w:tcBorders>
              <w:top w:val="nil"/>
              <w:left w:val="nil"/>
              <w:bottom w:val="nil"/>
              <w:right w:val="nil"/>
            </w:tcBorders>
            <w:noWrap/>
            <w:vAlign w:val="bottom"/>
            <w:hideMark/>
          </w:tcPr>
          <w:p w14:paraId="2D2842EC" w14:textId="77777777" w:rsidR="00364E9A" w:rsidRPr="00364E9A" w:rsidRDefault="00364E9A" w:rsidP="00577D89">
            <w:pPr>
              <w:pStyle w:val="Body"/>
              <w:spacing w:after="0"/>
              <w:ind w:right="720"/>
              <w:rPr>
                <w:rFonts w:ascii="Arial" w:hAnsi="Arial" w:cs="Arial"/>
              </w:rPr>
            </w:pPr>
            <w:r w:rsidRPr="00364E9A">
              <w:rPr>
                <w:rFonts w:ascii="Arial" w:hAnsi="Arial" w:cs="Arial"/>
              </w:rPr>
              <w:t>60</w:t>
            </w:r>
          </w:p>
        </w:tc>
        <w:tc>
          <w:tcPr>
            <w:tcW w:w="2692" w:type="dxa"/>
            <w:tcBorders>
              <w:top w:val="nil"/>
              <w:left w:val="nil"/>
              <w:bottom w:val="nil"/>
              <w:right w:val="nil"/>
            </w:tcBorders>
            <w:noWrap/>
            <w:vAlign w:val="bottom"/>
            <w:hideMark/>
          </w:tcPr>
          <w:p w14:paraId="7C9C297A" w14:textId="77777777" w:rsidR="00364E9A" w:rsidRPr="00364E9A" w:rsidRDefault="00364E9A" w:rsidP="00577D89">
            <w:pPr>
              <w:pStyle w:val="Body"/>
              <w:spacing w:after="0"/>
              <w:ind w:right="720"/>
              <w:rPr>
                <w:rFonts w:ascii="Arial" w:hAnsi="Arial" w:cs="Arial"/>
              </w:rPr>
            </w:pPr>
            <w:r w:rsidRPr="00364E9A">
              <w:rPr>
                <w:rFonts w:ascii="Arial" w:hAnsi="Arial" w:cs="Arial"/>
              </w:rPr>
              <w:t>57.14</w:t>
            </w:r>
          </w:p>
        </w:tc>
      </w:tr>
      <w:tr w:rsidR="00364E9A" w:rsidRPr="00364E9A" w14:paraId="6EBC349A" w14:textId="77777777" w:rsidTr="00947DB4">
        <w:trPr>
          <w:trHeight w:val="198"/>
        </w:trPr>
        <w:tc>
          <w:tcPr>
            <w:tcW w:w="3025" w:type="dxa"/>
            <w:tcBorders>
              <w:top w:val="nil"/>
              <w:left w:val="nil"/>
              <w:bottom w:val="nil"/>
              <w:right w:val="nil"/>
            </w:tcBorders>
            <w:noWrap/>
            <w:vAlign w:val="bottom"/>
            <w:hideMark/>
          </w:tcPr>
          <w:p w14:paraId="53095440" w14:textId="77777777" w:rsidR="00364E9A" w:rsidRPr="00364E9A" w:rsidRDefault="00364E9A" w:rsidP="00577D89">
            <w:pPr>
              <w:pStyle w:val="Body"/>
              <w:spacing w:after="0"/>
              <w:ind w:right="720"/>
              <w:rPr>
                <w:rFonts w:ascii="Arial" w:hAnsi="Arial" w:cs="Arial"/>
              </w:rPr>
            </w:pPr>
            <w:r w:rsidRPr="00364E9A">
              <w:rPr>
                <w:rFonts w:ascii="Arial" w:hAnsi="Arial" w:cs="Arial"/>
              </w:rPr>
              <w:t>unchanged</w:t>
            </w:r>
          </w:p>
        </w:tc>
        <w:tc>
          <w:tcPr>
            <w:tcW w:w="3005" w:type="dxa"/>
            <w:tcBorders>
              <w:top w:val="nil"/>
              <w:left w:val="nil"/>
              <w:bottom w:val="nil"/>
              <w:right w:val="nil"/>
            </w:tcBorders>
            <w:noWrap/>
            <w:vAlign w:val="bottom"/>
            <w:hideMark/>
          </w:tcPr>
          <w:p w14:paraId="27F1F551" w14:textId="77777777" w:rsidR="00364E9A" w:rsidRPr="00364E9A" w:rsidRDefault="00364E9A" w:rsidP="00577D89">
            <w:pPr>
              <w:pStyle w:val="Body"/>
              <w:spacing w:after="0"/>
              <w:ind w:right="720"/>
              <w:rPr>
                <w:rFonts w:ascii="Arial" w:hAnsi="Arial" w:cs="Arial"/>
              </w:rPr>
            </w:pPr>
            <w:r w:rsidRPr="00364E9A">
              <w:rPr>
                <w:rFonts w:ascii="Arial" w:hAnsi="Arial" w:cs="Arial"/>
              </w:rPr>
              <w:t>02</w:t>
            </w:r>
          </w:p>
        </w:tc>
        <w:tc>
          <w:tcPr>
            <w:tcW w:w="2692" w:type="dxa"/>
            <w:tcBorders>
              <w:top w:val="nil"/>
              <w:left w:val="nil"/>
              <w:bottom w:val="nil"/>
              <w:right w:val="nil"/>
            </w:tcBorders>
            <w:noWrap/>
            <w:vAlign w:val="bottom"/>
            <w:hideMark/>
          </w:tcPr>
          <w:p w14:paraId="085CE4A5" w14:textId="77777777" w:rsidR="00364E9A" w:rsidRPr="00364E9A" w:rsidRDefault="00364E9A" w:rsidP="00577D89">
            <w:pPr>
              <w:pStyle w:val="Body"/>
              <w:spacing w:after="0"/>
              <w:ind w:right="720"/>
              <w:rPr>
                <w:rFonts w:ascii="Arial" w:hAnsi="Arial" w:cs="Arial"/>
              </w:rPr>
            </w:pPr>
            <w:r w:rsidRPr="00364E9A">
              <w:rPr>
                <w:rFonts w:ascii="Arial" w:hAnsi="Arial" w:cs="Arial"/>
              </w:rPr>
              <w:t>1.91</w:t>
            </w:r>
          </w:p>
        </w:tc>
      </w:tr>
      <w:tr w:rsidR="00364E9A" w:rsidRPr="00364E9A" w14:paraId="320E51D9" w14:textId="77777777" w:rsidTr="00947DB4">
        <w:trPr>
          <w:trHeight w:val="198"/>
        </w:trPr>
        <w:tc>
          <w:tcPr>
            <w:tcW w:w="3025" w:type="dxa"/>
            <w:tcBorders>
              <w:top w:val="nil"/>
              <w:left w:val="nil"/>
              <w:bottom w:val="nil"/>
              <w:right w:val="nil"/>
            </w:tcBorders>
            <w:noWrap/>
            <w:vAlign w:val="bottom"/>
            <w:hideMark/>
          </w:tcPr>
          <w:p w14:paraId="453AEDA8" w14:textId="77777777" w:rsidR="00364E9A" w:rsidRPr="00364E9A" w:rsidRDefault="00364E9A" w:rsidP="00577D89">
            <w:pPr>
              <w:pStyle w:val="Body"/>
              <w:spacing w:after="0"/>
              <w:ind w:right="720"/>
              <w:rPr>
                <w:rFonts w:ascii="Arial" w:hAnsi="Arial" w:cs="Arial"/>
              </w:rPr>
            </w:pPr>
          </w:p>
        </w:tc>
        <w:tc>
          <w:tcPr>
            <w:tcW w:w="3005" w:type="dxa"/>
            <w:tcBorders>
              <w:top w:val="nil"/>
              <w:left w:val="nil"/>
              <w:bottom w:val="nil"/>
              <w:right w:val="nil"/>
            </w:tcBorders>
            <w:noWrap/>
            <w:vAlign w:val="bottom"/>
            <w:hideMark/>
          </w:tcPr>
          <w:p w14:paraId="00BC2DA9" w14:textId="77777777" w:rsidR="00364E9A" w:rsidRPr="00364E9A" w:rsidRDefault="00364E9A" w:rsidP="00577D89">
            <w:pPr>
              <w:pStyle w:val="Body"/>
              <w:spacing w:after="0"/>
              <w:ind w:right="720"/>
              <w:rPr>
                <w:rFonts w:ascii="Arial" w:hAnsi="Arial" w:cs="Arial"/>
                <w:b/>
              </w:rPr>
            </w:pPr>
            <w:r w:rsidRPr="00364E9A">
              <w:rPr>
                <w:rFonts w:ascii="Arial" w:hAnsi="Arial" w:cs="Arial"/>
                <w:b/>
              </w:rPr>
              <w:t>105</w:t>
            </w:r>
          </w:p>
        </w:tc>
        <w:tc>
          <w:tcPr>
            <w:tcW w:w="2692" w:type="dxa"/>
            <w:tcBorders>
              <w:top w:val="nil"/>
              <w:left w:val="nil"/>
              <w:bottom w:val="nil"/>
              <w:right w:val="nil"/>
            </w:tcBorders>
            <w:noWrap/>
            <w:vAlign w:val="bottom"/>
            <w:hideMark/>
          </w:tcPr>
          <w:p w14:paraId="4E3067E3" w14:textId="77777777" w:rsidR="00364E9A" w:rsidRPr="00364E9A" w:rsidRDefault="00364E9A" w:rsidP="00577D89">
            <w:pPr>
              <w:pStyle w:val="Body"/>
              <w:spacing w:after="0"/>
              <w:ind w:right="720"/>
              <w:rPr>
                <w:rFonts w:ascii="Arial" w:hAnsi="Arial" w:cs="Arial"/>
                <w:b/>
              </w:rPr>
            </w:pPr>
            <w:r w:rsidRPr="00364E9A">
              <w:rPr>
                <w:rFonts w:ascii="Arial" w:hAnsi="Arial" w:cs="Arial"/>
                <w:b/>
              </w:rPr>
              <w:t>100</w:t>
            </w:r>
          </w:p>
        </w:tc>
      </w:tr>
      <w:tr w:rsidR="00364E9A" w:rsidRPr="00364E9A" w14:paraId="4A786077" w14:textId="77777777" w:rsidTr="00947DB4">
        <w:trPr>
          <w:trHeight w:val="208"/>
        </w:trPr>
        <w:tc>
          <w:tcPr>
            <w:tcW w:w="3025" w:type="dxa"/>
            <w:tcBorders>
              <w:top w:val="nil"/>
              <w:left w:val="nil"/>
              <w:bottom w:val="nil"/>
              <w:right w:val="nil"/>
            </w:tcBorders>
            <w:noWrap/>
            <w:vAlign w:val="bottom"/>
            <w:hideMark/>
          </w:tcPr>
          <w:p w14:paraId="6A66C3BA" w14:textId="77777777" w:rsidR="00364E9A" w:rsidRPr="00364E9A" w:rsidRDefault="00364E9A" w:rsidP="00577D89">
            <w:pPr>
              <w:pStyle w:val="Body"/>
              <w:spacing w:after="0"/>
              <w:ind w:right="720"/>
              <w:rPr>
                <w:rFonts w:ascii="Arial" w:hAnsi="Arial" w:cs="Arial"/>
                <w:b/>
              </w:rPr>
            </w:pPr>
            <w:proofErr w:type="spellStart"/>
            <w:r w:rsidRPr="00364E9A">
              <w:rPr>
                <w:rFonts w:ascii="Arial" w:hAnsi="Arial" w:cs="Arial"/>
                <w:b/>
              </w:rPr>
              <w:t>LogMAR</w:t>
            </w:r>
            <w:proofErr w:type="spellEnd"/>
            <w:r w:rsidRPr="00364E9A">
              <w:rPr>
                <w:rFonts w:ascii="Arial" w:hAnsi="Arial" w:cs="Arial"/>
                <w:b/>
              </w:rPr>
              <w:t xml:space="preserve"> VA</w:t>
            </w:r>
          </w:p>
        </w:tc>
        <w:tc>
          <w:tcPr>
            <w:tcW w:w="3005" w:type="dxa"/>
            <w:tcBorders>
              <w:top w:val="nil"/>
              <w:left w:val="nil"/>
              <w:bottom w:val="single" w:sz="12" w:space="0" w:color="auto"/>
              <w:right w:val="nil"/>
            </w:tcBorders>
            <w:noWrap/>
            <w:vAlign w:val="bottom"/>
            <w:hideMark/>
          </w:tcPr>
          <w:p w14:paraId="036FA4DE" w14:textId="77777777" w:rsidR="00364E9A" w:rsidRPr="00364E9A" w:rsidRDefault="00364E9A" w:rsidP="00577D89">
            <w:pPr>
              <w:pStyle w:val="Body"/>
              <w:spacing w:after="0"/>
              <w:ind w:right="720"/>
              <w:rPr>
                <w:rFonts w:ascii="Arial" w:hAnsi="Arial" w:cs="Arial"/>
              </w:rPr>
            </w:pPr>
            <w:r w:rsidRPr="00364E9A">
              <w:rPr>
                <w:rFonts w:ascii="Arial" w:hAnsi="Arial" w:cs="Arial"/>
              </w:rPr>
              <w:t> </w:t>
            </w:r>
          </w:p>
        </w:tc>
        <w:tc>
          <w:tcPr>
            <w:tcW w:w="2692" w:type="dxa"/>
            <w:tcBorders>
              <w:top w:val="nil"/>
              <w:left w:val="nil"/>
              <w:bottom w:val="single" w:sz="12" w:space="0" w:color="auto"/>
              <w:right w:val="nil"/>
            </w:tcBorders>
            <w:noWrap/>
            <w:vAlign w:val="bottom"/>
            <w:hideMark/>
          </w:tcPr>
          <w:p w14:paraId="6D149A82" w14:textId="77777777" w:rsidR="00364E9A" w:rsidRPr="00364E9A" w:rsidRDefault="00364E9A" w:rsidP="00577D89">
            <w:pPr>
              <w:pStyle w:val="Body"/>
              <w:spacing w:after="0"/>
              <w:ind w:right="720"/>
              <w:rPr>
                <w:rFonts w:ascii="Arial" w:hAnsi="Arial" w:cs="Arial"/>
              </w:rPr>
            </w:pPr>
            <w:r w:rsidRPr="00364E9A">
              <w:rPr>
                <w:rFonts w:ascii="Arial" w:hAnsi="Arial" w:cs="Arial"/>
              </w:rPr>
              <w:t> </w:t>
            </w:r>
          </w:p>
        </w:tc>
      </w:tr>
      <w:tr w:rsidR="00364E9A" w:rsidRPr="00364E9A" w14:paraId="2153FD26" w14:textId="77777777" w:rsidTr="00947DB4">
        <w:trPr>
          <w:trHeight w:val="208"/>
        </w:trPr>
        <w:tc>
          <w:tcPr>
            <w:tcW w:w="3025" w:type="dxa"/>
            <w:tcBorders>
              <w:top w:val="nil"/>
              <w:left w:val="nil"/>
              <w:bottom w:val="nil"/>
              <w:right w:val="nil"/>
            </w:tcBorders>
            <w:noWrap/>
            <w:vAlign w:val="bottom"/>
            <w:hideMark/>
          </w:tcPr>
          <w:p w14:paraId="07199D29" w14:textId="77777777" w:rsidR="00364E9A" w:rsidRPr="00364E9A" w:rsidRDefault="00364E9A" w:rsidP="00577D89">
            <w:pPr>
              <w:pStyle w:val="Body"/>
              <w:spacing w:after="0"/>
              <w:ind w:right="720"/>
              <w:rPr>
                <w:rFonts w:ascii="Arial" w:hAnsi="Arial" w:cs="Arial"/>
              </w:rPr>
            </w:pPr>
            <w:r w:rsidRPr="00364E9A">
              <w:rPr>
                <w:rFonts w:ascii="Arial" w:hAnsi="Arial" w:cs="Arial"/>
              </w:rPr>
              <w:t>Decreased</w:t>
            </w:r>
          </w:p>
        </w:tc>
        <w:tc>
          <w:tcPr>
            <w:tcW w:w="3005" w:type="dxa"/>
            <w:tcBorders>
              <w:top w:val="nil"/>
              <w:left w:val="nil"/>
              <w:bottom w:val="nil"/>
              <w:right w:val="nil"/>
            </w:tcBorders>
            <w:noWrap/>
            <w:vAlign w:val="bottom"/>
            <w:hideMark/>
          </w:tcPr>
          <w:p w14:paraId="7CAEDEE5" w14:textId="77777777" w:rsidR="00364E9A" w:rsidRPr="00364E9A" w:rsidRDefault="00364E9A" w:rsidP="00577D89">
            <w:pPr>
              <w:pStyle w:val="Body"/>
              <w:spacing w:after="0"/>
              <w:ind w:right="720"/>
              <w:rPr>
                <w:rFonts w:ascii="Arial" w:hAnsi="Arial" w:cs="Arial"/>
              </w:rPr>
            </w:pPr>
            <w:r w:rsidRPr="00364E9A">
              <w:rPr>
                <w:rFonts w:ascii="Arial" w:hAnsi="Arial" w:cs="Arial"/>
              </w:rPr>
              <w:t>22</w:t>
            </w:r>
          </w:p>
        </w:tc>
        <w:tc>
          <w:tcPr>
            <w:tcW w:w="2692" w:type="dxa"/>
            <w:tcBorders>
              <w:top w:val="nil"/>
              <w:left w:val="nil"/>
              <w:bottom w:val="nil"/>
              <w:right w:val="nil"/>
            </w:tcBorders>
            <w:noWrap/>
            <w:vAlign w:val="bottom"/>
            <w:hideMark/>
          </w:tcPr>
          <w:p w14:paraId="5BA9EF73" w14:textId="77777777" w:rsidR="00364E9A" w:rsidRPr="00364E9A" w:rsidRDefault="00364E9A" w:rsidP="00577D89">
            <w:pPr>
              <w:pStyle w:val="Body"/>
              <w:spacing w:after="0"/>
              <w:ind w:right="720"/>
              <w:rPr>
                <w:rFonts w:ascii="Arial" w:hAnsi="Arial" w:cs="Arial"/>
              </w:rPr>
            </w:pPr>
            <w:r w:rsidRPr="00364E9A">
              <w:rPr>
                <w:rFonts w:ascii="Arial" w:hAnsi="Arial" w:cs="Arial"/>
              </w:rPr>
              <w:t>20.95</w:t>
            </w:r>
          </w:p>
        </w:tc>
      </w:tr>
      <w:tr w:rsidR="00364E9A" w:rsidRPr="00364E9A" w14:paraId="63534CCB" w14:textId="77777777" w:rsidTr="00947DB4">
        <w:trPr>
          <w:trHeight w:val="198"/>
        </w:trPr>
        <w:tc>
          <w:tcPr>
            <w:tcW w:w="3025" w:type="dxa"/>
            <w:tcBorders>
              <w:top w:val="nil"/>
              <w:left w:val="nil"/>
              <w:bottom w:val="nil"/>
              <w:right w:val="nil"/>
            </w:tcBorders>
            <w:noWrap/>
            <w:vAlign w:val="bottom"/>
            <w:hideMark/>
          </w:tcPr>
          <w:p w14:paraId="2E2363A3" w14:textId="77777777" w:rsidR="00364E9A" w:rsidRPr="00364E9A" w:rsidRDefault="00364E9A" w:rsidP="00577D89">
            <w:pPr>
              <w:pStyle w:val="Body"/>
              <w:spacing w:after="0"/>
              <w:ind w:right="720"/>
              <w:rPr>
                <w:rFonts w:ascii="Arial" w:hAnsi="Arial" w:cs="Arial"/>
              </w:rPr>
            </w:pPr>
            <w:r w:rsidRPr="00364E9A">
              <w:rPr>
                <w:rFonts w:ascii="Arial" w:hAnsi="Arial" w:cs="Arial"/>
              </w:rPr>
              <w:lastRenderedPageBreak/>
              <w:t>Increased</w:t>
            </w:r>
          </w:p>
        </w:tc>
        <w:tc>
          <w:tcPr>
            <w:tcW w:w="3005" w:type="dxa"/>
            <w:tcBorders>
              <w:top w:val="nil"/>
              <w:left w:val="nil"/>
              <w:bottom w:val="nil"/>
              <w:right w:val="nil"/>
            </w:tcBorders>
            <w:noWrap/>
            <w:vAlign w:val="bottom"/>
            <w:hideMark/>
          </w:tcPr>
          <w:p w14:paraId="1EB22CF9" w14:textId="77777777" w:rsidR="00364E9A" w:rsidRPr="00364E9A" w:rsidRDefault="00364E9A" w:rsidP="00577D89">
            <w:pPr>
              <w:pStyle w:val="Body"/>
              <w:spacing w:after="0"/>
              <w:ind w:right="720"/>
              <w:rPr>
                <w:rFonts w:ascii="Arial" w:hAnsi="Arial" w:cs="Arial"/>
              </w:rPr>
            </w:pPr>
            <w:r w:rsidRPr="00364E9A">
              <w:rPr>
                <w:rFonts w:ascii="Arial" w:hAnsi="Arial" w:cs="Arial"/>
              </w:rPr>
              <w:t>33</w:t>
            </w:r>
          </w:p>
        </w:tc>
        <w:tc>
          <w:tcPr>
            <w:tcW w:w="2692" w:type="dxa"/>
            <w:tcBorders>
              <w:top w:val="nil"/>
              <w:left w:val="nil"/>
              <w:bottom w:val="nil"/>
              <w:right w:val="nil"/>
            </w:tcBorders>
            <w:noWrap/>
            <w:vAlign w:val="bottom"/>
            <w:hideMark/>
          </w:tcPr>
          <w:p w14:paraId="34740E3F" w14:textId="77777777" w:rsidR="00364E9A" w:rsidRPr="00364E9A" w:rsidRDefault="00364E9A" w:rsidP="00577D89">
            <w:pPr>
              <w:pStyle w:val="Body"/>
              <w:spacing w:after="0"/>
              <w:ind w:right="720"/>
              <w:rPr>
                <w:rFonts w:ascii="Arial" w:hAnsi="Arial" w:cs="Arial"/>
              </w:rPr>
            </w:pPr>
            <w:r w:rsidRPr="00364E9A">
              <w:rPr>
                <w:rFonts w:ascii="Arial" w:hAnsi="Arial" w:cs="Arial"/>
              </w:rPr>
              <w:t>31.43</w:t>
            </w:r>
          </w:p>
        </w:tc>
      </w:tr>
      <w:tr w:rsidR="00364E9A" w:rsidRPr="00364E9A" w14:paraId="44715466" w14:textId="77777777" w:rsidTr="00947DB4">
        <w:trPr>
          <w:trHeight w:val="208"/>
        </w:trPr>
        <w:tc>
          <w:tcPr>
            <w:tcW w:w="3025" w:type="dxa"/>
            <w:tcBorders>
              <w:top w:val="nil"/>
              <w:left w:val="nil"/>
              <w:bottom w:val="single" w:sz="12" w:space="0" w:color="auto"/>
              <w:right w:val="nil"/>
            </w:tcBorders>
            <w:noWrap/>
            <w:vAlign w:val="bottom"/>
            <w:hideMark/>
          </w:tcPr>
          <w:p w14:paraId="0DB5F3A5" w14:textId="77777777" w:rsidR="00364E9A" w:rsidRPr="00364E9A" w:rsidRDefault="00364E9A" w:rsidP="00577D89">
            <w:pPr>
              <w:pStyle w:val="Body"/>
              <w:spacing w:after="0"/>
              <w:ind w:right="720"/>
              <w:rPr>
                <w:rFonts w:ascii="Arial" w:hAnsi="Arial" w:cs="Arial"/>
              </w:rPr>
            </w:pPr>
            <w:r w:rsidRPr="00364E9A">
              <w:rPr>
                <w:rFonts w:ascii="Arial" w:hAnsi="Arial" w:cs="Arial"/>
              </w:rPr>
              <w:t xml:space="preserve">Unchanged </w:t>
            </w:r>
          </w:p>
        </w:tc>
        <w:tc>
          <w:tcPr>
            <w:tcW w:w="3005" w:type="dxa"/>
            <w:tcBorders>
              <w:top w:val="nil"/>
              <w:left w:val="nil"/>
              <w:bottom w:val="single" w:sz="12" w:space="0" w:color="auto"/>
              <w:right w:val="nil"/>
            </w:tcBorders>
            <w:noWrap/>
            <w:vAlign w:val="bottom"/>
            <w:hideMark/>
          </w:tcPr>
          <w:p w14:paraId="1850CA00" w14:textId="77777777" w:rsidR="00364E9A" w:rsidRPr="00364E9A" w:rsidRDefault="00364E9A" w:rsidP="00577D89">
            <w:pPr>
              <w:pStyle w:val="Body"/>
              <w:spacing w:after="0"/>
              <w:ind w:right="720"/>
              <w:rPr>
                <w:rFonts w:ascii="Arial" w:hAnsi="Arial" w:cs="Arial"/>
              </w:rPr>
            </w:pPr>
            <w:r w:rsidRPr="00364E9A">
              <w:rPr>
                <w:rFonts w:ascii="Arial" w:hAnsi="Arial" w:cs="Arial"/>
              </w:rPr>
              <w:t>50</w:t>
            </w:r>
          </w:p>
        </w:tc>
        <w:tc>
          <w:tcPr>
            <w:tcW w:w="2692" w:type="dxa"/>
            <w:tcBorders>
              <w:top w:val="nil"/>
              <w:left w:val="nil"/>
              <w:bottom w:val="single" w:sz="12" w:space="0" w:color="auto"/>
              <w:right w:val="nil"/>
            </w:tcBorders>
            <w:noWrap/>
            <w:vAlign w:val="bottom"/>
            <w:hideMark/>
          </w:tcPr>
          <w:p w14:paraId="6E62194B" w14:textId="77777777" w:rsidR="00364E9A" w:rsidRPr="00364E9A" w:rsidRDefault="00364E9A" w:rsidP="00577D89">
            <w:pPr>
              <w:pStyle w:val="Body"/>
              <w:spacing w:after="0"/>
              <w:ind w:right="720"/>
              <w:rPr>
                <w:rFonts w:ascii="Arial" w:hAnsi="Arial" w:cs="Arial"/>
              </w:rPr>
            </w:pPr>
            <w:r w:rsidRPr="00364E9A">
              <w:rPr>
                <w:rFonts w:ascii="Arial" w:hAnsi="Arial" w:cs="Arial"/>
              </w:rPr>
              <w:t>47.62</w:t>
            </w:r>
          </w:p>
        </w:tc>
      </w:tr>
      <w:tr w:rsidR="00364E9A" w:rsidRPr="00364E9A" w14:paraId="18871362" w14:textId="77777777" w:rsidTr="00947DB4">
        <w:trPr>
          <w:trHeight w:val="278"/>
        </w:trPr>
        <w:tc>
          <w:tcPr>
            <w:tcW w:w="3025" w:type="dxa"/>
            <w:tcBorders>
              <w:top w:val="nil"/>
              <w:left w:val="nil"/>
              <w:bottom w:val="nil"/>
              <w:right w:val="nil"/>
            </w:tcBorders>
            <w:noWrap/>
            <w:vAlign w:val="bottom"/>
            <w:hideMark/>
          </w:tcPr>
          <w:p w14:paraId="4ABF9429" w14:textId="77777777" w:rsidR="00364E9A" w:rsidRPr="00364E9A" w:rsidRDefault="00364E9A" w:rsidP="00577D89">
            <w:pPr>
              <w:pStyle w:val="Body"/>
              <w:spacing w:after="0"/>
              <w:ind w:right="720"/>
              <w:rPr>
                <w:rFonts w:ascii="Arial" w:hAnsi="Arial" w:cs="Arial"/>
              </w:rPr>
            </w:pPr>
          </w:p>
        </w:tc>
        <w:tc>
          <w:tcPr>
            <w:tcW w:w="3005" w:type="dxa"/>
            <w:tcBorders>
              <w:top w:val="nil"/>
              <w:left w:val="nil"/>
              <w:bottom w:val="nil"/>
              <w:right w:val="nil"/>
            </w:tcBorders>
            <w:noWrap/>
            <w:vAlign w:val="bottom"/>
            <w:hideMark/>
          </w:tcPr>
          <w:p w14:paraId="32A3D132" w14:textId="77777777" w:rsidR="00364E9A" w:rsidRPr="00364E9A" w:rsidRDefault="00364E9A" w:rsidP="00577D89">
            <w:pPr>
              <w:pStyle w:val="Body"/>
              <w:spacing w:after="0"/>
              <w:ind w:right="720"/>
              <w:rPr>
                <w:rFonts w:ascii="Arial" w:hAnsi="Arial" w:cs="Arial"/>
              </w:rPr>
            </w:pPr>
          </w:p>
        </w:tc>
        <w:tc>
          <w:tcPr>
            <w:tcW w:w="2692" w:type="dxa"/>
            <w:tcBorders>
              <w:top w:val="nil"/>
              <w:left w:val="nil"/>
              <w:bottom w:val="single" w:sz="12" w:space="0" w:color="auto"/>
              <w:right w:val="nil"/>
            </w:tcBorders>
            <w:noWrap/>
            <w:vAlign w:val="bottom"/>
            <w:hideMark/>
          </w:tcPr>
          <w:p w14:paraId="519D3F02" w14:textId="77777777" w:rsidR="00364E9A" w:rsidRPr="00364E9A" w:rsidRDefault="00364E9A" w:rsidP="00577D89">
            <w:pPr>
              <w:pStyle w:val="Body"/>
              <w:spacing w:after="0"/>
              <w:ind w:right="720"/>
              <w:rPr>
                <w:rFonts w:ascii="Arial" w:hAnsi="Arial" w:cs="Arial"/>
                <w:b/>
              </w:rPr>
            </w:pPr>
            <w:r w:rsidRPr="00364E9A">
              <w:rPr>
                <w:rFonts w:ascii="Arial" w:hAnsi="Arial" w:cs="Arial"/>
                <w:b/>
              </w:rPr>
              <w:t>100</w:t>
            </w:r>
          </w:p>
        </w:tc>
      </w:tr>
    </w:tbl>
    <w:p w14:paraId="10FF6069" w14:textId="77777777" w:rsidR="00364E9A" w:rsidRPr="00364E9A" w:rsidRDefault="00364E9A" w:rsidP="00577D89">
      <w:pPr>
        <w:pStyle w:val="Body"/>
        <w:spacing w:after="0"/>
        <w:ind w:right="720"/>
        <w:rPr>
          <w:rFonts w:ascii="Arial" w:hAnsi="Arial" w:cs="Arial"/>
        </w:rPr>
      </w:pPr>
    </w:p>
    <w:p w14:paraId="30224C66" w14:textId="77777777" w:rsidR="00364E9A" w:rsidRPr="00364E9A" w:rsidRDefault="009D0604" w:rsidP="00577D89">
      <w:pPr>
        <w:pStyle w:val="Body"/>
        <w:tabs>
          <w:tab w:val="left" w:pos="9000"/>
        </w:tabs>
        <w:spacing w:after="0"/>
        <w:ind w:right="720"/>
        <w:rPr>
          <w:rFonts w:ascii="Arial" w:hAnsi="Arial" w:cs="Arial"/>
          <w:b/>
        </w:rPr>
      </w:pPr>
      <w:r>
        <w:rPr>
          <w:rFonts w:ascii="Arial" w:hAnsi="Arial" w:cs="Arial"/>
          <w:b/>
        </w:rPr>
        <w:t xml:space="preserve">3.4 </w:t>
      </w:r>
      <w:r w:rsidR="00364E9A" w:rsidRPr="00364E9A">
        <w:rPr>
          <w:rFonts w:ascii="Arial" w:hAnsi="Arial" w:cs="Arial"/>
          <w:b/>
        </w:rPr>
        <w:t>Comparison of Central Subfield Macular Thickness (CSMT) between Injected and Un-injected eye</w:t>
      </w:r>
    </w:p>
    <w:p w14:paraId="2ED9BDFF" w14:textId="77777777" w:rsidR="00364E9A" w:rsidRDefault="00364E9A" w:rsidP="00577D89">
      <w:pPr>
        <w:pStyle w:val="Body"/>
        <w:tabs>
          <w:tab w:val="left" w:pos="9000"/>
        </w:tabs>
        <w:spacing w:after="0"/>
        <w:ind w:right="720"/>
        <w:rPr>
          <w:rFonts w:ascii="Arial" w:hAnsi="Arial" w:cs="Arial"/>
          <w:bCs/>
        </w:rPr>
      </w:pPr>
    </w:p>
    <w:p w14:paraId="725AAA6A" w14:textId="77777777" w:rsidR="00364E9A" w:rsidRPr="00364E9A" w:rsidRDefault="00364E9A" w:rsidP="00577D89">
      <w:pPr>
        <w:pStyle w:val="Body"/>
        <w:tabs>
          <w:tab w:val="left" w:pos="9000"/>
        </w:tabs>
        <w:spacing w:after="0"/>
        <w:ind w:right="720"/>
        <w:rPr>
          <w:rFonts w:ascii="Arial" w:hAnsi="Arial" w:cs="Arial"/>
          <w:bCs/>
        </w:rPr>
        <w:sectPr w:rsidR="00364E9A" w:rsidRPr="00364E9A" w:rsidSect="00BB14ED">
          <w:type w:val="continuous"/>
          <w:pgSz w:w="12240" w:h="15840"/>
          <w:pgMar w:top="1440" w:right="1440" w:bottom="1440" w:left="1440" w:header="720" w:footer="720" w:gutter="0"/>
          <w:cols w:space="720"/>
          <w:docGrid w:linePitch="360"/>
        </w:sectPr>
      </w:pPr>
    </w:p>
    <w:p w14:paraId="1B4888FD" w14:textId="77777777" w:rsidR="00364E9A" w:rsidRPr="00364E9A" w:rsidRDefault="00364E9A" w:rsidP="00577D89">
      <w:pPr>
        <w:pStyle w:val="Body"/>
        <w:tabs>
          <w:tab w:val="left" w:pos="9000"/>
        </w:tabs>
        <w:spacing w:after="0"/>
        <w:ind w:right="720"/>
        <w:rPr>
          <w:rFonts w:ascii="Arial" w:hAnsi="Arial" w:cs="Arial"/>
        </w:rPr>
      </w:pPr>
      <w:r w:rsidRPr="00364E9A">
        <w:rPr>
          <w:rFonts w:ascii="Arial" w:hAnsi="Arial" w:cs="Arial"/>
          <w:bCs/>
        </w:rPr>
        <w:t xml:space="preserve">These findings showed the impression that there was a decrease in CSMT in the treated eye from a baseline mean of 392.8 ± 105.47 µm to 365.9 ± 233.8 µm after 4weeks, however, this change was not statistically significant (p = 0.2528), as presented in </w:t>
      </w:r>
      <w:r w:rsidRPr="00364E9A">
        <w:rPr>
          <w:rFonts w:ascii="Arial" w:hAnsi="Arial" w:cs="Arial"/>
          <w:b/>
          <w:bCs/>
        </w:rPr>
        <w:t>Table 5</w:t>
      </w:r>
      <w:r w:rsidRPr="00364E9A">
        <w:rPr>
          <w:rFonts w:ascii="Arial" w:hAnsi="Arial" w:cs="Arial"/>
          <w:bCs/>
        </w:rPr>
        <w:t>. In the untreated eye, the mean CSMT at baseline was 300.9 ± 31.54 µm and faintly increased to 304.7 ± 36.92 µm at follow-up time, with no statistically significant difference observed (p = 0.1472).</w:t>
      </w:r>
    </w:p>
    <w:p w14:paraId="48BC1BB7" w14:textId="77777777" w:rsidR="00364E9A" w:rsidRDefault="00364E9A" w:rsidP="00577D89">
      <w:pPr>
        <w:pStyle w:val="Body"/>
        <w:spacing w:after="0"/>
        <w:ind w:right="720"/>
        <w:rPr>
          <w:rFonts w:ascii="Arial" w:hAnsi="Arial" w:cs="Arial"/>
          <w:b/>
          <w:bCs/>
        </w:rPr>
      </w:pPr>
    </w:p>
    <w:p w14:paraId="73801218" w14:textId="77777777" w:rsidR="002C53D7" w:rsidRPr="00364E9A" w:rsidRDefault="002C53D7" w:rsidP="00577D89">
      <w:pPr>
        <w:pStyle w:val="Body"/>
        <w:spacing w:after="0"/>
        <w:ind w:right="720"/>
        <w:rPr>
          <w:rFonts w:ascii="Arial" w:hAnsi="Arial" w:cs="Arial"/>
          <w:b/>
          <w:bCs/>
        </w:rPr>
        <w:sectPr w:rsidR="002C53D7" w:rsidRPr="00364E9A" w:rsidSect="00BB14ED">
          <w:type w:val="continuous"/>
          <w:pgSz w:w="12240" w:h="15840"/>
          <w:pgMar w:top="1440" w:right="1440" w:bottom="1440" w:left="1440" w:header="720" w:footer="720" w:gutter="0"/>
          <w:cols w:space="720"/>
          <w:docGrid w:linePitch="360"/>
        </w:sectPr>
      </w:pPr>
    </w:p>
    <w:p w14:paraId="13432206" w14:textId="77777777" w:rsidR="00364E9A" w:rsidRPr="00364E9A" w:rsidRDefault="00364E9A" w:rsidP="00577D89">
      <w:pPr>
        <w:pStyle w:val="Body"/>
        <w:spacing w:after="0"/>
        <w:ind w:right="720"/>
        <w:rPr>
          <w:rFonts w:ascii="Arial" w:hAnsi="Arial" w:cs="Arial"/>
        </w:rPr>
      </w:pPr>
      <w:r w:rsidRPr="00364E9A">
        <w:rPr>
          <w:rFonts w:ascii="Arial" w:hAnsi="Arial" w:cs="Arial"/>
          <w:b/>
          <w:bCs/>
        </w:rPr>
        <w:t>Table 5:</w:t>
      </w:r>
      <w:r w:rsidRPr="00364E9A">
        <w:rPr>
          <w:rFonts w:ascii="Arial" w:hAnsi="Arial" w:cs="Arial"/>
        </w:rPr>
        <w:t xml:space="preserve"> </w:t>
      </w:r>
      <w:r w:rsidRPr="00364E9A">
        <w:rPr>
          <w:rFonts w:ascii="Arial" w:hAnsi="Arial" w:cs="Arial"/>
          <w:b/>
        </w:rPr>
        <w:t>CSMT comparison between Injected and Un-injected eye</w:t>
      </w:r>
    </w:p>
    <w:tbl>
      <w:tblPr>
        <w:tblW w:w="9198" w:type="dxa"/>
        <w:tblLook w:val="04A0" w:firstRow="1" w:lastRow="0" w:firstColumn="1" w:lastColumn="0" w:noHBand="0" w:noVBand="1"/>
      </w:tblPr>
      <w:tblGrid>
        <w:gridCol w:w="1331"/>
        <w:gridCol w:w="1717"/>
        <w:gridCol w:w="1267"/>
        <w:gridCol w:w="1179"/>
        <w:gridCol w:w="1636"/>
        <w:gridCol w:w="1267"/>
        <w:gridCol w:w="1179"/>
      </w:tblGrid>
      <w:tr w:rsidR="00364E9A" w:rsidRPr="00364E9A" w14:paraId="48FBF1AB" w14:textId="77777777" w:rsidTr="00947DB4">
        <w:trPr>
          <w:trHeight w:val="221"/>
        </w:trPr>
        <w:tc>
          <w:tcPr>
            <w:tcW w:w="1278" w:type="dxa"/>
            <w:tcBorders>
              <w:top w:val="single" w:sz="12" w:space="0" w:color="auto"/>
            </w:tcBorders>
            <w:noWrap/>
            <w:vAlign w:val="bottom"/>
            <w:hideMark/>
          </w:tcPr>
          <w:p w14:paraId="117D0B09" w14:textId="77777777" w:rsidR="00364E9A" w:rsidRPr="00364E9A" w:rsidRDefault="00364E9A" w:rsidP="00577D89">
            <w:pPr>
              <w:pStyle w:val="Body"/>
              <w:spacing w:after="0"/>
              <w:ind w:right="720"/>
              <w:rPr>
                <w:rFonts w:ascii="Arial" w:hAnsi="Arial" w:cs="Arial"/>
              </w:rPr>
            </w:pPr>
            <w:r w:rsidRPr="00364E9A">
              <w:rPr>
                <w:rFonts w:ascii="Arial" w:hAnsi="Arial" w:cs="Arial"/>
              </w:rPr>
              <w:t> Variable</w:t>
            </w:r>
          </w:p>
        </w:tc>
        <w:tc>
          <w:tcPr>
            <w:tcW w:w="7920" w:type="dxa"/>
            <w:gridSpan w:val="6"/>
            <w:tcBorders>
              <w:top w:val="single" w:sz="12" w:space="0" w:color="auto"/>
            </w:tcBorders>
            <w:noWrap/>
            <w:vAlign w:val="bottom"/>
            <w:hideMark/>
          </w:tcPr>
          <w:p w14:paraId="051D1D5B" w14:textId="77777777" w:rsidR="00364E9A" w:rsidRPr="00364E9A" w:rsidRDefault="00364E9A" w:rsidP="00577D89">
            <w:pPr>
              <w:pStyle w:val="Body"/>
              <w:spacing w:after="0"/>
              <w:ind w:right="720"/>
              <w:rPr>
                <w:rFonts w:ascii="Arial" w:hAnsi="Arial" w:cs="Arial"/>
              </w:rPr>
            </w:pPr>
            <w:r w:rsidRPr="00364E9A">
              <w:rPr>
                <w:rFonts w:ascii="Arial" w:hAnsi="Arial" w:cs="Arial"/>
              </w:rPr>
              <w:t>CSMT (nm)</w:t>
            </w:r>
          </w:p>
        </w:tc>
      </w:tr>
      <w:tr w:rsidR="00947DB4" w:rsidRPr="00364E9A" w14:paraId="5E9183D7" w14:textId="77777777" w:rsidTr="00947DB4">
        <w:trPr>
          <w:trHeight w:val="221"/>
        </w:trPr>
        <w:tc>
          <w:tcPr>
            <w:tcW w:w="1278" w:type="dxa"/>
            <w:noWrap/>
            <w:vAlign w:val="bottom"/>
            <w:hideMark/>
          </w:tcPr>
          <w:p w14:paraId="0472FD26" w14:textId="77777777" w:rsidR="00364E9A" w:rsidRPr="00364E9A" w:rsidRDefault="00364E9A" w:rsidP="00577D89">
            <w:pPr>
              <w:pStyle w:val="Body"/>
              <w:spacing w:after="0"/>
              <w:ind w:right="720"/>
              <w:rPr>
                <w:rFonts w:ascii="Arial" w:hAnsi="Arial" w:cs="Arial"/>
              </w:rPr>
            </w:pPr>
            <w:r w:rsidRPr="00364E9A">
              <w:rPr>
                <w:rFonts w:ascii="Arial" w:hAnsi="Arial" w:cs="Arial"/>
              </w:rPr>
              <w:t> </w:t>
            </w:r>
          </w:p>
        </w:tc>
        <w:tc>
          <w:tcPr>
            <w:tcW w:w="3999" w:type="dxa"/>
            <w:gridSpan w:val="3"/>
            <w:tcBorders>
              <w:top w:val="single" w:sz="12" w:space="0" w:color="auto"/>
            </w:tcBorders>
            <w:noWrap/>
            <w:vAlign w:val="bottom"/>
            <w:hideMark/>
          </w:tcPr>
          <w:p w14:paraId="4A664DFB" w14:textId="77777777" w:rsidR="00364E9A" w:rsidRPr="00364E9A" w:rsidRDefault="00364E9A" w:rsidP="00577D89">
            <w:pPr>
              <w:pStyle w:val="Body"/>
              <w:spacing w:after="0"/>
              <w:ind w:right="720"/>
              <w:rPr>
                <w:rFonts w:ascii="Arial" w:hAnsi="Arial" w:cs="Arial"/>
              </w:rPr>
            </w:pPr>
            <w:r w:rsidRPr="00364E9A">
              <w:rPr>
                <w:rFonts w:ascii="Arial" w:hAnsi="Arial" w:cs="Arial"/>
              </w:rPr>
              <w:t>Injected eye</w:t>
            </w:r>
          </w:p>
        </w:tc>
        <w:tc>
          <w:tcPr>
            <w:tcW w:w="3921" w:type="dxa"/>
            <w:gridSpan w:val="3"/>
            <w:tcBorders>
              <w:top w:val="single" w:sz="12" w:space="0" w:color="auto"/>
              <w:bottom w:val="single" w:sz="12" w:space="0" w:color="auto"/>
            </w:tcBorders>
            <w:noWrap/>
            <w:vAlign w:val="bottom"/>
            <w:hideMark/>
          </w:tcPr>
          <w:p w14:paraId="51CA7258" w14:textId="77777777" w:rsidR="00364E9A" w:rsidRPr="00364E9A" w:rsidRDefault="00364E9A" w:rsidP="00577D89">
            <w:pPr>
              <w:pStyle w:val="Body"/>
              <w:spacing w:after="0"/>
              <w:ind w:right="720"/>
              <w:rPr>
                <w:rFonts w:ascii="Arial" w:hAnsi="Arial" w:cs="Arial"/>
              </w:rPr>
            </w:pPr>
            <w:proofErr w:type="spellStart"/>
            <w:r w:rsidRPr="00364E9A">
              <w:rPr>
                <w:rFonts w:ascii="Arial" w:hAnsi="Arial" w:cs="Arial"/>
              </w:rPr>
              <w:t>Uninjected</w:t>
            </w:r>
            <w:proofErr w:type="spellEnd"/>
            <w:r w:rsidRPr="00364E9A">
              <w:rPr>
                <w:rFonts w:ascii="Arial" w:hAnsi="Arial" w:cs="Arial"/>
              </w:rPr>
              <w:t xml:space="preserve"> eye</w:t>
            </w:r>
          </w:p>
        </w:tc>
      </w:tr>
      <w:tr w:rsidR="00577D89" w:rsidRPr="00364E9A" w14:paraId="52DA5A58" w14:textId="77777777" w:rsidTr="00947DB4">
        <w:trPr>
          <w:trHeight w:val="221"/>
        </w:trPr>
        <w:tc>
          <w:tcPr>
            <w:tcW w:w="1278" w:type="dxa"/>
            <w:noWrap/>
            <w:vAlign w:val="bottom"/>
            <w:hideMark/>
          </w:tcPr>
          <w:p w14:paraId="0F7BC233" w14:textId="77777777" w:rsidR="00364E9A" w:rsidRPr="00364E9A" w:rsidRDefault="00364E9A" w:rsidP="00577D89">
            <w:pPr>
              <w:pStyle w:val="Body"/>
              <w:spacing w:after="0"/>
              <w:ind w:right="720"/>
              <w:rPr>
                <w:rFonts w:ascii="Arial" w:hAnsi="Arial" w:cs="Arial"/>
              </w:rPr>
            </w:pPr>
            <w:r w:rsidRPr="00364E9A">
              <w:rPr>
                <w:rFonts w:ascii="Arial" w:hAnsi="Arial" w:cs="Arial"/>
              </w:rPr>
              <w:t> </w:t>
            </w:r>
          </w:p>
        </w:tc>
        <w:tc>
          <w:tcPr>
            <w:tcW w:w="1649" w:type="dxa"/>
            <w:tcBorders>
              <w:top w:val="single" w:sz="12" w:space="0" w:color="auto"/>
            </w:tcBorders>
            <w:noWrap/>
            <w:vAlign w:val="bottom"/>
            <w:hideMark/>
          </w:tcPr>
          <w:p w14:paraId="19D5D201" w14:textId="77777777" w:rsidR="00364E9A" w:rsidRPr="00364E9A" w:rsidRDefault="00364E9A" w:rsidP="00577D89">
            <w:pPr>
              <w:pStyle w:val="Body"/>
              <w:spacing w:after="0"/>
              <w:ind w:right="720"/>
              <w:rPr>
                <w:rFonts w:ascii="Arial" w:hAnsi="Arial" w:cs="Arial"/>
              </w:rPr>
            </w:pPr>
            <w:proofErr w:type="gramStart"/>
            <w:r w:rsidRPr="00364E9A">
              <w:rPr>
                <w:rFonts w:ascii="Arial" w:hAnsi="Arial" w:cs="Arial"/>
              </w:rPr>
              <w:t>Mean(</w:t>
            </w:r>
            <w:proofErr w:type="gramEnd"/>
            <w:r w:rsidRPr="00364E9A">
              <w:rPr>
                <w:rFonts w:ascii="Arial" w:hAnsi="Arial" w:cs="Arial"/>
              </w:rPr>
              <w:t>SD)</w:t>
            </w:r>
          </w:p>
        </w:tc>
        <w:tc>
          <w:tcPr>
            <w:tcW w:w="1217" w:type="dxa"/>
            <w:tcBorders>
              <w:top w:val="single" w:sz="12" w:space="0" w:color="auto"/>
            </w:tcBorders>
            <w:noWrap/>
            <w:vAlign w:val="bottom"/>
            <w:hideMark/>
          </w:tcPr>
          <w:p w14:paraId="3AE64209" w14:textId="77777777" w:rsidR="00364E9A" w:rsidRPr="00364E9A" w:rsidRDefault="00364E9A" w:rsidP="00577D89">
            <w:pPr>
              <w:pStyle w:val="Body"/>
              <w:spacing w:after="0"/>
              <w:ind w:right="720"/>
              <w:rPr>
                <w:rFonts w:ascii="Arial" w:hAnsi="Arial" w:cs="Arial"/>
              </w:rPr>
            </w:pPr>
            <w:r w:rsidRPr="00364E9A">
              <w:rPr>
                <w:rFonts w:ascii="Arial" w:hAnsi="Arial" w:cs="Arial"/>
              </w:rPr>
              <w:t>95%(CI)</w:t>
            </w:r>
          </w:p>
        </w:tc>
        <w:tc>
          <w:tcPr>
            <w:tcW w:w="1132" w:type="dxa"/>
            <w:tcBorders>
              <w:top w:val="single" w:sz="12" w:space="0" w:color="auto"/>
            </w:tcBorders>
            <w:noWrap/>
            <w:vAlign w:val="bottom"/>
            <w:hideMark/>
          </w:tcPr>
          <w:p w14:paraId="2E802CA9" w14:textId="77777777" w:rsidR="00364E9A" w:rsidRPr="00364E9A" w:rsidRDefault="00364E9A" w:rsidP="00577D89">
            <w:pPr>
              <w:pStyle w:val="Body"/>
              <w:spacing w:after="0"/>
              <w:ind w:right="720"/>
              <w:rPr>
                <w:rFonts w:ascii="Arial" w:hAnsi="Arial" w:cs="Arial"/>
              </w:rPr>
            </w:pPr>
            <w:r w:rsidRPr="00364E9A">
              <w:rPr>
                <w:rFonts w:ascii="Arial" w:hAnsi="Arial" w:cs="Arial"/>
              </w:rPr>
              <w:t>P-value</w:t>
            </w:r>
          </w:p>
        </w:tc>
        <w:tc>
          <w:tcPr>
            <w:tcW w:w="1571" w:type="dxa"/>
            <w:tcBorders>
              <w:top w:val="single" w:sz="12" w:space="0" w:color="auto"/>
            </w:tcBorders>
            <w:noWrap/>
            <w:vAlign w:val="bottom"/>
            <w:hideMark/>
          </w:tcPr>
          <w:p w14:paraId="063E1DA0" w14:textId="77777777" w:rsidR="00364E9A" w:rsidRPr="00364E9A" w:rsidRDefault="00364E9A" w:rsidP="00577D89">
            <w:pPr>
              <w:pStyle w:val="Body"/>
              <w:spacing w:after="0"/>
              <w:ind w:right="720"/>
              <w:rPr>
                <w:rFonts w:ascii="Arial" w:hAnsi="Arial" w:cs="Arial"/>
              </w:rPr>
            </w:pPr>
            <w:proofErr w:type="gramStart"/>
            <w:r w:rsidRPr="00364E9A">
              <w:rPr>
                <w:rFonts w:ascii="Arial" w:hAnsi="Arial" w:cs="Arial"/>
              </w:rPr>
              <w:t>Mean(</w:t>
            </w:r>
            <w:proofErr w:type="gramEnd"/>
            <w:r w:rsidRPr="00364E9A">
              <w:rPr>
                <w:rFonts w:ascii="Arial" w:hAnsi="Arial" w:cs="Arial"/>
              </w:rPr>
              <w:t>SD)</w:t>
            </w:r>
          </w:p>
        </w:tc>
        <w:tc>
          <w:tcPr>
            <w:tcW w:w="1217" w:type="dxa"/>
            <w:tcBorders>
              <w:top w:val="single" w:sz="12" w:space="0" w:color="auto"/>
            </w:tcBorders>
            <w:noWrap/>
            <w:vAlign w:val="bottom"/>
            <w:hideMark/>
          </w:tcPr>
          <w:p w14:paraId="18032884" w14:textId="77777777" w:rsidR="00364E9A" w:rsidRPr="00364E9A" w:rsidRDefault="00364E9A" w:rsidP="00577D89">
            <w:pPr>
              <w:pStyle w:val="Body"/>
              <w:spacing w:after="0"/>
              <w:ind w:right="720"/>
              <w:rPr>
                <w:rFonts w:ascii="Arial" w:hAnsi="Arial" w:cs="Arial"/>
              </w:rPr>
            </w:pPr>
            <w:r w:rsidRPr="00364E9A">
              <w:rPr>
                <w:rFonts w:ascii="Arial" w:hAnsi="Arial" w:cs="Arial"/>
              </w:rPr>
              <w:t>95%(CI)</w:t>
            </w:r>
          </w:p>
        </w:tc>
        <w:tc>
          <w:tcPr>
            <w:tcW w:w="1132" w:type="dxa"/>
            <w:tcBorders>
              <w:top w:val="single" w:sz="12" w:space="0" w:color="auto"/>
            </w:tcBorders>
            <w:noWrap/>
            <w:vAlign w:val="bottom"/>
            <w:hideMark/>
          </w:tcPr>
          <w:p w14:paraId="4C361BEE" w14:textId="77777777" w:rsidR="00364E9A" w:rsidRPr="00364E9A" w:rsidRDefault="00364E9A" w:rsidP="00577D89">
            <w:pPr>
              <w:pStyle w:val="Body"/>
              <w:spacing w:after="0"/>
              <w:ind w:right="720"/>
              <w:rPr>
                <w:rFonts w:ascii="Arial" w:hAnsi="Arial" w:cs="Arial"/>
              </w:rPr>
            </w:pPr>
            <w:r w:rsidRPr="00364E9A">
              <w:rPr>
                <w:rFonts w:ascii="Arial" w:hAnsi="Arial" w:cs="Arial"/>
              </w:rPr>
              <w:t>P-value</w:t>
            </w:r>
          </w:p>
        </w:tc>
      </w:tr>
      <w:tr w:rsidR="00577D89" w:rsidRPr="00364E9A" w14:paraId="2B6606B2" w14:textId="77777777" w:rsidTr="00947DB4">
        <w:trPr>
          <w:trHeight w:val="221"/>
        </w:trPr>
        <w:tc>
          <w:tcPr>
            <w:tcW w:w="1278" w:type="dxa"/>
            <w:noWrap/>
            <w:vAlign w:val="bottom"/>
            <w:hideMark/>
          </w:tcPr>
          <w:p w14:paraId="1DC8B67E" w14:textId="77777777" w:rsidR="00364E9A" w:rsidRPr="00364E9A" w:rsidRDefault="00364E9A" w:rsidP="00577D89">
            <w:pPr>
              <w:pStyle w:val="Body"/>
              <w:spacing w:after="0"/>
              <w:ind w:right="720"/>
              <w:rPr>
                <w:rFonts w:ascii="Arial" w:hAnsi="Arial" w:cs="Arial"/>
              </w:rPr>
            </w:pPr>
            <w:r w:rsidRPr="00364E9A">
              <w:rPr>
                <w:rFonts w:ascii="Arial" w:hAnsi="Arial" w:cs="Arial"/>
                <w:b/>
                <w:bCs/>
              </w:rPr>
              <w:t>Baseline CSMT</w:t>
            </w:r>
          </w:p>
        </w:tc>
        <w:tc>
          <w:tcPr>
            <w:tcW w:w="1649" w:type="dxa"/>
            <w:noWrap/>
            <w:vAlign w:val="bottom"/>
            <w:hideMark/>
          </w:tcPr>
          <w:p w14:paraId="380DAF0E" w14:textId="77777777" w:rsidR="00364E9A" w:rsidRPr="00364E9A" w:rsidRDefault="00364E9A" w:rsidP="00577D89">
            <w:pPr>
              <w:pStyle w:val="Body"/>
              <w:spacing w:after="0"/>
              <w:ind w:right="720"/>
              <w:rPr>
                <w:rFonts w:ascii="Arial" w:hAnsi="Arial" w:cs="Arial"/>
              </w:rPr>
            </w:pPr>
            <w:r w:rsidRPr="00364E9A">
              <w:rPr>
                <w:rFonts w:ascii="Arial" w:hAnsi="Arial" w:cs="Arial"/>
              </w:rPr>
              <w:t>392.8(±105.47)</w:t>
            </w:r>
          </w:p>
        </w:tc>
        <w:tc>
          <w:tcPr>
            <w:tcW w:w="1217" w:type="dxa"/>
            <w:noWrap/>
            <w:vAlign w:val="bottom"/>
            <w:hideMark/>
          </w:tcPr>
          <w:p w14:paraId="0001772B" w14:textId="77777777" w:rsidR="00364E9A" w:rsidRPr="00364E9A" w:rsidRDefault="00364E9A" w:rsidP="00577D89">
            <w:pPr>
              <w:pStyle w:val="Body"/>
              <w:spacing w:after="0"/>
              <w:ind w:right="720"/>
              <w:rPr>
                <w:rFonts w:ascii="Arial" w:hAnsi="Arial" w:cs="Arial"/>
              </w:rPr>
            </w:pPr>
            <w:r w:rsidRPr="00364E9A">
              <w:rPr>
                <w:rFonts w:ascii="Arial" w:hAnsi="Arial" w:cs="Arial"/>
              </w:rPr>
              <w:t>372.4-413.2</w:t>
            </w:r>
          </w:p>
        </w:tc>
        <w:tc>
          <w:tcPr>
            <w:tcW w:w="1132" w:type="dxa"/>
            <w:noWrap/>
            <w:vAlign w:val="bottom"/>
            <w:hideMark/>
          </w:tcPr>
          <w:p w14:paraId="5345603F" w14:textId="77777777" w:rsidR="00364E9A" w:rsidRPr="00364E9A" w:rsidRDefault="00364E9A" w:rsidP="00577D89">
            <w:pPr>
              <w:pStyle w:val="Body"/>
              <w:spacing w:after="0"/>
              <w:ind w:right="720"/>
              <w:rPr>
                <w:rFonts w:ascii="Arial" w:hAnsi="Arial" w:cs="Arial"/>
              </w:rPr>
            </w:pPr>
          </w:p>
        </w:tc>
        <w:tc>
          <w:tcPr>
            <w:tcW w:w="1571" w:type="dxa"/>
            <w:noWrap/>
            <w:vAlign w:val="bottom"/>
            <w:hideMark/>
          </w:tcPr>
          <w:p w14:paraId="278A3080" w14:textId="77777777" w:rsidR="00364E9A" w:rsidRPr="00364E9A" w:rsidRDefault="00364E9A" w:rsidP="00577D89">
            <w:pPr>
              <w:pStyle w:val="Body"/>
              <w:spacing w:after="0"/>
              <w:ind w:right="720"/>
              <w:rPr>
                <w:rFonts w:ascii="Arial" w:hAnsi="Arial" w:cs="Arial"/>
              </w:rPr>
            </w:pPr>
            <w:r w:rsidRPr="00364E9A">
              <w:rPr>
                <w:rFonts w:ascii="Arial" w:hAnsi="Arial" w:cs="Arial"/>
              </w:rPr>
              <w:t>300.9(±31.54)</w:t>
            </w:r>
          </w:p>
        </w:tc>
        <w:tc>
          <w:tcPr>
            <w:tcW w:w="1217" w:type="dxa"/>
            <w:noWrap/>
            <w:vAlign w:val="bottom"/>
            <w:hideMark/>
          </w:tcPr>
          <w:p w14:paraId="7B735724" w14:textId="77777777" w:rsidR="00364E9A" w:rsidRPr="00364E9A" w:rsidRDefault="00364E9A" w:rsidP="00577D89">
            <w:pPr>
              <w:pStyle w:val="Body"/>
              <w:spacing w:after="0"/>
              <w:ind w:right="720"/>
              <w:rPr>
                <w:rFonts w:ascii="Arial" w:hAnsi="Arial" w:cs="Arial"/>
              </w:rPr>
            </w:pPr>
            <w:r w:rsidRPr="00364E9A">
              <w:rPr>
                <w:rFonts w:ascii="Arial" w:hAnsi="Arial" w:cs="Arial"/>
              </w:rPr>
              <w:t>294.7-306.9</w:t>
            </w:r>
          </w:p>
        </w:tc>
        <w:tc>
          <w:tcPr>
            <w:tcW w:w="1132" w:type="dxa"/>
            <w:noWrap/>
            <w:vAlign w:val="bottom"/>
            <w:hideMark/>
          </w:tcPr>
          <w:p w14:paraId="12E30C92" w14:textId="77777777" w:rsidR="00364E9A" w:rsidRPr="00364E9A" w:rsidRDefault="00364E9A" w:rsidP="00577D89">
            <w:pPr>
              <w:pStyle w:val="Body"/>
              <w:spacing w:after="0"/>
              <w:ind w:right="720"/>
              <w:rPr>
                <w:rFonts w:ascii="Arial" w:hAnsi="Arial" w:cs="Arial"/>
              </w:rPr>
            </w:pPr>
          </w:p>
        </w:tc>
      </w:tr>
      <w:tr w:rsidR="00577D89" w:rsidRPr="00364E9A" w14:paraId="5DF0EF61" w14:textId="77777777" w:rsidTr="00947DB4">
        <w:trPr>
          <w:trHeight w:val="221"/>
        </w:trPr>
        <w:tc>
          <w:tcPr>
            <w:tcW w:w="1278" w:type="dxa"/>
            <w:tcBorders>
              <w:bottom w:val="single" w:sz="12" w:space="0" w:color="auto"/>
            </w:tcBorders>
            <w:noWrap/>
            <w:vAlign w:val="bottom"/>
            <w:hideMark/>
          </w:tcPr>
          <w:p w14:paraId="041BA359" w14:textId="77777777" w:rsidR="00364E9A" w:rsidRPr="00364E9A" w:rsidRDefault="00364E9A" w:rsidP="00577D89">
            <w:pPr>
              <w:pStyle w:val="Body"/>
              <w:spacing w:after="0"/>
              <w:ind w:right="720"/>
              <w:rPr>
                <w:rFonts w:ascii="Arial" w:hAnsi="Arial" w:cs="Arial"/>
              </w:rPr>
            </w:pPr>
            <w:r w:rsidRPr="00364E9A">
              <w:rPr>
                <w:rFonts w:ascii="Arial" w:hAnsi="Arial" w:cs="Arial"/>
                <w:b/>
                <w:bCs/>
              </w:rPr>
              <w:t>CSMT After week</w:t>
            </w:r>
          </w:p>
        </w:tc>
        <w:tc>
          <w:tcPr>
            <w:tcW w:w="1649" w:type="dxa"/>
            <w:tcBorders>
              <w:bottom w:val="single" w:sz="12" w:space="0" w:color="auto"/>
            </w:tcBorders>
            <w:noWrap/>
            <w:vAlign w:val="bottom"/>
            <w:hideMark/>
          </w:tcPr>
          <w:p w14:paraId="33564827" w14:textId="77777777" w:rsidR="00364E9A" w:rsidRPr="00364E9A" w:rsidRDefault="00364E9A" w:rsidP="00577D89">
            <w:pPr>
              <w:pStyle w:val="Body"/>
              <w:spacing w:after="0"/>
              <w:ind w:right="720"/>
              <w:rPr>
                <w:rFonts w:ascii="Arial" w:hAnsi="Arial" w:cs="Arial"/>
              </w:rPr>
            </w:pPr>
            <w:r w:rsidRPr="00364E9A">
              <w:rPr>
                <w:rFonts w:ascii="Arial" w:hAnsi="Arial" w:cs="Arial"/>
              </w:rPr>
              <w:t>365.9(233.8)</w:t>
            </w:r>
          </w:p>
        </w:tc>
        <w:tc>
          <w:tcPr>
            <w:tcW w:w="1217" w:type="dxa"/>
            <w:tcBorders>
              <w:bottom w:val="single" w:sz="12" w:space="0" w:color="auto"/>
            </w:tcBorders>
            <w:noWrap/>
            <w:vAlign w:val="bottom"/>
            <w:hideMark/>
          </w:tcPr>
          <w:p w14:paraId="101ACA33" w14:textId="77777777" w:rsidR="00364E9A" w:rsidRPr="00364E9A" w:rsidRDefault="00364E9A" w:rsidP="00577D89">
            <w:pPr>
              <w:pStyle w:val="Body"/>
              <w:spacing w:after="0"/>
              <w:ind w:right="720"/>
              <w:rPr>
                <w:rFonts w:ascii="Arial" w:hAnsi="Arial" w:cs="Arial"/>
              </w:rPr>
            </w:pPr>
            <w:r w:rsidRPr="00364E9A">
              <w:rPr>
                <w:rFonts w:ascii="Arial" w:hAnsi="Arial" w:cs="Arial"/>
              </w:rPr>
              <w:t>320.7-411.2</w:t>
            </w:r>
          </w:p>
        </w:tc>
        <w:tc>
          <w:tcPr>
            <w:tcW w:w="1132" w:type="dxa"/>
            <w:tcBorders>
              <w:bottom w:val="single" w:sz="12" w:space="0" w:color="auto"/>
            </w:tcBorders>
            <w:noWrap/>
            <w:vAlign w:val="bottom"/>
            <w:hideMark/>
          </w:tcPr>
          <w:p w14:paraId="6ECBCBAF" w14:textId="77777777" w:rsidR="00364E9A" w:rsidRPr="00364E9A" w:rsidRDefault="00364E9A" w:rsidP="00577D89">
            <w:pPr>
              <w:pStyle w:val="Body"/>
              <w:spacing w:after="0"/>
              <w:ind w:right="720"/>
              <w:rPr>
                <w:rFonts w:ascii="Arial" w:hAnsi="Arial" w:cs="Arial"/>
              </w:rPr>
            </w:pPr>
            <w:r w:rsidRPr="00364E9A">
              <w:rPr>
                <w:rFonts w:ascii="Arial" w:hAnsi="Arial" w:cs="Arial"/>
              </w:rPr>
              <w:t>0.2528</w:t>
            </w:r>
          </w:p>
        </w:tc>
        <w:tc>
          <w:tcPr>
            <w:tcW w:w="1571" w:type="dxa"/>
            <w:tcBorders>
              <w:bottom w:val="single" w:sz="12" w:space="0" w:color="auto"/>
            </w:tcBorders>
            <w:noWrap/>
            <w:vAlign w:val="bottom"/>
            <w:hideMark/>
          </w:tcPr>
          <w:p w14:paraId="1B51EB84" w14:textId="77777777" w:rsidR="00364E9A" w:rsidRPr="00364E9A" w:rsidRDefault="00364E9A" w:rsidP="00577D89">
            <w:pPr>
              <w:pStyle w:val="Body"/>
              <w:spacing w:after="0"/>
              <w:ind w:right="720"/>
              <w:rPr>
                <w:rFonts w:ascii="Arial" w:hAnsi="Arial" w:cs="Arial"/>
              </w:rPr>
            </w:pPr>
            <w:r w:rsidRPr="00364E9A">
              <w:rPr>
                <w:rFonts w:ascii="Arial" w:hAnsi="Arial" w:cs="Arial"/>
              </w:rPr>
              <w:t>304.7(36.92)</w:t>
            </w:r>
          </w:p>
        </w:tc>
        <w:tc>
          <w:tcPr>
            <w:tcW w:w="1217" w:type="dxa"/>
            <w:tcBorders>
              <w:bottom w:val="single" w:sz="12" w:space="0" w:color="auto"/>
            </w:tcBorders>
            <w:noWrap/>
            <w:vAlign w:val="bottom"/>
            <w:hideMark/>
          </w:tcPr>
          <w:p w14:paraId="30C4F302" w14:textId="77777777" w:rsidR="00364E9A" w:rsidRPr="00364E9A" w:rsidRDefault="00364E9A" w:rsidP="00577D89">
            <w:pPr>
              <w:pStyle w:val="Body"/>
              <w:spacing w:after="0"/>
              <w:ind w:right="720"/>
              <w:rPr>
                <w:rFonts w:ascii="Arial" w:hAnsi="Arial" w:cs="Arial"/>
              </w:rPr>
            </w:pPr>
            <w:r w:rsidRPr="00364E9A">
              <w:rPr>
                <w:rFonts w:ascii="Arial" w:hAnsi="Arial" w:cs="Arial"/>
              </w:rPr>
              <w:t>297.6-311.9</w:t>
            </w:r>
          </w:p>
        </w:tc>
        <w:tc>
          <w:tcPr>
            <w:tcW w:w="1132" w:type="dxa"/>
            <w:tcBorders>
              <w:bottom w:val="single" w:sz="12" w:space="0" w:color="auto"/>
            </w:tcBorders>
            <w:noWrap/>
            <w:vAlign w:val="bottom"/>
            <w:hideMark/>
          </w:tcPr>
          <w:p w14:paraId="0EAB5538" w14:textId="77777777" w:rsidR="00364E9A" w:rsidRPr="00364E9A" w:rsidRDefault="00364E9A" w:rsidP="00577D89">
            <w:pPr>
              <w:pStyle w:val="Body"/>
              <w:spacing w:after="0"/>
              <w:ind w:right="720"/>
              <w:rPr>
                <w:rFonts w:ascii="Arial" w:hAnsi="Arial" w:cs="Arial"/>
              </w:rPr>
            </w:pPr>
            <w:r w:rsidRPr="00364E9A">
              <w:rPr>
                <w:rFonts w:ascii="Arial" w:hAnsi="Arial" w:cs="Arial"/>
              </w:rPr>
              <w:t>0.1472</w:t>
            </w:r>
          </w:p>
        </w:tc>
      </w:tr>
    </w:tbl>
    <w:p w14:paraId="7F1C3241" w14:textId="77777777" w:rsidR="00364E9A" w:rsidRPr="00364E9A" w:rsidRDefault="00364E9A" w:rsidP="00577D89">
      <w:pPr>
        <w:pStyle w:val="Body"/>
        <w:spacing w:after="0"/>
        <w:ind w:right="720"/>
        <w:rPr>
          <w:rFonts w:ascii="Arial" w:hAnsi="Arial" w:cs="Arial"/>
        </w:rPr>
      </w:pPr>
    </w:p>
    <w:p w14:paraId="77C0D588" w14:textId="77777777" w:rsidR="00364E9A" w:rsidRPr="00364E9A" w:rsidRDefault="00364E9A" w:rsidP="00577D89">
      <w:pPr>
        <w:pStyle w:val="Body"/>
        <w:spacing w:after="0"/>
        <w:ind w:right="720"/>
        <w:rPr>
          <w:rFonts w:ascii="Arial" w:hAnsi="Arial" w:cs="Arial"/>
          <w:b/>
        </w:rPr>
      </w:pPr>
    </w:p>
    <w:p w14:paraId="3BCCAE3B" w14:textId="77777777" w:rsidR="00364E9A" w:rsidRPr="00364E9A" w:rsidRDefault="009D0604" w:rsidP="00577D89">
      <w:pPr>
        <w:pStyle w:val="Body"/>
        <w:spacing w:after="0"/>
        <w:ind w:right="720"/>
        <w:rPr>
          <w:rFonts w:ascii="Arial" w:hAnsi="Arial" w:cs="Arial"/>
          <w:b/>
        </w:rPr>
      </w:pPr>
      <w:r>
        <w:rPr>
          <w:rFonts w:ascii="Arial" w:hAnsi="Arial" w:cs="Arial"/>
          <w:b/>
        </w:rPr>
        <w:t xml:space="preserve">3.5 </w:t>
      </w:r>
      <w:r w:rsidR="00364E9A" w:rsidRPr="00364E9A">
        <w:rPr>
          <w:rFonts w:ascii="Arial" w:hAnsi="Arial" w:cs="Arial"/>
          <w:b/>
        </w:rPr>
        <w:t>Comparison of Best Corrected Visual Acuity between treated and un-injected eye</w:t>
      </w:r>
    </w:p>
    <w:p w14:paraId="3644CF99" w14:textId="77777777" w:rsidR="00364E9A" w:rsidRDefault="00364E9A" w:rsidP="00577D89">
      <w:pPr>
        <w:pStyle w:val="Body"/>
        <w:spacing w:after="0"/>
        <w:ind w:right="720"/>
        <w:rPr>
          <w:rFonts w:ascii="Arial" w:hAnsi="Arial" w:cs="Arial"/>
        </w:rPr>
      </w:pPr>
    </w:p>
    <w:p w14:paraId="08DCE2F9" w14:textId="77777777" w:rsidR="009D0604" w:rsidRPr="00364E9A" w:rsidRDefault="009D0604" w:rsidP="00577D89">
      <w:pPr>
        <w:pStyle w:val="Body"/>
        <w:spacing w:after="0"/>
        <w:ind w:right="720"/>
        <w:rPr>
          <w:rFonts w:ascii="Arial" w:hAnsi="Arial" w:cs="Arial"/>
        </w:rPr>
        <w:sectPr w:rsidR="009D0604" w:rsidRPr="00364E9A" w:rsidSect="00BB14ED">
          <w:type w:val="continuous"/>
          <w:pgSz w:w="12240" w:h="15840"/>
          <w:pgMar w:top="1440" w:right="1440" w:bottom="1440" w:left="1440" w:header="720" w:footer="720" w:gutter="0"/>
          <w:cols w:space="720"/>
          <w:docGrid w:linePitch="360"/>
        </w:sectPr>
      </w:pPr>
    </w:p>
    <w:p w14:paraId="1CFC1B63" w14:textId="77777777" w:rsidR="00364E9A" w:rsidRPr="00364E9A" w:rsidRDefault="00364E9A" w:rsidP="00577D89">
      <w:pPr>
        <w:pStyle w:val="Body"/>
        <w:spacing w:after="0"/>
        <w:ind w:right="720"/>
        <w:rPr>
          <w:rFonts w:ascii="Arial" w:hAnsi="Arial" w:cs="Arial"/>
        </w:rPr>
      </w:pPr>
      <w:r w:rsidRPr="00364E9A">
        <w:rPr>
          <w:rFonts w:ascii="Arial" w:hAnsi="Arial" w:cs="Arial"/>
        </w:rPr>
        <w:t xml:space="preserve">As shown in </w:t>
      </w:r>
      <w:r w:rsidRPr="00364E9A">
        <w:rPr>
          <w:rFonts w:ascii="Arial" w:hAnsi="Arial" w:cs="Arial"/>
          <w:b/>
        </w:rPr>
        <w:t>Table 6</w:t>
      </w:r>
      <w:r w:rsidRPr="00364E9A">
        <w:rPr>
          <w:rFonts w:ascii="Arial" w:hAnsi="Arial" w:cs="Arial"/>
        </w:rPr>
        <w:t xml:space="preserve">, the injected eye revealed a statistically significant improvement in best corrected visual acuity (BCVA), with the median </w:t>
      </w:r>
      <w:proofErr w:type="spellStart"/>
      <w:r w:rsidRPr="00364E9A">
        <w:rPr>
          <w:rFonts w:ascii="Arial" w:hAnsi="Arial" w:cs="Arial"/>
        </w:rPr>
        <w:t>LogMAR</w:t>
      </w:r>
      <w:proofErr w:type="spellEnd"/>
      <w:r w:rsidRPr="00364E9A">
        <w:rPr>
          <w:rFonts w:ascii="Arial" w:hAnsi="Arial" w:cs="Arial"/>
        </w:rPr>
        <w:t xml:space="preserve"> VA improved from 0.6 (IQR: 0.3–0.8) at baseline to 0.5 (IQR: 0.3–0.8) after four weeks (p &lt; 0.001). In comparison to un-injected eye showed no change in Median BCVA, maintaining a median of 0.3 (IQR: 0.2–0.6) at both baseline and 4week follow-up time (p = 0.1154).</w:t>
      </w:r>
    </w:p>
    <w:p w14:paraId="0EB36FE5" w14:textId="77777777" w:rsidR="00364E9A" w:rsidRDefault="00364E9A" w:rsidP="00577D89">
      <w:pPr>
        <w:pStyle w:val="Body"/>
        <w:spacing w:after="0"/>
        <w:ind w:right="720"/>
        <w:rPr>
          <w:rFonts w:ascii="Arial" w:hAnsi="Arial" w:cs="Arial"/>
          <w:b/>
          <w:bCs/>
        </w:rPr>
      </w:pPr>
    </w:p>
    <w:p w14:paraId="14D8703F" w14:textId="77777777" w:rsidR="00351A17" w:rsidRPr="00364E9A" w:rsidRDefault="00351A17" w:rsidP="00577D89">
      <w:pPr>
        <w:pStyle w:val="Body"/>
        <w:spacing w:after="0"/>
        <w:ind w:right="720"/>
        <w:rPr>
          <w:rFonts w:ascii="Arial" w:hAnsi="Arial" w:cs="Arial"/>
          <w:b/>
          <w:bCs/>
        </w:rPr>
        <w:sectPr w:rsidR="00351A17" w:rsidRPr="00364E9A" w:rsidSect="00BB14ED">
          <w:type w:val="continuous"/>
          <w:pgSz w:w="12240" w:h="15840"/>
          <w:pgMar w:top="1440" w:right="1440" w:bottom="1440" w:left="1440" w:header="720" w:footer="720" w:gutter="0"/>
          <w:cols w:space="720"/>
          <w:docGrid w:linePitch="360"/>
        </w:sectPr>
      </w:pPr>
    </w:p>
    <w:p w14:paraId="4E56E260" w14:textId="77777777" w:rsidR="00364E9A" w:rsidRPr="00364E9A" w:rsidRDefault="00364E9A" w:rsidP="00577D89">
      <w:pPr>
        <w:pStyle w:val="Body"/>
        <w:spacing w:after="0"/>
        <w:ind w:right="720"/>
        <w:rPr>
          <w:rFonts w:ascii="Arial" w:hAnsi="Arial" w:cs="Arial"/>
          <w:b/>
        </w:rPr>
      </w:pPr>
      <w:r w:rsidRPr="00364E9A">
        <w:rPr>
          <w:rFonts w:ascii="Arial" w:hAnsi="Arial" w:cs="Arial"/>
          <w:b/>
          <w:bCs/>
        </w:rPr>
        <w:t>Table 6:</w:t>
      </w:r>
      <w:r w:rsidRPr="00364E9A">
        <w:rPr>
          <w:rFonts w:ascii="Arial" w:hAnsi="Arial" w:cs="Arial"/>
        </w:rPr>
        <w:t xml:space="preserve"> VA </w:t>
      </w:r>
      <w:r w:rsidRPr="00364E9A">
        <w:rPr>
          <w:rFonts w:ascii="Arial" w:hAnsi="Arial" w:cs="Arial"/>
          <w:b/>
        </w:rPr>
        <w:t>comparison between Injected and Un-injected eye</w:t>
      </w:r>
    </w:p>
    <w:tbl>
      <w:tblPr>
        <w:tblW w:w="9018" w:type="dxa"/>
        <w:tblInd w:w="720" w:type="dxa"/>
        <w:tblLook w:val="04A0" w:firstRow="1" w:lastRow="0" w:firstColumn="1" w:lastColumn="0" w:noHBand="0" w:noVBand="1"/>
      </w:tblPr>
      <w:tblGrid>
        <w:gridCol w:w="1759"/>
        <w:gridCol w:w="2081"/>
        <w:gridCol w:w="1554"/>
        <w:gridCol w:w="2081"/>
        <w:gridCol w:w="1548"/>
      </w:tblGrid>
      <w:tr w:rsidR="00364E9A" w:rsidRPr="00364E9A" w14:paraId="012D9F57" w14:textId="77777777" w:rsidTr="00351A17">
        <w:trPr>
          <w:trHeight w:val="209"/>
        </w:trPr>
        <w:tc>
          <w:tcPr>
            <w:tcW w:w="1757" w:type="dxa"/>
            <w:tcBorders>
              <w:top w:val="single" w:sz="12" w:space="0" w:color="auto"/>
            </w:tcBorders>
            <w:noWrap/>
            <w:vAlign w:val="bottom"/>
            <w:hideMark/>
          </w:tcPr>
          <w:p w14:paraId="76374D45" w14:textId="77777777" w:rsidR="00364E9A" w:rsidRPr="00364E9A" w:rsidRDefault="00364E9A" w:rsidP="00577D89">
            <w:pPr>
              <w:pStyle w:val="Body"/>
              <w:spacing w:after="0"/>
              <w:ind w:right="720"/>
              <w:rPr>
                <w:rFonts w:ascii="Arial" w:hAnsi="Arial" w:cs="Arial"/>
              </w:rPr>
            </w:pPr>
            <w:r w:rsidRPr="00364E9A">
              <w:rPr>
                <w:rFonts w:ascii="Arial" w:hAnsi="Arial" w:cs="Arial"/>
              </w:rPr>
              <w:t> Variable</w:t>
            </w:r>
          </w:p>
        </w:tc>
        <w:tc>
          <w:tcPr>
            <w:tcW w:w="7261" w:type="dxa"/>
            <w:gridSpan w:val="4"/>
            <w:tcBorders>
              <w:top w:val="single" w:sz="12" w:space="0" w:color="auto"/>
            </w:tcBorders>
            <w:noWrap/>
            <w:vAlign w:val="bottom"/>
            <w:hideMark/>
          </w:tcPr>
          <w:p w14:paraId="429C4C73" w14:textId="77777777" w:rsidR="00364E9A" w:rsidRPr="00364E9A" w:rsidRDefault="00364E9A" w:rsidP="00577D89">
            <w:pPr>
              <w:pStyle w:val="Body"/>
              <w:spacing w:after="0"/>
              <w:ind w:right="720"/>
              <w:rPr>
                <w:rFonts w:ascii="Arial" w:hAnsi="Arial" w:cs="Arial"/>
              </w:rPr>
            </w:pPr>
            <w:r w:rsidRPr="00364E9A">
              <w:rPr>
                <w:rFonts w:ascii="Arial" w:hAnsi="Arial" w:cs="Arial"/>
              </w:rPr>
              <w:t>VA (</w:t>
            </w:r>
            <w:proofErr w:type="spellStart"/>
            <w:r w:rsidRPr="00364E9A">
              <w:rPr>
                <w:rFonts w:ascii="Arial" w:hAnsi="Arial" w:cs="Arial"/>
              </w:rPr>
              <w:t>LogMAR</w:t>
            </w:r>
            <w:proofErr w:type="spellEnd"/>
            <w:r w:rsidRPr="00364E9A">
              <w:rPr>
                <w:rFonts w:ascii="Arial" w:hAnsi="Arial" w:cs="Arial"/>
              </w:rPr>
              <w:t xml:space="preserve">) </w:t>
            </w:r>
          </w:p>
        </w:tc>
      </w:tr>
      <w:tr w:rsidR="00364E9A" w:rsidRPr="00364E9A" w14:paraId="7C4368F1" w14:textId="77777777" w:rsidTr="00351A17">
        <w:trPr>
          <w:trHeight w:val="209"/>
        </w:trPr>
        <w:tc>
          <w:tcPr>
            <w:tcW w:w="1757" w:type="dxa"/>
            <w:noWrap/>
            <w:vAlign w:val="bottom"/>
            <w:hideMark/>
          </w:tcPr>
          <w:p w14:paraId="4E466BA0" w14:textId="77777777" w:rsidR="00364E9A" w:rsidRPr="00364E9A" w:rsidRDefault="00364E9A" w:rsidP="00577D89">
            <w:pPr>
              <w:pStyle w:val="Body"/>
              <w:spacing w:after="0"/>
              <w:ind w:right="720"/>
              <w:rPr>
                <w:rFonts w:ascii="Arial" w:hAnsi="Arial" w:cs="Arial"/>
              </w:rPr>
            </w:pPr>
            <w:r w:rsidRPr="00364E9A">
              <w:rPr>
                <w:rFonts w:ascii="Arial" w:hAnsi="Arial" w:cs="Arial"/>
              </w:rPr>
              <w:t> </w:t>
            </w:r>
          </w:p>
        </w:tc>
        <w:tc>
          <w:tcPr>
            <w:tcW w:w="3633" w:type="dxa"/>
            <w:gridSpan w:val="2"/>
            <w:tcBorders>
              <w:top w:val="single" w:sz="12" w:space="0" w:color="auto"/>
            </w:tcBorders>
            <w:noWrap/>
            <w:vAlign w:val="bottom"/>
            <w:hideMark/>
          </w:tcPr>
          <w:p w14:paraId="7E9BBA9B" w14:textId="77777777" w:rsidR="00364E9A" w:rsidRPr="00364E9A" w:rsidRDefault="00364E9A" w:rsidP="00577D89">
            <w:pPr>
              <w:pStyle w:val="Body"/>
              <w:spacing w:after="0"/>
              <w:ind w:right="720"/>
              <w:rPr>
                <w:rFonts w:ascii="Arial" w:hAnsi="Arial" w:cs="Arial"/>
              </w:rPr>
            </w:pPr>
            <w:r w:rsidRPr="00364E9A">
              <w:rPr>
                <w:rFonts w:ascii="Arial" w:hAnsi="Arial" w:cs="Arial"/>
              </w:rPr>
              <w:t>Injected eye</w:t>
            </w:r>
          </w:p>
        </w:tc>
        <w:tc>
          <w:tcPr>
            <w:tcW w:w="3627" w:type="dxa"/>
            <w:gridSpan w:val="2"/>
            <w:tcBorders>
              <w:top w:val="single" w:sz="12" w:space="0" w:color="auto"/>
              <w:bottom w:val="single" w:sz="12" w:space="0" w:color="auto"/>
            </w:tcBorders>
            <w:noWrap/>
            <w:vAlign w:val="bottom"/>
            <w:hideMark/>
          </w:tcPr>
          <w:p w14:paraId="3752BDAD" w14:textId="77777777" w:rsidR="00364E9A" w:rsidRPr="00364E9A" w:rsidRDefault="00364E9A" w:rsidP="00577D89">
            <w:pPr>
              <w:pStyle w:val="Body"/>
              <w:spacing w:after="0"/>
              <w:ind w:right="720"/>
              <w:rPr>
                <w:rFonts w:ascii="Arial" w:hAnsi="Arial" w:cs="Arial"/>
              </w:rPr>
            </w:pPr>
            <w:r w:rsidRPr="00364E9A">
              <w:rPr>
                <w:rFonts w:ascii="Arial" w:hAnsi="Arial" w:cs="Arial"/>
              </w:rPr>
              <w:t>Un-injected eye</w:t>
            </w:r>
          </w:p>
        </w:tc>
      </w:tr>
      <w:tr w:rsidR="00947DB4" w:rsidRPr="00364E9A" w14:paraId="1A4C6289" w14:textId="77777777" w:rsidTr="00351A17">
        <w:trPr>
          <w:trHeight w:val="209"/>
        </w:trPr>
        <w:tc>
          <w:tcPr>
            <w:tcW w:w="1757" w:type="dxa"/>
            <w:tcBorders>
              <w:bottom w:val="single" w:sz="12" w:space="0" w:color="auto"/>
            </w:tcBorders>
            <w:noWrap/>
            <w:vAlign w:val="bottom"/>
            <w:hideMark/>
          </w:tcPr>
          <w:p w14:paraId="411DD040" w14:textId="77777777" w:rsidR="00364E9A" w:rsidRPr="00364E9A" w:rsidRDefault="00364E9A" w:rsidP="00577D89">
            <w:pPr>
              <w:pStyle w:val="Body"/>
              <w:spacing w:after="0"/>
              <w:ind w:right="720"/>
              <w:rPr>
                <w:rFonts w:ascii="Arial" w:hAnsi="Arial" w:cs="Arial"/>
              </w:rPr>
            </w:pPr>
            <w:r w:rsidRPr="00364E9A">
              <w:rPr>
                <w:rFonts w:ascii="Arial" w:hAnsi="Arial" w:cs="Arial"/>
              </w:rPr>
              <w:t> </w:t>
            </w:r>
          </w:p>
        </w:tc>
        <w:tc>
          <w:tcPr>
            <w:tcW w:w="2079" w:type="dxa"/>
            <w:tcBorders>
              <w:top w:val="single" w:sz="12" w:space="0" w:color="auto"/>
              <w:bottom w:val="single" w:sz="12" w:space="0" w:color="auto"/>
            </w:tcBorders>
            <w:noWrap/>
            <w:vAlign w:val="bottom"/>
            <w:hideMark/>
          </w:tcPr>
          <w:p w14:paraId="2FCAF3E7" w14:textId="77777777" w:rsidR="00364E9A" w:rsidRPr="00364E9A" w:rsidRDefault="00364E9A" w:rsidP="00577D89">
            <w:pPr>
              <w:pStyle w:val="Body"/>
              <w:spacing w:after="0"/>
              <w:ind w:right="720"/>
              <w:rPr>
                <w:rFonts w:ascii="Arial" w:hAnsi="Arial" w:cs="Arial"/>
              </w:rPr>
            </w:pPr>
            <w:proofErr w:type="gramStart"/>
            <w:r w:rsidRPr="00364E9A">
              <w:rPr>
                <w:rFonts w:ascii="Arial" w:hAnsi="Arial" w:cs="Arial"/>
              </w:rPr>
              <w:t>Median(</w:t>
            </w:r>
            <w:proofErr w:type="gramEnd"/>
            <w:r w:rsidRPr="00364E9A">
              <w:rPr>
                <w:rFonts w:ascii="Arial" w:hAnsi="Arial" w:cs="Arial"/>
              </w:rPr>
              <w:t>IQR)</w:t>
            </w:r>
          </w:p>
        </w:tc>
        <w:tc>
          <w:tcPr>
            <w:tcW w:w="1554" w:type="dxa"/>
            <w:tcBorders>
              <w:top w:val="single" w:sz="12" w:space="0" w:color="auto"/>
              <w:bottom w:val="single" w:sz="12" w:space="0" w:color="auto"/>
            </w:tcBorders>
            <w:noWrap/>
            <w:vAlign w:val="bottom"/>
            <w:hideMark/>
          </w:tcPr>
          <w:p w14:paraId="17FBB7CB" w14:textId="77777777" w:rsidR="00364E9A" w:rsidRPr="00364E9A" w:rsidRDefault="00364E9A" w:rsidP="00577D89">
            <w:pPr>
              <w:pStyle w:val="Body"/>
              <w:spacing w:after="0"/>
              <w:ind w:right="720"/>
              <w:rPr>
                <w:rFonts w:ascii="Arial" w:hAnsi="Arial" w:cs="Arial"/>
              </w:rPr>
            </w:pPr>
            <w:r w:rsidRPr="00364E9A">
              <w:rPr>
                <w:rFonts w:ascii="Arial" w:hAnsi="Arial" w:cs="Arial"/>
              </w:rPr>
              <w:t>P-value</w:t>
            </w:r>
          </w:p>
        </w:tc>
        <w:tc>
          <w:tcPr>
            <w:tcW w:w="2079" w:type="dxa"/>
            <w:tcBorders>
              <w:top w:val="single" w:sz="12" w:space="0" w:color="auto"/>
              <w:bottom w:val="single" w:sz="12" w:space="0" w:color="auto"/>
            </w:tcBorders>
            <w:noWrap/>
            <w:vAlign w:val="bottom"/>
            <w:hideMark/>
          </w:tcPr>
          <w:p w14:paraId="2EC6962D" w14:textId="77777777" w:rsidR="00364E9A" w:rsidRPr="00364E9A" w:rsidRDefault="00364E9A" w:rsidP="00577D89">
            <w:pPr>
              <w:pStyle w:val="Body"/>
              <w:spacing w:after="0"/>
              <w:ind w:right="720"/>
              <w:rPr>
                <w:rFonts w:ascii="Arial" w:hAnsi="Arial" w:cs="Arial"/>
              </w:rPr>
            </w:pPr>
            <w:proofErr w:type="gramStart"/>
            <w:r w:rsidRPr="00364E9A">
              <w:rPr>
                <w:rFonts w:ascii="Arial" w:hAnsi="Arial" w:cs="Arial"/>
              </w:rPr>
              <w:t>Median(</w:t>
            </w:r>
            <w:proofErr w:type="gramEnd"/>
            <w:r w:rsidRPr="00364E9A">
              <w:rPr>
                <w:rFonts w:ascii="Arial" w:hAnsi="Arial" w:cs="Arial"/>
              </w:rPr>
              <w:t>IQR)</w:t>
            </w:r>
          </w:p>
        </w:tc>
        <w:tc>
          <w:tcPr>
            <w:tcW w:w="1548" w:type="dxa"/>
            <w:tcBorders>
              <w:top w:val="single" w:sz="12" w:space="0" w:color="auto"/>
              <w:bottom w:val="single" w:sz="12" w:space="0" w:color="auto"/>
            </w:tcBorders>
            <w:noWrap/>
            <w:vAlign w:val="bottom"/>
            <w:hideMark/>
          </w:tcPr>
          <w:p w14:paraId="137C155E" w14:textId="77777777" w:rsidR="00364E9A" w:rsidRPr="00364E9A" w:rsidRDefault="00364E9A" w:rsidP="00577D89">
            <w:pPr>
              <w:pStyle w:val="Body"/>
              <w:spacing w:after="0"/>
              <w:ind w:right="720"/>
              <w:rPr>
                <w:rFonts w:ascii="Arial" w:hAnsi="Arial" w:cs="Arial"/>
              </w:rPr>
            </w:pPr>
            <w:r w:rsidRPr="00364E9A">
              <w:rPr>
                <w:rFonts w:ascii="Arial" w:hAnsi="Arial" w:cs="Arial"/>
              </w:rPr>
              <w:t>P-Value</w:t>
            </w:r>
          </w:p>
        </w:tc>
      </w:tr>
      <w:tr w:rsidR="00947DB4" w:rsidRPr="00364E9A" w14:paraId="4F96B164" w14:textId="77777777" w:rsidTr="00351A17">
        <w:trPr>
          <w:trHeight w:val="209"/>
        </w:trPr>
        <w:tc>
          <w:tcPr>
            <w:tcW w:w="1757" w:type="dxa"/>
            <w:tcBorders>
              <w:top w:val="single" w:sz="12" w:space="0" w:color="auto"/>
            </w:tcBorders>
            <w:noWrap/>
            <w:vAlign w:val="bottom"/>
            <w:hideMark/>
          </w:tcPr>
          <w:p w14:paraId="7F6CDBC3"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Baseline VA</w:t>
            </w:r>
          </w:p>
        </w:tc>
        <w:tc>
          <w:tcPr>
            <w:tcW w:w="2079" w:type="dxa"/>
            <w:tcBorders>
              <w:top w:val="single" w:sz="12" w:space="0" w:color="auto"/>
            </w:tcBorders>
            <w:noWrap/>
            <w:vAlign w:val="bottom"/>
            <w:hideMark/>
          </w:tcPr>
          <w:p w14:paraId="0E37B850" w14:textId="77777777" w:rsidR="00364E9A" w:rsidRPr="00364E9A" w:rsidRDefault="00364E9A" w:rsidP="00577D89">
            <w:pPr>
              <w:pStyle w:val="Body"/>
              <w:spacing w:after="0"/>
              <w:ind w:right="720"/>
              <w:rPr>
                <w:rFonts w:ascii="Arial" w:hAnsi="Arial" w:cs="Arial"/>
              </w:rPr>
            </w:pPr>
            <w:r w:rsidRPr="00364E9A">
              <w:rPr>
                <w:rFonts w:ascii="Arial" w:hAnsi="Arial" w:cs="Arial"/>
              </w:rPr>
              <w:t>0.6(0.3-0.8)</w:t>
            </w:r>
          </w:p>
        </w:tc>
        <w:tc>
          <w:tcPr>
            <w:tcW w:w="1554" w:type="dxa"/>
            <w:tcBorders>
              <w:top w:val="single" w:sz="12" w:space="0" w:color="auto"/>
            </w:tcBorders>
            <w:noWrap/>
            <w:vAlign w:val="bottom"/>
            <w:hideMark/>
          </w:tcPr>
          <w:p w14:paraId="0AA67AE8" w14:textId="77777777" w:rsidR="00364E9A" w:rsidRPr="00364E9A" w:rsidRDefault="00364E9A" w:rsidP="00577D89">
            <w:pPr>
              <w:pStyle w:val="Body"/>
              <w:spacing w:after="0"/>
              <w:ind w:right="720"/>
              <w:rPr>
                <w:rFonts w:ascii="Arial" w:hAnsi="Arial" w:cs="Arial"/>
              </w:rPr>
            </w:pPr>
          </w:p>
        </w:tc>
        <w:tc>
          <w:tcPr>
            <w:tcW w:w="2079" w:type="dxa"/>
            <w:tcBorders>
              <w:top w:val="single" w:sz="12" w:space="0" w:color="auto"/>
            </w:tcBorders>
            <w:noWrap/>
            <w:vAlign w:val="bottom"/>
            <w:hideMark/>
          </w:tcPr>
          <w:p w14:paraId="2FC5BF58" w14:textId="77777777" w:rsidR="00364E9A" w:rsidRPr="00364E9A" w:rsidRDefault="00364E9A" w:rsidP="00577D89">
            <w:pPr>
              <w:pStyle w:val="Body"/>
              <w:spacing w:after="0"/>
              <w:ind w:right="720"/>
              <w:rPr>
                <w:rFonts w:ascii="Arial" w:hAnsi="Arial" w:cs="Arial"/>
              </w:rPr>
            </w:pPr>
            <w:r w:rsidRPr="00364E9A">
              <w:rPr>
                <w:rFonts w:ascii="Arial" w:hAnsi="Arial" w:cs="Arial"/>
              </w:rPr>
              <w:t>0.3(0.2-0.6)</w:t>
            </w:r>
          </w:p>
        </w:tc>
        <w:tc>
          <w:tcPr>
            <w:tcW w:w="1548" w:type="dxa"/>
            <w:tcBorders>
              <w:top w:val="single" w:sz="12" w:space="0" w:color="auto"/>
            </w:tcBorders>
            <w:noWrap/>
            <w:vAlign w:val="bottom"/>
            <w:hideMark/>
          </w:tcPr>
          <w:p w14:paraId="504A5B20" w14:textId="77777777" w:rsidR="00364E9A" w:rsidRPr="00364E9A" w:rsidRDefault="00364E9A" w:rsidP="00577D89">
            <w:pPr>
              <w:pStyle w:val="Body"/>
              <w:spacing w:after="0"/>
              <w:ind w:right="720"/>
              <w:rPr>
                <w:rFonts w:ascii="Arial" w:hAnsi="Arial" w:cs="Arial"/>
              </w:rPr>
            </w:pPr>
          </w:p>
        </w:tc>
      </w:tr>
      <w:tr w:rsidR="00947DB4" w:rsidRPr="00364E9A" w14:paraId="43B15146" w14:textId="77777777" w:rsidTr="00351A17">
        <w:trPr>
          <w:trHeight w:val="209"/>
        </w:trPr>
        <w:tc>
          <w:tcPr>
            <w:tcW w:w="1757" w:type="dxa"/>
            <w:tcBorders>
              <w:bottom w:val="single" w:sz="18" w:space="0" w:color="auto"/>
            </w:tcBorders>
            <w:noWrap/>
            <w:vAlign w:val="bottom"/>
            <w:hideMark/>
          </w:tcPr>
          <w:p w14:paraId="63203034"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VA After week</w:t>
            </w:r>
          </w:p>
        </w:tc>
        <w:tc>
          <w:tcPr>
            <w:tcW w:w="2079" w:type="dxa"/>
            <w:tcBorders>
              <w:bottom w:val="single" w:sz="18" w:space="0" w:color="auto"/>
            </w:tcBorders>
            <w:noWrap/>
            <w:vAlign w:val="bottom"/>
            <w:hideMark/>
          </w:tcPr>
          <w:p w14:paraId="64E623CA" w14:textId="77777777" w:rsidR="00364E9A" w:rsidRPr="00364E9A" w:rsidRDefault="00364E9A" w:rsidP="00577D89">
            <w:pPr>
              <w:pStyle w:val="Body"/>
              <w:spacing w:after="0"/>
              <w:ind w:right="720"/>
              <w:rPr>
                <w:rFonts w:ascii="Arial" w:hAnsi="Arial" w:cs="Arial"/>
              </w:rPr>
            </w:pPr>
            <w:r w:rsidRPr="00364E9A">
              <w:rPr>
                <w:rFonts w:ascii="Arial" w:hAnsi="Arial" w:cs="Arial"/>
              </w:rPr>
              <w:t>0.5(0.3-0.8)</w:t>
            </w:r>
          </w:p>
        </w:tc>
        <w:tc>
          <w:tcPr>
            <w:tcW w:w="1554" w:type="dxa"/>
            <w:tcBorders>
              <w:bottom w:val="single" w:sz="18" w:space="0" w:color="auto"/>
            </w:tcBorders>
            <w:noWrap/>
            <w:vAlign w:val="bottom"/>
            <w:hideMark/>
          </w:tcPr>
          <w:p w14:paraId="6BF7E19C" w14:textId="77777777" w:rsidR="00364E9A" w:rsidRPr="00364E9A" w:rsidRDefault="00364E9A" w:rsidP="00577D89">
            <w:pPr>
              <w:pStyle w:val="Body"/>
              <w:spacing w:after="0"/>
              <w:ind w:right="720"/>
              <w:rPr>
                <w:rFonts w:ascii="Arial" w:hAnsi="Arial" w:cs="Arial"/>
              </w:rPr>
            </w:pPr>
            <w:r w:rsidRPr="00364E9A">
              <w:rPr>
                <w:rFonts w:ascii="Arial" w:hAnsi="Arial" w:cs="Arial"/>
              </w:rPr>
              <w:t>&lt;0.001</w:t>
            </w:r>
          </w:p>
        </w:tc>
        <w:tc>
          <w:tcPr>
            <w:tcW w:w="2079" w:type="dxa"/>
            <w:tcBorders>
              <w:bottom w:val="single" w:sz="18" w:space="0" w:color="auto"/>
            </w:tcBorders>
            <w:noWrap/>
            <w:vAlign w:val="bottom"/>
            <w:hideMark/>
          </w:tcPr>
          <w:p w14:paraId="1F9706B9" w14:textId="77777777" w:rsidR="00364E9A" w:rsidRPr="00364E9A" w:rsidRDefault="00364E9A" w:rsidP="00577D89">
            <w:pPr>
              <w:pStyle w:val="Body"/>
              <w:spacing w:after="0"/>
              <w:ind w:right="720"/>
              <w:rPr>
                <w:rFonts w:ascii="Arial" w:hAnsi="Arial" w:cs="Arial"/>
              </w:rPr>
            </w:pPr>
            <w:r w:rsidRPr="00364E9A">
              <w:rPr>
                <w:rFonts w:ascii="Arial" w:hAnsi="Arial" w:cs="Arial"/>
              </w:rPr>
              <w:t>0.3(0.2-0.6)</w:t>
            </w:r>
          </w:p>
        </w:tc>
        <w:tc>
          <w:tcPr>
            <w:tcW w:w="1548" w:type="dxa"/>
            <w:tcBorders>
              <w:bottom w:val="single" w:sz="18" w:space="0" w:color="auto"/>
            </w:tcBorders>
            <w:noWrap/>
            <w:vAlign w:val="bottom"/>
            <w:hideMark/>
          </w:tcPr>
          <w:p w14:paraId="7FE9B428" w14:textId="77777777" w:rsidR="00364E9A" w:rsidRPr="00364E9A" w:rsidRDefault="00364E9A" w:rsidP="00577D89">
            <w:pPr>
              <w:pStyle w:val="Body"/>
              <w:spacing w:after="0"/>
              <w:ind w:right="720"/>
              <w:rPr>
                <w:rFonts w:ascii="Arial" w:hAnsi="Arial" w:cs="Arial"/>
              </w:rPr>
            </w:pPr>
            <w:r w:rsidRPr="00364E9A">
              <w:rPr>
                <w:rFonts w:ascii="Arial" w:hAnsi="Arial" w:cs="Arial"/>
              </w:rPr>
              <w:t>0.1154</w:t>
            </w:r>
          </w:p>
        </w:tc>
      </w:tr>
    </w:tbl>
    <w:p w14:paraId="0487D641" w14:textId="77777777" w:rsidR="00364E9A" w:rsidRPr="00364E9A" w:rsidRDefault="00364E9A" w:rsidP="00577D89">
      <w:pPr>
        <w:pStyle w:val="Body"/>
        <w:spacing w:after="0"/>
        <w:ind w:right="720"/>
        <w:rPr>
          <w:rFonts w:ascii="Arial" w:hAnsi="Arial" w:cs="Arial"/>
        </w:rPr>
      </w:pPr>
    </w:p>
    <w:p w14:paraId="6A333DB3" w14:textId="77777777" w:rsidR="00364E9A" w:rsidRPr="00364E9A" w:rsidRDefault="00364E9A" w:rsidP="00577D89">
      <w:pPr>
        <w:pStyle w:val="Body"/>
        <w:spacing w:after="0"/>
        <w:ind w:right="720"/>
        <w:rPr>
          <w:rFonts w:ascii="Arial" w:hAnsi="Arial" w:cs="Arial"/>
          <w:b/>
        </w:rPr>
      </w:pPr>
      <w:r w:rsidRPr="00364E9A">
        <w:rPr>
          <w:rFonts w:ascii="Arial" w:hAnsi="Arial" w:cs="Arial"/>
          <w:b/>
        </w:rPr>
        <w:lastRenderedPageBreak/>
        <w:t>Correlation of Central Subfield Macular Thickness (CSMT) between Un-injected and injected eyes</w:t>
      </w:r>
    </w:p>
    <w:p w14:paraId="4AD2DDCF" w14:textId="77777777" w:rsidR="00364E9A" w:rsidRPr="00364E9A" w:rsidRDefault="00364E9A" w:rsidP="00577D89">
      <w:pPr>
        <w:pStyle w:val="Body"/>
        <w:spacing w:after="0"/>
        <w:ind w:right="720"/>
        <w:rPr>
          <w:rFonts w:ascii="Arial" w:hAnsi="Arial" w:cs="Arial"/>
        </w:rPr>
        <w:sectPr w:rsidR="00364E9A" w:rsidRPr="00364E9A" w:rsidSect="00BB14ED">
          <w:type w:val="continuous"/>
          <w:pgSz w:w="12240" w:h="15840"/>
          <w:pgMar w:top="1440" w:right="1440" w:bottom="1440" w:left="1440" w:header="720" w:footer="720" w:gutter="0"/>
          <w:cols w:space="720"/>
          <w:docGrid w:linePitch="360"/>
        </w:sectPr>
      </w:pPr>
    </w:p>
    <w:p w14:paraId="1694299D" w14:textId="77777777" w:rsidR="00364E9A" w:rsidRPr="00364E9A" w:rsidRDefault="00364E9A" w:rsidP="00577D89">
      <w:pPr>
        <w:pStyle w:val="Body"/>
        <w:spacing w:after="0"/>
        <w:ind w:right="720"/>
        <w:rPr>
          <w:rFonts w:ascii="Arial" w:hAnsi="Arial" w:cs="Arial"/>
        </w:rPr>
      </w:pPr>
      <w:r w:rsidRPr="00364E9A">
        <w:rPr>
          <w:rFonts w:ascii="Arial" w:hAnsi="Arial" w:cs="Arial"/>
        </w:rPr>
        <w:t xml:space="preserve">The scatter plot </w:t>
      </w:r>
      <w:r w:rsidRPr="00364E9A">
        <w:rPr>
          <w:rFonts w:ascii="Arial" w:hAnsi="Arial" w:cs="Arial"/>
          <w:b/>
        </w:rPr>
        <w:t xml:space="preserve">Figure 1, </w:t>
      </w:r>
      <w:r w:rsidRPr="00364E9A">
        <w:rPr>
          <w:rFonts w:ascii="Arial" w:hAnsi="Arial" w:cs="Arial"/>
        </w:rPr>
        <w:t xml:space="preserve">showing the relationship between the CSMT at 4 weeks in the injected eye versus un-injected eye among the study participants (N=105). The Pearson correlation coefficient (r) is 0.1739, with a p-value of 0.0760. This showing a weak positive correlation between the CSMT measurements of the injected and un-injected eyes at 4 </w:t>
      </w:r>
      <w:proofErr w:type="gramStart"/>
      <w:r w:rsidRPr="00364E9A">
        <w:rPr>
          <w:rFonts w:ascii="Arial" w:hAnsi="Arial" w:cs="Arial"/>
        </w:rPr>
        <w:t>follow-up</w:t>
      </w:r>
      <w:proofErr w:type="gramEnd"/>
      <w:r w:rsidRPr="00364E9A">
        <w:rPr>
          <w:rFonts w:ascii="Arial" w:hAnsi="Arial" w:cs="Arial"/>
        </w:rPr>
        <w:t xml:space="preserve">; and the association is not statistically significant.  The data points are scattered around the fitted regression line, signifying considerable variability and a limited predictive relationship between the two eyes’ CSMT values at this time point. </w:t>
      </w:r>
    </w:p>
    <w:p w14:paraId="4D0D3697" w14:textId="77777777" w:rsidR="00364E9A" w:rsidRPr="00364E9A" w:rsidRDefault="00364E9A" w:rsidP="00577D89">
      <w:pPr>
        <w:pStyle w:val="Body"/>
        <w:spacing w:after="0"/>
        <w:ind w:right="720"/>
        <w:rPr>
          <w:rFonts w:ascii="Arial" w:hAnsi="Arial" w:cs="Arial"/>
          <w:b/>
        </w:rPr>
        <w:sectPr w:rsidR="00364E9A" w:rsidRPr="00364E9A" w:rsidSect="00BB14ED">
          <w:type w:val="continuous"/>
          <w:pgSz w:w="12240" w:h="15840"/>
          <w:pgMar w:top="1440" w:right="1440" w:bottom="1440" w:left="1440" w:header="720" w:footer="720" w:gutter="0"/>
          <w:cols w:space="720"/>
          <w:docGrid w:linePitch="360"/>
        </w:sectPr>
      </w:pPr>
    </w:p>
    <w:p w14:paraId="0EF40E6F" w14:textId="77777777" w:rsidR="00364E9A" w:rsidRPr="00364E9A" w:rsidRDefault="00364E9A" w:rsidP="00577D89">
      <w:pPr>
        <w:pStyle w:val="Body"/>
        <w:spacing w:after="0"/>
        <w:ind w:right="720"/>
        <w:rPr>
          <w:rFonts w:ascii="Arial" w:hAnsi="Arial" w:cs="Arial"/>
          <w:b/>
        </w:rPr>
      </w:pPr>
      <w:r w:rsidRPr="00364E9A">
        <w:rPr>
          <w:rFonts w:ascii="Arial" w:hAnsi="Arial" w:cs="Arial"/>
          <w:noProof/>
        </w:rPr>
        <w:drawing>
          <wp:inline distT="0" distB="0" distL="0" distR="0" wp14:anchorId="777470DC" wp14:editId="491AAA12">
            <wp:extent cx="4678404" cy="22108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8085" name="Picture 123078085"/>
                    <pic:cNvPicPr/>
                  </pic:nvPicPr>
                  <pic:blipFill>
                    <a:blip r:embed="rId14">
                      <a:extLst>
                        <a:ext uri="{28A0092B-C50C-407E-A947-70E740481C1C}">
                          <a14:useLocalDpi xmlns:a14="http://schemas.microsoft.com/office/drawing/2010/main" val="0"/>
                        </a:ext>
                      </a:extLst>
                    </a:blip>
                    <a:stretch>
                      <a:fillRect/>
                    </a:stretch>
                  </pic:blipFill>
                  <pic:spPr>
                    <a:xfrm>
                      <a:off x="0" y="0"/>
                      <a:ext cx="4716954" cy="2229067"/>
                    </a:xfrm>
                    <a:prstGeom prst="rect">
                      <a:avLst/>
                    </a:prstGeom>
                  </pic:spPr>
                </pic:pic>
              </a:graphicData>
            </a:graphic>
          </wp:inline>
        </w:drawing>
      </w:r>
    </w:p>
    <w:p w14:paraId="43DA680E" w14:textId="77777777" w:rsidR="00364E9A" w:rsidRDefault="00364E9A" w:rsidP="00577D89">
      <w:pPr>
        <w:pStyle w:val="Body"/>
        <w:spacing w:after="0"/>
        <w:ind w:right="720"/>
        <w:rPr>
          <w:rFonts w:ascii="Arial" w:hAnsi="Arial" w:cs="Arial"/>
        </w:rPr>
      </w:pPr>
      <w:r w:rsidRPr="00364E9A">
        <w:rPr>
          <w:rFonts w:ascii="Arial" w:hAnsi="Arial" w:cs="Arial"/>
          <w:b/>
        </w:rPr>
        <w:t>Figure 1:</w:t>
      </w:r>
      <w:r w:rsidRPr="00364E9A">
        <w:rPr>
          <w:rFonts w:ascii="Arial" w:hAnsi="Arial" w:cs="Arial"/>
        </w:rPr>
        <w:t xml:space="preserve"> Correlation between 4 weeks CSMT of un-injected VS injected eye of the study participants (N=105)</w:t>
      </w:r>
    </w:p>
    <w:p w14:paraId="2CD6AF9D" w14:textId="77777777" w:rsidR="00364E9A" w:rsidRPr="00364E9A" w:rsidRDefault="00364E9A" w:rsidP="00577D89">
      <w:pPr>
        <w:pStyle w:val="Body"/>
        <w:spacing w:after="0"/>
        <w:ind w:right="720"/>
        <w:rPr>
          <w:rFonts w:ascii="Arial" w:hAnsi="Arial" w:cs="Arial"/>
          <w:b/>
        </w:rPr>
      </w:pPr>
    </w:p>
    <w:p w14:paraId="431BDB4C" w14:textId="77777777" w:rsidR="002C53D7" w:rsidRDefault="002C53D7" w:rsidP="00577D89">
      <w:pPr>
        <w:pStyle w:val="Body"/>
        <w:spacing w:after="0"/>
        <w:ind w:right="720"/>
        <w:rPr>
          <w:rFonts w:ascii="Arial" w:hAnsi="Arial" w:cs="Arial"/>
          <w:b/>
        </w:rPr>
      </w:pPr>
    </w:p>
    <w:p w14:paraId="1EB8D478" w14:textId="77777777" w:rsidR="002C53D7" w:rsidRDefault="002C53D7" w:rsidP="00577D89">
      <w:pPr>
        <w:pStyle w:val="Body"/>
        <w:spacing w:after="0"/>
        <w:ind w:right="720"/>
        <w:rPr>
          <w:rFonts w:ascii="Arial" w:hAnsi="Arial" w:cs="Arial"/>
          <w:b/>
        </w:rPr>
      </w:pPr>
    </w:p>
    <w:p w14:paraId="33BBBB9D" w14:textId="77777777" w:rsidR="002C53D7" w:rsidRDefault="002C53D7" w:rsidP="00577D89">
      <w:pPr>
        <w:pStyle w:val="Body"/>
        <w:spacing w:after="0"/>
        <w:ind w:right="720"/>
        <w:rPr>
          <w:rFonts w:ascii="Arial" w:hAnsi="Arial" w:cs="Arial"/>
          <w:b/>
        </w:rPr>
      </w:pPr>
    </w:p>
    <w:p w14:paraId="44193C78" w14:textId="77777777" w:rsidR="00364E9A" w:rsidRPr="00364E9A" w:rsidRDefault="009D0604" w:rsidP="00577D89">
      <w:pPr>
        <w:pStyle w:val="Body"/>
        <w:tabs>
          <w:tab w:val="left" w:pos="9000"/>
        </w:tabs>
        <w:spacing w:after="0"/>
        <w:ind w:right="720"/>
        <w:rPr>
          <w:rFonts w:ascii="Arial" w:hAnsi="Arial" w:cs="Arial"/>
        </w:rPr>
      </w:pPr>
      <w:r>
        <w:rPr>
          <w:rFonts w:ascii="Arial" w:hAnsi="Arial" w:cs="Arial"/>
          <w:b/>
        </w:rPr>
        <w:t xml:space="preserve">3.6 </w:t>
      </w:r>
      <w:r w:rsidR="00364E9A" w:rsidRPr="00364E9A">
        <w:rPr>
          <w:rFonts w:ascii="Arial" w:hAnsi="Arial" w:cs="Arial"/>
          <w:b/>
        </w:rPr>
        <w:t>Correlation of Best corrected Visual Acuity (BCVA) between Un-injected and injected eyes</w:t>
      </w:r>
    </w:p>
    <w:p w14:paraId="1731978C" w14:textId="77777777" w:rsidR="00364E9A" w:rsidRDefault="00364E9A" w:rsidP="00577D89">
      <w:pPr>
        <w:pStyle w:val="Body"/>
        <w:tabs>
          <w:tab w:val="left" w:pos="9000"/>
        </w:tabs>
        <w:spacing w:after="0"/>
        <w:ind w:right="720"/>
        <w:rPr>
          <w:rFonts w:ascii="Arial" w:hAnsi="Arial" w:cs="Arial"/>
          <w:b/>
        </w:rPr>
      </w:pPr>
    </w:p>
    <w:p w14:paraId="648F8211" w14:textId="77777777" w:rsidR="002C53D7" w:rsidRPr="00364E9A" w:rsidRDefault="002C53D7" w:rsidP="00577D89">
      <w:pPr>
        <w:pStyle w:val="Body"/>
        <w:tabs>
          <w:tab w:val="left" w:pos="9000"/>
        </w:tabs>
        <w:spacing w:after="0"/>
        <w:ind w:right="720"/>
        <w:rPr>
          <w:rFonts w:ascii="Arial" w:hAnsi="Arial" w:cs="Arial"/>
          <w:b/>
        </w:rPr>
        <w:sectPr w:rsidR="002C53D7" w:rsidRPr="00364E9A" w:rsidSect="00BB14ED">
          <w:type w:val="continuous"/>
          <w:pgSz w:w="12240" w:h="15840"/>
          <w:pgMar w:top="1440" w:right="1440" w:bottom="1440" w:left="1440" w:header="720" w:footer="720" w:gutter="0"/>
          <w:cols w:space="720"/>
          <w:docGrid w:linePitch="360"/>
        </w:sectPr>
      </w:pPr>
    </w:p>
    <w:p w14:paraId="707DA675" w14:textId="77777777" w:rsidR="00364E9A" w:rsidRPr="00364E9A" w:rsidRDefault="00364E9A" w:rsidP="00577D89">
      <w:pPr>
        <w:pStyle w:val="Body"/>
        <w:tabs>
          <w:tab w:val="left" w:pos="9000"/>
        </w:tabs>
        <w:spacing w:after="0"/>
        <w:ind w:right="720"/>
        <w:rPr>
          <w:rFonts w:ascii="Arial" w:hAnsi="Arial" w:cs="Arial"/>
        </w:rPr>
      </w:pPr>
      <w:r w:rsidRPr="00364E9A">
        <w:rPr>
          <w:rFonts w:ascii="Arial" w:hAnsi="Arial" w:cs="Arial"/>
          <w:b/>
        </w:rPr>
        <w:t>Figure 2:</w:t>
      </w:r>
      <w:r w:rsidRPr="00364E9A">
        <w:rPr>
          <w:rFonts w:ascii="Arial" w:hAnsi="Arial" w:cs="Arial"/>
        </w:rPr>
        <w:t xml:space="preserve"> below shows Correlation between 4 weeks VA of un-injected versus injected eye of the study subjects (N=105), with a Spearman's rho of 0.4060 and a statistically significant p-value of less than 0.001, the scatter plot indicating a moderately positive correlation between the study participants' (N = 105) 4-week visual acuity (VA) in their injected and un-injected eyes. This suggests that participants tended to exhibit better VA in the un-injected eye as well as better VA outcomes in the injected eye. Despite the weak correlation, the upward trend points to the possibility of bilateral or systemic factors, such as shared disease mechanisms or systemic VEGF suppression that could help both eyes' vision improve after receiving a single intra-</w:t>
      </w:r>
      <w:proofErr w:type="spellStart"/>
      <w:r w:rsidRPr="00364E9A">
        <w:rPr>
          <w:rFonts w:ascii="Arial" w:hAnsi="Arial" w:cs="Arial"/>
        </w:rPr>
        <w:t>vitreal</w:t>
      </w:r>
      <w:proofErr w:type="spellEnd"/>
      <w:r w:rsidRPr="00364E9A">
        <w:rPr>
          <w:rFonts w:ascii="Arial" w:hAnsi="Arial" w:cs="Arial"/>
        </w:rPr>
        <w:t xml:space="preserve"> Bevacizumab injection.</w:t>
      </w:r>
    </w:p>
    <w:p w14:paraId="1F67C001" w14:textId="77777777" w:rsidR="00364E9A" w:rsidRPr="00364E9A" w:rsidRDefault="00364E9A" w:rsidP="00577D89">
      <w:pPr>
        <w:pStyle w:val="Body"/>
        <w:tabs>
          <w:tab w:val="left" w:pos="9000"/>
        </w:tabs>
        <w:spacing w:after="0"/>
        <w:ind w:right="720"/>
        <w:rPr>
          <w:rFonts w:ascii="Arial" w:hAnsi="Arial" w:cs="Arial"/>
          <w:b/>
        </w:rPr>
        <w:sectPr w:rsidR="00364E9A" w:rsidRPr="00364E9A" w:rsidSect="00BB14ED">
          <w:type w:val="continuous"/>
          <w:pgSz w:w="12240" w:h="15840"/>
          <w:pgMar w:top="1440" w:right="1440" w:bottom="1440" w:left="1440" w:header="720" w:footer="720" w:gutter="0"/>
          <w:cols w:space="720"/>
          <w:docGrid w:linePitch="360"/>
        </w:sectPr>
      </w:pPr>
    </w:p>
    <w:p w14:paraId="6A3DB69C" w14:textId="77777777" w:rsidR="00364E9A" w:rsidRPr="00364E9A" w:rsidRDefault="00364E9A" w:rsidP="00577D89">
      <w:pPr>
        <w:pStyle w:val="Body"/>
        <w:spacing w:after="0"/>
        <w:ind w:right="720"/>
        <w:rPr>
          <w:rFonts w:ascii="Arial" w:hAnsi="Arial" w:cs="Arial"/>
          <w:b/>
        </w:rPr>
      </w:pPr>
      <w:r w:rsidRPr="00364E9A">
        <w:rPr>
          <w:rFonts w:ascii="Arial" w:hAnsi="Arial" w:cs="Arial"/>
          <w:noProof/>
        </w:rPr>
        <w:lastRenderedPageBreak/>
        <w:drawing>
          <wp:inline distT="0" distB="0" distL="0" distR="0" wp14:anchorId="1EFB6203" wp14:editId="2CEBCF07">
            <wp:extent cx="5048250" cy="2126563"/>
            <wp:effectExtent l="0" t="0" r="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037636" name="Picture 869037636"/>
                    <pic:cNvPicPr/>
                  </pic:nvPicPr>
                  <pic:blipFill>
                    <a:blip r:embed="rId15">
                      <a:extLst>
                        <a:ext uri="{28A0092B-C50C-407E-A947-70E740481C1C}">
                          <a14:useLocalDpi xmlns:a14="http://schemas.microsoft.com/office/drawing/2010/main" val="0"/>
                        </a:ext>
                      </a:extLst>
                    </a:blip>
                    <a:stretch>
                      <a:fillRect/>
                    </a:stretch>
                  </pic:blipFill>
                  <pic:spPr>
                    <a:xfrm>
                      <a:off x="0" y="0"/>
                      <a:ext cx="5089368" cy="2143884"/>
                    </a:xfrm>
                    <a:prstGeom prst="rect">
                      <a:avLst/>
                    </a:prstGeom>
                  </pic:spPr>
                </pic:pic>
              </a:graphicData>
            </a:graphic>
          </wp:inline>
        </w:drawing>
      </w:r>
    </w:p>
    <w:p w14:paraId="5C936D1D" w14:textId="77777777" w:rsidR="00364E9A" w:rsidRPr="00364E9A" w:rsidRDefault="00364E9A" w:rsidP="00577D89">
      <w:pPr>
        <w:pStyle w:val="Body"/>
        <w:spacing w:after="0"/>
        <w:ind w:right="720"/>
        <w:rPr>
          <w:rFonts w:ascii="Arial" w:hAnsi="Arial" w:cs="Arial"/>
        </w:rPr>
      </w:pPr>
      <w:r w:rsidRPr="00364E9A">
        <w:rPr>
          <w:rFonts w:ascii="Arial" w:hAnsi="Arial" w:cs="Arial"/>
          <w:b/>
        </w:rPr>
        <w:t>Figure 2:</w:t>
      </w:r>
      <w:r w:rsidRPr="00364E9A">
        <w:rPr>
          <w:rFonts w:ascii="Arial" w:hAnsi="Arial" w:cs="Arial"/>
        </w:rPr>
        <w:t xml:space="preserve"> Correlation between 4 weeks VA of un-injected VS injected eye of the study participants (N=105)</w:t>
      </w:r>
    </w:p>
    <w:p w14:paraId="1ECDE7B3" w14:textId="77777777" w:rsidR="00364E9A" w:rsidRPr="00364E9A" w:rsidRDefault="00364E9A" w:rsidP="00577D89">
      <w:pPr>
        <w:pStyle w:val="Body"/>
        <w:spacing w:after="0"/>
        <w:ind w:right="720"/>
        <w:rPr>
          <w:rFonts w:ascii="Arial" w:hAnsi="Arial" w:cs="Arial"/>
          <w:b/>
        </w:rPr>
      </w:pPr>
    </w:p>
    <w:p w14:paraId="5C3E82A9" w14:textId="77777777" w:rsidR="009D0604" w:rsidRDefault="009D0604" w:rsidP="00577D89">
      <w:pPr>
        <w:pStyle w:val="Body"/>
        <w:spacing w:after="0"/>
        <w:ind w:right="720"/>
        <w:rPr>
          <w:rFonts w:ascii="Arial" w:hAnsi="Arial" w:cs="Arial"/>
          <w:b/>
        </w:rPr>
      </w:pPr>
    </w:p>
    <w:p w14:paraId="652775EB" w14:textId="77777777" w:rsidR="009D0604" w:rsidRDefault="009D0604" w:rsidP="00577D89">
      <w:pPr>
        <w:pStyle w:val="Body"/>
        <w:spacing w:after="0"/>
        <w:ind w:right="720"/>
        <w:rPr>
          <w:rFonts w:ascii="Arial" w:hAnsi="Arial" w:cs="Arial"/>
          <w:b/>
        </w:rPr>
      </w:pPr>
    </w:p>
    <w:p w14:paraId="35E3A11F" w14:textId="77777777" w:rsidR="00364E9A" w:rsidRPr="00364E9A" w:rsidRDefault="009D0604" w:rsidP="00577D89">
      <w:pPr>
        <w:pStyle w:val="Body"/>
        <w:spacing w:after="0"/>
        <w:ind w:right="720"/>
        <w:rPr>
          <w:rFonts w:ascii="Arial" w:hAnsi="Arial" w:cs="Arial"/>
          <w:b/>
        </w:rPr>
      </w:pPr>
      <w:r>
        <w:rPr>
          <w:rFonts w:ascii="Arial" w:hAnsi="Arial" w:cs="Arial"/>
          <w:b/>
        </w:rPr>
        <w:t xml:space="preserve">3.7 </w:t>
      </w:r>
      <w:r w:rsidR="00364E9A" w:rsidRPr="00364E9A">
        <w:rPr>
          <w:rFonts w:ascii="Arial" w:hAnsi="Arial" w:cs="Arial"/>
          <w:b/>
        </w:rPr>
        <w:t xml:space="preserve">Factors associated with CSMT change </w:t>
      </w:r>
    </w:p>
    <w:p w14:paraId="78A8F98D" w14:textId="77777777" w:rsidR="00364E9A" w:rsidRDefault="00364E9A" w:rsidP="00577D89">
      <w:pPr>
        <w:pStyle w:val="Body"/>
        <w:spacing w:after="0"/>
        <w:ind w:right="720"/>
        <w:rPr>
          <w:rFonts w:ascii="Arial" w:hAnsi="Arial" w:cs="Arial"/>
          <w:b/>
        </w:rPr>
      </w:pPr>
    </w:p>
    <w:p w14:paraId="057A8785" w14:textId="77777777" w:rsidR="002C53D7" w:rsidRPr="00364E9A" w:rsidRDefault="002C53D7" w:rsidP="00577D89">
      <w:pPr>
        <w:pStyle w:val="Body"/>
        <w:spacing w:after="0"/>
        <w:ind w:right="720"/>
        <w:rPr>
          <w:rFonts w:ascii="Arial" w:hAnsi="Arial" w:cs="Arial"/>
          <w:b/>
        </w:rPr>
        <w:sectPr w:rsidR="002C53D7" w:rsidRPr="00364E9A" w:rsidSect="00BB14ED">
          <w:type w:val="continuous"/>
          <w:pgSz w:w="12240" w:h="15840"/>
          <w:pgMar w:top="1440" w:right="1440" w:bottom="1440" w:left="1440" w:header="720" w:footer="720" w:gutter="0"/>
          <w:cols w:space="720"/>
          <w:docGrid w:linePitch="360"/>
        </w:sectPr>
      </w:pPr>
    </w:p>
    <w:p w14:paraId="48AD9F01" w14:textId="77777777" w:rsidR="00364E9A" w:rsidRPr="00364E9A" w:rsidRDefault="00364E9A" w:rsidP="00577D89">
      <w:pPr>
        <w:pStyle w:val="Body"/>
        <w:spacing w:after="0"/>
        <w:ind w:right="720"/>
        <w:rPr>
          <w:rFonts w:ascii="Arial" w:hAnsi="Arial" w:cs="Arial"/>
        </w:rPr>
      </w:pPr>
      <w:r w:rsidRPr="00364E9A">
        <w:rPr>
          <w:rFonts w:ascii="Arial" w:hAnsi="Arial" w:cs="Arial"/>
          <w:b/>
        </w:rPr>
        <w:t>Table 7</w:t>
      </w:r>
      <w:r w:rsidRPr="00364E9A">
        <w:rPr>
          <w:rFonts w:ascii="Arial" w:hAnsi="Arial" w:cs="Arial"/>
        </w:rPr>
        <w:t>: Shows crude and adjusted analysis of factors associated with CSMT change. In crude analysis, Duration of the Diabetes mellitus, History of PRP, hypertension, HBA1c, HDL and Serum Creatinine blood levels showed significant association with CSMT change of an un-injected eye after injecting the contralateral eye.</w:t>
      </w:r>
    </w:p>
    <w:p w14:paraId="47B9D137" w14:textId="77777777" w:rsidR="00364E9A" w:rsidRPr="00364E9A" w:rsidRDefault="00364E9A" w:rsidP="00577D89">
      <w:pPr>
        <w:pStyle w:val="Body"/>
        <w:spacing w:after="0"/>
        <w:ind w:right="720"/>
        <w:rPr>
          <w:rFonts w:ascii="Arial" w:hAnsi="Arial" w:cs="Arial"/>
          <w:i/>
        </w:rPr>
      </w:pPr>
      <w:r w:rsidRPr="00364E9A">
        <w:rPr>
          <w:rFonts w:ascii="Arial" w:hAnsi="Arial" w:cs="Arial"/>
          <w:i/>
        </w:rPr>
        <w:t xml:space="preserve">Crude Analyses: - </w:t>
      </w:r>
      <w:r w:rsidRPr="00364E9A">
        <w:rPr>
          <w:rFonts w:ascii="Arial" w:hAnsi="Arial" w:cs="Arial"/>
        </w:rPr>
        <w:t>A significant 0.5% increase in central subfield macular thickness (CSMT) was observed for each one-year increase in the duration of diabetes mellitus (CRR=1.005; 95%CI: 1.001-1.009; P-value =0.003). Participants with a history of pan-retinal photocoagulation (PRP) were observed to have a 7% significant decrease in CSMT compared to those without History of PRP (CRR=</w:t>
      </w:r>
      <w:r w:rsidR="00351A17">
        <w:rPr>
          <w:rFonts w:ascii="Arial" w:hAnsi="Arial" w:cs="Arial"/>
        </w:rPr>
        <w:t>0.93; 95%CI: 0.87-0.98; P-value</w:t>
      </w:r>
      <w:r w:rsidRPr="00364E9A">
        <w:rPr>
          <w:rFonts w:ascii="Arial" w:hAnsi="Arial" w:cs="Arial"/>
        </w:rPr>
        <w:t xml:space="preserve">=0.013). Related to individuals without Hypertension, those with Hypertension showed a 10% significant increase in the CSMT (CRR=1.10; 95%CI: 1.04-1.15; P-value &lt;0.001). Moreover, for each 1% increase in HbA1c, there was a 17% significant increase in CSMT (CRR=1.17; 95%CI: 1.03-1.33; P-value =0.013). Higher HDL levels were associated with a 4% significant decrease in CSMT (CRR=0.96; 95%CI: 0.60-0.87; P-value =0.001), whereas each unit increase in serum creatinine was associated with a 0.3% significant increase in CSMT (CRR=1.003; 95%CI: 1.001-1.005; P-value =0.001). </w:t>
      </w:r>
    </w:p>
    <w:p w14:paraId="3E9BFB61" w14:textId="77777777" w:rsidR="00364E9A" w:rsidRDefault="00364E9A" w:rsidP="00577D89">
      <w:pPr>
        <w:pStyle w:val="Body"/>
        <w:spacing w:after="0"/>
        <w:ind w:right="720"/>
        <w:rPr>
          <w:rFonts w:ascii="Arial" w:hAnsi="Arial" w:cs="Arial"/>
        </w:rPr>
      </w:pPr>
      <w:r w:rsidRPr="00364E9A">
        <w:rPr>
          <w:rFonts w:ascii="Arial" w:hAnsi="Arial" w:cs="Arial"/>
          <w:i/>
        </w:rPr>
        <w:t xml:space="preserve">Adjusted Analysis: - </w:t>
      </w:r>
      <w:r w:rsidRPr="00364E9A">
        <w:rPr>
          <w:rFonts w:ascii="Arial" w:hAnsi="Arial" w:cs="Arial"/>
        </w:rPr>
        <w:t>In the adjusted analysis, numerous factors were significantly associated with changes in central subfield macular thickness (CSMT) in the un-injected eye after intra-</w:t>
      </w:r>
      <w:proofErr w:type="spellStart"/>
      <w:r w:rsidRPr="00364E9A">
        <w:rPr>
          <w:rFonts w:ascii="Arial" w:hAnsi="Arial" w:cs="Arial"/>
        </w:rPr>
        <w:t>vitreal</w:t>
      </w:r>
      <w:proofErr w:type="spellEnd"/>
      <w:r w:rsidRPr="00364E9A">
        <w:rPr>
          <w:rFonts w:ascii="Arial" w:hAnsi="Arial" w:cs="Arial"/>
        </w:rPr>
        <w:t xml:space="preserve"> injection in the contralateral eye.</w:t>
      </w:r>
      <w:r w:rsidRPr="00364E9A">
        <w:rPr>
          <w:rFonts w:ascii="Arial" w:hAnsi="Arial" w:cs="Arial"/>
          <w:i/>
        </w:rPr>
        <w:t xml:space="preserve"> </w:t>
      </w:r>
      <w:r w:rsidRPr="00364E9A">
        <w:rPr>
          <w:rFonts w:ascii="Arial" w:hAnsi="Arial" w:cs="Arial"/>
        </w:rPr>
        <w:t>Participants with history of pan-retinal photocoagulation (PRP) had a 6% significant decrease in CSMT compared to those without a PRP history (ARR=</w:t>
      </w:r>
      <w:r w:rsidR="00351A17">
        <w:rPr>
          <w:rFonts w:ascii="Arial" w:hAnsi="Arial" w:cs="Arial"/>
        </w:rPr>
        <w:t>0.94; 95%CI: 0.89-0.98; P-value</w:t>
      </w:r>
      <w:r w:rsidRPr="00364E9A">
        <w:rPr>
          <w:rFonts w:ascii="Arial" w:hAnsi="Arial" w:cs="Arial"/>
        </w:rPr>
        <w:t>=0.021). Similarly, participants' history of intra-</w:t>
      </w:r>
      <w:proofErr w:type="spellStart"/>
      <w:r w:rsidRPr="00364E9A">
        <w:rPr>
          <w:rFonts w:ascii="Arial" w:hAnsi="Arial" w:cs="Arial"/>
        </w:rPr>
        <w:t>vitreal</w:t>
      </w:r>
      <w:proofErr w:type="spellEnd"/>
      <w:r w:rsidRPr="00364E9A">
        <w:rPr>
          <w:rFonts w:ascii="Arial" w:hAnsi="Arial" w:cs="Arial"/>
        </w:rPr>
        <w:t xml:space="preserve"> bevacizumab injection showed a 9% significant increase in CSMT compared to those without such history (ARR=1.09; 95%CI: 1.01-13;</w:t>
      </w:r>
      <w:r w:rsidR="00351A17">
        <w:rPr>
          <w:rFonts w:ascii="Arial" w:hAnsi="Arial" w:cs="Arial"/>
        </w:rPr>
        <w:t xml:space="preserve"> P-value</w:t>
      </w:r>
      <w:r w:rsidRPr="00364E9A">
        <w:rPr>
          <w:rFonts w:ascii="Arial" w:hAnsi="Arial" w:cs="Arial"/>
        </w:rPr>
        <w:t>=0.001). Compared to individuals without Hypertension, those with Hypertension had a 7% significant increase in CSMT (ARR=1.</w:t>
      </w:r>
      <w:r w:rsidR="00351A17">
        <w:rPr>
          <w:rFonts w:ascii="Arial" w:hAnsi="Arial" w:cs="Arial"/>
        </w:rPr>
        <w:t>07; 95%CI: 1.01-1.13; P-value=</w:t>
      </w:r>
      <w:r w:rsidRPr="00364E9A">
        <w:rPr>
          <w:rFonts w:ascii="Arial" w:hAnsi="Arial" w:cs="Arial"/>
        </w:rPr>
        <w:t>0.021). In addition, each unit increase in serum creatinine level was associated with a 0.2% significant increase in CSMT (ARR=1.00</w:t>
      </w:r>
      <w:r w:rsidR="00351A17">
        <w:rPr>
          <w:rFonts w:ascii="Arial" w:hAnsi="Arial" w:cs="Arial"/>
        </w:rPr>
        <w:t>2; 95%CI: 1.0001-1.004; P-value</w:t>
      </w:r>
      <w:r w:rsidRPr="00364E9A">
        <w:rPr>
          <w:rFonts w:ascii="Arial" w:hAnsi="Arial" w:cs="Arial"/>
        </w:rPr>
        <w:t>=0.038).</w:t>
      </w:r>
    </w:p>
    <w:p w14:paraId="01078E43" w14:textId="77777777" w:rsidR="002C53D7" w:rsidRPr="002C53D7" w:rsidRDefault="002C53D7" w:rsidP="00577D89">
      <w:pPr>
        <w:pStyle w:val="Body"/>
        <w:spacing w:after="0"/>
        <w:ind w:right="720"/>
        <w:rPr>
          <w:rFonts w:ascii="Arial" w:hAnsi="Arial" w:cs="Arial"/>
        </w:rPr>
        <w:sectPr w:rsidR="002C53D7" w:rsidRPr="002C53D7" w:rsidSect="00BB14ED">
          <w:type w:val="continuous"/>
          <w:pgSz w:w="12240" w:h="15840"/>
          <w:pgMar w:top="1440" w:right="1440" w:bottom="1440" w:left="1440" w:header="720" w:footer="720" w:gutter="0"/>
          <w:cols w:space="720"/>
          <w:docGrid w:linePitch="360"/>
        </w:sectPr>
      </w:pPr>
    </w:p>
    <w:p w14:paraId="19E94189" w14:textId="77777777" w:rsidR="00364E9A" w:rsidRPr="00364E9A" w:rsidRDefault="00364E9A" w:rsidP="00577D89">
      <w:pPr>
        <w:pStyle w:val="Body"/>
        <w:spacing w:after="0"/>
        <w:ind w:right="720"/>
        <w:rPr>
          <w:rFonts w:ascii="Arial" w:hAnsi="Arial" w:cs="Arial"/>
          <w:b/>
          <w:bCs/>
        </w:rPr>
      </w:pPr>
    </w:p>
    <w:p w14:paraId="2483EA28" w14:textId="77777777" w:rsidR="002C53D7" w:rsidRDefault="002C53D7" w:rsidP="00577D89">
      <w:pPr>
        <w:pStyle w:val="Body"/>
        <w:spacing w:after="0"/>
        <w:ind w:right="720"/>
        <w:rPr>
          <w:rFonts w:ascii="Arial" w:hAnsi="Arial" w:cs="Arial"/>
          <w:b/>
          <w:bCs/>
        </w:rPr>
      </w:pPr>
    </w:p>
    <w:p w14:paraId="73BAC726" w14:textId="77777777" w:rsidR="00364E9A" w:rsidRPr="00364E9A" w:rsidRDefault="00364E9A" w:rsidP="00577D89">
      <w:pPr>
        <w:pStyle w:val="Body"/>
        <w:spacing w:after="0"/>
        <w:ind w:right="720"/>
        <w:rPr>
          <w:rFonts w:ascii="Arial" w:hAnsi="Arial" w:cs="Arial"/>
        </w:rPr>
      </w:pPr>
      <w:r w:rsidRPr="00364E9A">
        <w:rPr>
          <w:rFonts w:ascii="Arial" w:hAnsi="Arial" w:cs="Arial"/>
          <w:b/>
          <w:bCs/>
        </w:rPr>
        <w:t>Table 7</w:t>
      </w:r>
      <w:r w:rsidRPr="00364E9A">
        <w:rPr>
          <w:rFonts w:ascii="Arial" w:hAnsi="Arial" w:cs="Arial"/>
        </w:rPr>
        <w:t xml:space="preserve">: Factors associated with CSMT change </w:t>
      </w:r>
    </w:p>
    <w:tbl>
      <w:tblPr>
        <w:tblW w:w="9576" w:type="dxa"/>
        <w:tblLook w:val="04A0" w:firstRow="1" w:lastRow="0" w:firstColumn="1" w:lastColumn="0" w:noHBand="0" w:noVBand="1"/>
      </w:tblPr>
      <w:tblGrid>
        <w:gridCol w:w="2097"/>
        <w:gridCol w:w="1961"/>
        <w:gridCol w:w="1475"/>
        <w:gridCol w:w="2066"/>
        <w:gridCol w:w="1977"/>
      </w:tblGrid>
      <w:tr w:rsidR="00364E9A" w:rsidRPr="00364E9A" w14:paraId="40183A0E" w14:textId="77777777" w:rsidTr="00D3506D">
        <w:trPr>
          <w:trHeight w:val="279"/>
        </w:trPr>
        <w:tc>
          <w:tcPr>
            <w:tcW w:w="2110" w:type="dxa"/>
            <w:tcBorders>
              <w:top w:val="single" w:sz="12" w:space="0" w:color="auto"/>
            </w:tcBorders>
            <w:noWrap/>
            <w:vAlign w:val="center"/>
            <w:hideMark/>
          </w:tcPr>
          <w:p w14:paraId="5F76F15B"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Variables</w:t>
            </w:r>
          </w:p>
        </w:tc>
        <w:tc>
          <w:tcPr>
            <w:tcW w:w="3515" w:type="dxa"/>
            <w:gridSpan w:val="2"/>
            <w:tcBorders>
              <w:top w:val="single" w:sz="12" w:space="0" w:color="auto"/>
            </w:tcBorders>
            <w:noWrap/>
            <w:vAlign w:val="center"/>
            <w:hideMark/>
          </w:tcPr>
          <w:p w14:paraId="71160B8B"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Crude analysis</w:t>
            </w:r>
          </w:p>
        </w:tc>
        <w:tc>
          <w:tcPr>
            <w:tcW w:w="3951" w:type="dxa"/>
            <w:gridSpan w:val="2"/>
            <w:tcBorders>
              <w:top w:val="single" w:sz="12" w:space="0" w:color="auto"/>
              <w:bottom w:val="single" w:sz="12" w:space="0" w:color="auto"/>
            </w:tcBorders>
            <w:noWrap/>
            <w:vAlign w:val="center"/>
            <w:hideMark/>
          </w:tcPr>
          <w:p w14:paraId="75C5CB61"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Adjusted analysis</w:t>
            </w:r>
          </w:p>
        </w:tc>
      </w:tr>
      <w:tr w:rsidR="00947DB4" w:rsidRPr="00364E9A" w14:paraId="5731B0F0" w14:textId="77777777" w:rsidTr="00D3506D">
        <w:trPr>
          <w:trHeight w:val="279"/>
        </w:trPr>
        <w:tc>
          <w:tcPr>
            <w:tcW w:w="2110" w:type="dxa"/>
            <w:tcBorders>
              <w:bottom w:val="single" w:sz="12" w:space="0" w:color="auto"/>
            </w:tcBorders>
            <w:noWrap/>
            <w:vAlign w:val="bottom"/>
            <w:hideMark/>
          </w:tcPr>
          <w:p w14:paraId="7C7801A0" w14:textId="77777777" w:rsidR="00364E9A" w:rsidRPr="00364E9A" w:rsidRDefault="00364E9A" w:rsidP="00577D89">
            <w:pPr>
              <w:pStyle w:val="Body"/>
              <w:spacing w:after="0"/>
              <w:ind w:right="720"/>
              <w:rPr>
                <w:rFonts w:ascii="Arial" w:hAnsi="Arial" w:cs="Arial"/>
              </w:rPr>
            </w:pPr>
            <w:r w:rsidRPr="00364E9A">
              <w:rPr>
                <w:rFonts w:ascii="Arial" w:hAnsi="Arial" w:cs="Arial"/>
              </w:rPr>
              <w:t> </w:t>
            </w:r>
          </w:p>
        </w:tc>
        <w:tc>
          <w:tcPr>
            <w:tcW w:w="2031" w:type="dxa"/>
            <w:tcBorders>
              <w:top w:val="single" w:sz="12" w:space="0" w:color="auto"/>
              <w:bottom w:val="single" w:sz="12" w:space="0" w:color="auto"/>
            </w:tcBorders>
            <w:noWrap/>
            <w:vAlign w:val="center"/>
            <w:hideMark/>
          </w:tcPr>
          <w:p w14:paraId="22E34F76" w14:textId="77777777" w:rsidR="00364E9A" w:rsidRPr="00364E9A" w:rsidRDefault="00364E9A" w:rsidP="00577D89">
            <w:pPr>
              <w:pStyle w:val="Body"/>
              <w:spacing w:after="0"/>
              <w:ind w:right="720"/>
              <w:rPr>
                <w:rFonts w:ascii="Arial" w:hAnsi="Arial" w:cs="Arial"/>
                <w:b/>
                <w:bCs/>
              </w:rPr>
            </w:pPr>
            <w:proofErr w:type="gramStart"/>
            <w:r w:rsidRPr="00364E9A">
              <w:rPr>
                <w:rFonts w:ascii="Arial" w:hAnsi="Arial" w:cs="Arial"/>
                <w:b/>
                <w:bCs/>
              </w:rPr>
              <w:t>RR(</w:t>
            </w:r>
            <w:proofErr w:type="gramEnd"/>
            <w:r w:rsidRPr="00364E9A">
              <w:rPr>
                <w:rFonts w:ascii="Arial" w:hAnsi="Arial" w:cs="Arial"/>
                <w:b/>
                <w:bCs/>
              </w:rPr>
              <w:t>95%CI)</w:t>
            </w:r>
          </w:p>
        </w:tc>
        <w:tc>
          <w:tcPr>
            <w:tcW w:w="1484" w:type="dxa"/>
            <w:tcBorders>
              <w:top w:val="single" w:sz="12" w:space="0" w:color="auto"/>
              <w:bottom w:val="single" w:sz="12" w:space="0" w:color="auto"/>
            </w:tcBorders>
            <w:noWrap/>
            <w:vAlign w:val="center"/>
            <w:hideMark/>
          </w:tcPr>
          <w:p w14:paraId="056C30EC" w14:textId="77777777" w:rsidR="00364E9A" w:rsidRPr="00364E9A" w:rsidRDefault="00364E9A" w:rsidP="00577D89">
            <w:pPr>
              <w:pStyle w:val="Body"/>
              <w:spacing w:after="0"/>
              <w:ind w:right="720"/>
              <w:rPr>
                <w:rFonts w:ascii="Arial" w:hAnsi="Arial" w:cs="Arial"/>
              </w:rPr>
            </w:pPr>
            <w:r w:rsidRPr="00364E9A">
              <w:rPr>
                <w:rFonts w:ascii="Arial" w:hAnsi="Arial" w:cs="Arial"/>
                <w:b/>
                <w:bCs/>
              </w:rPr>
              <w:t>P-value</w:t>
            </w:r>
          </w:p>
        </w:tc>
        <w:tc>
          <w:tcPr>
            <w:tcW w:w="1863" w:type="dxa"/>
            <w:tcBorders>
              <w:top w:val="single" w:sz="12" w:space="0" w:color="auto"/>
              <w:bottom w:val="single" w:sz="12" w:space="0" w:color="auto"/>
            </w:tcBorders>
            <w:noWrap/>
            <w:vAlign w:val="center"/>
            <w:hideMark/>
          </w:tcPr>
          <w:p w14:paraId="229D730D" w14:textId="77777777" w:rsidR="00364E9A" w:rsidRPr="00364E9A" w:rsidRDefault="00364E9A" w:rsidP="00577D89">
            <w:pPr>
              <w:pStyle w:val="Body"/>
              <w:spacing w:after="0"/>
              <w:ind w:right="720"/>
              <w:rPr>
                <w:rFonts w:ascii="Arial" w:hAnsi="Arial" w:cs="Arial"/>
                <w:b/>
                <w:bCs/>
              </w:rPr>
            </w:pPr>
            <w:proofErr w:type="gramStart"/>
            <w:r w:rsidRPr="00364E9A">
              <w:rPr>
                <w:rFonts w:ascii="Arial" w:hAnsi="Arial" w:cs="Arial"/>
                <w:b/>
                <w:bCs/>
              </w:rPr>
              <w:t>RR(</w:t>
            </w:r>
            <w:proofErr w:type="gramEnd"/>
            <w:r w:rsidRPr="00364E9A">
              <w:rPr>
                <w:rFonts w:ascii="Arial" w:hAnsi="Arial" w:cs="Arial"/>
                <w:b/>
                <w:bCs/>
              </w:rPr>
              <w:t>95%CI)</w:t>
            </w:r>
          </w:p>
        </w:tc>
        <w:tc>
          <w:tcPr>
            <w:tcW w:w="2088" w:type="dxa"/>
            <w:tcBorders>
              <w:top w:val="single" w:sz="12" w:space="0" w:color="auto"/>
              <w:bottom w:val="single" w:sz="12" w:space="0" w:color="auto"/>
            </w:tcBorders>
            <w:noWrap/>
            <w:vAlign w:val="center"/>
            <w:hideMark/>
          </w:tcPr>
          <w:p w14:paraId="0D537EBC" w14:textId="77777777" w:rsidR="00364E9A" w:rsidRPr="00364E9A" w:rsidRDefault="00364E9A" w:rsidP="00577D89">
            <w:pPr>
              <w:pStyle w:val="Body"/>
              <w:spacing w:after="0"/>
              <w:ind w:right="720"/>
              <w:rPr>
                <w:rFonts w:ascii="Arial" w:hAnsi="Arial" w:cs="Arial"/>
              </w:rPr>
            </w:pPr>
            <w:r w:rsidRPr="00364E9A">
              <w:rPr>
                <w:rFonts w:ascii="Arial" w:hAnsi="Arial" w:cs="Arial"/>
                <w:b/>
                <w:bCs/>
              </w:rPr>
              <w:t>P-value</w:t>
            </w:r>
          </w:p>
        </w:tc>
      </w:tr>
      <w:tr w:rsidR="00947DB4" w:rsidRPr="00364E9A" w14:paraId="114EEF99" w14:textId="77777777" w:rsidTr="00D3506D">
        <w:trPr>
          <w:trHeight w:val="266"/>
        </w:trPr>
        <w:tc>
          <w:tcPr>
            <w:tcW w:w="2110" w:type="dxa"/>
            <w:noWrap/>
            <w:vAlign w:val="bottom"/>
            <w:hideMark/>
          </w:tcPr>
          <w:p w14:paraId="285DBB55" w14:textId="77777777" w:rsidR="00364E9A" w:rsidRPr="00364E9A" w:rsidRDefault="00364E9A" w:rsidP="00577D89">
            <w:pPr>
              <w:pStyle w:val="Body"/>
              <w:spacing w:after="0"/>
              <w:ind w:right="720"/>
              <w:rPr>
                <w:rFonts w:ascii="Arial" w:hAnsi="Arial" w:cs="Arial"/>
              </w:rPr>
            </w:pPr>
            <w:r w:rsidRPr="00364E9A">
              <w:rPr>
                <w:rFonts w:ascii="Arial" w:hAnsi="Arial" w:cs="Arial"/>
                <w:b/>
                <w:bCs/>
              </w:rPr>
              <w:t>Age of the participant (In years)</w:t>
            </w:r>
          </w:p>
        </w:tc>
        <w:tc>
          <w:tcPr>
            <w:tcW w:w="2031" w:type="dxa"/>
            <w:noWrap/>
            <w:vAlign w:val="bottom"/>
            <w:hideMark/>
          </w:tcPr>
          <w:p w14:paraId="2EE8850C" w14:textId="77777777" w:rsidR="00364E9A" w:rsidRPr="00364E9A" w:rsidRDefault="00364E9A" w:rsidP="00577D89">
            <w:pPr>
              <w:pStyle w:val="Body"/>
              <w:spacing w:after="0"/>
              <w:ind w:right="720"/>
              <w:rPr>
                <w:rFonts w:ascii="Arial" w:hAnsi="Arial" w:cs="Arial"/>
              </w:rPr>
            </w:pPr>
            <w:r w:rsidRPr="00364E9A">
              <w:rPr>
                <w:rFonts w:ascii="Arial" w:hAnsi="Arial" w:cs="Arial"/>
              </w:rPr>
              <w:t>1.003(0.99-1.005)</w:t>
            </w:r>
          </w:p>
        </w:tc>
        <w:tc>
          <w:tcPr>
            <w:tcW w:w="1484" w:type="dxa"/>
            <w:noWrap/>
            <w:vAlign w:val="bottom"/>
            <w:hideMark/>
          </w:tcPr>
          <w:p w14:paraId="2944D6AE" w14:textId="77777777" w:rsidR="00364E9A" w:rsidRPr="00364E9A" w:rsidRDefault="00364E9A" w:rsidP="00577D89">
            <w:pPr>
              <w:pStyle w:val="Body"/>
              <w:spacing w:after="0"/>
              <w:ind w:right="720"/>
              <w:rPr>
                <w:rFonts w:ascii="Arial" w:hAnsi="Arial" w:cs="Arial"/>
              </w:rPr>
            </w:pPr>
            <w:r w:rsidRPr="00364E9A">
              <w:rPr>
                <w:rFonts w:ascii="Arial" w:hAnsi="Arial" w:cs="Arial"/>
              </w:rPr>
              <w:t>0.091</w:t>
            </w:r>
          </w:p>
        </w:tc>
        <w:tc>
          <w:tcPr>
            <w:tcW w:w="1863" w:type="dxa"/>
            <w:noWrap/>
            <w:vAlign w:val="bottom"/>
          </w:tcPr>
          <w:p w14:paraId="50ECA953" w14:textId="77777777" w:rsidR="00364E9A" w:rsidRPr="00364E9A" w:rsidRDefault="00364E9A" w:rsidP="00577D89">
            <w:pPr>
              <w:pStyle w:val="Body"/>
              <w:spacing w:after="0"/>
              <w:ind w:right="720"/>
              <w:rPr>
                <w:rFonts w:ascii="Arial" w:hAnsi="Arial" w:cs="Arial"/>
              </w:rPr>
            </w:pPr>
            <w:r w:rsidRPr="00364E9A">
              <w:rPr>
                <w:rFonts w:ascii="Arial" w:hAnsi="Arial" w:cs="Arial"/>
              </w:rPr>
              <w:t>1.0004(0.99-1.004)</w:t>
            </w:r>
          </w:p>
        </w:tc>
        <w:tc>
          <w:tcPr>
            <w:tcW w:w="2088" w:type="dxa"/>
            <w:noWrap/>
            <w:vAlign w:val="bottom"/>
          </w:tcPr>
          <w:p w14:paraId="2228C65F" w14:textId="77777777" w:rsidR="00364E9A" w:rsidRPr="00364E9A" w:rsidRDefault="00364E9A" w:rsidP="00577D89">
            <w:pPr>
              <w:pStyle w:val="Body"/>
              <w:spacing w:after="0"/>
              <w:ind w:right="720"/>
              <w:rPr>
                <w:rFonts w:ascii="Arial" w:hAnsi="Arial" w:cs="Arial"/>
              </w:rPr>
            </w:pPr>
            <w:r w:rsidRPr="00364E9A">
              <w:rPr>
                <w:rFonts w:ascii="Arial" w:hAnsi="Arial" w:cs="Arial"/>
              </w:rPr>
              <w:t>0.787</w:t>
            </w:r>
          </w:p>
        </w:tc>
      </w:tr>
      <w:tr w:rsidR="00947DB4" w:rsidRPr="00364E9A" w14:paraId="4BA81424" w14:textId="77777777" w:rsidTr="00D3506D">
        <w:trPr>
          <w:trHeight w:val="266"/>
        </w:trPr>
        <w:tc>
          <w:tcPr>
            <w:tcW w:w="2110" w:type="dxa"/>
            <w:noWrap/>
            <w:vAlign w:val="bottom"/>
            <w:hideMark/>
          </w:tcPr>
          <w:p w14:paraId="1C4A8631" w14:textId="77777777" w:rsidR="00364E9A" w:rsidRPr="00364E9A" w:rsidRDefault="00364E9A" w:rsidP="00577D89">
            <w:pPr>
              <w:pStyle w:val="Body"/>
              <w:spacing w:after="0"/>
              <w:ind w:right="720"/>
              <w:rPr>
                <w:rFonts w:ascii="Arial" w:hAnsi="Arial" w:cs="Arial"/>
              </w:rPr>
            </w:pPr>
            <w:r w:rsidRPr="00364E9A">
              <w:rPr>
                <w:rFonts w:ascii="Arial" w:hAnsi="Arial" w:cs="Arial"/>
                <w:b/>
                <w:bCs/>
              </w:rPr>
              <w:lastRenderedPageBreak/>
              <w:t>Duration of the Diabetes mellitus (In years)</w:t>
            </w:r>
          </w:p>
        </w:tc>
        <w:tc>
          <w:tcPr>
            <w:tcW w:w="2031" w:type="dxa"/>
            <w:noWrap/>
            <w:vAlign w:val="bottom"/>
            <w:hideMark/>
          </w:tcPr>
          <w:p w14:paraId="720AD5D2" w14:textId="77777777" w:rsidR="00364E9A" w:rsidRPr="00364E9A" w:rsidRDefault="00364E9A" w:rsidP="00577D89">
            <w:pPr>
              <w:pStyle w:val="Body"/>
              <w:spacing w:after="0"/>
              <w:ind w:right="720"/>
              <w:rPr>
                <w:rFonts w:ascii="Arial" w:hAnsi="Arial" w:cs="Arial"/>
              </w:rPr>
            </w:pPr>
            <w:r w:rsidRPr="00364E9A">
              <w:rPr>
                <w:rFonts w:ascii="Arial" w:hAnsi="Arial" w:cs="Arial"/>
              </w:rPr>
              <w:t>1.005(1.001-1.009)</w:t>
            </w:r>
          </w:p>
        </w:tc>
        <w:tc>
          <w:tcPr>
            <w:tcW w:w="1484" w:type="dxa"/>
            <w:noWrap/>
            <w:vAlign w:val="bottom"/>
            <w:hideMark/>
          </w:tcPr>
          <w:p w14:paraId="24B9D932" w14:textId="77777777" w:rsidR="00364E9A" w:rsidRPr="00364E9A" w:rsidRDefault="00364E9A" w:rsidP="00577D89">
            <w:pPr>
              <w:pStyle w:val="Body"/>
              <w:spacing w:after="0"/>
              <w:ind w:right="720"/>
              <w:rPr>
                <w:rFonts w:ascii="Arial" w:hAnsi="Arial" w:cs="Arial"/>
              </w:rPr>
            </w:pPr>
            <w:r w:rsidRPr="00364E9A">
              <w:rPr>
                <w:rFonts w:ascii="Arial" w:hAnsi="Arial" w:cs="Arial"/>
              </w:rPr>
              <w:t>0.003</w:t>
            </w:r>
          </w:p>
        </w:tc>
        <w:tc>
          <w:tcPr>
            <w:tcW w:w="1863" w:type="dxa"/>
            <w:noWrap/>
            <w:vAlign w:val="bottom"/>
          </w:tcPr>
          <w:p w14:paraId="08CE090B" w14:textId="77777777" w:rsidR="00364E9A" w:rsidRPr="00364E9A" w:rsidRDefault="00364E9A" w:rsidP="00577D89">
            <w:pPr>
              <w:pStyle w:val="Body"/>
              <w:spacing w:after="0"/>
              <w:ind w:right="720"/>
              <w:rPr>
                <w:rFonts w:ascii="Arial" w:hAnsi="Arial" w:cs="Arial"/>
              </w:rPr>
            </w:pPr>
            <w:r w:rsidRPr="00364E9A">
              <w:rPr>
                <w:rFonts w:ascii="Arial" w:hAnsi="Arial" w:cs="Arial"/>
              </w:rPr>
              <w:t>0.999(0.994-1.004)</w:t>
            </w:r>
          </w:p>
        </w:tc>
        <w:tc>
          <w:tcPr>
            <w:tcW w:w="2088" w:type="dxa"/>
            <w:noWrap/>
            <w:vAlign w:val="bottom"/>
          </w:tcPr>
          <w:p w14:paraId="633D8F1C" w14:textId="77777777" w:rsidR="00364E9A" w:rsidRPr="00364E9A" w:rsidRDefault="00364E9A" w:rsidP="00577D89">
            <w:pPr>
              <w:pStyle w:val="Body"/>
              <w:spacing w:after="0"/>
              <w:ind w:right="720"/>
              <w:rPr>
                <w:rFonts w:ascii="Arial" w:hAnsi="Arial" w:cs="Arial"/>
              </w:rPr>
            </w:pPr>
            <w:r w:rsidRPr="00364E9A">
              <w:rPr>
                <w:rFonts w:ascii="Arial" w:hAnsi="Arial" w:cs="Arial"/>
              </w:rPr>
              <w:t>0.888</w:t>
            </w:r>
          </w:p>
        </w:tc>
      </w:tr>
      <w:tr w:rsidR="00947DB4" w:rsidRPr="00364E9A" w14:paraId="03D80B19" w14:textId="77777777" w:rsidTr="00D3506D">
        <w:trPr>
          <w:trHeight w:val="266"/>
        </w:trPr>
        <w:tc>
          <w:tcPr>
            <w:tcW w:w="2110" w:type="dxa"/>
            <w:noWrap/>
            <w:vAlign w:val="bottom"/>
            <w:hideMark/>
          </w:tcPr>
          <w:p w14:paraId="0A19834C" w14:textId="77777777" w:rsidR="00364E9A" w:rsidRPr="00364E9A" w:rsidRDefault="00364E9A" w:rsidP="00577D89">
            <w:pPr>
              <w:pStyle w:val="Body"/>
              <w:spacing w:after="0"/>
              <w:ind w:right="720"/>
              <w:rPr>
                <w:rFonts w:ascii="Arial" w:hAnsi="Arial" w:cs="Arial"/>
              </w:rPr>
            </w:pPr>
            <w:r w:rsidRPr="00364E9A">
              <w:rPr>
                <w:rFonts w:ascii="Arial" w:hAnsi="Arial" w:cs="Arial"/>
                <w:b/>
                <w:bCs/>
              </w:rPr>
              <w:t>History of PRP</w:t>
            </w:r>
          </w:p>
        </w:tc>
        <w:tc>
          <w:tcPr>
            <w:tcW w:w="2031" w:type="dxa"/>
            <w:noWrap/>
            <w:vAlign w:val="bottom"/>
            <w:hideMark/>
          </w:tcPr>
          <w:p w14:paraId="0FCEA266" w14:textId="77777777" w:rsidR="00364E9A" w:rsidRPr="00364E9A" w:rsidRDefault="00364E9A" w:rsidP="00577D89">
            <w:pPr>
              <w:pStyle w:val="Body"/>
              <w:spacing w:after="0"/>
              <w:ind w:right="720"/>
              <w:rPr>
                <w:rFonts w:ascii="Arial" w:hAnsi="Arial" w:cs="Arial"/>
              </w:rPr>
            </w:pPr>
          </w:p>
        </w:tc>
        <w:tc>
          <w:tcPr>
            <w:tcW w:w="1484" w:type="dxa"/>
            <w:noWrap/>
            <w:vAlign w:val="bottom"/>
            <w:hideMark/>
          </w:tcPr>
          <w:p w14:paraId="0538E7D8" w14:textId="77777777" w:rsidR="00364E9A" w:rsidRPr="00364E9A" w:rsidRDefault="00364E9A" w:rsidP="00577D89">
            <w:pPr>
              <w:pStyle w:val="Body"/>
              <w:spacing w:after="0"/>
              <w:ind w:right="720"/>
              <w:rPr>
                <w:rFonts w:ascii="Arial" w:hAnsi="Arial" w:cs="Arial"/>
              </w:rPr>
            </w:pPr>
          </w:p>
        </w:tc>
        <w:tc>
          <w:tcPr>
            <w:tcW w:w="1863" w:type="dxa"/>
            <w:noWrap/>
            <w:vAlign w:val="bottom"/>
          </w:tcPr>
          <w:p w14:paraId="7322F333" w14:textId="77777777" w:rsidR="00364E9A" w:rsidRPr="00364E9A" w:rsidRDefault="00364E9A" w:rsidP="00577D89">
            <w:pPr>
              <w:pStyle w:val="Body"/>
              <w:spacing w:after="0"/>
              <w:ind w:right="720"/>
              <w:rPr>
                <w:rFonts w:ascii="Arial" w:hAnsi="Arial" w:cs="Arial"/>
              </w:rPr>
            </w:pPr>
          </w:p>
        </w:tc>
        <w:tc>
          <w:tcPr>
            <w:tcW w:w="2088" w:type="dxa"/>
            <w:noWrap/>
            <w:vAlign w:val="bottom"/>
          </w:tcPr>
          <w:p w14:paraId="1ED8F267" w14:textId="77777777" w:rsidR="00364E9A" w:rsidRPr="00364E9A" w:rsidRDefault="00364E9A" w:rsidP="00577D89">
            <w:pPr>
              <w:pStyle w:val="Body"/>
              <w:spacing w:after="0"/>
              <w:ind w:right="720"/>
              <w:rPr>
                <w:rFonts w:ascii="Arial" w:hAnsi="Arial" w:cs="Arial"/>
              </w:rPr>
            </w:pPr>
          </w:p>
        </w:tc>
      </w:tr>
      <w:tr w:rsidR="00947DB4" w:rsidRPr="00364E9A" w14:paraId="3B6D56E7" w14:textId="77777777" w:rsidTr="00D3506D">
        <w:trPr>
          <w:trHeight w:val="266"/>
        </w:trPr>
        <w:tc>
          <w:tcPr>
            <w:tcW w:w="2110" w:type="dxa"/>
            <w:noWrap/>
            <w:vAlign w:val="bottom"/>
            <w:hideMark/>
          </w:tcPr>
          <w:p w14:paraId="122E81F8" w14:textId="77777777" w:rsidR="00364E9A" w:rsidRPr="00364E9A" w:rsidRDefault="00364E9A" w:rsidP="00577D89">
            <w:pPr>
              <w:pStyle w:val="Body"/>
              <w:spacing w:after="0"/>
              <w:ind w:right="720"/>
              <w:rPr>
                <w:rFonts w:ascii="Arial" w:hAnsi="Arial" w:cs="Arial"/>
              </w:rPr>
            </w:pPr>
            <w:r w:rsidRPr="00364E9A">
              <w:rPr>
                <w:rFonts w:ascii="Arial" w:hAnsi="Arial" w:cs="Arial"/>
              </w:rPr>
              <w:t>Yes</w:t>
            </w:r>
          </w:p>
        </w:tc>
        <w:tc>
          <w:tcPr>
            <w:tcW w:w="2031" w:type="dxa"/>
            <w:noWrap/>
            <w:vAlign w:val="bottom"/>
            <w:hideMark/>
          </w:tcPr>
          <w:p w14:paraId="1D3CD04D" w14:textId="77777777" w:rsidR="00364E9A" w:rsidRPr="00364E9A" w:rsidRDefault="00364E9A" w:rsidP="00577D89">
            <w:pPr>
              <w:pStyle w:val="Body"/>
              <w:spacing w:after="0"/>
              <w:ind w:right="720"/>
              <w:rPr>
                <w:rFonts w:ascii="Arial" w:hAnsi="Arial" w:cs="Arial"/>
              </w:rPr>
            </w:pPr>
            <w:r w:rsidRPr="00364E9A">
              <w:rPr>
                <w:rFonts w:ascii="Arial" w:hAnsi="Arial" w:cs="Arial"/>
              </w:rPr>
              <w:t>0.93(0.87-0.98)</w:t>
            </w:r>
          </w:p>
        </w:tc>
        <w:tc>
          <w:tcPr>
            <w:tcW w:w="1484" w:type="dxa"/>
            <w:noWrap/>
            <w:vAlign w:val="bottom"/>
          </w:tcPr>
          <w:p w14:paraId="410FDF35" w14:textId="77777777" w:rsidR="00364E9A" w:rsidRPr="00364E9A" w:rsidRDefault="00364E9A" w:rsidP="00577D89">
            <w:pPr>
              <w:pStyle w:val="Body"/>
              <w:spacing w:after="0"/>
              <w:ind w:right="720"/>
              <w:rPr>
                <w:rFonts w:ascii="Arial" w:hAnsi="Arial" w:cs="Arial"/>
              </w:rPr>
            </w:pPr>
            <w:r w:rsidRPr="00364E9A">
              <w:rPr>
                <w:rFonts w:ascii="Arial" w:hAnsi="Arial" w:cs="Arial"/>
              </w:rPr>
              <w:t>0.013</w:t>
            </w:r>
          </w:p>
        </w:tc>
        <w:tc>
          <w:tcPr>
            <w:tcW w:w="1863" w:type="dxa"/>
            <w:noWrap/>
            <w:vAlign w:val="bottom"/>
          </w:tcPr>
          <w:p w14:paraId="18F2C7CD" w14:textId="77777777" w:rsidR="00364E9A" w:rsidRPr="00364E9A" w:rsidRDefault="00364E9A" w:rsidP="00577D89">
            <w:pPr>
              <w:pStyle w:val="Body"/>
              <w:spacing w:after="0"/>
              <w:ind w:right="720"/>
              <w:rPr>
                <w:rFonts w:ascii="Arial" w:hAnsi="Arial" w:cs="Arial"/>
              </w:rPr>
            </w:pPr>
            <w:r w:rsidRPr="00364E9A">
              <w:rPr>
                <w:rFonts w:ascii="Arial" w:hAnsi="Arial" w:cs="Arial"/>
              </w:rPr>
              <w:t>0.94(0.89-0.98)</w:t>
            </w:r>
          </w:p>
        </w:tc>
        <w:tc>
          <w:tcPr>
            <w:tcW w:w="2088" w:type="dxa"/>
            <w:noWrap/>
            <w:vAlign w:val="bottom"/>
          </w:tcPr>
          <w:p w14:paraId="34E7CB41" w14:textId="77777777" w:rsidR="00364E9A" w:rsidRPr="00364E9A" w:rsidRDefault="00364E9A" w:rsidP="00577D89">
            <w:pPr>
              <w:pStyle w:val="Body"/>
              <w:spacing w:after="0"/>
              <w:ind w:right="720"/>
              <w:rPr>
                <w:rFonts w:ascii="Arial" w:hAnsi="Arial" w:cs="Arial"/>
              </w:rPr>
            </w:pPr>
            <w:r w:rsidRPr="00364E9A">
              <w:rPr>
                <w:rFonts w:ascii="Arial" w:hAnsi="Arial" w:cs="Arial"/>
              </w:rPr>
              <w:t>0.021</w:t>
            </w:r>
          </w:p>
        </w:tc>
      </w:tr>
      <w:tr w:rsidR="00947DB4" w:rsidRPr="00364E9A" w14:paraId="0FCB8AB5" w14:textId="77777777" w:rsidTr="00D3506D">
        <w:trPr>
          <w:trHeight w:val="266"/>
        </w:trPr>
        <w:tc>
          <w:tcPr>
            <w:tcW w:w="2110" w:type="dxa"/>
            <w:noWrap/>
            <w:vAlign w:val="bottom"/>
            <w:hideMark/>
          </w:tcPr>
          <w:p w14:paraId="6CABB109" w14:textId="77777777" w:rsidR="00364E9A" w:rsidRPr="00364E9A" w:rsidRDefault="00364E9A" w:rsidP="00577D89">
            <w:pPr>
              <w:pStyle w:val="Body"/>
              <w:spacing w:after="0"/>
              <w:ind w:right="720"/>
              <w:rPr>
                <w:rFonts w:ascii="Arial" w:hAnsi="Arial" w:cs="Arial"/>
              </w:rPr>
            </w:pPr>
            <w:r w:rsidRPr="00364E9A">
              <w:rPr>
                <w:rFonts w:ascii="Arial" w:hAnsi="Arial" w:cs="Arial"/>
              </w:rPr>
              <w:t>No</w:t>
            </w:r>
          </w:p>
        </w:tc>
        <w:tc>
          <w:tcPr>
            <w:tcW w:w="2031" w:type="dxa"/>
            <w:noWrap/>
            <w:vAlign w:val="bottom"/>
            <w:hideMark/>
          </w:tcPr>
          <w:p w14:paraId="11B38D4D" w14:textId="77777777" w:rsidR="00364E9A" w:rsidRPr="00364E9A" w:rsidRDefault="00364E9A" w:rsidP="00577D89">
            <w:pPr>
              <w:pStyle w:val="Body"/>
              <w:spacing w:after="0"/>
              <w:ind w:right="720"/>
              <w:rPr>
                <w:rFonts w:ascii="Arial" w:hAnsi="Arial" w:cs="Arial"/>
              </w:rPr>
            </w:pPr>
            <w:r w:rsidRPr="00364E9A">
              <w:rPr>
                <w:rFonts w:ascii="Arial" w:hAnsi="Arial" w:cs="Arial"/>
              </w:rPr>
              <w:t>Ref</w:t>
            </w:r>
          </w:p>
        </w:tc>
        <w:tc>
          <w:tcPr>
            <w:tcW w:w="1484" w:type="dxa"/>
            <w:noWrap/>
            <w:vAlign w:val="bottom"/>
            <w:hideMark/>
          </w:tcPr>
          <w:p w14:paraId="30406D29" w14:textId="77777777" w:rsidR="00364E9A" w:rsidRPr="00364E9A" w:rsidRDefault="00364E9A" w:rsidP="00577D89">
            <w:pPr>
              <w:pStyle w:val="Body"/>
              <w:spacing w:after="0"/>
              <w:ind w:right="720"/>
              <w:rPr>
                <w:rFonts w:ascii="Arial" w:hAnsi="Arial" w:cs="Arial"/>
              </w:rPr>
            </w:pPr>
          </w:p>
        </w:tc>
        <w:tc>
          <w:tcPr>
            <w:tcW w:w="1863" w:type="dxa"/>
            <w:noWrap/>
            <w:vAlign w:val="bottom"/>
          </w:tcPr>
          <w:p w14:paraId="32A87B7D" w14:textId="77777777" w:rsidR="00364E9A" w:rsidRPr="00364E9A" w:rsidRDefault="00364E9A" w:rsidP="00577D89">
            <w:pPr>
              <w:pStyle w:val="Body"/>
              <w:spacing w:after="0"/>
              <w:ind w:right="720"/>
              <w:rPr>
                <w:rFonts w:ascii="Arial" w:hAnsi="Arial" w:cs="Arial"/>
              </w:rPr>
            </w:pPr>
            <w:r w:rsidRPr="00364E9A">
              <w:rPr>
                <w:rFonts w:ascii="Arial" w:hAnsi="Arial" w:cs="Arial"/>
              </w:rPr>
              <w:t>Ref</w:t>
            </w:r>
          </w:p>
        </w:tc>
        <w:tc>
          <w:tcPr>
            <w:tcW w:w="2088" w:type="dxa"/>
            <w:noWrap/>
            <w:vAlign w:val="bottom"/>
          </w:tcPr>
          <w:p w14:paraId="049629BB" w14:textId="77777777" w:rsidR="00364E9A" w:rsidRPr="00364E9A" w:rsidRDefault="00364E9A" w:rsidP="00577D89">
            <w:pPr>
              <w:pStyle w:val="Body"/>
              <w:spacing w:after="0"/>
              <w:ind w:right="720"/>
              <w:rPr>
                <w:rFonts w:ascii="Arial" w:hAnsi="Arial" w:cs="Arial"/>
              </w:rPr>
            </w:pPr>
          </w:p>
        </w:tc>
      </w:tr>
      <w:tr w:rsidR="00947DB4" w:rsidRPr="00364E9A" w14:paraId="2DA667F4" w14:textId="77777777" w:rsidTr="00D3506D">
        <w:trPr>
          <w:trHeight w:val="266"/>
        </w:trPr>
        <w:tc>
          <w:tcPr>
            <w:tcW w:w="2110" w:type="dxa"/>
            <w:noWrap/>
            <w:vAlign w:val="bottom"/>
            <w:hideMark/>
          </w:tcPr>
          <w:p w14:paraId="0E94F5D5" w14:textId="77777777" w:rsidR="00364E9A" w:rsidRPr="00364E9A" w:rsidRDefault="00364E9A" w:rsidP="00577D89">
            <w:pPr>
              <w:pStyle w:val="Body"/>
              <w:spacing w:after="0"/>
              <w:ind w:right="720"/>
              <w:rPr>
                <w:rFonts w:ascii="Arial" w:hAnsi="Arial" w:cs="Arial"/>
              </w:rPr>
            </w:pPr>
            <w:r w:rsidRPr="00364E9A">
              <w:rPr>
                <w:rFonts w:ascii="Arial" w:hAnsi="Arial" w:cs="Arial"/>
                <w:b/>
                <w:bCs/>
              </w:rPr>
              <w:t>History of Intra-</w:t>
            </w:r>
            <w:proofErr w:type="spellStart"/>
            <w:r w:rsidRPr="00364E9A">
              <w:rPr>
                <w:rFonts w:ascii="Arial" w:hAnsi="Arial" w:cs="Arial"/>
                <w:b/>
                <w:bCs/>
              </w:rPr>
              <w:t>vitreal</w:t>
            </w:r>
            <w:proofErr w:type="spellEnd"/>
            <w:r w:rsidRPr="00364E9A">
              <w:rPr>
                <w:rFonts w:ascii="Arial" w:hAnsi="Arial" w:cs="Arial"/>
                <w:b/>
                <w:bCs/>
              </w:rPr>
              <w:t xml:space="preserve"> Bevacizumab injection</w:t>
            </w:r>
          </w:p>
        </w:tc>
        <w:tc>
          <w:tcPr>
            <w:tcW w:w="2031" w:type="dxa"/>
            <w:noWrap/>
            <w:vAlign w:val="bottom"/>
            <w:hideMark/>
          </w:tcPr>
          <w:p w14:paraId="03A7A913" w14:textId="77777777" w:rsidR="00364E9A" w:rsidRPr="00364E9A" w:rsidRDefault="00364E9A" w:rsidP="00577D89">
            <w:pPr>
              <w:pStyle w:val="Body"/>
              <w:spacing w:after="0"/>
              <w:ind w:right="720"/>
              <w:rPr>
                <w:rFonts w:ascii="Arial" w:hAnsi="Arial" w:cs="Arial"/>
              </w:rPr>
            </w:pPr>
          </w:p>
        </w:tc>
        <w:tc>
          <w:tcPr>
            <w:tcW w:w="1484" w:type="dxa"/>
            <w:noWrap/>
            <w:vAlign w:val="bottom"/>
            <w:hideMark/>
          </w:tcPr>
          <w:p w14:paraId="520DF653" w14:textId="77777777" w:rsidR="00364E9A" w:rsidRPr="00364E9A" w:rsidRDefault="00364E9A" w:rsidP="00577D89">
            <w:pPr>
              <w:pStyle w:val="Body"/>
              <w:spacing w:after="0"/>
              <w:ind w:right="720"/>
              <w:rPr>
                <w:rFonts w:ascii="Arial" w:hAnsi="Arial" w:cs="Arial"/>
              </w:rPr>
            </w:pPr>
          </w:p>
        </w:tc>
        <w:tc>
          <w:tcPr>
            <w:tcW w:w="1863" w:type="dxa"/>
            <w:noWrap/>
            <w:vAlign w:val="bottom"/>
          </w:tcPr>
          <w:p w14:paraId="7CAF9F5F" w14:textId="77777777" w:rsidR="00364E9A" w:rsidRPr="00364E9A" w:rsidRDefault="00364E9A" w:rsidP="00577D89">
            <w:pPr>
              <w:pStyle w:val="Body"/>
              <w:spacing w:after="0"/>
              <w:ind w:right="720"/>
              <w:rPr>
                <w:rFonts w:ascii="Arial" w:hAnsi="Arial" w:cs="Arial"/>
              </w:rPr>
            </w:pPr>
          </w:p>
        </w:tc>
        <w:tc>
          <w:tcPr>
            <w:tcW w:w="2088" w:type="dxa"/>
            <w:noWrap/>
            <w:vAlign w:val="bottom"/>
          </w:tcPr>
          <w:p w14:paraId="7881FBD1" w14:textId="77777777" w:rsidR="00364E9A" w:rsidRPr="00364E9A" w:rsidRDefault="00364E9A" w:rsidP="00577D89">
            <w:pPr>
              <w:pStyle w:val="Body"/>
              <w:spacing w:after="0"/>
              <w:ind w:right="720"/>
              <w:rPr>
                <w:rFonts w:ascii="Arial" w:hAnsi="Arial" w:cs="Arial"/>
              </w:rPr>
            </w:pPr>
          </w:p>
        </w:tc>
      </w:tr>
      <w:tr w:rsidR="00947DB4" w:rsidRPr="00364E9A" w14:paraId="094F837B" w14:textId="77777777" w:rsidTr="00D3506D">
        <w:trPr>
          <w:trHeight w:val="266"/>
        </w:trPr>
        <w:tc>
          <w:tcPr>
            <w:tcW w:w="2110" w:type="dxa"/>
            <w:noWrap/>
            <w:vAlign w:val="bottom"/>
            <w:hideMark/>
          </w:tcPr>
          <w:p w14:paraId="63EECC30" w14:textId="77777777" w:rsidR="00364E9A" w:rsidRPr="00364E9A" w:rsidRDefault="00364E9A" w:rsidP="00577D89">
            <w:pPr>
              <w:pStyle w:val="Body"/>
              <w:spacing w:after="0"/>
              <w:ind w:right="720"/>
              <w:rPr>
                <w:rFonts w:ascii="Arial" w:hAnsi="Arial" w:cs="Arial"/>
              </w:rPr>
            </w:pPr>
            <w:r w:rsidRPr="00364E9A">
              <w:rPr>
                <w:rFonts w:ascii="Arial" w:hAnsi="Arial" w:cs="Arial"/>
              </w:rPr>
              <w:t>Yes</w:t>
            </w:r>
          </w:p>
        </w:tc>
        <w:tc>
          <w:tcPr>
            <w:tcW w:w="2031" w:type="dxa"/>
            <w:noWrap/>
            <w:vAlign w:val="bottom"/>
            <w:hideMark/>
          </w:tcPr>
          <w:p w14:paraId="5B1C3164" w14:textId="77777777" w:rsidR="00364E9A" w:rsidRPr="00364E9A" w:rsidRDefault="00364E9A" w:rsidP="00577D89">
            <w:pPr>
              <w:pStyle w:val="Body"/>
              <w:spacing w:after="0"/>
              <w:ind w:right="720"/>
              <w:rPr>
                <w:rFonts w:ascii="Arial" w:hAnsi="Arial" w:cs="Arial"/>
              </w:rPr>
            </w:pPr>
            <w:r w:rsidRPr="00364E9A">
              <w:rPr>
                <w:rFonts w:ascii="Arial" w:hAnsi="Arial" w:cs="Arial"/>
              </w:rPr>
              <w:t>1.28(0.84-1.96)</w:t>
            </w:r>
          </w:p>
        </w:tc>
        <w:tc>
          <w:tcPr>
            <w:tcW w:w="1484" w:type="dxa"/>
            <w:noWrap/>
            <w:vAlign w:val="bottom"/>
            <w:hideMark/>
          </w:tcPr>
          <w:p w14:paraId="639FAF01" w14:textId="77777777" w:rsidR="00364E9A" w:rsidRPr="00364E9A" w:rsidRDefault="00364E9A" w:rsidP="00577D89">
            <w:pPr>
              <w:pStyle w:val="Body"/>
              <w:spacing w:after="0"/>
              <w:ind w:right="720"/>
              <w:rPr>
                <w:rFonts w:ascii="Arial" w:hAnsi="Arial" w:cs="Arial"/>
              </w:rPr>
            </w:pPr>
            <w:r w:rsidRPr="00364E9A">
              <w:rPr>
                <w:rFonts w:ascii="Arial" w:hAnsi="Arial" w:cs="Arial"/>
              </w:rPr>
              <w:t>0.253</w:t>
            </w:r>
          </w:p>
        </w:tc>
        <w:tc>
          <w:tcPr>
            <w:tcW w:w="1863" w:type="dxa"/>
            <w:noWrap/>
            <w:vAlign w:val="bottom"/>
          </w:tcPr>
          <w:p w14:paraId="0009A5DD" w14:textId="77777777" w:rsidR="00364E9A" w:rsidRPr="00364E9A" w:rsidRDefault="00364E9A" w:rsidP="00577D89">
            <w:pPr>
              <w:pStyle w:val="Body"/>
              <w:spacing w:after="0"/>
              <w:ind w:right="720"/>
              <w:rPr>
                <w:rFonts w:ascii="Arial" w:hAnsi="Arial" w:cs="Arial"/>
              </w:rPr>
            </w:pPr>
            <w:r w:rsidRPr="00364E9A">
              <w:rPr>
                <w:rFonts w:ascii="Arial" w:hAnsi="Arial" w:cs="Arial"/>
              </w:rPr>
              <w:t>1.09(1.01-13)</w:t>
            </w:r>
          </w:p>
        </w:tc>
        <w:tc>
          <w:tcPr>
            <w:tcW w:w="2088" w:type="dxa"/>
            <w:noWrap/>
            <w:vAlign w:val="bottom"/>
          </w:tcPr>
          <w:p w14:paraId="0D2CC35D" w14:textId="77777777" w:rsidR="00364E9A" w:rsidRPr="00364E9A" w:rsidRDefault="00364E9A" w:rsidP="00577D89">
            <w:pPr>
              <w:pStyle w:val="Body"/>
              <w:spacing w:after="0"/>
              <w:ind w:right="720"/>
              <w:rPr>
                <w:rFonts w:ascii="Arial" w:hAnsi="Arial" w:cs="Arial"/>
              </w:rPr>
            </w:pPr>
            <w:r w:rsidRPr="00364E9A">
              <w:rPr>
                <w:rFonts w:ascii="Arial" w:hAnsi="Arial" w:cs="Arial"/>
              </w:rPr>
              <w:t>0.001</w:t>
            </w:r>
          </w:p>
        </w:tc>
      </w:tr>
      <w:tr w:rsidR="00947DB4" w:rsidRPr="00364E9A" w14:paraId="5DADC96F" w14:textId="77777777" w:rsidTr="00D3506D">
        <w:trPr>
          <w:trHeight w:val="266"/>
        </w:trPr>
        <w:tc>
          <w:tcPr>
            <w:tcW w:w="2110" w:type="dxa"/>
            <w:noWrap/>
            <w:vAlign w:val="bottom"/>
            <w:hideMark/>
          </w:tcPr>
          <w:p w14:paraId="4A73CBC3" w14:textId="77777777" w:rsidR="00364E9A" w:rsidRPr="00364E9A" w:rsidRDefault="00364E9A" w:rsidP="00577D89">
            <w:pPr>
              <w:pStyle w:val="Body"/>
              <w:spacing w:after="0"/>
              <w:ind w:right="720"/>
              <w:rPr>
                <w:rFonts w:ascii="Arial" w:hAnsi="Arial" w:cs="Arial"/>
              </w:rPr>
            </w:pPr>
            <w:r w:rsidRPr="00364E9A">
              <w:rPr>
                <w:rFonts w:ascii="Arial" w:hAnsi="Arial" w:cs="Arial"/>
              </w:rPr>
              <w:t>No</w:t>
            </w:r>
          </w:p>
        </w:tc>
        <w:tc>
          <w:tcPr>
            <w:tcW w:w="2031" w:type="dxa"/>
            <w:noWrap/>
            <w:vAlign w:val="bottom"/>
          </w:tcPr>
          <w:p w14:paraId="575CC376" w14:textId="77777777" w:rsidR="00364E9A" w:rsidRPr="00364E9A" w:rsidRDefault="00364E9A" w:rsidP="00577D89">
            <w:pPr>
              <w:pStyle w:val="Body"/>
              <w:spacing w:after="0"/>
              <w:ind w:right="720"/>
              <w:rPr>
                <w:rFonts w:ascii="Arial" w:hAnsi="Arial" w:cs="Arial"/>
              </w:rPr>
            </w:pPr>
            <w:r w:rsidRPr="00364E9A">
              <w:rPr>
                <w:rFonts w:ascii="Arial" w:hAnsi="Arial" w:cs="Arial"/>
              </w:rPr>
              <w:t>Ref</w:t>
            </w:r>
          </w:p>
        </w:tc>
        <w:tc>
          <w:tcPr>
            <w:tcW w:w="1484" w:type="dxa"/>
            <w:noWrap/>
            <w:vAlign w:val="bottom"/>
          </w:tcPr>
          <w:p w14:paraId="1CC36268" w14:textId="77777777" w:rsidR="00364E9A" w:rsidRPr="00364E9A" w:rsidRDefault="00364E9A" w:rsidP="00577D89">
            <w:pPr>
              <w:pStyle w:val="Body"/>
              <w:spacing w:after="0"/>
              <w:ind w:right="720"/>
              <w:rPr>
                <w:rFonts w:ascii="Arial" w:hAnsi="Arial" w:cs="Arial"/>
              </w:rPr>
            </w:pPr>
          </w:p>
        </w:tc>
        <w:tc>
          <w:tcPr>
            <w:tcW w:w="1863" w:type="dxa"/>
            <w:noWrap/>
            <w:vAlign w:val="bottom"/>
          </w:tcPr>
          <w:p w14:paraId="0EA2EFC6" w14:textId="77777777" w:rsidR="00364E9A" w:rsidRPr="00364E9A" w:rsidRDefault="00364E9A" w:rsidP="00577D89">
            <w:pPr>
              <w:pStyle w:val="Body"/>
              <w:spacing w:after="0"/>
              <w:ind w:right="720"/>
              <w:rPr>
                <w:rFonts w:ascii="Arial" w:hAnsi="Arial" w:cs="Arial"/>
              </w:rPr>
            </w:pPr>
            <w:r w:rsidRPr="00364E9A">
              <w:rPr>
                <w:rFonts w:ascii="Arial" w:hAnsi="Arial" w:cs="Arial"/>
              </w:rPr>
              <w:t>Ref</w:t>
            </w:r>
          </w:p>
        </w:tc>
        <w:tc>
          <w:tcPr>
            <w:tcW w:w="2088" w:type="dxa"/>
            <w:noWrap/>
            <w:vAlign w:val="bottom"/>
          </w:tcPr>
          <w:p w14:paraId="1BD5370E" w14:textId="77777777" w:rsidR="00364E9A" w:rsidRPr="00364E9A" w:rsidRDefault="00364E9A" w:rsidP="00577D89">
            <w:pPr>
              <w:pStyle w:val="Body"/>
              <w:spacing w:after="0"/>
              <w:ind w:right="720"/>
              <w:rPr>
                <w:rFonts w:ascii="Arial" w:hAnsi="Arial" w:cs="Arial"/>
              </w:rPr>
            </w:pPr>
          </w:p>
        </w:tc>
      </w:tr>
      <w:tr w:rsidR="00947DB4" w:rsidRPr="00364E9A" w14:paraId="7D65A950" w14:textId="77777777" w:rsidTr="00D3506D">
        <w:trPr>
          <w:trHeight w:val="266"/>
        </w:trPr>
        <w:tc>
          <w:tcPr>
            <w:tcW w:w="2110" w:type="dxa"/>
            <w:noWrap/>
            <w:vAlign w:val="bottom"/>
            <w:hideMark/>
          </w:tcPr>
          <w:p w14:paraId="6F158DC0" w14:textId="77777777" w:rsidR="00364E9A" w:rsidRPr="00364E9A" w:rsidRDefault="00364E9A" w:rsidP="00577D89">
            <w:pPr>
              <w:pStyle w:val="Body"/>
              <w:spacing w:after="0"/>
              <w:ind w:right="720"/>
              <w:rPr>
                <w:rFonts w:ascii="Arial" w:hAnsi="Arial" w:cs="Arial"/>
              </w:rPr>
            </w:pPr>
            <w:r w:rsidRPr="00364E9A">
              <w:rPr>
                <w:rFonts w:ascii="Arial" w:hAnsi="Arial" w:cs="Arial"/>
                <w:b/>
                <w:bCs/>
              </w:rPr>
              <w:t>Hypertension</w:t>
            </w:r>
          </w:p>
        </w:tc>
        <w:tc>
          <w:tcPr>
            <w:tcW w:w="2031" w:type="dxa"/>
            <w:noWrap/>
            <w:vAlign w:val="bottom"/>
            <w:hideMark/>
          </w:tcPr>
          <w:p w14:paraId="28EBE434" w14:textId="77777777" w:rsidR="00364E9A" w:rsidRPr="00364E9A" w:rsidRDefault="00364E9A" w:rsidP="00577D89">
            <w:pPr>
              <w:pStyle w:val="Body"/>
              <w:spacing w:after="0"/>
              <w:ind w:right="720"/>
              <w:rPr>
                <w:rFonts w:ascii="Arial" w:hAnsi="Arial" w:cs="Arial"/>
              </w:rPr>
            </w:pPr>
          </w:p>
        </w:tc>
        <w:tc>
          <w:tcPr>
            <w:tcW w:w="1484" w:type="dxa"/>
            <w:noWrap/>
            <w:vAlign w:val="bottom"/>
            <w:hideMark/>
          </w:tcPr>
          <w:p w14:paraId="7C9E76A1" w14:textId="77777777" w:rsidR="00364E9A" w:rsidRPr="00364E9A" w:rsidRDefault="00364E9A" w:rsidP="00577D89">
            <w:pPr>
              <w:pStyle w:val="Body"/>
              <w:spacing w:after="0"/>
              <w:ind w:right="720"/>
              <w:rPr>
                <w:rFonts w:ascii="Arial" w:hAnsi="Arial" w:cs="Arial"/>
              </w:rPr>
            </w:pPr>
          </w:p>
        </w:tc>
        <w:tc>
          <w:tcPr>
            <w:tcW w:w="1863" w:type="dxa"/>
            <w:noWrap/>
            <w:vAlign w:val="bottom"/>
          </w:tcPr>
          <w:p w14:paraId="6639F339" w14:textId="77777777" w:rsidR="00364E9A" w:rsidRPr="00364E9A" w:rsidRDefault="00364E9A" w:rsidP="00577D89">
            <w:pPr>
              <w:pStyle w:val="Body"/>
              <w:spacing w:after="0"/>
              <w:ind w:right="720"/>
              <w:rPr>
                <w:rFonts w:ascii="Arial" w:hAnsi="Arial" w:cs="Arial"/>
              </w:rPr>
            </w:pPr>
          </w:p>
        </w:tc>
        <w:tc>
          <w:tcPr>
            <w:tcW w:w="2088" w:type="dxa"/>
            <w:noWrap/>
            <w:vAlign w:val="bottom"/>
          </w:tcPr>
          <w:p w14:paraId="5834D1E8" w14:textId="77777777" w:rsidR="00364E9A" w:rsidRPr="00364E9A" w:rsidRDefault="00364E9A" w:rsidP="00577D89">
            <w:pPr>
              <w:pStyle w:val="Body"/>
              <w:spacing w:after="0"/>
              <w:ind w:right="720"/>
              <w:rPr>
                <w:rFonts w:ascii="Arial" w:hAnsi="Arial" w:cs="Arial"/>
              </w:rPr>
            </w:pPr>
          </w:p>
        </w:tc>
      </w:tr>
      <w:tr w:rsidR="00947DB4" w:rsidRPr="00364E9A" w14:paraId="2F3003C3" w14:textId="77777777" w:rsidTr="00D3506D">
        <w:trPr>
          <w:trHeight w:val="266"/>
        </w:trPr>
        <w:tc>
          <w:tcPr>
            <w:tcW w:w="2110" w:type="dxa"/>
            <w:noWrap/>
            <w:vAlign w:val="bottom"/>
            <w:hideMark/>
          </w:tcPr>
          <w:p w14:paraId="401D61D1" w14:textId="77777777" w:rsidR="00364E9A" w:rsidRPr="00364E9A" w:rsidRDefault="00364E9A" w:rsidP="00577D89">
            <w:pPr>
              <w:pStyle w:val="Body"/>
              <w:spacing w:after="0"/>
              <w:ind w:right="720"/>
              <w:rPr>
                <w:rFonts w:ascii="Arial" w:hAnsi="Arial" w:cs="Arial"/>
              </w:rPr>
            </w:pPr>
            <w:r w:rsidRPr="00364E9A">
              <w:rPr>
                <w:rFonts w:ascii="Arial" w:hAnsi="Arial" w:cs="Arial"/>
              </w:rPr>
              <w:t>Yes</w:t>
            </w:r>
          </w:p>
        </w:tc>
        <w:tc>
          <w:tcPr>
            <w:tcW w:w="2031" w:type="dxa"/>
            <w:noWrap/>
            <w:vAlign w:val="bottom"/>
            <w:hideMark/>
          </w:tcPr>
          <w:p w14:paraId="423E5D3A" w14:textId="77777777" w:rsidR="00364E9A" w:rsidRPr="00364E9A" w:rsidRDefault="00364E9A" w:rsidP="00577D89">
            <w:pPr>
              <w:pStyle w:val="Body"/>
              <w:spacing w:after="0"/>
              <w:ind w:right="720"/>
              <w:rPr>
                <w:rFonts w:ascii="Arial" w:hAnsi="Arial" w:cs="Arial"/>
              </w:rPr>
            </w:pPr>
            <w:r w:rsidRPr="00364E9A">
              <w:rPr>
                <w:rFonts w:ascii="Arial" w:hAnsi="Arial" w:cs="Arial"/>
              </w:rPr>
              <w:t>1.10(1.04-1.15)</w:t>
            </w:r>
          </w:p>
        </w:tc>
        <w:tc>
          <w:tcPr>
            <w:tcW w:w="1484" w:type="dxa"/>
            <w:noWrap/>
            <w:vAlign w:val="bottom"/>
            <w:hideMark/>
          </w:tcPr>
          <w:p w14:paraId="6D8B4CCA" w14:textId="77777777" w:rsidR="00364E9A" w:rsidRPr="00364E9A" w:rsidRDefault="00364E9A" w:rsidP="00577D89">
            <w:pPr>
              <w:pStyle w:val="Body"/>
              <w:spacing w:after="0"/>
              <w:ind w:right="720"/>
              <w:rPr>
                <w:rFonts w:ascii="Arial" w:hAnsi="Arial" w:cs="Arial"/>
              </w:rPr>
            </w:pPr>
            <w:r w:rsidRPr="00364E9A">
              <w:rPr>
                <w:rFonts w:ascii="Arial" w:hAnsi="Arial" w:cs="Arial"/>
              </w:rPr>
              <w:t>&lt;0.001</w:t>
            </w:r>
          </w:p>
        </w:tc>
        <w:tc>
          <w:tcPr>
            <w:tcW w:w="1863" w:type="dxa"/>
            <w:noWrap/>
            <w:vAlign w:val="bottom"/>
          </w:tcPr>
          <w:p w14:paraId="140DCF9B" w14:textId="77777777" w:rsidR="00364E9A" w:rsidRPr="00364E9A" w:rsidRDefault="00364E9A" w:rsidP="00577D89">
            <w:pPr>
              <w:pStyle w:val="Body"/>
              <w:spacing w:after="0"/>
              <w:ind w:right="720"/>
              <w:rPr>
                <w:rFonts w:ascii="Arial" w:hAnsi="Arial" w:cs="Arial"/>
              </w:rPr>
            </w:pPr>
            <w:r w:rsidRPr="00364E9A">
              <w:rPr>
                <w:rFonts w:ascii="Arial" w:hAnsi="Arial" w:cs="Arial"/>
              </w:rPr>
              <w:t>1.07(1.01-1.13)</w:t>
            </w:r>
          </w:p>
        </w:tc>
        <w:tc>
          <w:tcPr>
            <w:tcW w:w="2088" w:type="dxa"/>
            <w:noWrap/>
            <w:vAlign w:val="bottom"/>
          </w:tcPr>
          <w:p w14:paraId="70E22846" w14:textId="77777777" w:rsidR="00364E9A" w:rsidRPr="00364E9A" w:rsidRDefault="00364E9A" w:rsidP="00577D89">
            <w:pPr>
              <w:pStyle w:val="Body"/>
              <w:spacing w:after="0"/>
              <w:ind w:right="720"/>
              <w:rPr>
                <w:rFonts w:ascii="Arial" w:hAnsi="Arial" w:cs="Arial"/>
              </w:rPr>
            </w:pPr>
            <w:r w:rsidRPr="00364E9A">
              <w:rPr>
                <w:rFonts w:ascii="Arial" w:hAnsi="Arial" w:cs="Arial"/>
              </w:rPr>
              <w:t>0.021</w:t>
            </w:r>
          </w:p>
        </w:tc>
      </w:tr>
      <w:tr w:rsidR="00947DB4" w:rsidRPr="00364E9A" w14:paraId="4B4D60E8" w14:textId="77777777" w:rsidTr="00D3506D">
        <w:trPr>
          <w:trHeight w:val="266"/>
        </w:trPr>
        <w:tc>
          <w:tcPr>
            <w:tcW w:w="2110" w:type="dxa"/>
            <w:noWrap/>
            <w:vAlign w:val="bottom"/>
            <w:hideMark/>
          </w:tcPr>
          <w:p w14:paraId="600D0CE8" w14:textId="77777777" w:rsidR="00364E9A" w:rsidRPr="00364E9A" w:rsidRDefault="00364E9A" w:rsidP="00577D89">
            <w:pPr>
              <w:pStyle w:val="Body"/>
              <w:spacing w:after="0"/>
              <w:ind w:right="720"/>
              <w:rPr>
                <w:rFonts w:ascii="Arial" w:hAnsi="Arial" w:cs="Arial"/>
              </w:rPr>
            </w:pPr>
            <w:r w:rsidRPr="00364E9A">
              <w:rPr>
                <w:rFonts w:ascii="Arial" w:hAnsi="Arial" w:cs="Arial"/>
              </w:rPr>
              <w:t>No</w:t>
            </w:r>
          </w:p>
        </w:tc>
        <w:tc>
          <w:tcPr>
            <w:tcW w:w="2031" w:type="dxa"/>
            <w:noWrap/>
            <w:vAlign w:val="bottom"/>
            <w:hideMark/>
          </w:tcPr>
          <w:p w14:paraId="6FB4FB8B" w14:textId="77777777" w:rsidR="00364E9A" w:rsidRPr="00364E9A" w:rsidRDefault="00364E9A" w:rsidP="00577D89">
            <w:pPr>
              <w:pStyle w:val="Body"/>
              <w:spacing w:after="0"/>
              <w:ind w:right="720"/>
              <w:rPr>
                <w:rFonts w:ascii="Arial" w:hAnsi="Arial" w:cs="Arial"/>
              </w:rPr>
            </w:pPr>
            <w:r w:rsidRPr="00364E9A">
              <w:rPr>
                <w:rFonts w:ascii="Arial" w:hAnsi="Arial" w:cs="Arial"/>
              </w:rPr>
              <w:t>Ref</w:t>
            </w:r>
          </w:p>
        </w:tc>
        <w:tc>
          <w:tcPr>
            <w:tcW w:w="1484" w:type="dxa"/>
            <w:noWrap/>
            <w:vAlign w:val="bottom"/>
            <w:hideMark/>
          </w:tcPr>
          <w:p w14:paraId="0D22E67B" w14:textId="77777777" w:rsidR="00364E9A" w:rsidRPr="00364E9A" w:rsidRDefault="00364E9A" w:rsidP="00577D89">
            <w:pPr>
              <w:pStyle w:val="Body"/>
              <w:spacing w:after="0"/>
              <w:ind w:right="720"/>
              <w:rPr>
                <w:rFonts w:ascii="Arial" w:hAnsi="Arial" w:cs="Arial"/>
              </w:rPr>
            </w:pPr>
          </w:p>
        </w:tc>
        <w:tc>
          <w:tcPr>
            <w:tcW w:w="1863" w:type="dxa"/>
            <w:noWrap/>
            <w:vAlign w:val="bottom"/>
          </w:tcPr>
          <w:p w14:paraId="0EF0AE37" w14:textId="77777777" w:rsidR="00364E9A" w:rsidRPr="00364E9A" w:rsidRDefault="00364E9A" w:rsidP="00577D89">
            <w:pPr>
              <w:pStyle w:val="Body"/>
              <w:spacing w:after="0"/>
              <w:ind w:right="720"/>
              <w:rPr>
                <w:rFonts w:ascii="Arial" w:hAnsi="Arial" w:cs="Arial"/>
              </w:rPr>
            </w:pPr>
            <w:r w:rsidRPr="00364E9A">
              <w:rPr>
                <w:rFonts w:ascii="Arial" w:hAnsi="Arial" w:cs="Arial"/>
              </w:rPr>
              <w:t xml:space="preserve">Ref </w:t>
            </w:r>
          </w:p>
        </w:tc>
        <w:tc>
          <w:tcPr>
            <w:tcW w:w="2088" w:type="dxa"/>
            <w:noWrap/>
            <w:vAlign w:val="bottom"/>
          </w:tcPr>
          <w:p w14:paraId="425829EE" w14:textId="77777777" w:rsidR="00364E9A" w:rsidRPr="00364E9A" w:rsidRDefault="00364E9A" w:rsidP="00577D89">
            <w:pPr>
              <w:pStyle w:val="Body"/>
              <w:spacing w:after="0"/>
              <w:ind w:right="720"/>
              <w:rPr>
                <w:rFonts w:ascii="Arial" w:hAnsi="Arial" w:cs="Arial"/>
              </w:rPr>
            </w:pPr>
          </w:p>
        </w:tc>
      </w:tr>
      <w:tr w:rsidR="00947DB4" w:rsidRPr="00364E9A" w14:paraId="15708990" w14:textId="77777777" w:rsidTr="00D3506D">
        <w:trPr>
          <w:trHeight w:val="266"/>
        </w:trPr>
        <w:tc>
          <w:tcPr>
            <w:tcW w:w="2110" w:type="dxa"/>
            <w:noWrap/>
            <w:vAlign w:val="bottom"/>
            <w:hideMark/>
          </w:tcPr>
          <w:p w14:paraId="728B8F20" w14:textId="77777777" w:rsidR="00364E9A" w:rsidRPr="00364E9A" w:rsidRDefault="00364E9A" w:rsidP="00577D89">
            <w:pPr>
              <w:pStyle w:val="Body"/>
              <w:spacing w:after="0"/>
              <w:ind w:right="720"/>
              <w:rPr>
                <w:rFonts w:ascii="Arial" w:hAnsi="Arial" w:cs="Arial"/>
              </w:rPr>
            </w:pPr>
            <w:r w:rsidRPr="00364E9A">
              <w:rPr>
                <w:rFonts w:ascii="Arial" w:hAnsi="Arial" w:cs="Arial"/>
                <w:b/>
                <w:bCs/>
              </w:rPr>
              <w:t>Hemoglobin A1C Level (%)</w:t>
            </w:r>
          </w:p>
        </w:tc>
        <w:tc>
          <w:tcPr>
            <w:tcW w:w="2031" w:type="dxa"/>
            <w:noWrap/>
            <w:vAlign w:val="bottom"/>
            <w:hideMark/>
          </w:tcPr>
          <w:p w14:paraId="6EFEBF93" w14:textId="77777777" w:rsidR="00364E9A" w:rsidRPr="00364E9A" w:rsidRDefault="00364E9A" w:rsidP="00577D89">
            <w:pPr>
              <w:pStyle w:val="Body"/>
              <w:spacing w:after="0"/>
              <w:ind w:right="720"/>
              <w:rPr>
                <w:rFonts w:ascii="Arial" w:hAnsi="Arial" w:cs="Arial"/>
              </w:rPr>
            </w:pPr>
            <w:r w:rsidRPr="00364E9A">
              <w:rPr>
                <w:rFonts w:ascii="Arial" w:hAnsi="Arial" w:cs="Arial"/>
              </w:rPr>
              <w:t>1.01(1.0003-1.03)</w:t>
            </w:r>
          </w:p>
        </w:tc>
        <w:tc>
          <w:tcPr>
            <w:tcW w:w="1484" w:type="dxa"/>
            <w:noWrap/>
            <w:vAlign w:val="bottom"/>
            <w:hideMark/>
          </w:tcPr>
          <w:p w14:paraId="3E085B78" w14:textId="77777777" w:rsidR="00364E9A" w:rsidRPr="00364E9A" w:rsidRDefault="00364E9A" w:rsidP="00577D89">
            <w:pPr>
              <w:pStyle w:val="Body"/>
              <w:spacing w:after="0"/>
              <w:ind w:right="720"/>
              <w:rPr>
                <w:rFonts w:ascii="Arial" w:hAnsi="Arial" w:cs="Arial"/>
              </w:rPr>
            </w:pPr>
            <w:r w:rsidRPr="00364E9A">
              <w:rPr>
                <w:rFonts w:ascii="Arial" w:hAnsi="Arial" w:cs="Arial"/>
              </w:rPr>
              <w:t>0.044</w:t>
            </w:r>
          </w:p>
        </w:tc>
        <w:tc>
          <w:tcPr>
            <w:tcW w:w="1863" w:type="dxa"/>
            <w:noWrap/>
            <w:vAlign w:val="bottom"/>
          </w:tcPr>
          <w:p w14:paraId="61A9E82D" w14:textId="77777777" w:rsidR="00364E9A" w:rsidRPr="00364E9A" w:rsidRDefault="00364E9A" w:rsidP="00577D89">
            <w:pPr>
              <w:pStyle w:val="Body"/>
              <w:spacing w:after="0"/>
              <w:ind w:right="720"/>
              <w:rPr>
                <w:rFonts w:ascii="Arial" w:hAnsi="Arial" w:cs="Arial"/>
              </w:rPr>
            </w:pPr>
            <w:r w:rsidRPr="00364E9A">
              <w:rPr>
                <w:rFonts w:ascii="Arial" w:hAnsi="Arial" w:cs="Arial"/>
              </w:rPr>
              <w:t>1.01(0.99-1.02)</w:t>
            </w:r>
          </w:p>
        </w:tc>
        <w:tc>
          <w:tcPr>
            <w:tcW w:w="2088" w:type="dxa"/>
            <w:noWrap/>
            <w:vAlign w:val="bottom"/>
          </w:tcPr>
          <w:p w14:paraId="4E3D0187" w14:textId="77777777" w:rsidR="00364E9A" w:rsidRPr="00364E9A" w:rsidRDefault="00364E9A" w:rsidP="00577D89">
            <w:pPr>
              <w:pStyle w:val="Body"/>
              <w:spacing w:after="0"/>
              <w:ind w:right="720"/>
              <w:rPr>
                <w:rFonts w:ascii="Arial" w:hAnsi="Arial" w:cs="Arial"/>
              </w:rPr>
            </w:pPr>
            <w:r w:rsidRPr="00364E9A">
              <w:rPr>
                <w:rFonts w:ascii="Arial" w:hAnsi="Arial" w:cs="Arial"/>
              </w:rPr>
              <w:t>0.243</w:t>
            </w:r>
          </w:p>
        </w:tc>
      </w:tr>
      <w:tr w:rsidR="00947DB4" w:rsidRPr="00364E9A" w14:paraId="505CF820" w14:textId="77777777" w:rsidTr="00D3506D">
        <w:trPr>
          <w:trHeight w:val="266"/>
        </w:trPr>
        <w:tc>
          <w:tcPr>
            <w:tcW w:w="2110" w:type="dxa"/>
            <w:noWrap/>
            <w:vAlign w:val="bottom"/>
            <w:hideMark/>
          </w:tcPr>
          <w:p w14:paraId="195A13E9" w14:textId="77777777" w:rsidR="00364E9A" w:rsidRPr="00364E9A" w:rsidRDefault="00364E9A" w:rsidP="00577D89">
            <w:pPr>
              <w:pStyle w:val="Body"/>
              <w:spacing w:after="0"/>
              <w:ind w:right="720"/>
              <w:rPr>
                <w:rFonts w:ascii="Arial" w:hAnsi="Arial" w:cs="Arial"/>
              </w:rPr>
            </w:pPr>
            <w:r w:rsidRPr="00364E9A">
              <w:rPr>
                <w:rFonts w:ascii="Arial" w:hAnsi="Arial" w:cs="Arial"/>
                <w:b/>
                <w:bCs/>
              </w:rPr>
              <w:t>HDL blood Levels</w:t>
            </w:r>
          </w:p>
        </w:tc>
        <w:tc>
          <w:tcPr>
            <w:tcW w:w="2031" w:type="dxa"/>
            <w:noWrap/>
            <w:vAlign w:val="bottom"/>
            <w:hideMark/>
          </w:tcPr>
          <w:p w14:paraId="2FBA86C5" w14:textId="77777777" w:rsidR="00364E9A" w:rsidRPr="00364E9A" w:rsidRDefault="00364E9A" w:rsidP="00577D89">
            <w:pPr>
              <w:pStyle w:val="Body"/>
              <w:spacing w:after="0"/>
              <w:ind w:right="720"/>
              <w:rPr>
                <w:rFonts w:ascii="Arial" w:hAnsi="Arial" w:cs="Arial"/>
              </w:rPr>
            </w:pPr>
            <w:r w:rsidRPr="00364E9A">
              <w:rPr>
                <w:rFonts w:ascii="Arial" w:hAnsi="Arial" w:cs="Arial"/>
              </w:rPr>
              <w:t>0.96(0.94-0.98)</w:t>
            </w:r>
          </w:p>
        </w:tc>
        <w:tc>
          <w:tcPr>
            <w:tcW w:w="1484" w:type="dxa"/>
            <w:noWrap/>
            <w:vAlign w:val="bottom"/>
            <w:hideMark/>
          </w:tcPr>
          <w:p w14:paraId="21D10517" w14:textId="77777777" w:rsidR="00364E9A" w:rsidRPr="00364E9A" w:rsidRDefault="00364E9A" w:rsidP="00577D89">
            <w:pPr>
              <w:pStyle w:val="Body"/>
              <w:spacing w:after="0"/>
              <w:ind w:right="720"/>
              <w:rPr>
                <w:rFonts w:ascii="Arial" w:hAnsi="Arial" w:cs="Arial"/>
              </w:rPr>
            </w:pPr>
            <w:r w:rsidRPr="00364E9A">
              <w:rPr>
                <w:rFonts w:ascii="Arial" w:hAnsi="Arial" w:cs="Arial"/>
              </w:rPr>
              <w:t>0.001</w:t>
            </w:r>
          </w:p>
        </w:tc>
        <w:tc>
          <w:tcPr>
            <w:tcW w:w="1863" w:type="dxa"/>
            <w:noWrap/>
            <w:vAlign w:val="bottom"/>
          </w:tcPr>
          <w:p w14:paraId="6ABD0ECE" w14:textId="77777777" w:rsidR="00364E9A" w:rsidRPr="00364E9A" w:rsidRDefault="00364E9A" w:rsidP="00577D89">
            <w:pPr>
              <w:pStyle w:val="Body"/>
              <w:spacing w:after="0"/>
              <w:ind w:right="720"/>
              <w:rPr>
                <w:rFonts w:ascii="Arial" w:hAnsi="Arial" w:cs="Arial"/>
              </w:rPr>
            </w:pPr>
            <w:r w:rsidRPr="00364E9A">
              <w:rPr>
                <w:rFonts w:ascii="Arial" w:hAnsi="Arial" w:cs="Arial"/>
              </w:rPr>
              <w:t>0.98(0.96-1.01)</w:t>
            </w:r>
          </w:p>
        </w:tc>
        <w:tc>
          <w:tcPr>
            <w:tcW w:w="2088" w:type="dxa"/>
            <w:noWrap/>
            <w:vAlign w:val="bottom"/>
          </w:tcPr>
          <w:p w14:paraId="71EDF1AA" w14:textId="77777777" w:rsidR="00364E9A" w:rsidRPr="00364E9A" w:rsidRDefault="00364E9A" w:rsidP="00577D89">
            <w:pPr>
              <w:pStyle w:val="Body"/>
              <w:spacing w:after="0"/>
              <w:ind w:right="720"/>
              <w:rPr>
                <w:rFonts w:ascii="Arial" w:hAnsi="Arial" w:cs="Arial"/>
              </w:rPr>
            </w:pPr>
            <w:r w:rsidRPr="00364E9A">
              <w:rPr>
                <w:rFonts w:ascii="Arial" w:hAnsi="Arial" w:cs="Arial"/>
              </w:rPr>
              <w:t>0.203</w:t>
            </w:r>
          </w:p>
        </w:tc>
      </w:tr>
      <w:tr w:rsidR="00947DB4" w:rsidRPr="00364E9A" w14:paraId="56B83AAB" w14:textId="77777777" w:rsidTr="00D3506D">
        <w:trPr>
          <w:trHeight w:val="266"/>
        </w:trPr>
        <w:tc>
          <w:tcPr>
            <w:tcW w:w="2110" w:type="dxa"/>
            <w:noWrap/>
            <w:vAlign w:val="bottom"/>
            <w:hideMark/>
          </w:tcPr>
          <w:p w14:paraId="19A7B6B9" w14:textId="77777777" w:rsidR="00364E9A" w:rsidRPr="00364E9A" w:rsidRDefault="00364E9A" w:rsidP="00577D89">
            <w:pPr>
              <w:pStyle w:val="Body"/>
              <w:spacing w:after="0"/>
              <w:ind w:right="720"/>
              <w:rPr>
                <w:rFonts w:ascii="Arial" w:hAnsi="Arial" w:cs="Arial"/>
              </w:rPr>
            </w:pPr>
            <w:r w:rsidRPr="00364E9A">
              <w:rPr>
                <w:rFonts w:ascii="Arial" w:hAnsi="Arial" w:cs="Arial"/>
                <w:b/>
                <w:bCs/>
              </w:rPr>
              <w:t>Triglyceride blood levels</w:t>
            </w:r>
          </w:p>
        </w:tc>
        <w:tc>
          <w:tcPr>
            <w:tcW w:w="2031" w:type="dxa"/>
            <w:noWrap/>
            <w:vAlign w:val="bottom"/>
            <w:hideMark/>
          </w:tcPr>
          <w:p w14:paraId="52199B8A" w14:textId="77777777" w:rsidR="00364E9A" w:rsidRPr="00364E9A" w:rsidRDefault="00364E9A" w:rsidP="00577D89">
            <w:pPr>
              <w:pStyle w:val="Body"/>
              <w:spacing w:after="0"/>
              <w:ind w:right="720"/>
              <w:rPr>
                <w:rFonts w:ascii="Arial" w:hAnsi="Arial" w:cs="Arial"/>
              </w:rPr>
            </w:pPr>
            <w:r w:rsidRPr="00364E9A">
              <w:rPr>
                <w:rFonts w:ascii="Arial" w:hAnsi="Arial" w:cs="Arial"/>
              </w:rPr>
              <w:t>1.04(0.99-1.09)</w:t>
            </w:r>
          </w:p>
        </w:tc>
        <w:tc>
          <w:tcPr>
            <w:tcW w:w="1484" w:type="dxa"/>
            <w:noWrap/>
            <w:vAlign w:val="bottom"/>
            <w:hideMark/>
          </w:tcPr>
          <w:p w14:paraId="3B70F026" w14:textId="77777777" w:rsidR="00364E9A" w:rsidRPr="00364E9A" w:rsidRDefault="00364E9A" w:rsidP="00577D89">
            <w:pPr>
              <w:pStyle w:val="Body"/>
              <w:spacing w:after="0"/>
              <w:ind w:right="720"/>
              <w:rPr>
                <w:rFonts w:ascii="Arial" w:hAnsi="Arial" w:cs="Arial"/>
              </w:rPr>
            </w:pPr>
            <w:r w:rsidRPr="00364E9A">
              <w:rPr>
                <w:rFonts w:ascii="Arial" w:hAnsi="Arial" w:cs="Arial"/>
              </w:rPr>
              <w:t>0.143</w:t>
            </w:r>
          </w:p>
        </w:tc>
        <w:tc>
          <w:tcPr>
            <w:tcW w:w="1863" w:type="dxa"/>
            <w:noWrap/>
            <w:vAlign w:val="bottom"/>
          </w:tcPr>
          <w:p w14:paraId="76B9B4AC" w14:textId="77777777" w:rsidR="00364E9A" w:rsidRPr="00364E9A" w:rsidRDefault="00364E9A" w:rsidP="00577D89">
            <w:pPr>
              <w:pStyle w:val="Body"/>
              <w:spacing w:after="0"/>
              <w:ind w:right="720"/>
              <w:rPr>
                <w:rFonts w:ascii="Arial" w:hAnsi="Arial" w:cs="Arial"/>
              </w:rPr>
            </w:pPr>
            <w:r w:rsidRPr="00364E9A">
              <w:rPr>
                <w:rFonts w:ascii="Arial" w:hAnsi="Arial" w:cs="Arial"/>
              </w:rPr>
              <w:t>1.001(0.98-1.02)</w:t>
            </w:r>
          </w:p>
        </w:tc>
        <w:tc>
          <w:tcPr>
            <w:tcW w:w="2088" w:type="dxa"/>
            <w:noWrap/>
            <w:vAlign w:val="bottom"/>
          </w:tcPr>
          <w:p w14:paraId="4D5526A4" w14:textId="77777777" w:rsidR="00364E9A" w:rsidRPr="00364E9A" w:rsidRDefault="00364E9A" w:rsidP="00577D89">
            <w:pPr>
              <w:pStyle w:val="Body"/>
              <w:spacing w:after="0"/>
              <w:ind w:right="720"/>
              <w:rPr>
                <w:rFonts w:ascii="Arial" w:hAnsi="Arial" w:cs="Arial"/>
              </w:rPr>
            </w:pPr>
            <w:r w:rsidRPr="00364E9A">
              <w:rPr>
                <w:rFonts w:ascii="Arial" w:hAnsi="Arial" w:cs="Arial"/>
              </w:rPr>
              <w:t>0.924</w:t>
            </w:r>
          </w:p>
        </w:tc>
      </w:tr>
      <w:tr w:rsidR="00947DB4" w:rsidRPr="00364E9A" w14:paraId="2B2B946E" w14:textId="77777777" w:rsidTr="00D3506D">
        <w:trPr>
          <w:trHeight w:val="266"/>
        </w:trPr>
        <w:tc>
          <w:tcPr>
            <w:tcW w:w="2110" w:type="dxa"/>
            <w:tcBorders>
              <w:bottom w:val="single" w:sz="12" w:space="0" w:color="auto"/>
            </w:tcBorders>
            <w:noWrap/>
            <w:vAlign w:val="bottom"/>
            <w:hideMark/>
          </w:tcPr>
          <w:p w14:paraId="74AF8AD5" w14:textId="77777777" w:rsidR="00364E9A" w:rsidRPr="00364E9A" w:rsidRDefault="00364E9A" w:rsidP="00577D89">
            <w:pPr>
              <w:pStyle w:val="Body"/>
              <w:spacing w:after="0"/>
              <w:ind w:right="720"/>
              <w:rPr>
                <w:rFonts w:ascii="Arial" w:hAnsi="Arial" w:cs="Arial"/>
              </w:rPr>
            </w:pPr>
            <w:r w:rsidRPr="00364E9A">
              <w:rPr>
                <w:rFonts w:ascii="Arial" w:hAnsi="Arial" w:cs="Arial"/>
                <w:b/>
                <w:bCs/>
              </w:rPr>
              <w:t>Serum Creatinine blood levels</w:t>
            </w:r>
          </w:p>
        </w:tc>
        <w:tc>
          <w:tcPr>
            <w:tcW w:w="2031" w:type="dxa"/>
            <w:tcBorders>
              <w:bottom w:val="single" w:sz="12" w:space="0" w:color="auto"/>
            </w:tcBorders>
            <w:noWrap/>
            <w:vAlign w:val="bottom"/>
            <w:hideMark/>
          </w:tcPr>
          <w:p w14:paraId="0D6E0FFB" w14:textId="77777777" w:rsidR="00364E9A" w:rsidRPr="00364E9A" w:rsidRDefault="00364E9A" w:rsidP="00577D89">
            <w:pPr>
              <w:pStyle w:val="Body"/>
              <w:spacing w:after="0"/>
              <w:ind w:right="720"/>
              <w:rPr>
                <w:rFonts w:ascii="Arial" w:hAnsi="Arial" w:cs="Arial"/>
              </w:rPr>
            </w:pPr>
            <w:r w:rsidRPr="00364E9A">
              <w:rPr>
                <w:rFonts w:ascii="Arial" w:hAnsi="Arial" w:cs="Arial"/>
              </w:rPr>
              <w:t>1.003(1.001-1.005)</w:t>
            </w:r>
          </w:p>
        </w:tc>
        <w:tc>
          <w:tcPr>
            <w:tcW w:w="1484" w:type="dxa"/>
            <w:tcBorders>
              <w:bottom w:val="single" w:sz="12" w:space="0" w:color="auto"/>
            </w:tcBorders>
            <w:noWrap/>
            <w:vAlign w:val="bottom"/>
            <w:hideMark/>
          </w:tcPr>
          <w:p w14:paraId="5267DABD" w14:textId="77777777" w:rsidR="00364E9A" w:rsidRPr="00364E9A" w:rsidRDefault="00364E9A" w:rsidP="00577D89">
            <w:pPr>
              <w:pStyle w:val="Body"/>
              <w:spacing w:after="0"/>
              <w:ind w:right="720"/>
              <w:rPr>
                <w:rFonts w:ascii="Arial" w:hAnsi="Arial" w:cs="Arial"/>
              </w:rPr>
            </w:pPr>
            <w:r w:rsidRPr="00364E9A">
              <w:rPr>
                <w:rFonts w:ascii="Arial" w:hAnsi="Arial" w:cs="Arial"/>
              </w:rPr>
              <w:t>0.001</w:t>
            </w:r>
          </w:p>
        </w:tc>
        <w:tc>
          <w:tcPr>
            <w:tcW w:w="1863" w:type="dxa"/>
            <w:tcBorders>
              <w:bottom w:val="single" w:sz="12" w:space="0" w:color="auto"/>
            </w:tcBorders>
            <w:noWrap/>
            <w:vAlign w:val="bottom"/>
            <w:hideMark/>
          </w:tcPr>
          <w:p w14:paraId="753F543B" w14:textId="77777777" w:rsidR="00364E9A" w:rsidRPr="00364E9A" w:rsidRDefault="00364E9A" w:rsidP="00577D89">
            <w:pPr>
              <w:pStyle w:val="Body"/>
              <w:spacing w:after="0"/>
              <w:ind w:right="720"/>
              <w:rPr>
                <w:rFonts w:ascii="Arial" w:hAnsi="Arial" w:cs="Arial"/>
              </w:rPr>
            </w:pPr>
            <w:r w:rsidRPr="00364E9A">
              <w:rPr>
                <w:rFonts w:ascii="Arial" w:hAnsi="Arial" w:cs="Arial"/>
              </w:rPr>
              <w:t>1.002(1.0001-1.004)</w:t>
            </w:r>
          </w:p>
        </w:tc>
        <w:tc>
          <w:tcPr>
            <w:tcW w:w="2088" w:type="dxa"/>
            <w:tcBorders>
              <w:bottom w:val="single" w:sz="12" w:space="0" w:color="auto"/>
            </w:tcBorders>
            <w:noWrap/>
            <w:vAlign w:val="bottom"/>
            <w:hideMark/>
          </w:tcPr>
          <w:p w14:paraId="198F57E4" w14:textId="77777777" w:rsidR="00364E9A" w:rsidRPr="00364E9A" w:rsidRDefault="00364E9A" w:rsidP="00577D89">
            <w:pPr>
              <w:pStyle w:val="Body"/>
              <w:spacing w:after="0"/>
              <w:ind w:right="720"/>
              <w:rPr>
                <w:rFonts w:ascii="Arial" w:hAnsi="Arial" w:cs="Arial"/>
              </w:rPr>
            </w:pPr>
            <w:r w:rsidRPr="00364E9A">
              <w:rPr>
                <w:rFonts w:ascii="Arial" w:hAnsi="Arial" w:cs="Arial"/>
              </w:rPr>
              <w:t>0.038</w:t>
            </w:r>
          </w:p>
        </w:tc>
      </w:tr>
    </w:tbl>
    <w:p w14:paraId="41EA0831" w14:textId="77777777" w:rsidR="002C53D7" w:rsidRDefault="002C53D7" w:rsidP="00577D89">
      <w:pPr>
        <w:pStyle w:val="Body"/>
        <w:spacing w:after="0"/>
        <w:ind w:right="720"/>
        <w:rPr>
          <w:rFonts w:ascii="Arial" w:hAnsi="Arial" w:cs="Arial"/>
          <w:b/>
        </w:rPr>
      </w:pPr>
    </w:p>
    <w:p w14:paraId="4A491D89" w14:textId="77777777" w:rsidR="00364E9A" w:rsidRPr="00364E9A" w:rsidRDefault="009D0604" w:rsidP="00577D89">
      <w:pPr>
        <w:pStyle w:val="Body"/>
        <w:spacing w:after="0"/>
        <w:ind w:right="720"/>
        <w:rPr>
          <w:rFonts w:ascii="Arial" w:hAnsi="Arial" w:cs="Arial"/>
          <w:b/>
        </w:rPr>
      </w:pPr>
      <w:r>
        <w:rPr>
          <w:rFonts w:ascii="Arial" w:hAnsi="Arial" w:cs="Arial"/>
          <w:b/>
        </w:rPr>
        <w:t xml:space="preserve">3.8 </w:t>
      </w:r>
      <w:r w:rsidR="00364E9A" w:rsidRPr="00364E9A">
        <w:rPr>
          <w:rFonts w:ascii="Arial" w:hAnsi="Arial" w:cs="Arial"/>
          <w:b/>
        </w:rPr>
        <w:t xml:space="preserve">Factors associated with Visual acuity (VA) change </w:t>
      </w:r>
    </w:p>
    <w:p w14:paraId="71FEF386" w14:textId="77777777" w:rsidR="00364E9A" w:rsidRDefault="00364E9A" w:rsidP="00577D89">
      <w:pPr>
        <w:pStyle w:val="Body"/>
        <w:spacing w:after="0"/>
        <w:ind w:right="720"/>
        <w:rPr>
          <w:rFonts w:ascii="Arial" w:hAnsi="Arial" w:cs="Arial"/>
          <w:b/>
          <w:bCs/>
        </w:rPr>
      </w:pPr>
    </w:p>
    <w:p w14:paraId="5CD144F4" w14:textId="77777777" w:rsidR="002C53D7" w:rsidRPr="00364E9A" w:rsidRDefault="002C53D7" w:rsidP="00577D89">
      <w:pPr>
        <w:pStyle w:val="Body"/>
        <w:spacing w:after="0"/>
        <w:ind w:right="720"/>
        <w:rPr>
          <w:rFonts w:ascii="Arial" w:hAnsi="Arial" w:cs="Arial"/>
          <w:b/>
          <w:bCs/>
        </w:rPr>
        <w:sectPr w:rsidR="002C53D7" w:rsidRPr="00364E9A" w:rsidSect="00BB14ED">
          <w:type w:val="continuous"/>
          <w:pgSz w:w="12240" w:h="15840"/>
          <w:pgMar w:top="1440" w:right="1440" w:bottom="1440" w:left="1440" w:header="720" w:footer="720" w:gutter="0"/>
          <w:cols w:space="720"/>
          <w:docGrid w:linePitch="360"/>
        </w:sectPr>
      </w:pPr>
    </w:p>
    <w:p w14:paraId="63DBD98E" w14:textId="2F623572" w:rsidR="00B9628D" w:rsidRDefault="00364E9A" w:rsidP="00577D89">
      <w:pPr>
        <w:pStyle w:val="Body"/>
        <w:spacing w:after="0"/>
        <w:ind w:right="720"/>
        <w:rPr>
          <w:rFonts w:ascii="Arial" w:hAnsi="Arial" w:cs="Arial"/>
        </w:rPr>
      </w:pPr>
      <w:r w:rsidRPr="00364E9A">
        <w:rPr>
          <w:rFonts w:ascii="Arial" w:hAnsi="Arial" w:cs="Arial"/>
          <w:b/>
          <w:bCs/>
        </w:rPr>
        <w:t>Table 8:</w:t>
      </w:r>
      <w:r w:rsidRPr="00364E9A">
        <w:rPr>
          <w:rFonts w:ascii="Arial" w:hAnsi="Arial" w:cs="Arial"/>
        </w:rPr>
        <w:t xml:space="preserve"> </w:t>
      </w:r>
      <w:r w:rsidR="00B9628D">
        <w:rPr>
          <w:rFonts w:ascii="Arial" w:hAnsi="Arial" w:cs="Arial"/>
          <w:b/>
          <w:bCs/>
        </w:rPr>
        <w:t>F</w:t>
      </w:r>
      <w:r w:rsidR="00B9628D" w:rsidRPr="00B9628D">
        <w:rPr>
          <w:rFonts w:ascii="Arial" w:hAnsi="Arial" w:cs="Arial"/>
          <w:b/>
          <w:bCs/>
        </w:rPr>
        <w:t>actors associated with VA change</w:t>
      </w:r>
    </w:p>
    <w:p w14:paraId="634F266C" w14:textId="3EBC9639" w:rsidR="00364E9A" w:rsidRPr="00364E9A" w:rsidRDefault="00364E9A" w:rsidP="00577D89">
      <w:pPr>
        <w:pStyle w:val="Body"/>
        <w:spacing w:after="0"/>
        <w:ind w:right="720"/>
        <w:rPr>
          <w:rFonts w:ascii="Arial" w:hAnsi="Arial" w:cs="Arial"/>
        </w:rPr>
        <w:sectPr w:rsidR="00364E9A" w:rsidRPr="00364E9A" w:rsidSect="00BB14ED">
          <w:type w:val="continuous"/>
          <w:pgSz w:w="12240" w:h="15840"/>
          <w:pgMar w:top="1440" w:right="1440" w:bottom="1440" w:left="1440" w:header="720" w:footer="720" w:gutter="0"/>
          <w:cols w:space="720"/>
          <w:docGrid w:linePitch="360"/>
        </w:sectPr>
      </w:pPr>
      <w:r w:rsidRPr="00364E9A">
        <w:rPr>
          <w:rFonts w:ascii="Arial" w:hAnsi="Arial" w:cs="Arial"/>
        </w:rPr>
        <w:t xml:space="preserve">Shows crude and adjusted analyses of factors associated with VA change. In crude analysis, Hypertension, HBA1c and HDL levels were significantly associated with changes in the </w:t>
      </w:r>
      <w:proofErr w:type="spellStart"/>
      <w:r w:rsidRPr="00364E9A">
        <w:rPr>
          <w:rFonts w:ascii="Arial" w:hAnsi="Arial" w:cs="Arial"/>
        </w:rPr>
        <w:t>logMAR</w:t>
      </w:r>
      <w:proofErr w:type="spellEnd"/>
      <w:r w:rsidRPr="00364E9A">
        <w:rPr>
          <w:rFonts w:ascii="Arial" w:hAnsi="Arial" w:cs="Arial"/>
        </w:rPr>
        <w:t xml:space="preserve"> VA of an un-injected eye following Intra-</w:t>
      </w:r>
      <w:proofErr w:type="spellStart"/>
      <w:r w:rsidRPr="00364E9A">
        <w:rPr>
          <w:rFonts w:ascii="Arial" w:hAnsi="Arial" w:cs="Arial"/>
        </w:rPr>
        <w:t>vitreal</w:t>
      </w:r>
      <w:proofErr w:type="spellEnd"/>
      <w:r w:rsidRPr="00364E9A">
        <w:rPr>
          <w:rFonts w:ascii="Arial" w:hAnsi="Arial" w:cs="Arial"/>
        </w:rPr>
        <w:t xml:space="preserve"> bevacizumab injection in the contralateral eye. Individuals with Hypertension had a 64% significant increase in the </w:t>
      </w:r>
      <w:proofErr w:type="spellStart"/>
      <w:r w:rsidRPr="00364E9A">
        <w:rPr>
          <w:rFonts w:ascii="Arial" w:hAnsi="Arial" w:cs="Arial"/>
        </w:rPr>
        <w:t>LogMAR</w:t>
      </w:r>
      <w:proofErr w:type="spellEnd"/>
      <w:r w:rsidRPr="00364E9A">
        <w:rPr>
          <w:rFonts w:ascii="Arial" w:hAnsi="Arial" w:cs="Arial"/>
        </w:rPr>
        <w:t xml:space="preserve"> VA compared to those without Hypertension (CRR=</w:t>
      </w:r>
      <w:r w:rsidR="00351A17">
        <w:rPr>
          <w:rFonts w:ascii="Arial" w:hAnsi="Arial" w:cs="Arial"/>
        </w:rPr>
        <w:t>1.64; 95%CI: 1.08-2.50; P-value</w:t>
      </w:r>
      <w:r w:rsidRPr="00364E9A">
        <w:rPr>
          <w:rFonts w:ascii="Arial" w:hAnsi="Arial" w:cs="Arial"/>
        </w:rPr>
        <w:t xml:space="preserve">=0.019). Additionally, for every 1% increase in the HbA1c, there was a 17% significant increase in the </w:t>
      </w:r>
      <w:proofErr w:type="spellStart"/>
      <w:r w:rsidRPr="00364E9A">
        <w:rPr>
          <w:rFonts w:ascii="Arial" w:hAnsi="Arial" w:cs="Arial"/>
        </w:rPr>
        <w:t>LogMAR</w:t>
      </w:r>
      <w:proofErr w:type="spellEnd"/>
      <w:r w:rsidRPr="00364E9A">
        <w:rPr>
          <w:rFonts w:ascii="Arial" w:hAnsi="Arial" w:cs="Arial"/>
        </w:rPr>
        <w:t xml:space="preserve"> VA (CRR=</w:t>
      </w:r>
      <w:r w:rsidR="00351A17">
        <w:rPr>
          <w:rFonts w:ascii="Arial" w:hAnsi="Arial" w:cs="Arial"/>
        </w:rPr>
        <w:t>1.17; 95%CI: 1.03-1.33; P-value</w:t>
      </w:r>
      <w:r w:rsidRPr="00364E9A">
        <w:rPr>
          <w:rFonts w:ascii="Arial" w:hAnsi="Arial" w:cs="Arial"/>
        </w:rPr>
        <w:t xml:space="preserve">=0.013). The VA change was differently observed in the HDL, whereby the high HDL levels were associated with 27% significant decrease in </w:t>
      </w:r>
      <w:proofErr w:type="spellStart"/>
      <w:r w:rsidRPr="00364E9A">
        <w:rPr>
          <w:rFonts w:ascii="Arial" w:hAnsi="Arial" w:cs="Arial"/>
        </w:rPr>
        <w:t>LogMAR</w:t>
      </w:r>
      <w:proofErr w:type="spellEnd"/>
      <w:r w:rsidRPr="00364E9A">
        <w:rPr>
          <w:rFonts w:ascii="Arial" w:hAnsi="Arial" w:cs="Arial"/>
        </w:rPr>
        <w:t xml:space="preserve"> VA (CRR=</w:t>
      </w:r>
      <w:r w:rsidR="00351A17">
        <w:rPr>
          <w:rFonts w:ascii="Arial" w:hAnsi="Arial" w:cs="Arial"/>
        </w:rPr>
        <w:t>0.73; 95%CI: 0.60-0.87; P-value</w:t>
      </w:r>
      <w:r w:rsidRPr="00364E9A">
        <w:rPr>
          <w:rFonts w:ascii="Arial" w:hAnsi="Arial" w:cs="Arial"/>
        </w:rPr>
        <w:t>=0.001). In the adjusted analysis, however, none of these variables maintained a statistically signifi</w:t>
      </w:r>
      <w:r w:rsidR="009D0604">
        <w:rPr>
          <w:rFonts w:ascii="Arial" w:hAnsi="Arial" w:cs="Arial"/>
        </w:rPr>
        <w:t xml:space="preserve">cant association with </w:t>
      </w:r>
      <w:proofErr w:type="spellStart"/>
      <w:r w:rsidR="009D0604">
        <w:rPr>
          <w:rFonts w:ascii="Arial" w:hAnsi="Arial" w:cs="Arial"/>
        </w:rPr>
        <w:t>L</w:t>
      </w:r>
      <w:r w:rsidR="00577D89">
        <w:rPr>
          <w:rFonts w:ascii="Arial" w:hAnsi="Arial" w:cs="Arial"/>
        </w:rPr>
        <w:t>ogMAR</w:t>
      </w:r>
      <w:proofErr w:type="spellEnd"/>
      <w:r w:rsidR="00577D89">
        <w:rPr>
          <w:rFonts w:ascii="Arial" w:hAnsi="Arial" w:cs="Arial"/>
        </w:rPr>
        <w:t xml:space="preserve"> VA-score-</w:t>
      </w:r>
      <w:r w:rsidR="00351A17">
        <w:rPr>
          <w:rFonts w:ascii="Arial" w:hAnsi="Arial" w:cs="Arial"/>
        </w:rPr>
        <w:t>changes</w:t>
      </w:r>
    </w:p>
    <w:p w14:paraId="6E81D8A5" w14:textId="77777777" w:rsidR="00351A17" w:rsidRPr="00364E9A" w:rsidRDefault="00351A17" w:rsidP="00577D89">
      <w:pPr>
        <w:pStyle w:val="Body"/>
        <w:spacing w:after="0"/>
        <w:ind w:right="720"/>
        <w:rPr>
          <w:rFonts w:ascii="Arial" w:hAnsi="Arial" w:cs="Arial"/>
        </w:rPr>
      </w:pPr>
    </w:p>
    <w:tbl>
      <w:tblPr>
        <w:tblW w:w="8586" w:type="dxa"/>
        <w:jc w:val="center"/>
        <w:tblLook w:val="04A0" w:firstRow="1" w:lastRow="0" w:firstColumn="1" w:lastColumn="0" w:noHBand="0" w:noVBand="1"/>
      </w:tblPr>
      <w:tblGrid>
        <w:gridCol w:w="2215"/>
        <w:gridCol w:w="1959"/>
        <w:gridCol w:w="1448"/>
        <w:gridCol w:w="1959"/>
        <w:gridCol w:w="1448"/>
      </w:tblGrid>
      <w:tr w:rsidR="00364E9A" w:rsidRPr="00364E9A" w14:paraId="43359ED9" w14:textId="77777777" w:rsidTr="00CD63BE">
        <w:trPr>
          <w:trHeight w:val="232"/>
          <w:jc w:val="center"/>
        </w:trPr>
        <w:tc>
          <w:tcPr>
            <w:tcW w:w="2140" w:type="dxa"/>
            <w:tcBorders>
              <w:top w:val="single" w:sz="12" w:space="0" w:color="auto"/>
            </w:tcBorders>
            <w:noWrap/>
            <w:vAlign w:val="center"/>
            <w:hideMark/>
          </w:tcPr>
          <w:p w14:paraId="066122DD"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Variables</w:t>
            </w:r>
          </w:p>
        </w:tc>
        <w:tc>
          <w:tcPr>
            <w:tcW w:w="3223" w:type="dxa"/>
            <w:gridSpan w:val="2"/>
            <w:tcBorders>
              <w:top w:val="single" w:sz="12" w:space="0" w:color="auto"/>
              <w:bottom w:val="single" w:sz="12" w:space="0" w:color="auto"/>
            </w:tcBorders>
            <w:noWrap/>
            <w:vAlign w:val="center"/>
            <w:hideMark/>
          </w:tcPr>
          <w:p w14:paraId="57832192"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Crude analysis</w:t>
            </w:r>
          </w:p>
        </w:tc>
        <w:tc>
          <w:tcPr>
            <w:tcW w:w="3223" w:type="dxa"/>
            <w:gridSpan w:val="2"/>
            <w:tcBorders>
              <w:top w:val="single" w:sz="12" w:space="0" w:color="auto"/>
              <w:bottom w:val="single" w:sz="12" w:space="0" w:color="auto"/>
            </w:tcBorders>
            <w:noWrap/>
            <w:vAlign w:val="center"/>
            <w:hideMark/>
          </w:tcPr>
          <w:p w14:paraId="5CABBB19"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Adjusted analysis</w:t>
            </w:r>
          </w:p>
        </w:tc>
      </w:tr>
      <w:tr w:rsidR="00577D89" w:rsidRPr="00364E9A" w14:paraId="78798326" w14:textId="77777777" w:rsidTr="00CD63BE">
        <w:trPr>
          <w:trHeight w:val="232"/>
          <w:jc w:val="center"/>
        </w:trPr>
        <w:tc>
          <w:tcPr>
            <w:tcW w:w="2140" w:type="dxa"/>
            <w:tcBorders>
              <w:bottom w:val="single" w:sz="12" w:space="0" w:color="auto"/>
            </w:tcBorders>
            <w:noWrap/>
            <w:vAlign w:val="bottom"/>
            <w:hideMark/>
          </w:tcPr>
          <w:p w14:paraId="7B1BD2D4" w14:textId="77777777" w:rsidR="00364E9A" w:rsidRPr="00364E9A" w:rsidRDefault="00364E9A" w:rsidP="00577D89">
            <w:pPr>
              <w:pStyle w:val="Body"/>
              <w:spacing w:after="0"/>
              <w:ind w:right="720"/>
              <w:rPr>
                <w:rFonts w:ascii="Arial" w:hAnsi="Arial" w:cs="Arial"/>
              </w:rPr>
            </w:pPr>
            <w:r w:rsidRPr="00364E9A">
              <w:rPr>
                <w:rFonts w:ascii="Arial" w:hAnsi="Arial" w:cs="Arial"/>
              </w:rPr>
              <w:t> </w:t>
            </w:r>
          </w:p>
        </w:tc>
        <w:tc>
          <w:tcPr>
            <w:tcW w:w="1850" w:type="dxa"/>
            <w:tcBorders>
              <w:top w:val="single" w:sz="12" w:space="0" w:color="auto"/>
              <w:bottom w:val="single" w:sz="12" w:space="0" w:color="auto"/>
            </w:tcBorders>
            <w:noWrap/>
            <w:vAlign w:val="center"/>
            <w:hideMark/>
          </w:tcPr>
          <w:p w14:paraId="757413B6" w14:textId="77777777" w:rsidR="00364E9A" w:rsidRPr="00364E9A" w:rsidRDefault="00364E9A" w:rsidP="00577D89">
            <w:pPr>
              <w:pStyle w:val="Body"/>
              <w:spacing w:after="0"/>
              <w:ind w:right="720"/>
              <w:rPr>
                <w:rFonts w:ascii="Arial" w:hAnsi="Arial" w:cs="Arial"/>
                <w:b/>
                <w:bCs/>
              </w:rPr>
            </w:pPr>
            <w:proofErr w:type="gramStart"/>
            <w:r w:rsidRPr="00364E9A">
              <w:rPr>
                <w:rFonts w:ascii="Arial" w:hAnsi="Arial" w:cs="Arial"/>
                <w:b/>
                <w:bCs/>
              </w:rPr>
              <w:t>RR(</w:t>
            </w:r>
            <w:proofErr w:type="gramEnd"/>
            <w:r w:rsidRPr="00364E9A">
              <w:rPr>
                <w:rFonts w:ascii="Arial" w:hAnsi="Arial" w:cs="Arial"/>
                <w:b/>
                <w:bCs/>
              </w:rPr>
              <w:t>95%CI)</w:t>
            </w:r>
          </w:p>
        </w:tc>
        <w:tc>
          <w:tcPr>
            <w:tcW w:w="1373" w:type="dxa"/>
            <w:tcBorders>
              <w:top w:val="single" w:sz="12" w:space="0" w:color="auto"/>
              <w:bottom w:val="single" w:sz="12" w:space="0" w:color="auto"/>
            </w:tcBorders>
            <w:noWrap/>
            <w:vAlign w:val="center"/>
            <w:hideMark/>
          </w:tcPr>
          <w:p w14:paraId="01252156" w14:textId="77777777" w:rsidR="00364E9A" w:rsidRPr="00364E9A" w:rsidRDefault="00364E9A" w:rsidP="00577D89">
            <w:pPr>
              <w:pStyle w:val="Body"/>
              <w:spacing w:after="0"/>
              <w:ind w:right="720"/>
              <w:rPr>
                <w:rFonts w:ascii="Arial" w:hAnsi="Arial" w:cs="Arial"/>
              </w:rPr>
            </w:pPr>
            <w:r w:rsidRPr="00364E9A">
              <w:rPr>
                <w:rFonts w:ascii="Arial" w:hAnsi="Arial" w:cs="Arial"/>
                <w:b/>
                <w:bCs/>
              </w:rPr>
              <w:t>P-value</w:t>
            </w:r>
          </w:p>
        </w:tc>
        <w:tc>
          <w:tcPr>
            <w:tcW w:w="1850" w:type="dxa"/>
            <w:tcBorders>
              <w:top w:val="single" w:sz="12" w:space="0" w:color="auto"/>
              <w:bottom w:val="single" w:sz="12" w:space="0" w:color="auto"/>
            </w:tcBorders>
            <w:noWrap/>
            <w:vAlign w:val="center"/>
            <w:hideMark/>
          </w:tcPr>
          <w:p w14:paraId="087C893B" w14:textId="77777777" w:rsidR="00364E9A" w:rsidRPr="00364E9A" w:rsidRDefault="00364E9A" w:rsidP="00577D89">
            <w:pPr>
              <w:pStyle w:val="Body"/>
              <w:spacing w:after="0"/>
              <w:ind w:right="720"/>
              <w:rPr>
                <w:rFonts w:ascii="Arial" w:hAnsi="Arial" w:cs="Arial"/>
                <w:b/>
                <w:bCs/>
              </w:rPr>
            </w:pPr>
            <w:proofErr w:type="gramStart"/>
            <w:r w:rsidRPr="00364E9A">
              <w:rPr>
                <w:rFonts w:ascii="Arial" w:hAnsi="Arial" w:cs="Arial"/>
                <w:b/>
                <w:bCs/>
              </w:rPr>
              <w:t>RR(</w:t>
            </w:r>
            <w:proofErr w:type="gramEnd"/>
            <w:r w:rsidRPr="00364E9A">
              <w:rPr>
                <w:rFonts w:ascii="Arial" w:hAnsi="Arial" w:cs="Arial"/>
                <w:b/>
                <w:bCs/>
              </w:rPr>
              <w:t>95%CI)</w:t>
            </w:r>
          </w:p>
        </w:tc>
        <w:tc>
          <w:tcPr>
            <w:tcW w:w="1373" w:type="dxa"/>
            <w:tcBorders>
              <w:top w:val="single" w:sz="12" w:space="0" w:color="auto"/>
              <w:bottom w:val="single" w:sz="12" w:space="0" w:color="auto"/>
            </w:tcBorders>
            <w:noWrap/>
            <w:vAlign w:val="center"/>
            <w:hideMark/>
          </w:tcPr>
          <w:p w14:paraId="2CA95DA0" w14:textId="77777777" w:rsidR="00364E9A" w:rsidRPr="00364E9A" w:rsidRDefault="00364E9A" w:rsidP="00577D89">
            <w:pPr>
              <w:pStyle w:val="Body"/>
              <w:spacing w:after="0"/>
              <w:ind w:right="720"/>
              <w:rPr>
                <w:rFonts w:ascii="Arial" w:hAnsi="Arial" w:cs="Arial"/>
              </w:rPr>
            </w:pPr>
            <w:r w:rsidRPr="00364E9A">
              <w:rPr>
                <w:rFonts w:ascii="Arial" w:hAnsi="Arial" w:cs="Arial"/>
                <w:b/>
                <w:bCs/>
              </w:rPr>
              <w:t>P-value</w:t>
            </w:r>
          </w:p>
        </w:tc>
      </w:tr>
      <w:tr w:rsidR="00577D89" w:rsidRPr="00364E9A" w14:paraId="0175C2CA" w14:textId="77777777" w:rsidTr="00CD63BE">
        <w:trPr>
          <w:trHeight w:val="221"/>
          <w:jc w:val="center"/>
        </w:trPr>
        <w:tc>
          <w:tcPr>
            <w:tcW w:w="2140" w:type="dxa"/>
            <w:noWrap/>
            <w:vAlign w:val="bottom"/>
            <w:hideMark/>
          </w:tcPr>
          <w:p w14:paraId="68A93DF4"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Age of the participant (In years)</w:t>
            </w:r>
          </w:p>
        </w:tc>
        <w:tc>
          <w:tcPr>
            <w:tcW w:w="1850" w:type="dxa"/>
            <w:noWrap/>
            <w:vAlign w:val="bottom"/>
            <w:hideMark/>
          </w:tcPr>
          <w:p w14:paraId="3FBAA683" w14:textId="77777777" w:rsidR="00364E9A" w:rsidRPr="00364E9A" w:rsidRDefault="00364E9A" w:rsidP="00577D89">
            <w:pPr>
              <w:pStyle w:val="Body"/>
              <w:spacing w:after="0"/>
              <w:ind w:right="720"/>
              <w:rPr>
                <w:rFonts w:ascii="Arial" w:hAnsi="Arial" w:cs="Arial"/>
              </w:rPr>
            </w:pPr>
            <w:r w:rsidRPr="00364E9A">
              <w:rPr>
                <w:rFonts w:ascii="Arial" w:hAnsi="Arial" w:cs="Arial"/>
              </w:rPr>
              <w:t>1.01(0.99-1.03)</w:t>
            </w:r>
          </w:p>
        </w:tc>
        <w:tc>
          <w:tcPr>
            <w:tcW w:w="1373" w:type="dxa"/>
            <w:noWrap/>
            <w:vAlign w:val="bottom"/>
            <w:hideMark/>
          </w:tcPr>
          <w:p w14:paraId="7692C681" w14:textId="77777777" w:rsidR="00364E9A" w:rsidRPr="00364E9A" w:rsidRDefault="00364E9A" w:rsidP="00577D89">
            <w:pPr>
              <w:pStyle w:val="Body"/>
              <w:spacing w:after="0"/>
              <w:ind w:right="720"/>
              <w:rPr>
                <w:rFonts w:ascii="Arial" w:hAnsi="Arial" w:cs="Arial"/>
              </w:rPr>
            </w:pPr>
            <w:r w:rsidRPr="00364E9A">
              <w:rPr>
                <w:rFonts w:ascii="Arial" w:hAnsi="Arial" w:cs="Arial"/>
              </w:rPr>
              <w:t>0.259</w:t>
            </w:r>
          </w:p>
        </w:tc>
        <w:tc>
          <w:tcPr>
            <w:tcW w:w="1850" w:type="dxa"/>
            <w:noWrap/>
            <w:vAlign w:val="bottom"/>
            <w:hideMark/>
          </w:tcPr>
          <w:p w14:paraId="77D637AC" w14:textId="77777777" w:rsidR="00364E9A" w:rsidRPr="00364E9A" w:rsidRDefault="00364E9A" w:rsidP="00577D89">
            <w:pPr>
              <w:pStyle w:val="Body"/>
              <w:spacing w:after="0"/>
              <w:ind w:right="720"/>
              <w:rPr>
                <w:rFonts w:ascii="Arial" w:hAnsi="Arial" w:cs="Arial"/>
              </w:rPr>
            </w:pPr>
            <w:r w:rsidRPr="00364E9A">
              <w:rPr>
                <w:rFonts w:ascii="Arial" w:hAnsi="Arial" w:cs="Arial"/>
              </w:rPr>
              <w:t>1.002(0.99-1.02)</w:t>
            </w:r>
          </w:p>
        </w:tc>
        <w:tc>
          <w:tcPr>
            <w:tcW w:w="1373" w:type="dxa"/>
            <w:noWrap/>
            <w:vAlign w:val="bottom"/>
            <w:hideMark/>
          </w:tcPr>
          <w:p w14:paraId="7022C894" w14:textId="77777777" w:rsidR="00364E9A" w:rsidRPr="00364E9A" w:rsidRDefault="00364E9A" w:rsidP="00577D89">
            <w:pPr>
              <w:pStyle w:val="Body"/>
              <w:spacing w:after="0"/>
              <w:ind w:right="720"/>
              <w:rPr>
                <w:rFonts w:ascii="Arial" w:hAnsi="Arial" w:cs="Arial"/>
              </w:rPr>
            </w:pPr>
            <w:r w:rsidRPr="00364E9A">
              <w:rPr>
                <w:rFonts w:ascii="Arial" w:hAnsi="Arial" w:cs="Arial"/>
              </w:rPr>
              <w:t>0.784</w:t>
            </w:r>
          </w:p>
        </w:tc>
      </w:tr>
      <w:tr w:rsidR="00577D89" w:rsidRPr="00364E9A" w14:paraId="45EE9FF4" w14:textId="77777777" w:rsidTr="00CD63BE">
        <w:trPr>
          <w:trHeight w:val="221"/>
          <w:jc w:val="center"/>
        </w:trPr>
        <w:tc>
          <w:tcPr>
            <w:tcW w:w="2140" w:type="dxa"/>
            <w:noWrap/>
            <w:vAlign w:val="bottom"/>
            <w:hideMark/>
          </w:tcPr>
          <w:p w14:paraId="1DBE7DF3"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 xml:space="preserve">Duration of Diabetes </w:t>
            </w:r>
            <w:r w:rsidRPr="00364E9A">
              <w:rPr>
                <w:rFonts w:ascii="Arial" w:hAnsi="Arial" w:cs="Arial"/>
                <w:b/>
                <w:bCs/>
              </w:rPr>
              <w:lastRenderedPageBreak/>
              <w:t>mellitus (In years)</w:t>
            </w:r>
          </w:p>
        </w:tc>
        <w:tc>
          <w:tcPr>
            <w:tcW w:w="1850" w:type="dxa"/>
            <w:noWrap/>
            <w:vAlign w:val="bottom"/>
            <w:hideMark/>
          </w:tcPr>
          <w:p w14:paraId="2FF2A075" w14:textId="77777777" w:rsidR="00364E9A" w:rsidRPr="00364E9A" w:rsidRDefault="00364E9A" w:rsidP="00577D89">
            <w:pPr>
              <w:pStyle w:val="Body"/>
              <w:spacing w:after="0"/>
              <w:ind w:right="720"/>
              <w:rPr>
                <w:rFonts w:ascii="Arial" w:hAnsi="Arial" w:cs="Arial"/>
              </w:rPr>
            </w:pPr>
            <w:r w:rsidRPr="00364E9A">
              <w:rPr>
                <w:rFonts w:ascii="Arial" w:hAnsi="Arial" w:cs="Arial"/>
              </w:rPr>
              <w:lastRenderedPageBreak/>
              <w:t>1.04(0.99-1.08)</w:t>
            </w:r>
          </w:p>
        </w:tc>
        <w:tc>
          <w:tcPr>
            <w:tcW w:w="1373" w:type="dxa"/>
            <w:noWrap/>
            <w:vAlign w:val="bottom"/>
            <w:hideMark/>
          </w:tcPr>
          <w:p w14:paraId="0A026AEE" w14:textId="77777777" w:rsidR="00364E9A" w:rsidRPr="00364E9A" w:rsidRDefault="00364E9A" w:rsidP="00577D89">
            <w:pPr>
              <w:pStyle w:val="Body"/>
              <w:spacing w:after="0"/>
              <w:ind w:right="720"/>
              <w:rPr>
                <w:rFonts w:ascii="Arial" w:hAnsi="Arial" w:cs="Arial"/>
              </w:rPr>
            </w:pPr>
            <w:r w:rsidRPr="00364E9A">
              <w:rPr>
                <w:rFonts w:ascii="Arial" w:hAnsi="Arial" w:cs="Arial"/>
              </w:rPr>
              <w:t>0.056</w:t>
            </w:r>
          </w:p>
        </w:tc>
        <w:tc>
          <w:tcPr>
            <w:tcW w:w="1850" w:type="dxa"/>
            <w:noWrap/>
            <w:vAlign w:val="bottom"/>
          </w:tcPr>
          <w:p w14:paraId="19CCF40F" w14:textId="77777777" w:rsidR="00364E9A" w:rsidRPr="00364E9A" w:rsidRDefault="00364E9A" w:rsidP="00577D89">
            <w:pPr>
              <w:pStyle w:val="Body"/>
              <w:spacing w:after="0"/>
              <w:ind w:right="720"/>
              <w:rPr>
                <w:rFonts w:ascii="Arial" w:hAnsi="Arial" w:cs="Arial"/>
              </w:rPr>
            </w:pPr>
          </w:p>
        </w:tc>
        <w:tc>
          <w:tcPr>
            <w:tcW w:w="1373" w:type="dxa"/>
            <w:noWrap/>
            <w:vAlign w:val="bottom"/>
          </w:tcPr>
          <w:p w14:paraId="66BB9922" w14:textId="77777777" w:rsidR="00364E9A" w:rsidRPr="00364E9A" w:rsidRDefault="00364E9A" w:rsidP="00577D89">
            <w:pPr>
              <w:pStyle w:val="Body"/>
              <w:spacing w:after="0"/>
              <w:ind w:right="720"/>
              <w:rPr>
                <w:rFonts w:ascii="Arial" w:hAnsi="Arial" w:cs="Arial"/>
              </w:rPr>
            </w:pPr>
          </w:p>
        </w:tc>
      </w:tr>
      <w:tr w:rsidR="00577D89" w:rsidRPr="00364E9A" w14:paraId="5BCE4DD4" w14:textId="77777777" w:rsidTr="00CD63BE">
        <w:trPr>
          <w:trHeight w:val="221"/>
          <w:jc w:val="center"/>
        </w:trPr>
        <w:tc>
          <w:tcPr>
            <w:tcW w:w="2140" w:type="dxa"/>
            <w:noWrap/>
            <w:vAlign w:val="bottom"/>
            <w:hideMark/>
          </w:tcPr>
          <w:p w14:paraId="6E7B39B1"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History of PRP</w:t>
            </w:r>
          </w:p>
        </w:tc>
        <w:tc>
          <w:tcPr>
            <w:tcW w:w="1850" w:type="dxa"/>
            <w:noWrap/>
            <w:vAlign w:val="bottom"/>
            <w:hideMark/>
          </w:tcPr>
          <w:p w14:paraId="08612447" w14:textId="77777777" w:rsidR="00364E9A" w:rsidRPr="00364E9A" w:rsidRDefault="00364E9A" w:rsidP="00577D89">
            <w:pPr>
              <w:pStyle w:val="Body"/>
              <w:spacing w:after="0"/>
              <w:ind w:right="720"/>
              <w:rPr>
                <w:rFonts w:ascii="Arial" w:hAnsi="Arial" w:cs="Arial"/>
              </w:rPr>
            </w:pPr>
          </w:p>
        </w:tc>
        <w:tc>
          <w:tcPr>
            <w:tcW w:w="1373" w:type="dxa"/>
            <w:noWrap/>
            <w:vAlign w:val="bottom"/>
            <w:hideMark/>
          </w:tcPr>
          <w:p w14:paraId="11B97DB4" w14:textId="77777777" w:rsidR="00364E9A" w:rsidRPr="00364E9A" w:rsidRDefault="00364E9A" w:rsidP="00577D89">
            <w:pPr>
              <w:pStyle w:val="Body"/>
              <w:spacing w:after="0"/>
              <w:ind w:right="720"/>
              <w:rPr>
                <w:rFonts w:ascii="Arial" w:hAnsi="Arial" w:cs="Arial"/>
              </w:rPr>
            </w:pPr>
          </w:p>
        </w:tc>
        <w:tc>
          <w:tcPr>
            <w:tcW w:w="1850" w:type="dxa"/>
            <w:noWrap/>
            <w:vAlign w:val="bottom"/>
            <w:hideMark/>
          </w:tcPr>
          <w:p w14:paraId="141827ED" w14:textId="77777777" w:rsidR="00364E9A" w:rsidRPr="00364E9A" w:rsidRDefault="00364E9A" w:rsidP="00577D89">
            <w:pPr>
              <w:pStyle w:val="Body"/>
              <w:spacing w:after="0"/>
              <w:ind w:right="720"/>
              <w:rPr>
                <w:rFonts w:ascii="Arial" w:hAnsi="Arial" w:cs="Arial"/>
              </w:rPr>
            </w:pPr>
          </w:p>
        </w:tc>
        <w:tc>
          <w:tcPr>
            <w:tcW w:w="1373" w:type="dxa"/>
            <w:noWrap/>
            <w:vAlign w:val="bottom"/>
            <w:hideMark/>
          </w:tcPr>
          <w:p w14:paraId="7DC07826" w14:textId="77777777" w:rsidR="00364E9A" w:rsidRPr="00364E9A" w:rsidRDefault="00364E9A" w:rsidP="00577D89">
            <w:pPr>
              <w:pStyle w:val="Body"/>
              <w:spacing w:after="0"/>
              <w:ind w:right="720"/>
              <w:rPr>
                <w:rFonts w:ascii="Arial" w:hAnsi="Arial" w:cs="Arial"/>
              </w:rPr>
            </w:pPr>
          </w:p>
        </w:tc>
      </w:tr>
      <w:tr w:rsidR="00577D89" w:rsidRPr="00364E9A" w14:paraId="4E591A05" w14:textId="77777777" w:rsidTr="00CD63BE">
        <w:trPr>
          <w:trHeight w:val="221"/>
          <w:jc w:val="center"/>
        </w:trPr>
        <w:tc>
          <w:tcPr>
            <w:tcW w:w="2140" w:type="dxa"/>
            <w:noWrap/>
            <w:vAlign w:val="bottom"/>
            <w:hideMark/>
          </w:tcPr>
          <w:p w14:paraId="148C99F5" w14:textId="77777777" w:rsidR="00364E9A" w:rsidRPr="00364E9A" w:rsidRDefault="00364E9A" w:rsidP="00577D89">
            <w:pPr>
              <w:pStyle w:val="Body"/>
              <w:spacing w:after="0"/>
              <w:ind w:right="720"/>
              <w:rPr>
                <w:rFonts w:ascii="Arial" w:hAnsi="Arial" w:cs="Arial"/>
              </w:rPr>
            </w:pPr>
            <w:r w:rsidRPr="00364E9A">
              <w:rPr>
                <w:rFonts w:ascii="Arial" w:hAnsi="Arial" w:cs="Arial"/>
              </w:rPr>
              <w:t>Yes</w:t>
            </w:r>
          </w:p>
        </w:tc>
        <w:tc>
          <w:tcPr>
            <w:tcW w:w="1850" w:type="dxa"/>
            <w:noWrap/>
            <w:vAlign w:val="bottom"/>
            <w:hideMark/>
          </w:tcPr>
          <w:p w14:paraId="70FAFA9B" w14:textId="77777777" w:rsidR="00364E9A" w:rsidRPr="00364E9A" w:rsidRDefault="00364E9A" w:rsidP="00577D89">
            <w:pPr>
              <w:pStyle w:val="Body"/>
              <w:spacing w:after="0"/>
              <w:ind w:right="720"/>
              <w:rPr>
                <w:rFonts w:ascii="Arial" w:hAnsi="Arial" w:cs="Arial"/>
              </w:rPr>
            </w:pPr>
            <w:r w:rsidRPr="00364E9A">
              <w:rPr>
                <w:rFonts w:ascii="Arial" w:hAnsi="Arial" w:cs="Arial"/>
              </w:rPr>
              <w:t>0.76(0.48-1.97)</w:t>
            </w:r>
          </w:p>
        </w:tc>
        <w:tc>
          <w:tcPr>
            <w:tcW w:w="1373" w:type="dxa"/>
            <w:noWrap/>
            <w:vAlign w:val="bottom"/>
          </w:tcPr>
          <w:p w14:paraId="676D0BC2" w14:textId="77777777" w:rsidR="00364E9A" w:rsidRPr="00364E9A" w:rsidRDefault="00364E9A" w:rsidP="00577D89">
            <w:pPr>
              <w:pStyle w:val="Body"/>
              <w:spacing w:after="0"/>
              <w:ind w:right="720"/>
              <w:rPr>
                <w:rFonts w:ascii="Arial" w:hAnsi="Arial" w:cs="Arial"/>
              </w:rPr>
            </w:pPr>
            <w:r w:rsidRPr="00364E9A">
              <w:rPr>
                <w:rFonts w:ascii="Arial" w:hAnsi="Arial" w:cs="Arial"/>
              </w:rPr>
              <w:t>0.233</w:t>
            </w:r>
          </w:p>
        </w:tc>
        <w:tc>
          <w:tcPr>
            <w:tcW w:w="1850" w:type="dxa"/>
            <w:noWrap/>
            <w:vAlign w:val="bottom"/>
          </w:tcPr>
          <w:p w14:paraId="5D6910A1" w14:textId="77777777" w:rsidR="00364E9A" w:rsidRPr="00364E9A" w:rsidRDefault="00364E9A" w:rsidP="00577D89">
            <w:pPr>
              <w:pStyle w:val="Body"/>
              <w:spacing w:after="0"/>
              <w:ind w:right="720"/>
              <w:rPr>
                <w:rFonts w:ascii="Arial" w:hAnsi="Arial" w:cs="Arial"/>
              </w:rPr>
            </w:pPr>
          </w:p>
        </w:tc>
        <w:tc>
          <w:tcPr>
            <w:tcW w:w="1373" w:type="dxa"/>
            <w:noWrap/>
            <w:vAlign w:val="bottom"/>
            <w:hideMark/>
          </w:tcPr>
          <w:p w14:paraId="22AFD3B2" w14:textId="77777777" w:rsidR="00364E9A" w:rsidRPr="00364E9A" w:rsidRDefault="00364E9A" w:rsidP="00577D89">
            <w:pPr>
              <w:pStyle w:val="Body"/>
              <w:spacing w:after="0"/>
              <w:ind w:right="720"/>
              <w:rPr>
                <w:rFonts w:ascii="Arial" w:hAnsi="Arial" w:cs="Arial"/>
              </w:rPr>
            </w:pPr>
          </w:p>
        </w:tc>
      </w:tr>
      <w:tr w:rsidR="00577D89" w:rsidRPr="00364E9A" w14:paraId="367321AF" w14:textId="77777777" w:rsidTr="00CD63BE">
        <w:trPr>
          <w:trHeight w:val="221"/>
          <w:jc w:val="center"/>
        </w:trPr>
        <w:tc>
          <w:tcPr>
            <w:tcW w:w="2140" w:type="dxa"/>
            <w:noWrap/>
            <w:vAlign w:val="bottom"/>
            <w:hideMark/>
          </w:tcPr>
          <w:p w14:paraId="4B482129" w14:textId="77777777" w:rsidR="00364E9A" w:rsidRPr="00364E9A" w:rsidRDefault="00364E9A" w:rsidP="00577D89">
            <w:pPr>
              <w:pStyle w:val="Body"/>
              <w:spacing w:after="0"/>
              <w:ind w:right="720"/>
              <w:rPr>
                <w:rFonts w:ascii="Arial" w:hAnsi="Arial" w:cs="Arial"/>
              </w:rPr>
            </w:pPr>
            <w:r w:rsidRPr="00364E9A">
              <w:rPr>
                <w:rFonts w:ascii="Arial" w:hAnsi="Arial" w:cs="Arial"/>
              </w:rPr>
              <w:t>No</w:t>
            </w:r>
          </w:p>
        </w:tc>
        <w:tc>
          <w:tcPr>
            <w:tcW w:w="1850" w:type="dxa"/>
            <w:noWrap/>
            <w:vAlign w:val="bottom"/>
            <w:hideMark/>
          </w:tcPr>
          <w:p w14:paraId="292CF897" w14:textId="77777777" w:rsidR="00364E9A" w:rsidRPr="00364E9A" w:rsidRDefault="00364E9A" w:rsidP="00577D89">
            <w:pPr>
              <w:pStyle w:val="Body"/>
              <w:spacing w:after="0"/>
              <w:ind w:right="720"/>
              <w:rPr>
                <w:rFonts w:ascii="Arial" w:hAnsi="Arial" w:cs="Arial"/>
              </w:rPr>
            </w:pPr>
            <w:r w:rsidRPr="00364E9A">
              <w:rPr>
                <w:rFonts w:ascii="Arial" w:hAnsi="Arial" w:cs="Arial"/>
              </w:rPr>
              <w:t xml:space="preserve">Ref </w:t>
            </w:r>
          </w:p>
        </w:tc>
        <w:tc>
          <w:tcPr>
            <w:tcW w:w="1373" w:type="dxa"/>
            <w:noWrap/>
            <w:vAlign w:val="bottom"/>
            <w:hideMark/>
          </w:tcPr>
          <w:p w14:paraId="3D497267" w14:textId="77777777" w:rsidR="00364E9A" w:rsidRPr="00364E9A" w:rsidRDefault="00364E9A" w:rsidP="00577D89">
            <w:pPr>
              <w:pStyle w:val="Body"/>
              <w:spacing w:after="0"/>
              <w:ind w:right="720"/>
              <w:rPr>
                <w:rFonts w:ascii="Arial" w:hAnsi="Arial" w:cs="Arial"/>
              </w:rPr>
            </w:pPr>
          </w:p>
        </w:tc>
        <w:tc>
          <w:tcPr>
            <w:tcW w:w="1850" w:type="dxa"/>
            <w:noWrap/>
            <w:vAlign w:val="bottom"/>
            <w:hideMark/>
          </w:tcPr>
          <w:p w14:paraId="45B6A013" w14:textId="77777777" w:rsidR="00364E9A" w:rsidRPr="00364E9A" w:rsidRDefault="00364E9A" w:rsidP="00577D89">
            <w:pPr>
              <w:pStyle w:val="Body"/>
              <w:spacing w:after="0"/>
              <w:ind w:right="720"/>
              <w:rPr>
                <w:rFonts w:ascii="Arial" w:hAnsi="Arial" w:cs="Arial"/>
              </w:rPr>
            </w:pPr>
          </w:p>
        </w:tc>
        <w:tc>
          <w:tcPr>
            <w:tcW w:w="1373" w:type="dxa"/>
            <w:noWrap/>
            <w:vAlign w:val="bottom"/>
            <w:hideMark/>
          </w:tcPr>
          <w:p w14:paraId="0A27DDC2" w14:textId="77777777" w:rsidR="00364E9A" w:rsidRPr="00364E9A" w:rsidRDefault="00364E9A" w:rsidP="00577D89">
            <w:pPr>
              <w:pStyle w:val="Body"/>
              <w:spacing w:after="0"/>
              <w:ind w:right="720"/>
              <w:rPr>
                <w:rFonts w:ascii="Arial" w:hAnsi="Arial" w:cs="Arial"/>
              </w:rPr>
            </w:pPr>
          </w:p>
        </w:tc>
      </w:tr>
      <w:tr w:rsidR="00577D89" w:rsidRPr="00364E9A" w14:paraId="6389B4E4" w14:textId="77777777" w:rsidTr="00CD63BE">
        <w:trPr>
          <w:trHeight w:val="221"/>
          <w:jc w:val="center"/>
        </w:trPr>
        <w:tc>
          <w:tcPr>
            <w:tcW w:w="2140" w:type="dxa"/>
            <w:noWrap/>
            <w:vAlign w:val="bottom"/>
            <w:hideMark/>
          </w:tcPr>
          <w:p w14:paraId="79E017FA"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History of Intra-</w:t>
            </w:r>
            <w:proofErr w:type="spellStart"/>
            <w:r w:rsidRPr="00364E9A">
              <w:rPr>
                <w:rFonts w:ascii="Arial" w:hAnsi="Arial" w:cs="Arial"/>
                <w:b/>
                <w:bCs/>
              </w:rPr>
              <w:t>vitreal</w:t>
            </w:r>
            <w:proofErr w:type="spellEnd"/>
            <w:r w:rsidRPr="00364E9A">
              <w:rPr>
                <w:rFonts w:ascii="Arial" w:hAnsi="Arial" w:cs="Arial"/>
                <w:b/>
                <w:bCs/>
              </w:rPr>
              <w:t xml:space="preserve"> Bevacizumab injection</w:t>
            </w:r>
          </w:p>
        </w:tc>
        <w:tc>
          <w:tcPr>
            <w:tcW w:w="1850" w:type="dxa"/>
            <w:noWrap/>
            <w:vAlign w:val="bottom"/>
            <w:hideMark/>
          </w:tcPr>
          <w:p w14:paraId="2504D71F" w14:textId="77777777" w:rsidR="00364E9A" w:rsidRPr="00364E9A" w:rsidRDefault="00364E9A" w:rsidP="00577D89">
            <w:pPr>
              <w:pStyle w:val="Body"/>
              <w:spacing w:after="0"/>
              <w:ind w:right="720"/>
              <w:rPr>
                <w:rFonts w:ascii="Arial" w:hAnsi="Arial" w:cs="Arial"/>
              </w:rPr>
            </w:pPr>
          </w:p>
        </w:tc>
        <w:tc>
          <w:tcPr>
            <w:tcW w:w="1373" w:type="dxa"/>
            <w:noWrap/>
            <w:vAlign w:val="bottom"/>
            <w:hideMark/>
          </w:tcPr>
          <w:p w14:paraId="45BD7922" w14:textId="77777777" w:rsidR="00364E9A" w:rsidRPr="00364E9A" w:rsidRDefault="00364E9A" w:rsidP="00577D89">
            <w:pPr>
              <w:pStyle w:val="Body"/>
              <w:spacing w:after="0"/>
              <w:ind w:right="720"/>
              <w:rPr>
                <w:rFonts w:ascii="Arial" w:hAnsi="Arial" w:cs="Arial"/>
              </w:rPr>
            </w:pPr>
          </w:p>
        </w:tc>
        <w:tc>
          <w:tcPr>
            <w:tcW w:w="1850" w:type="dxa"/>
            <w:noWrap/>
            <w:vAlign w:val="bottom"/>
            <w:hideMark/>
          </w:tcPr>
          <w:p w14:paraId="10DCE206" w14:textId="77777777" w:rsidR="00364E9A" w:rsidRPr="00364E9A" w:rsidRDefault="00364E9A" w:rsidP="00577D89">
            <w:pPr>
              <w:pStyle w:val="Body"/>
              <w:spacing w:after="0"/>
              <w:ind w:right="720"/>
              <w:rPr>
                <w:rFonts w:ascii="Arial" w:hAnsi="Arial" w:cs="Arial"/>
              </w:rPr>
            </w:pPr>
          </w:p>
        </w:tc>
        <w:tc>
          <w:tcPr>
            <w:tcW w:w="1373" w:type="dxa"/>
            <w:noWrap/>
            <w:vAlign w:val="bottom"/>
            <w:hideMark/>
          </w:tcPr>
          <w:p w14:paraId="04D7BD66" w14:textId="77777777" w:rsidR="00364E9A" w:rsidRPr="00364E9A" w:rsidRDefault="00364E9A" w:rsidP="00577D89">
            <w:pPr>
              <w:pStyle w:val="Body"/>
              <w:spacing w:after="0"/>
              <w:ind w:right="720"/>
              <w:rPr>
                <w:rFonts w:ascii="Arial" w:hAnsi="Arial" w:cs="Arial"/>
              </w:rPr>
            </w:pPr>
          </w:p>
        </w:tc>
      </w:tr>
      <w:tr w:rsidR="00577D89" w:rsidRPr="00364E9A" w14:paraId="2A089231" w14:textId="77777777" w:rsidTr="00CD63BE">
        <w:trPr>
          <w:trHeight w:val="221"/>
          <w:jc w:val="center"/>
        </w:trPr>
        <w:tc>
          <w:tcPr>
            <w:tcW w:w="2140" w:type="dxa"/>
            <w:noWrap/>
            <w:vAlign w:val="bottom"/>
            <w:hideMark/>
          </w:tcPr>
          <w:p w14:paraId="34ED6991" w14:textId="77777777" w:rsidR="00364E9A" w:rsidRPr="00364E9A" w:rsidRDefault="00364E9A" w:rsidP="00577D89">
            <w:pPr>
              <w:pStyle w:val="Body"/>
              <w:spacing w:after="0"/>
              <w:ind w:right="720"/>
              <w:rPr>
                <w:rFonts w:ascii="Arial" w:hAnsi="Arial" w:cs="Arial"/>
              </w:rPr>
            </w:pPr>
            <w:r w:rsidRPr="00364E9A">
              <w:rPr>
                <w:rFonts w:ascii="Arial" w:hAnsi="Arial" w:cs="Arial"/>
              </w:rPr>
              <w:t>Yes</w:t>
            </w:r>
          </w:p>
        </w:tc>
        <w:tc>
          <w:tcPr>
            <w:tcW w:w="1850" w:type="dxa"/>
            <w:noWrap/>
            <w:vAlign w:val="bottom"/>
            <w:hideMark/>
          </w:tcPr>
          <w:p w14:paraId="12F7B83E" w14:textId="77777777" w:rsidR="00364E9A" w:rsidRPr="00364E9A" w:rsidRDefault="00364E9A" w:rsidP="00577D89">
            <w:pPr>
              <w:pStyle w:val="Body"/>
              <w:spacing w:after="0"/>
              <w:ind w:right="720"/>
              <w:rPr>
                <w:rFonts w:ascii="Arial" w:hAnsi="Arial" w:cs="Arial"/>
              </w:rPr>
            </w:pPr>
            <w:r w:rsidRPr="00364E9A">
              <w:rPr>
                <w:rFonts w:ascii="Arial" w:hAnsi="Arial" w:cs="Arial"/>
              </w:rPr>
              <w:t>0.78(0.51-1.19)</w:t>
            </w:r>
          </w:p>
        </w:tc>
        <w:tc>
          <w:tcPr>
            <w:tcW w:w="1373" w:type="dxa"/>
            <w:noWrap/>
            <w:vAlign w:val="bottom"/>
            <w:hideMark/>
          </w:tcPr>
          <w:p w14:paraId="4463F0D3" w14:textId="77777777" w:rsidR="00364E9A" w:rsidRPr="00364E9A" w:rsidRDefault="00364E9A" w:rsidP="00577D89">
            <w:pPr>
              <w:pStyle w:val="Body"/>
              <w:spacing w:after="0"/>
              <w:ind w:right="720"/>
              <w:rPr>
                <w:rFonts w:ascii="Arial" w:hAnsi="Arial" w:cs="Arial"/>
              </w:rPr>
            </w:pPr>
            <w:r w:rsidRPr="00364E9A">
              <w:rPr>
                <w:rFonts w:ascii="Arial" w:hAnsi="Arial" w:cs="Arial"/>
              </w:rPr>
              <w:t>0.253</w:t>
            </w:r>
          </w:p>
        </w:tc>
        <w:tc>
          <w:tcPr>
            <w:tcW w:w="1850" w:type="dxa"/>
            <w:noWrap/>
            <w:vAlign w:val="bottom"/>
            <w:hideMark/>
          </w:tcPr>
          <w:p w14:paraId="491AA15F" w14:textId="77777777" w:rsidR="00364E9A" w:rsidRPr="00364E9A" w:rsidRDefault="00364E9A" w:rsidP="00577D89">
            <w:pPr>
              <w:pStyle w:val="Body"/>
              <w:spacing w:after="0"/>
              <w:ind w:right="720"/>
              <w:rPr>
                <w:rFonts w:ascii="Arial" w:hAnsi="Arial" w:cs="Arial"/>
              </w:rPr>
            </w:pPr>
          </w:p>
        </w:tc>
        <w:tc>
          <w:tcPr>
            <w:tcW w:w="1373" w:type="dxa"/>
            <w:noWrap/>
            <w:vAlign w:val="bottom"/>
            <w:hideMark/>
          </w:tcPr>
          <w:p w14:paraId="1DADA7BC" w14:textId="77777777" w:rsidR="00364E9A" w:rsidRPr="00364E9A" w:rsidRDefault="00364E9A" w:rsidP="00577D89">
            <w:pPr>
              <w:pStyle w:val="Body"/>
              <w:spacing w:after="0"/>
              <w:ind w:right="720"/>
              <w:rPr>
                <w:rFonts w:ascii="Arial" w:hAnsi="Arial" w:cs="Arial"/>
              </w:rPr>
            </w:pPr>
          </w:p>
        </w:tc>
      </w:tr>
      <w:tr w:rsidR="00577D89" w:rsidRPr="00364E9A" w14:paraId="314DC4E0" w14:textId="77777777" w:rsidTr="00CD63BE">
        <w:trPr>
          <w:trHeight w:val="221"/>
          <w:jc w:val="center"/>
        </w:trPr>
        <w:tc>
          <w:tcPr>
            <w:tcW w:w="2140" w:type="dxa"/>
            <w:noWrap/>
            <w:vAlign w:val="bottom"/>
            <w:hideMark/>
          </w:tcPr>
          <w:p w14:paraId="25DD32CD" w14:textId="77777777" w:rsidR="00364E9A" w:rsidRPr="00364E9A" w:rsidRDefault="00364E9A" w:rsidP="00577D89">
            <w:pPr>
              <w:pStyle w:val="Body"/>
              <w:spacing w:after="0"/>
              <w:ind w:right="720"/>
              <w:rPr>
                <w:rFonts w:ascii="Arial" w:hAnsi="Arial" w:cs="Arial"/>
              </w:rPr>
            </w:pPr>
            <w:r w:rsidRPr="00364E9A">
              <w:rPr>
                <w:rFonts w:ascii="Arial" w:hAnsi="Arial" w:cs="Arial"/>
              </w:rPr>
              <w:t>No</w:t>
            </w:r>
          </w:p>
        </w:tc>
        <w:tc>
          <w:tcPr>
            <w:tcW w:w="1850" w:type="dxa"/>
            <w:noWrap/>
            <w:vAlign w:val="bottom"/>
            <w:hideMark/>
          </w:tcPr>
          <w:p w14:paraId="31F2A383" w14:textId="77777777" w:rsidR="00364E9A" w:rsidRPr="00364E9A" w:rsidRDefault="00364E9A" w:rsidP="00577D89">
            <w:pPr>
              <w:pStyle w:val="Body"/>
              <w:spacing w:after="0"/>
              <w:ind w:right="720"/>
              <w:rPr>
                <w:rFonts w:ascii="Arial" w:hAnsi="Arial" w:cs="Arial"/>
              </w:rPr>
            </w:pPr>
            <w:r w:rsidRPr="00364E9A">
              <w:rPr>
                <w:rFonts w:ascii="Arial" w:hAnsi="Arial" w:cs="Arial"/>
              </w:rPr>
              <w:t>Ref</w:t>
            </w:r>
          </w:p>
        </w:tc>
        <w:tc>
          <w:tcPr>
            <w:tcW w:w="1373" w:type="dxa"/>
            <w:noWrap/>
            <w:vAlign w:val="bottom"/>
            <w:hideMark/>
          </w:tcPr>
          <w:p w14:paraId="4477A58B" w14:textId="77777777" w:rsidR="00364E9A" w:rsidRPr="00364E9A" w:rsidRDefault="00364E9A" w:rsidP="00577D89">
            <w:pPr>
              <w:pStyle w:val="Body"/>
              <w:spacing w:after="0"/>
              <w:ind w:right="720"/>
              <w:rPr>
                <w:rFonts w:ascii="Arial" w:hAnsi="Arial" w:cs="Arial"/>
              </w:rPr>
            </w:pPr>
          </w:p>
        </w:tc>
        <w:tc>
          <w:tcPr>
            <w:tcW w:w="1850" w:type="dxa"/>
            <w:noWrap/>
            <w:vAlign w:val="bottom"/>
            <w:hideMark/>
          </w:tcPr>
          <w:p w14:paraId="3D168DE1" w14:textId="77777777" w:rsidR="00364E9A" w:rsidRPr="00364E9A" w:rsidRDefault="00364E9A" w:rsidP="00577D89">
            <w:pPr>
              <w:pStyle w:val="Body"/>
              <w:spacing w:after="0"/>
              <w:ind w:right="720"/>
              <w:rPr>
                <w:rFonts w:ascii="Arial" w:hAnsi="Arial" w:cs="Arial"/>
              </w:rPr>
            </w:pPr>
          </w:p>
        </w:tc>
        <w:tc>
          <w:tcPr>
            <w:tcW w:w="1373" w:type="dxa"/>
            <w:noWrap/>
            <w:vAlign w:val="bottom"/>
            <w:hideMark/>
          </w:tcPr>
          <w:p w14:paraId="254DB60D" w14:textId="77777777" w:rsidR="00364E9A" w:rsidRPr="00364E9A" w:rsidRDefault="00364E9A" w:rsidP="00577D89">
            <w:pPr>
              <w:pStyle w:val="Body"/>
              <w:spacing w:after="0"/>
              <w:ind w:right="720"/>
              <w:rPr>
                <w:rFonts w:ascii="Arial" w:hAnsi="Arial" w:cs="Arial"/>
              </w:rPr>
            </w:pPr>
          </w:p>
        </w:tc>
      </w:tr>
      <w:tr w:rsidR="00577D89" w:rsidRPr="00364E9A" w14:paraId="120E629F" w14:textId="77777777" w:rsidTr="00CD63BE">
        <w:trPr>
          <w:trHeight w:val="266"/>
          <w:jc w:val="center"/>
        </w:trPr>
        <w:tc>
          <w:tcPr>
            <w:tcW w:w="2140" w:type="dxa"/>
            <w:noWrap/>
            <w:vAlign w:val="bottom"/>
            <w:hideMark/>
          </w:tcPr>
          <w:p w14:paraId="0F86890A"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Hypertension</w:t>
            </w:r>
          </w:p>
        </w:tc>
        <w:tc>
          <w:tcPr>
            <w:tcW w:w="1850" w:type="dxa"/>
            <w:noWrap/>
            <w:vAlign w:val="bottom"/>
            <w:hideMark/>
          </w:tcPr>
          <w:p w14:paraId="3743F8EF" w14:textId="77777777" w:rsidR="00364E9A" w:rsidRPr="00364E9A" w:rsidRDefault="00364E9A" w:rsidP="00577D89">
            <w:pPr>
              <w:pStyle w:val="Body"/>
              <w:spacing w:after="0"/>
              <w:ind w:right="720"/>
              <w:rPr>
                <w:rFonts w:ascii="Arial" w:hAnsi="Arial" w:cs="Arial"/>
              </w:rPr>
            </w:pPr>
          </w:p>
        </w:tc>
        <w:tc>
          <w:tcPr>
            <w:tcW w:w="1373" w:type="dxa"/>
            <w:noWrap/>
            <w:vAlign w:val="bottom"/>
            <w:hideMark/>
          </w:tcPr>
          <w:p w14:paraId="45B1BA6C" w14:textId="77777777" w:rsidR="00364E9A" w:rsidRPr="00364E9A" w:rsidRDefault="00364E9A" w:rsidP="00577D89">
            <w:pPr>
              <w:pStyle w:val="Body"/>
              <w:spacing w:after="0"/>
              <w:ind w:right="720"/>
              <w:rPr>
                <w:rFonts w:ascii="Arial" w:hAnsi="Arial" w:cs="Arial"/>
              </w:rPr>
            </w:pPr>
          </w:p>
        </w:tc>
        <w:tc>
          <w:tcPr>
            <w:tcW w:w="1850" w:type="dxa"/>
            <w:noWrap/>
            <w:vAlign w:val="bottom"/>
            <w:hideMark/>
          </w:tcPr>
          <w:p w14:paraId="4E4993A8" w14:textId="77777777" w:rsidR="00364E9A" w:rsidRPr="00364E9A" w:rsidRDefault="00364E9A" w:rsidP="00577D89">
            <w:pPr>
              <w:pStyle w:val="Body"/>
              <w:spacing w:after="0"/>
              <w:ind w:right="720"/>
              <w:rPr>
                <w:rFonts w:ascii="Arial" w:hAnsi="Arial" w:cs="Arial"/>
              </w:rPr>
            </w:pPr>
          </w:p>
        </w:tc>
        <w:tc>
          <w:tcPr>
            <w:tcW w:w="1373" w:type="dxa"/>
            <w:noWrap/>
            <w:vAlign w:val="bottom"/>
            <w:hideMark/>
          </w:tcPr>
          <w:p w14:paraId="77B26660" w14:textId="77777777" w:rsidR="00364E9A" w:rsidRPr="00364E9A" w:rsidRDefault="00364E9A" w:rsidP="00577D89">
            <w:pPr>
              <w:pStyle w:val="Body"/>
              <w:spacing w:after="0"/>
              <w:ind w:right="720"/>
              <w:rPr>
                <w:rFonts w:ascii="Arial" w:hAnsi="Arial" w:cs="Arial"/>
              </w:rPr>
            </w:pPr>
          </w:p>
        </w:tc>
      </w:tr>
      <w:tr w:rsidR="00577D89" w:rsidRPr="00364E9A" w14:paraId="20A7FB34" w14:textId="77777777" w:rsidTr="00CD63BE">
        <w:trPr>
          <w:trHeight w:val="221"/>
          <w:jc w:val="center"/>
        </w:trPr>
        <w:tc>
          <w:tcPr>
            <w:tcW w:w="2140" w:type="dxa"/>
            <w:noWrap/>
            <w:vAlign w:val="bottom"/>
            <w:hideMark/>
          </w:tcPr>
          <w:p w14:paraId="4CEA170C" w14:textId="77777777" w:rsidR="00364E9A" w:rsidRPr="00364E9A" w:rsidRDefault="00364E9A" w:rsidP="00577D89">
            <w:pPr>
              <w:pStyle w:val="Body"/>
              <w:spacing w:after="0"/>
              <w:ind w:right="720"/>
              <w:rPr>
                <w:rFonts w:ascii="Arial" w:hAnsi="Arial" w:cs="Arial"/>
              </w:rPr>
            </w:pPr>
            <w:r w:rsidRPr="00364E9A">
              <w:rPr>
                <w:rFonts w:ascii="Arial" w:hAnsi="Arial" w:cs="Arial"/>
              </w:rPr>
              <w:t>Yes</w:t>
            </w:r>
          </w:p>
        </w:tc>
        <w:tc>
          <w:tcPr>
            <w:tcW w:w="1850" w:type="dxa"/>
            <w:noWrap/>
            <w:vAlign w:val="bottom"/>
            <w:hideMark/>
          </w:tcPr>
          <w:p w14:paraId="4B83046C" w14:textId="77777777" w:rsidR="00364E9A" w:rsidRPr="00364E9A" w:rsidRDefault="00364E9A" w:rsidP="00577D89">
            <w:pPr>
              <w:pStyle w:val="Body"/>
              <w:spacing w:after="0"/>
              <w:ind w:right="720"/>
              <w:rPr>
                <w:rFonts w:ascii="Arial" w:hAnsi="Arial" w:cs="Arial"/>
              </w:rPr>
            </w:pPr>
            <w:r w:rsidRPr="00364E9A">
              <w:rPr>
                <w:rFonts w:ascii="Arial" w:hAnsi="Arial" w:cs="Arial"/>
              </w:rPr>
              <w:t>1.64(1.08-2.50)</w:t>
            </w:r>
          </w:p>
        </w:tc>
        <w:tc>
          <w:tcPr>
            <w:tcW w:w="1373" w:type="dxa"/>
            <w:noWrap/>
            <w:vAlign w:val="bottom"/>
            <w:hideMark/>
          </w:tcPr>
          <w:p w14:paraId="7C4D6DA3" w14:textId="77777777" w:rsidR="00364E9A" w:rsidRPr="00364E9A" w:rsidRDefault="00364E9A" w:rsidP="00577D89">
            <w:pPr>
              <w:pStyle w:val="Body"/>
              <w:spacing w:after="0"/>
              <w:ind w:right="720"/>
              <w:rPr>
                <w:rFonts w:ascii="Arial" w:hAnsi="Arial" w:cs="Arial"/>
              </w:rPr>
            </w:pPr>
            <w:r w:rsidRPr="00364E9A">
              <w:rPr>
                <w:rFonts w:ascii="Arial" w:hAnsi="Arial" w:cs="Arial"/>
              </w:rPr>
              <w:t>0.019</w:t>
            </w:r>
          </w:p>
        </w:tc>
        <w:tc>
          <w:tcPr>
            <w:tcW w:w="1850" w:type="dxa"/>
            <w:noWrap/>
            <w:vAlign w:val="bottom"/>
            <w:hideMark/>
          </w:tcPr>
          <w:p w14:paraId="4173EE37" w14:textId="77777777" w:rsidR="00364E9A" w:rsidRPr="00364E9A" w:rsidRDefault="00364E9A" w:rsidP="00577D89">
            <w:pPr>
              <w:pStyle w:val="Body"/>
              <w:spacing w:after="0"/>
              <w:ind w:right="720"/>
              <w:rPr>
                <w:rFonts w:ascii="Arial" w:hAnsi="Arial" w:cs="Arial"/>
              </w:rPr>
            </w:pPr>
            <w:r w:rsidRPr="00364E9A">
              <w:rPr>
                <w:rFonts w:ascii="Arial" w:hAnsi="Arial" w:cs="Arial"/>
              </w:rPr>
              <w:t>1.20(0.87-1.64)</w:t>
            </w:r>
          </w:p>
        </w:tc>
        <w:tc>
          <w:tcPr>
            <w:tcW w:w="1373" w:type="dxa"/>
            <w:noWrap/>
            <w:vAlign w:val="bottom"/>
            <w:hideMark/>
          </w:tcPr>
          <w:p w14:paraId="17869251" w14:textId="77777777" w:rsidR="00364E9A" w:rsidRPr="00364E9A" w:rsidRDefault="00364E9A" w:rsidP="00577D89">
            <w:pPr>
              <w:pStyle w:val="Body"/>
              <w:spacing w:after="0"/>
              <w:ind w:right="720"/>
              <w:rPr>
                <w:rFonts w:ascii="Arial" w:hAnsi="Arial" w:cs="Arial"/>
              </w:rPr>
            </w:pPr>
            <w:r w:rsidRPr="00364E9A">
              <w:rPr>
                <w:rFonts w:ascii="Arial" w:hAnsi="Arial" w:cs="Arial"/>
              </w:rPr>
              <w:t>0.291</w:t>
            </w:r>
          </w:p>
        </w:tc>
      </w:tr>
      <w:tr w:rsidR="00577D89" w:rsidRPr="00364E9A" w14:paraId="5EB08EE8" w14:textId="77777777" w:rsidTr="00CD63BE">
        <w:trPr>
          <w:trHeight w:val="221"/>
          <w:jc w:val="center"/>
        </w:trPr>
        <w:tc>
          <w:tcPr>
            <w:tcW w:w="2140" w:type="dxa"/>
            <w:noWrap/>
            <w:vAlign w:val="bottom"/>
            <w:hideMark/>
          </w:tcPr>
          <w:p w14:paraId="675CC232" w14:textId="77777777" w:rsidR="00364E9A" w:rsidRPr="00364E9A" w:rsidRDefault="00364E9A" w:rsidP="00577D89">
            <w:pPr>
              <w:pStyle w:val="Body"/>
              <w:spacing w:after="0"/>
              <w:ind w:right="720"/>
              <w:rPr>
                <w:rFonts w:ascii="Arial" w:hAnsi="Arial" w:cs="Arial"/>
              </w:rPr>
            </w:pPr>
            <w:r w:rsidRPr="00364E9A">
              <w:rPr>
                <w:rFonts w:ascii="Arial" w:hAnsi="Arial" w:cs="Arial"/>
              </w:rPr>
              <w:t>No</w:t>
            </w:r>
          </w:p>
        </w:tc>
        <w:tc>
          <w:tcPr>
            <w:tcW w:w="1850" w:type="dxa"/>
            <w:noWrap/>
            <w:vAlign w:val="bottom"/>
            <w:hideMark/>
          </w:tcPr>
          <w:p w14:paraId="6C92DCDE" w14:textId="77777777" w:rsidR="00364E9A" w:rsidRPr="00364E9A" w:rsidRDefault="00364E9A" w:rsidP="00577D89">
            <w:pPr>
              <w:pStyle w:val="Body"/>
              <w:spacing w:after="0"/>
              <w:ind w:right="720"/>
              <w:rPr>
                <w:rFonts w:ascii="Arial" w:hAnsi="Arial" w:cs="Arial"/>
              </w:rPr>
            </w:pPr>
            <w:r w:rsidRPr="00364E9A">
              <w:rPr>
                <w:rFonts w:ascii="Arial" w:hAnsi="Arial" w:cs="Arial"/>
              </w:rPr>
              <w:t>Ref</w:t>
            </w:r>
          </w:p>
        </w:tc>
        <w:tc>
          <w:tcPr>
            <w:tcW w:w="1373" w:type="dxa"/>
            <w:noWrap/>
            <w:vAlign w:val="bottom"/>
            <w:hideMark/>
          </w:tcPr>
          <w:p w14:paraId="59300F48" w14:textId="77777777" w:rsidR="00364E9A" w:rsidRPr="00364E9A" w:rsidRDefault="00364E9A" w:rsidP="00577D89">
            <w:pPr>
              <w:pStyle w:val="Body"/>
              <w:spacing w:after="0"/>
              <w:ind w:right="720"/>
              <w:rPr>
                <w:rFonts w:ascii="Arial" w:hAnsi="Arial" w:cs="Arial"/>
              </w:rPr>
            </w:pPr>
          </w:p>
        </w:tc>
        <w:tc>
          <w:tcPr>
            <w:tcW w:w="1850" w:type="dxa"/>
            <w:noWrap/>
            <w:vAlign w:val="bottom"/>
            <w:hideMark/>
          </w:tcPr>
          <w:p w14:paraId="23C726E2" w14:textId="77777777" w:rsidR="00364E9A" w:rsidRPr="00364E9A" w:rsidRDefault="00364E9A" w:rsidP="00577D89">
            <w:pPr>
              <w:pStyle w:val="Body"/>
              <w:spacing w:after="0"/>
              <w:ind w:right="720"/>
              <w:rPr>
                <w:rFonts w:ascii="Arial" w:hAnsi="Arial" w:cs="Arial"/>
              </w:rPr>
            </w:pPr>
          </w:p>
        </w:tc>
        <w:tc>
          <w:tcPr>
            <w:tcW w:w="1373" w:type="dxa"/>
            <w:noWrap/>
            <w:vAlign w:val="bottom"/>
            <w:hideMark/>
          </w:tcPr>
          <w:p w14:paraId="2A2B6AE5" w14:textId="77777777" w:rsidR="00364E9A" w:rsidRPr="00364E9A" w:rsidRDefault="00364E9A" w:rsidP="00577D89">
            <w:pPr>
              <w:pStyle w:val="Body"/>
              <w:spacing w:after="0"/>
              <w:ind w:right="720"/>
              <w:rPr>
                <w:rFonts w:ascii="Arial" w:hAnsi="Arial" w:cs="Arial"/>
              </w:rPr>
            </w:pPr>
          </w:p>
        </w:tc>
      </w:tr>
      <w:tr w:rsidR="00577D89" w:rsidRPr="00364E9A" w14:paraId="763CAFEF" w14:textId="77777777" w:rsidTr="00CD63BE">
        <w:trPr>
          <w:trHeight w:val="179"/>
          <w:jc w:val="center"/>
        </w:trPr>
        <w:tc>
          <w:tcPr>
            <w:tcW w:w="2140" w:type="dxa"/>
            <w:noWrap/>
            <w:vAlign w:val="bottom"/>
            <w:hideMark/>
          </w:tcPr>
          <w:p w14:paraId="36675191"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HBA1c Level (%)</w:t>
            </w:r>
          </w:p>
        </w:tc>
        <w:tc>
          <w:tcPr>
            <w:tcW w:w="1850" w:type="dxa"/>
            <w:noWrap/>
            <w:vAlign w:val="bottom"/>
            <w:hideMark/>
          </w:tcPr>
          <w:p w14:paraId="34B1081C" w14:textId="77777777" w:rsidR="00364E9A" w:rsidRPr="00364E9A" w:rsidRDefault="00364E9A" w:rsidP="00577D89">
            <w:pPr>
              <w:pStyle w:val="Body"/>
              <w:spacing w:after="0"/>
              <w:ind w:right="720"/>
              <w:rPr>
                <w:rFonts w:ascii="Arial" w:hAnsi="Arial" w:cs="Arial"/>
              </w:rPr>
            </w:pPr>
            <w:r w:rsidRPr="00364E9A">
              <w:rPr>
                <w:rFonts w:ascii="Arial" w:hAnsi="Arial" w:cs="Arial"/>
              </w:rPr>
              <w:t>1.17(1.03-1.33)</w:t>
            </w:r>
          </w:p>
        </w:tc>
        <w:tc>
          <w:tcPr>
            <w:tcW w:w="1373" w:type="dxa"/>
            <w:noWrap/>
            <w:vAlign w:val="bottom"/>
            <w:hideMark/>
          </w:tcPr>
          <w:p w14:paraId="0690EB40" w14:textId="77777777" w:rsidR="00364E9A" w:rsidRPr="00364E9A" w:rsidRDefault="00364E9A" w:rsidP="00577D89">
            <w:pPr>
              <w:pStyle w:val="Body"/>
              <w:spacing w:after="0"/>
              <w:ind w:right="720"/>
              <w:rPr>
                <w:rFonts w:ascii="Arial" w:hAnsi="Arial" w:cs="Arial"/>
              </w:rPr>
            </w:pPr>
            <w:r w:rsidRPr="00364E9A">
              <w:rPr>
                <w:rFonts w:ascii="Arial" w:hAnsi="Arial" w:cs="Arial"/>
              </w:rPr>
              <w:t>0.013</w:t>
            </w:r>
          </w:p>
        </w:tc>
        <w:tc>
          <w:tcPr>
            <w:tcW w:w="1850" w:type="dxa"/>
            <w:noWrap/>
            <w:vAlign w:val="bottom"/>
            <w:hideMark/>
          </w:tcPr>
          <w:p w14:paraId="009D97E6" w14:textId="77777777" w:rsidR="00364E9A" w:rsidRPr="00364E9A" w:rsidRDefault="00364E9A" w:rsidP="00577D89">
            <w:pPr>
              <w:pStyle w:val="Body"/>
              <w:spacing w:after="0"/>
              <w:ind w:right="720"/>
              <w:rPr>
                <w:rFonts w:ascii="Arial" w:hAnsi="Arial" w:cs="Arial"/>
              </w:rPr>
            </w:pPr>
            <w:r w:rsidRPr="00364E9A">
              <w:rPr>
                <w:rFonts w:ascii="Arial" w:hAnsi="Arial" w:cs="Arial"/>
              </w:rPr>
              <w:t>1.11(0.99-1.25)</w:t>
            </w:r>
          </w:p>
        </w:tc>
        <w:tc>
          <w:tcPr>
            <w:tcW w:w="1373" w:type="dxa"/>
            <w:noWrap/>
            <w:vAlign w:val="bottom"/>
            <w:hideMark/>
          </w:tcPr>
          <w:p w14:paraId="38D8F506" w14:textId="77777777" w:rsidR="00364E9A" w:rsidRPr="00364E9A" w:rsidRDefault="00364E9A" w:rsidP="00577D89">
            <w:pPr>
              <w:pStyle w:val="Body"/>
              <w:spacing w:after="0"/>
              <w:ind w:right="720"/>
              <w:rPr>
                <w:rFonts w:ascii="Arial" w:hAnsi="Arial" w:cs="Arial"/>
              </w:rPr>
            </w:pPr>
            <w:r w:rsidRPr="00364E9A">
              <w:rPr>
                <w:rFonts w:ascii="Arial" w:hAnsi="Arial" w:cs="Arial"/>
              </w:rPr>
              <w:t>0.076</w:t>
            </w:r>
          </w:p>
        </w:tc>
      </w:tr>
      <w:tr w:rsidR="00577D89" w:rsidRPr="00364E9A" w14:paraId="61FF765A" w14:textId="77777777" w:rsidTr="00CD63BE">
        <w:trPr>
          <w:trHeight w:val="221"/>
          <w:jc w:val="center"/>
        </w:trPr>
        <w:tc>
          <w:tcPr>
            <w:tcW w:w="2140" w:type="dxa"/>
            <w:noWrap/>
            <w:vAlign w:val="bottom"/>
            <w:hideMark/>
          </w:tcPr>
          <w:p w14:paraId="11365771"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HDL Levels</w:t>
            </w:r>
          </w:p>
        </w:tc>
        <w:tc>
          <w:tcPr>
            <w:tcW w:w="1850" w:type="dxa"/>
            <w:noWrap/>
            <w:vAlign w:val="bottom"/>
            <w:hideMark/>
          </w:tcPr>
          <w:p w14:paraId="6CC54804" w14:textId="77777777" w:rsidR="00364E9A" w:rsidRPr="00364E9A" w:rsidRDefault="00364E9A" w:rsidP="00577D89">
            <w:pPr>
              <w:pStyle w:val="Body"/>
              <w:spacing w:after="0"/>
              <w:ind w:right="720"/>
              <w:rPr>
                <w:rFonts w:ascii="Arial" w:hAnsi="Arial" w:cs="Arial"/>
              </w:rPr>
            </w:pPr>
            <w:r w:rsidRPr="00364E9A">
              <w:rPr>
                <w:rFonts w:ascii="Arial" w:hAnsi="Arial" w:cs="Arial"/>
              </w:rPr>
              <w:t>0.73(0.60-0.87)</w:t>
            </w:r>
          </w:p>
        </w:tc>
        <w:tc>
          <w:tcPr>
            <w:tcW w:w="1373" w:type="dxa"/>
            <w:noWrap/>
            <w:vAlign w:val="bottom"/>
            <w:hideMark/>
          </w:tcPr>
          <w:p w14:paraId="6768A39B" w14:textId="77777777" w:rsidR="00364E9A" w:rsidRPr="00364E9A" w:rsidRDefault="00364E9A" w:rsidP="00577D89">
            <w:pPr>
              <w:pStyle w:val="Body"/>
              <w:spacing w:after="0"/>
              <w:ind w:right="720"/>
              <w:rPr>
                <w:rFonts w:ascii="Arial" w:hAnsi="Arial" w:cs="Arial"/>
              </w:rPr>
            </w:pPr>
            <w:r w:rsidRPr="00364E9A">
              <w:rPr>
                <w:rFonts w:ascii="Arial" w:hAnsi="Arial" w:cs="Arial"/>
              </w:rPr>
              <w:t>0.001</w:t>
            </w:r>
          </w:p>
        </w:tc>
        <w:tc>
          <w:tcPr>
            <w:tcW w:w="1850" w:type="dxa"/>
            <w:noWrap/>
            <w:vAlign w:val="bottom"/>
            <w:hideMark/>
          </w:tcPr>
          <w:p w14:paraId="34596FB7" w14:textId="77777777" w:rsidR="00364E9A" w:rsidRPr="00364E9A" w:rsidRDefault="00364E9A" w:rsidP="00577D89">
            <w:pPr>
              <w:pStyle w:val="Body"/>
              <w:spacing w:after="0"/>
              <w:ind w:right="720"/>
              <w:rPr>
                <w:rFonts w:ascii="Arial" w:hAnsi="Arial" w:cs="Arial"/>
              </w:rPr>
            </w:pPr>
            <w:r w:rsidRPr="00364E9A">
              <w:rPr>
                <w:rFonts w:ascii="Arial" w:hAnsi="Arial" w:cs="Arial"/>
              </w:rPr>
              <w:t>0.85(0.72-1.002)</w:t>
            </w:r>
          </w:p>
        </w:tc>
        <w:tc>
          <w:tcPr>
            <w:tcW w:w="1373" w:type="dxa"/>
            <w:noWrap/>
            <w:vAlign w:val="bottom"/>
            <w:hideMark/>
          </w:tcPr>
          <w:p w14:paraId="661F835D" w14:textId="77777777" w:rsidR="00364E9A" w:rsidRPr="00364E9A" w:rsidRDefault="00364E9A" w:rsidP="00577D89">
            <w:pPr>
              <w:pStyle w:val="Body"/>
              <w:spacing w:after="0"/>
              <w:ind w:right="720"/>
              <w:rPr>
                <w:rFonts w:ascii="Arial" w:hAnsi="Arial" w:cs="Arial"/>
              </w:rPr>
            </w:pPr>
            <w:r w:rsidRPr="00364E9A">
              <w:rPr>
                <w:rFonts w:ascii="Arial" w:hAnsi="Arial" w:cs="Arial"/>
              </w:rPr>
              <w:t>0.053</w:t>
            </w:r>
          </w:p>
        </w:tc>
      </w:tr>
      <w:tr w:rsidR="00577D89" w:rsidRPr="00364E9A" w14:paraId="3973F872" w14:textId="77777777" w:rsidTr="00CD63BE">
        <w:trPr>
          <w:trHeight w:val="221"/>
          <w:jc w:val="center"/>
        </w:trPr>
        <w:tc>
          <w:tcPr>
            <w:tcW w:w="2140" w:type="dxa"/>
            <w:noWrap/>
            <w:vAlign w:val="bottom"/>
            <w:hideMark/>
          </w:tcPr>
          <w:p w14:paraId="206C464B"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Triglyceride levels</w:t>
            </w:r>
          </w:p>
        </w:tc>
        <w:tc>
          <w:tcPr>
            <w:tcW w:w="1850" w:type="dxa"/>
            <w:noWrap/>
            <w:vAlign w:val="bottom"/>
            <w:hideMark/>
          </w:tcPr>
          <w:p w14:paraId="74D17ECA" w14:textId="77777777" w:rsidR="00364E9A" w:rsidRPr="00364E9A" w:rsidRDefault="00364E9A" w:rsidP="00577D89">
            <w:pPr>
              <w:pStyle w:val="Body"/>
              <w:spacing w:after="0"/>
              <w:ind w:right="720"/>
              <w:rPr>
                <w:rFonts w:ascii="Arial" w:hAnsi="Arial" w:cs="Arial"/>
              </w:rPr>
            </w:pPr>
            <w:r w:rsidRPr="00364E9A">
              <w:rPr>
                <w:rFonts w:ascii="Arial" w:hAnsi="Arial" w:cs="Arial"/>
              </w:rPr>
              <w:t>1.22(0.97-1.52)</w:t>
            </w:r>
          </w:p>
        </w:tc>
        <w:tc>
          <w:tcPr>
            <w:tcW w:w="1373" w:type="dxa"/>
            <w:noWrap/>
            <w:vAlign w:val="bottom"/>
            <w:hideMark/>
          </w:tcPr>
          <w:p w14:paraId="23F9F988" w14:textId="77777777" w:rsidR="00364E9A" w:rsidRPr="00364E9A" w:rsidRDefault="00364E9A" w:rsidP="00577D89">
            <w:pPr>
              <w:pStyle w:val="Body"/>
              <w:spacing w:after="0"/>
              <w:ind w:right="720"/>
              <w:rPr>
                <w:rFonts w:ascii="Arial" w:hAnsi="Arial" w:cs="Arial"/>
              </w:rPr>
            </w:pPr>
            <w:r w:rsidRPr="00364E9A">
              <w:rPr>
                <w:rFonts w:ascii="Arial" w:hAnsi="Arial" w:cs="Arial"/>
              </w:rPr>
              <w:t>0.083</w:t>
            </w:r>
          </w:p>
        </w:tc>
        <w:tc>
          <w:tcPr>
            <w:tcW w:w="1850" w:type="dxa"/>
            <w:noWrap/>
            <w:vAlign w:val="bottom"/>
          </w:tcPr>
          <w:p w14:paraId="47E68A7B" w14:textId="77777777" w:rsidR="00364E9A" w:rsidRPr="00364E9A" w:rsidRDefault="00364E9A" w:rsidP="00577D89">
            <w:pPr>
              <w:pStyle w:val="Body"/>
              <w:spacing w:after="0"/>
              <w:ind w:right="720"/>
              <w:rPr>
                <w:rFonts w:ascii="Arial" w:hAnsi="Arial" w:cs="Arial"/>
              </w:rPr>
            </w:pPr>
          </w:p>
        </w:tc>
        <w:tc>
          <w:tcPr>
            <w:tcW w:w="1373" w:type="dxa"/>
            <w:noWrap/>
            <w:vAlign w:val="bottom"/>
          </w:tcPr>
          <w:p w14:paraId="725B73BC" w14:textId="77777777" w:rsidR="00364E9A" w:rsidRPr="00364E9A" w:rsidRDefault="00364E9A" w:rsidP="00577D89">
            <w:pPr>
              <w:pStyle w:val="Body"/>
              <w:spacing w:after="0"/>
              <w:ind w:right="720"/>
              <w:rPr>
                <w:rFonts w:ascii="Arial" w:hAnsi="Arial" w:cs="Arial"/>
              </w:rPr>
            </w:pPr>
          </w:p>
        </w:tc>
      </w:tr>
      <w:tr w:rsidR="00577D89" w:rsidRPr="00364E9A" w14:paraId="033D9CDA" w14:textId="77777777" w:rsidTr="00CD63BE">
        <w:trPr>
          <w:trHeight w:val="221"/>
          <w:jc w:val="center"/>
        </w:trPr>
        <w:tc>
          <w:tcPr>
            <w:tcW w:w="2140" w:type="dxa"/>
            <w:tcBorders>
              <w:bottom w:val="single" w:sz="12" w:space="0" w:color="auto"/>
            </w:tcBorders>
            <w:noWrap/>
            <w:vAlign w:val="bottom"/>
            <w:hideMark/>
          </w:tcPr>
          <w:p w14:paraId="310EFEB6" w14:textId="77777777" w:rsidR="00364E9A" w:rsidRPr="00364E9A" w:rsidRDefault="00364E9A" w:rsidP="00577D89">
            <w:pPr>
              <w:pStyle w:val="Body"/>
              <w:spacing w:after="0"/>
              <w:ind w:right="720"/>
              <w:rPr>
                <w:rFonts w:ascii="Arial" w:hAnsi="Arial" w:cs="Arial"/>
                <w:b/>
                <w:bCs/>
              </w:rPr>
            </w:pPr>
            <w:r w:rsidRPr="00364E9A">
              <w:rPr>
                <w:rFonts w:ascii="Arial" w:hAnsi="Arial" w:cs="Arial"/>
                <w:b/>
                <w:bCs/>
              </w:rPr>
              <w:t>Serum Creatinine levels</w:t>
            </w:r>
          </w:p>
        </w:tc>
        <w:tc>
          <w:tcPr>
            <w:tcW w:w="1850" w:type="dxa"/>
            <w:tcBorders>
              <w:bottom w:val="single" w:sz="12" w:space="0" w:color="auto"/>
            </w:tcBorders>
            <w:noWrap/>
            <w:vAlign w:val="bottom"/>
            <w:hideMark/>
          </w:tcPr>
          <w:p w14:paraId="274E6908" w14:textId="77777777" w:rsidR="00364E9A" w:rsidRPr="00364E9A" w:rsidRDefault="00364E9A" w:rsidP="00577D89">
            <w:pPr>
              <w:pStyle w:val="Body"/>
              <w:spacing w:after="0"/>
              <w:ind w:right="720"/>
              <w:rPr>
                <w:rFonts w:ascii="Arial" w:hAnsi="Arial" w:cs="Arial"/>
              </w:rPr>
            </w:pPr>
            <w:r w:rsidRPr="00364E9A">
              <w:rPr>
                <w:rFonts w:ascii="Arial" w:hAnsi="Arial" w:cs="Arial"/>
              </w:rPr>
              <w:t>1.82(0.97-3.43)</w:t>
            </w:r>
          </w:p>
        </w:tc>
        <w:tc>
          <w:tcPr>
            <w:tcW w:w="1373" w:type="dxa"/>
            <w:tcBorders>
              <w:bottom w:val="single" w:sz="12" w:space="0" w:color="auto"/>
            </w:tcBorders>
            <w:noWrap/>
            <w:vAlign w:val="bottom"/>
            <w:hideMark/>
          </w:tcPr>
          <w:p w14:paraId="06201461" w14:textId="77777777" w:rsidR="00364E9A" w:rsidRPr="00364E9A" w:rsidRDefault="00364E9A" w:rsidP="00577D89">
            <w:pPr>
              <w:pStyle w:val="Body"/>
              <w:spacing w:after="0"/>
              <w:ind w:right="720"/>
              <w:rPr>
                <w:rFonts w:ascii="Arial" w:hAnsi="Arial" w:cs="Arial"/>
              </w:rPr>
            </w:pPr>
            <w:r w:rsidRPr="00364E9A">
              <w:rPr>
                <w:rFonts w:ascii="Arial" w:hAnsi="Arial" w:cs="Arial"/>
              </w:rPr>
              <w:t>0.064</w:t>
            </w:r>
          </w:p>
        </w:tc>
        <w:tc>
          <w:tcPr>
            <w:tcW w:w="1850" w:type="dxa"/>
            <w:tcBorders>
              <w:bottom w:val="single" w:sz="12" w:space="0" w:color="auto"/>
            </w:tcBorders>
            <w:noWrap/>
            <w:vAlign w:val="bottom"/>
            <w:hideMark/>
          </w:tcPr>
          <w:p w14:paraId="17BA70C2" w14:textId="77777777" w:rsidR="00364E9A" w:rsidRPr="00364E9A" w:rsidRDefault="00364E9A" w:rsidP="00577D89">
            <w:pPr>
              <w:pStyle w:val="Body"/>
              <w:spacing w:after="0"/>
              <w:ind w:right="720"/>
              <w:rPr>
                <w:rFonts w:ascii="Arial" w:hAnsi="Arial" w:cs="Arial"/>
              </w:rPr>
            </w:pPr>
          </w:p>
        </w:tc>
        <w:tc>
          <w:tcPr>
            <w:tcW w:w="1373" w:type="dxa"/>
            <w:tcBorders>
              <w:bottom w:val="single" w:sz="12" w:space="0" w:color="auto"/>
            </w:tcBorders>
            <w:noWrap/>
            <w:vAlign w:val="bottom"/>
            <w:hideMark/>
          </w:tcPr>
          <w:p w14:paraId="668479B2" w14:textId="77777777" w:rsidR="00364E9A" w:rsidRPr="00364E9A" w:rsidRDefault="00364E9A" w:rsidP="00577D89">
            <w:pPr>
              <w:pStyle w:val="Body"/>
              <w:spacing w:after="0"/>
              <w:ind w:right="720"/>
              <w:rPr>
                <w:rFonts w:ascii="Arial" w:hAnsi="Arial" w:cs="Arial"/>
              </w:rPr>
            </w:pPr>
          </w:p>
        </w:tc>
      </w:tr>
    </w:tbl>
    <w:p w14:paraId="6DB6FBFC" w14:textId="77777777" w:rsidR="002C53D7" w:rsidRDefault="002C53D7" w:rsidP="00577D89">
      <w:pPr>
        <w:ind w:right="720"/>
        <w:jc w:val="both"/>
        <w:rPr>
          <w:rFonts w:ascii="Arial" w:hAnsi="Arial" w:cs="Arial"/>
          <w:b/>
        </w:rPr>
      </w:pPr>
    </w:p>
    <w:p w14:paraId="1FEDD382" w14:textId="77777777" w:rsidR="00E053D0" w:rsidRPr="00A519AC" w:rsidRDefault="00A519AC" w:rsidP="00577D89">
      <w:pPr>
        <w:pStyle w:val="Body"/>
        <w:spacing w:after="0"/>
        <w:ind w:right="720"/>
        <w:rPr>
          <w:rFonts w:ascii="Arial" w:hAnsi="Arial" w:cs="Arial"/>
          <w:b/>
          <w:sz w:val="22"/>
          <w:szCs w:val="22"/>
        </w:rPr>
      </w:pPr>
      <w:r w:rsidRPr="00A519AC">
        <w:rPr>
          <w:rFonts w:ascii="Arial" w:hAnsi="Arial" w:cs="Arial"/>
          <w:b/>
          <w:sz w:val="22"/>
          <w:szCs w:val="22"/>
        </w:rPr>
        <w:t>4. DISCUSSION</w:t>
      </w:r>
    </w:p>
    <w:p w14:paraId="01D7EE6F" w14:textId="77777777" w:rsidR="00790ADA" w:rsidRPr="00FB3A86" w:rsidRDefault="00790ADA" w:rsidP="00577D89">
      <w:pPr>
        <w:pStyle w:val="Body"/>
        <w:spacing w:after="0"/>
        <w:ind w:right="720"/>
        <w:rPr>
          <w:rFonts w:ascii="Arial" w:hAnsi="Arial" w:cs="Arial"/>
        </w:rPr>
      </w:pPr>
    </w:p>
    <w:p w14:paraId="53E2C162" w14:textId="77777777" w:rsidR="00A519AC" w:rsidRPr="00A519AC" w:rsidRDefault="00A519AC" w:rsidP="00EF5222">
      <w:pPr>
        <w:pStyle w:val="Body"/>
        <w:ind w:right="720"/>
        <w:rPr>
          <w:rFonts w:ascii="Arial" w:hAnsi="Arial" w:cs="Arial"/>
        </w:rPr>
      </w:pPr>
      <w:r w:rsidRPr="00A519AC">
        <w:rPr>
          <w:rFonts w:ascii="Arial" w:hAnsi="Arial" w:cs="Arial"/>
        </w:rPr>
        <w:t>This study total of 105 participants were included and the study merely dived into determine the single dose effect of unilateral intra-</w:t>
      </w:r>
      <w:proofErr w:type="spellStart"/>
      <w:r w:rsidRPr="00A519AC">
        <w:rPr>
          <w:rFonts w:ascii="Arial" w:hAnsi="Arial" w:cs="Arial"/>
        </w:rPr>
        <w:t>vitreal</w:t>
      </w:r>
      <w:proofErr w:type="spellEnd"/>
      <w:r w:rsidRPr="00A519AC">
        <w:rPr>
          <w:rFonts w:ascii="Arial" w:hAnsi="Arial" w:cs="Arial"/>
        </w:rPr>
        <w:t xml:space="preserve"> bevacizumab in the un-injected after 4week follow-up, focused on the anatomical and functional outcome and also related the outcomes and possible local and systemic factors that were thought to be linked with the bevacizumab treatment</w:t>
      </w:r>
    </w:p>
    <w:p w14:paraId="3D21BB20" w14:textId="77777777" w:rsidR="00A519AC" w:rsidRPr="00A519AC" w:rsidRDefault="00A519AC" w:rsidP="00EF5222">
      <w:pPr>
        <w:pStyle w:val="Body"/>
        <w:ind w:right="720"/>
        <w:rPr>
          <w:rFonts w:ascii="Arial" w:hAnsi="Arial" w:cs="Arial"/>
        </w:rPr>
      </w:pPr>
      <w:r w:rsidRPr="00A519AC">
        <w:rPr>
          <w:rFonts w:ascii="Arial" w:hAnsi="Arial" w:cs="Arial"/>
        </w:rPr>
        <w:t>The study found the slight numerical increase in mean CMT (from 300.9 </w:t>
      </w:r>
      <w:proofErr w:type="spellStart"/>
      <w:r w:rsidRPr="00A519AC">
        <w:rPr>
          <w:rFonts w:ascii="Arial" w:hAnsi="Arial" w:cs="Arial"/>
        </w:rPr>
        <w:t>μm</w:t>
      </w:r>
      <w:proofErr w:type="spellEnd"/>
      <w:r w:rsidRPr="00A519AC">
        <w:rPr>
          <w:rFonts w:ascii="Arial" w:hAnsi="Arial" w:cs="Arial"/>
        </w:rPr>
        <w:t xml:space="preserve"> at baseline to 304.7 </w:t>
      </w:r>
      <w:proofErr w:type="spellStart"/>
      <w:r w:rsidRPr="00A519AC">
        <w:rPr>
          <w:rFonts w:ascii="Arial" w:hAnsi="Arial" w:cs="Arial"/>
        </w:rPr>
        <w:t>μm</w:t>
      </w:r>
      <w:proofErr w:type="spellEnd"/>
      <w:r w:rsidRPr="00A519AC">
        <w:rPr>
          <w:rFonts w:ascii="Arial" w:hAnsi="Arial" w:cs="Arial"/>
        </w:rPr>
        <w:t xml:space="preserve"> after four weeks), this change was not statistically significant (p = 0.1472). This result wa</w:t>
      </w:r>
      <w:r w:rsidR="00351A17">
        <w:rPr>
          <w:rFonts w:ascii="Arial" w:hAnsi="Arial" w:cs="Arial"/>
        </w:rPr>
        <w:t xml:space="preserve">s aligned with the findings of </w:t>
      </w:r>
      <w:r w:rsidR="00EF5222">
        <w:rPr>
          <w:rFonts w:ascii="Arial" w:hAnsi="Arial" w:cs="Arial"/>
        </w:rPr>
        <w:fldChar w:fldCharType="begin" w:fldLock="1"/>
      </w:r>
      <w:r w:rsidR="00EF5222">
        <w:rPr>
          <w:rFonts w:ascii="Arial" w:hAnsi="Arial" w:cs="Arial"/>
        </w:rPr>
        <w:instrText>ADDIN CSL_CITATION {"citationItems":[{"id":"ITEM-1","itemData":{"DOI":"10.1136/bmjophth-2017-000102","ISSN":"23973269","abstract":"Purpose Antivascular endothelial growth factor (anti-VEGFs)-bevacizumab is routinely utilised for the treatment of diabetic macular oedema (DME). We plan to evaluate the impact of bevacizumab on the central subfield macular thickness (CSMT) of the treated and untreated eye. Methods A sequential group of patients with bilateral DME who were treated with unilateral bevacizumab injection were assessed preinjection and postinjection by Spectral Domain-Optical Coherence Tomography (SD-OCT) by CSMT. Results Thirty-one patients, 20 male and 11 female, were evaluated. Seven patients had type 1 diabetes mellitus and 24 had type 2 diabetes mellitus. In regard to the duration of disease, 23 patients had diabetes for more than 10 years, seven patients had the condition for 5-10 years and one patient for more than 5 years. Mean age of the patients was 60.48 years (SD±7.13) with the range of 46-72 years. Mean follow-up was 28 days (range 26-35 days). The eyes which received intravitreal injection had median CSMT of 473.2 μm(range 321-566 μm). The CSMT of the contralateral eye had median of 347.6 μm (range 357-437 μm). A median reduction of-132 μm (range 93-156 μm) could be observed in the treated eye and-18 μm (range 15-22) in the untreated eye after treatment. Our study also found that eyes with greater CSMT, when injected with bevacizumab, produced higher responses in the contralateral eye (R 2 0.538, P&lt;0.05). Conclusions Patients with bilateral DME treated with bevacizumab in one eye produced a bilateral response. Eyes with greater CSMT due to DME elicited higher levels of response in the untreated eye.","author":[{"dropping-particle":"","family":"Khatri","given":"Anadi","non-dropping-particle":"","parse-names":false,"suffix":""},{"dropping-particle":"","family":"Karki","given":"Pratap","non-dropping-particle":"","parse-names":false,"suffix":""},{"dropping-particle":"","family":"Joshi","given":"Sagun Narayan","non-dropping-particle":"","parse-names":false,"suffix":""},{"dropping-particle":"","family":"Kharel Sitaula","given":"Ranju","non-dropping-particle":"","parse-names":false,"suffix":""}],"container-title":"BMJ Open Ophthalmology","id":"ITEM-1","issue":"1","issued":{"date-parts":[["2017"]]},"title":"Evaluation of effect of bevacizumab on central subfield macular thickness in the injected and contralateral (untreated) eye of patients with bilateral diabetic macular oedema","type":"article-journal","volume":"2"},"uris":["http://www.mendeley.com/documents/?uuid=190b33e1-ffd2-31b0-9540-a10e6f4373e0"]}],"mendeley":{"formattedCitation":"(Khatri &lt;i&gt;et al.&lt;/i&gt;, 2017)","plainTextFormattedCitation":"(Khatri et al., 2017)","previouslyFormattedCitation":"(Khatri &lt;i&gt;et al.&lt;/i&gt;, 2017)"},"properties":{"noteIndex":0},"schema":"https://github.com/citation-style-language/schema/raw/master/csl-citation.json"}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(Khatri </w:t>
      </w:r>
      <w:r w:rsidR="00EF5222" w:rsidRPr="00EF5222">
        <w:rPr>
          <w:rFonts w:ascii="Arial" w:hAnsi="Arial" w:cs="Arial"/>
          <w:i/>
          <w:noProof/>
        </w:rPr>
        <w:t>et al.</w:t>
      </w:r>
      <w:r w:rsidR="00EF5222" w:rsidRPr="00EF5222">
        <w:rPr>
          <w:rFonts w:ascii="Arial" w:hAnsi="Arial" w:cs="Arial"/>
          <w:noProof/>
        </w:rPr>
        <w:t>, 2017)</w:t>
      </w:r>
      <w:r w:rsidR="00EF5222">
        <w:rPr>
          <w:rFonts w:ascii="Arial" w:hAnsi="Arial" w:cs="Arial"/>
        </w:rPr>
        <w:fldChar w:fldCharType="end"/>
      </w:r>
      <w:r w:rsidRPr="00A519AC">
        <w:rPr>
          <w:rFonts w:ascii="Arial" w:hAnsi="Arial" w:cs="Arial"/>
        </w:rPr>
        <w:t xml:space="preserve"> who conducted a study in Nepal involving 25 patients with bilateral DME. Their results showed no statistically significant change in central macular thickness in the contralateral eye after unilateral IVB (p &gt; 0.36), which they attributed to modest baseline edema and insufficient systemic diffusion of the drug.</w:t>
      </w:r>
    </w:p>
    <w:p w14:paraId="52148208" w14:textId="77777777" w:rsidR="00A519AC" w:rsidRPr="00A519AC" w:rsidRDefault="00A519AC" w:rsidP="00EF5222">
      <w:pPr>
        <w:pStyle w:val="Body"/>
        <w:ind w:right="720"/>
        <w:rPr>
          <w:rFonts w:ascii="Arial" w:hAnsi="Arial" w:cs="Arial"/>
        </w:rPr>
      </w:pPr>
      <w:r w:rsidRPr="00A519AC">
        <w:rPr>
          <w:rFonts w:ascii="Arial" w:hAnsi="Arial" w:cs="Arial"/>
        </w:rPr>
        <w:t xml:space="preserve">In contrast to the study conducted by, </w:t>
      </w:r>
      <w:r w:rsidR="00EF5222">
        <w:rPr>
          <w:rFonts w:ascii="Arial" w:hAnsi="Arial" w:cs="Arial"/>
        </w:rPr>
        <w:fldChar w:fldCharType="begin" w:fldLock="1"/>
      </w:r>
      <w:r w:rsidR="00EF5222">
        <w:rPr>
          <w:rFonts w:ascii="Arial" w:hAnsi="Arial" w:cs="Arial"/>
        </w:rPr>
        <w:instrText>ADDIN CSL_CITATION {"citationItems":[{"id":"ITEM-1","itemData":{"DOI":"10.51253/PAFMJ.V6I6.5853","ISSN":"24118842","abstract":"Objective: To investigate the effect of unilateral intravitreal Bevacizumab on contralateral eye in bilateral diabetic macular edema. Study Design: Quasi-experimental study. Place and Duration of Study: Retina Department of Al-Shifa Trust Eye Hospital, Rawalpindi, from Sep to Dec 2020. Methodology: Thirty-two patients were enrolled with consecutive sampling. All the patients had clinically diagnosed diabetic macular edema having &gt;275µm macular thickness on OCT. They were injected with 1.25mg/0.05mL of Bevacizumab in one eye. Baseline macular thickness was compared with 4 weeks follow up macular thickness, using Optical Coherence Tomography. Results: The central macular thickness in the untreated eye at baseline was 396.97 ± 29.79 µm and 388.34 ± 30.06 µm at 4 weeks (p-value=0.001). The difference in central macular thickness in treated and untreated eyes were 28.44 ± 4.11 µm and 19.81 ± 5.31 µm respectively (p-value = 0.001). There were statistically significant differences between these measurements. Conclusion: Injecting Bevacizumab in one eye for diabetic macular edema has statistically significant effect on the contralateral non-injected eye macular thickness.","author":[{"dropping-particle":"","family":"Bashir","given":"Aziz Jan","non-dropping-particle":"","parse-names":false,"suffix":""},{"dropping-particle":"","family":"Hannan","given":"Abdul","non-dropping-particle":"","parse-names":false,"suffix":""},{"dropping-particle":"","family":"Chaudhary","given":"Salman Sohail","non-dropping-particle":"","parse-names":false,"suffix":""},{"dropping-particle":"","family":"Zafar","given":"Sarah","non-dropping-particle":"","parse-names":false,"suffix":""},{"dropping-particle":"","family":"Syed","given":"Abdullah Naeem","non-dropping-particle":"","parse-names":false,"suffix":""},{"dropping-particle":"","family":"Massana","given":"Syed Hassan","non-dropping-particle":"","parse-names":false,"suffix":""}],"container-title":"Pakistan Armed Forces Medical Journal","id":"ITEM-1","issue":"6","issued":{"date-parts":[["2021"]]},"title":"EFFECTS OF UNILATERAL INTRAVITREAL BEVACIZUMAB ON THE CONTRALATERAL EYE HAVING DIABETIC MACULAR EDEMA","type":"article-journal","volume":"71"},"uris":["http://www.mendeley.com/documents/?uuid=313e0745-760d-33c1-bb0b-2b2640c7dccd"]}],"mendeley":{"formattedCitation":"(Bashir &lt;i&gt;et al.&lt;/i&gt;, 2021)","plainTextFormattedCitation":"(Bashir et al., 2021)","previouslyFormattedCitation":"(Bashir &lt;i&gt;et al.&lt;/i&gt;, 2021)"},"properties":{"noteIndex":0},"schema":"https://github.com/citation-style-language/schema/raw/master/csl-citation.json"}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(Bashir </w:t>
      </w:r>
      <w:r w:rsidR="00EF5222" w:rsidRPr="00EF5222">
        <w:rPr>
          <w:rFonts w:ascii="Arial" w:hAnsi="Arial" w:cs="Arial"/>
          <w:i/>
          <w:noProof/>
        </w:rPr>
        <w:t>et al.</w:t>
      </w:r>
      <w:r w:rsidR="00EF5222" w:rsidRPr="00EF5222">
        <w:rPr>
          <w:rFonts w:ascii="Arial" w:hAnsi="Arial" w:cs="Arial"/>
          <w:noProof/>
        </w:rPr>
        <w:t>, 2021)</w:t>
      </w:r>
      <w:r w:rsidR="00EF5222">
        <w:rPr>
          <w:rFonts w:ascii="Arial" w:hAnsi="Arial" w:cs="Arial"/>
        </w:rPr>
        <w:fldChar w:fldCharType="end"/>
      </w:r>
      <w:r w:rsidRPr="00A519AC">
        <w:rPr>
          <w:rFonts w:ascii="Arial" w:hAnsi="Arial" w:cs="Arial"/>
        </w:rPr>
        <w:t xml:space="preserve"> in Pakistan which found the statistically significant decrease in CMT in the untreated eye (p = 0.001). This difference could be attributed by several factors, Bashir’s study included patients with higher baseline CSMT, which may had provided a larger range of CSMT reduction, also they did not report patients’ systemic or demographic characteristics, and furthermore they didn’t evaluate the systemic comorbidities such as hypertension, HbA1c, or renal function. The absence of these background variables makes it difficult to assess whether the CSMT reduction was purely a treatment effect or influenced by underlying systemic health differences, </w:t>
      </w:r>
    </w:p>
    <w:p w14:paraId="77CD4AB7" w14:textId="77777777" w:rsidR="00A519AC" w:rsidRPr="00A519AC" w:rsidRDefault="00A519AC" w:rsidP="00EF5222">
      <w:pPr>
        <w:pStyle w:val="Body"/>
        <w:ind w:right="720"/>
        <w:rPr>
          <w:rFonts w:ascii="Arial" w:hAnsi="Arial" w:cs="Arial"/>
        </w:rPr>
      </w:pPr>
      <w:r w:rsidRPr="00A519AC">
        <w:rPr>
          <w:rFonts w:ascii="Arial" w:hAnsi="Arial" w:cs="Arial"/>
        </w:rPr>
        <w:lastRenderedPageBreak/>
        <w:t xml:space="preserve">Also </w:t>
      </w:r>
      <w:r w:rsidR="00EF5222">
        <w:rPr>
          <w:rFonts w:ascii="Arial" w:hAnsi="Arial" w:cs="Arial"/>
        </w:rPr>
        <w:fldChar w:fldCharType="begin" w:fldLock="1"/>
      </w:r>
      <w:r w:rsidR="00EF5222">
        <w:rPr>
          <w:rFonts w:ascii="Arial" w:hAnsi="Arial" w:cs="Arial"/>
        </w:rPr>
        <w:instrText>ADDIN CSL_CITATION {"citationItems":[{"id":"ITEM-1","itemData":{"DOI":"10.21608/ejhm.2019.64850","author":[{"dropping-particle":"","family":"Abd El-Moniem","given":"Samah R.","non-dropping-particle":"","parse-names":false,"suffix":""},{"dropping-particle":"","family":"Abou El-Enin","given":"Ahmed I.","non-dropping-particle":"","parse-names":false,"suffix":""},{"dropping-particle":"","family":"Rashwan","given":"Afaf H.","non-dropping-particle":"","parse-names":false,"suffix":""}],"container-title":"The Egyptian Journal of Hospital Medicine","id":"ITEM-1","issue":"6","issued":{"date-parts":[["2019"]]},"page":"5883-5892","title":"Effect of Monocular Intravitreal Anti-Vascular Endothelial Growth Factor Injection on the Fellow Eye","type":"article-journal","volume":"77"},"uris":["http://www.mendeley.com/documents/?uuid=906dc776-12ea-4efb-965e-d4a5fd70b746"]}],"mendeley":{"formattedCitation":"(Abd El-Moniem, Abou El-Enin and Rashwan, 2019)","plainTextFormattedCitation":"(Abd El-Moniem, Abou El-Enin and Rashwan, 2019)","previouslyFormattedCitation":"(Abd El-Moniem, Abou El-Enin and Rashwan, 2019)"},"properties":{"noteIndex":0},"schema":"https://github.com/citation-style-language/schema/raw/master/csl-citation.json"}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(Abd El-Moniem, Abou El-Enin and Rashwan, 2019)</w:t>
      </w:r>
      <w:r w:rsidR="00EF5222">
        <w:rPr>
          <w:rFonts w:ascii="Arial" w:hAnsi="Arial" w:cs="Arial"/>
        </w:rPr>
        <w:fldChar w:fldCharType="end"/>
      </w:r>
      <w:r w:rsidRPr="00A519AC">
        <w:rPr>
          <w:rFonts w:ascii="Arial" w:hAnsi="Arial" w:cs="Arial"/>
        </w:rPr>
        <w:t>, in an Egyptian, found a significant reduction in CMT in the contralateral ey</w:t>
      </w:r>
      <w:r w:rsidR="00351A17">
        <w:rPr>
          <w:rFonts w:ascii="Arial" w:hAnsi="Arial" w:cs="Arial"/>
        </w:rPr>
        <w:t>e following unilateral IVB (p=</w:t>
      </w:r>
      <w:r w:rsidRPr="00A519AC">
        <w:rPr>
          <w:rFonts w:ascii="Arial" w:hAnsi="Arial" w:cs="Arial"/>
        </w:rPr>
        <w:t>0.0001), possibly due to uniform systemic control and the studded only female population. Similarly,</w:t>
      </w:r>
      <w:r w:rsidR="00EF5222">
        <w:rPr>
          <w:rFonts w:ascii="Arial" w:hAnsi="Arial" w:cs="Arial"/>
        </w:rPr>
        <w:t xml:space="preserve"> </w:t>
      </w:r>
      <w:r w:rsidR="00EF5222">
        <w:rPr>
          <w:rFonts w:ascii="Arial" w:hAnsi="Arial" w:cs="Arial"/>
        </w:rPr>
        <w:fldChar w:fldCharType="begin" w:fldLock="1"/>
      </w:r>
      <w:r w:rsidR="00EF5222">
        <w:rPr>
          <w:rFonts w:ascii="Arial" w:hAnsi="Arial" w:cs="Arial"/>
        </w:rPr>
        <w:instrText>ADDIN CSL_CITATION {"citationItems":[{"id":"ITEM-1","itemData":{"DOI":"10.1038/eye.2014.94","ISSN":"14765454","abstract":"AimsAnti-vascular endothelial growth factor compounds are routinely used for the treatment of diabetic macular edema (DME). We aim to evaluate for the existence and magnitude of treatment effect on fellow un-injected eyes.MethodsA consecutive group of patients with bilateral DME who received unilateral bevacizumab injections was retrospectively evaluated. Data collected included demographics, ophthalmic and systemic findings, and optical coherence tomography (OCT) measurements of macular thickness.ResultsThirty-five patients were evaluated. Mean follow-up was 245 days (range: 30-800), and the mean number of bevacizumab injections was 3.6 (range: 1-11). At end of follow-up, the mean (SD) OCT central subfield thickness reduced by 72±112 micron in the injected eye (from 469±139 to 397±120 micron; P=0.001), while in the non-injected eye it reduced by 49±75 micron (from 380±130 to 331±106 micron; P&lt;0.001). Sixteen injected eyes (45.7%) showed central subfield thickness reduction of ≥50 micron while 10 (28.6%) non-injected eyes showed such thickness reduction. Improved VA following treatment was detected in 14 (40%) injected eyes and in 15 (43%) non-injected eyes.ConclusionsUnilateral bevacizumab injections in patients with bilateral DME are often associated with bilateral response.Summary StatementAnti-vascular endothelial growth factor compounds are routinely used for the treatment of diabetic macular edema (DME). In this retrospective study, we show that unilateral bevacizumab injections often result in reduction of the macular thickness in the fellow un-injected eye. © 2014 Macmillan Publishers Limited.","author":[{"dropping-particle":"","family":"Hanhart","given":"J.","non-dropping-particle":"","parse-names":false,"suffix":""},{"dropping-particle":"","family":"Tiosano","given":"L.","non-dropping-particle":"","parse-names":false,"suffix":""},{"dropping-particle":"","family":"Averbukh","given":"E.","non-dropping-particle":"","parse-names":false,"suffix":""},{"dropping-particle":"","family":"Banin","given":"E.","non-dropping-particle":"","parse-names":false,"suffix":""},{"dropping-particle":"","family":"Hemo","given":"I.","non-dropping-particle":"","parse-names":false,"suffix":""},{"dropping-particle":"","family":"Chowers","given":"I.","non-dropping-particle":"","parse-names":false,"suffix":""}],"container-title":"Eye (Basingstoke)","id":"ITEM-1","issue":"6","issued":{"date-parts":[["2014"]]},"title":"Fellow eye effect of unilateral intravitreal bevacizumab injection in eyes with diabetic macular edema","type":"article-journal","volume":"28"},"uris":["http://www.mendeley.com/documents/?uuid=1e73003f-09f3-3afb-abc1-fe38f56c03d8"]}],"mendeley":{"formattedCitation":"(Hanhart &lt;i&gt;et al.&lt;/i&gt;, 2014)","plainTextFormattedCitation":"(Hanhart et al., 2014)","previouslyFormattedCitation":"(Hanhart &lt;i&gt;et al.&lt;/i&gt;, 2014)"},"properties":{"noteIndex":0},"schema":"https://github.com/citation-style-language/schema/raw/master/csl-citation.json"}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(Hanhart </w:t>
      </w:r>
      <w:r w:rsidR="00EF5222" w:rsidRPr="00EF5222">
        <w:rPr>
          <w:rFonts w:ascii="Arial" w:hAnsi="Arial" w:cs="Arial"/>
          <w:i/>
          <w:noProof/>
        </w:rPr>
        <w:t>et al.</w:t>
      </w:r>
      <w:r w:rsidR="00EF5222" w:rsidRPr="00EF5222">
        <w:rPr>
          <w:rFonts w:ascii="Arial" w:hAnsi="Arial" w:cs="Arial"/>
          <w:noProof/>
        </w:rPr>
        <w:t>, 2014)</w:t>
      </w:r>
      <w:r w:rsidR="00EF5222">
        <w:rPr>
          <w:rFonts w:ascii="Arial" w:hAnsi="Arial" w:cs="Arial"/>
        </w:rPr>
        <w:fldChar w:fldCharType="end"/>
      </w:r>
      <w:r w:rsidR="00EF5222">
        <w:rPr>
          <w:rFonts w:ascii="Arial" w:hAnsi="Arial" w:cs="Arial"/>
        </w:rPr>
        <w:t>,</w:t>
      </w:r>
      <w:r w:rsidRPr="00A519AC">
        <w:rPr>
          <w:rFonts w:ascii="Arial" w:hAnsi="Arial" w:cs="Arial"/>
        </w:rPr>
        <w:t xml:space="preserve"> reported a statistically significant reduction in the fellow eye among patients </w:t>
      </w:r>
      <w:r w:rsidR="00351A17">
        <w:rPr>
          <w:rFonts w:ascii="Arial" w:hAnsi="Arial" w:cs="Arial"/>
        </w:rPr>
        <w:t>with severe baseline edema (p=</w:t>
      </w:r>
      <w:r w:rsidRPr="00A519AC">
        <w:rPr>
          <w:rFonts w:ascii="Arial" w:hAnsi="Arial" w:cs="Arial"/>
        </w:rPr>
        <w:t>0.0005), also in the retrospective study by</w:t>
      </w:r>
      <w:r w:rsidR="00EF5222">
        <w:rPr>
          <w:rFonts w:ascii="Arial" w:hAnsi="Arial" w:cs="Arial"/>
        </w:rPr>
        <w:t xml:space="preserve"> </w:t>
      </w:r>
      <w:r w:rsidR="00EF5222">
        <w:rPr>
          <w:rFonts w:ascii="Arial" w:hAnsi="Arial" w:cs="Arial"/>
        </w:rPr>
        <w:fldChar w:fldCharType="begin" w:fldLock="1"/>
      </w:r>
      <w:r w:rsidR="00EF5222">
        <w:rPr>
          <w:rFonts w:ascii="Arial" w:hAnsi="Arial" w:cs="Arial"/>
        </w:rPr>
        <w:instrText>ADDIN CSL_CITATION {"citationItems":[{"id":"ITEM-1","itemData":{"DOI":"10.1089/jop.2013.0049","ISSN":"10807683","abstract":"Purpose: To find out whether intravitreally administered bevacizumab and ranibizumab affect the contralateral, untreated, eyes of patients with bilateral diabetic macular edema (DME). Methods: A retrospective review of patients with bilateral DME, who were treated with intravitreal bevacizumab or ranibizumab, was performed. All enrolled patients received intravitreal 1.25 mg bevacizumab or 0.5 mg ranibizumab in the eye with more severe macular edema. As outcome measures, best-corrected visual acuity (BCVA) was assessed with the Early Treatment Diabetic Retinopathy Study chart and central foveal thickness (CFT) measurement was obtained using optical coherence tomography-3 before and at 2 and 4 weeks after injections. Results: The study included 55 eyes of 55 patients who received bevacizumab (group 1) and 32 eyes of 32 patients who received ranibizumab (group 2). The mean age of the 55 patients [35 female (63.6%), 20 male (36.4%)] in group 1 was 54.31±12.67 years, and the mean age of the 32 patients [20 female (62.5%), 12 male (37.5%)] in group 2 was 56.01±13.29 years. The median BCVA in the uninjected eye showed no statistically significant change at any visit after either bevacizumab or ranibizumab injection (P=0.302, P=0.582, respectively). In group 1, the median CFT in the uninjected eye was 417 μm at baseline; this was reduced to 401 μm at 2 weeks and 372 μm at 4 weeks. The change in CFT was found to be statistically significant (P=0.009). No statistically significant change was found in the median CFT of uninjected eyes of patients treated with ranibizumab (399, 403, and 407 μm before and at 2 and 4 weeks after treatment, respectively). Conclusions: Compared with ranibizumab, intravitreal administration of bevacizumab resulted in a greater decrease in macular thickness in the untreated eye, in patients with bilateral DME. © Mary Ann Liebert, Inc. 2013.","author":[{"dropping-particle":"","family":"Bakbak","given":"Berker","non-dropping-particle":"","parse-names":false,"suffix":""},{"dropping-particle":"","family":"Ozturk","given":"Banu Turgut","non-dropping-particle":"","parse-names":false,"suffix":""},{"dropping-particle":"","family":"Gonul","given":"Saban","non-dropping-particle":"","parse-names":false,"suffix":""},{"dropping-particle":"","family":"Yilmaz","given":"Mevlut","non-dropping-particle":"","parse-names":false,"suffix":""},{"dropping-particle":"","family":"Gedik","given":"Sansal","non-dropping-particle":"","parse-names":false,"suffix":""}],"container-title":"Journal of Ocular Pharmacology and Therapeutics","id":"ITEM-1","issue":"8","issued":{"date-parts":[["2013"]]},"title":"Comparison of the effect of unilateral intravitreal bevacizumab and ranibizumab injection on diabetic macular edema of the fellow eye","type":"article-journal","volume":"29"},"uris":["http://www.mendeley.com/documents/?uuid=11626c68-ce36-3795-bc6f-1fe604e106c7"]}],"mendeley":{"formattedCitation":"(Bakbak &lt;i&gt;et al.&lt;/i&gt;, 2013)","plainTextFormattedCitation":"(Bakbak et al., 2013)","previouslyFormattedCitation":"(Bakbak &lt;i&gt;et al.&lt;/i&gt;, 2013)"},"properties":{"noteIndex":0},"schema":"https://github.com/citation-style-language/schema/raw/master/csl-citation.json"}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(Bakbak </w:t>
      </w:r>
      <w:r w:rsidR="00EF5222" w:rsidRPr="00EF5222">
        <w:rPr>
          <w:rFonts w:ascii="Arial" w:hAnsi="Arial" w:cs="Arial"/>
          <w:i/>
          <w:noProof/>
        </w:rPr>
        <w:t>et al.</w:t>
      </w:r>
      <w:r w:rsidR="00EF5222" w:rsidRPr="00EF5222">
        <w:rPr>
          <w:rFonts w:ascii="Arial" w:hAnsi="Arial" w:cs="Arial"/>
          <w:noProof/>
        </w:rPr>
        <w:t>, 2013)</w:t>
      </w:r>
      <w:r w:rsidR="00EF5222">
        <w:rPr>
          <w:rFonts w:ascii="Arial" w:hAnsi="Arial" w:cs="Arial"/>
        </w:rPr>
        <w:fldChar w:fldCharType="end"/>
      </w:r>
      <w:r w:rsidR="00EF5222">
        <w:rPr>
          <w:rFonts w:ascii="Arial" w:hAnsi="Arial" w:cs="Arial"/>
        </w:rPr>
        <w:t xml:space="preserve">, </w:t>
      </w:r>
      <w:r w:rsidRPr="00A519AC">
        <w:rPr>
          <w:rFonts w:ascii="Arial" w:hAnsi="Arial" w:cs="Arial"/>
        </w:rPr>
        <w:t xml:space="preserve"> included 39 patients with bilateral DME and reported a significant reduction in CSMT of the un-injected eye, </w:t>
      </w:r>
      <w:r w:rsidR="00351A17">
        <w:rPr>
          <w:rFonts w:ascii="Arial" w:hAnsi="Arial" w:cs="Arial"/>
        </w:rPr>
        <w:t xml:space="preserve"> after four week follow-up (p=</w:t>
      </w:r>
      <w:r w:rsidRPr="00A519AC">
        <w:rPr>
          <w:rFonts w:ascii="Arial" w:hAnsi="Arial" w:cs="Arial"/>
        </w:rPr>
        <w:t>0.036), this findings may be contributed by several factors, they used a retrospective design, conducted over one year, and may be subjected to selection bias, particularly due to small sample size also the study sample population consisted exclusively the individuals with controlled hypertension. Furthermore, the noticeably higher baseline CSMT in their cohort brought about more room for measurable anatomical outcome.</w:t>
      </w:r>
    </w:p>
    <w:p w14:paraId="19B83835" w14:textId="77777777" w:rsidR="00A519AC" w:rsidRPr="00A519AC" w:rsidRDefault="00A519AC" w:rsidP="00EF5222">
      <w:pPr>
        <w:pStyle w:val="Body"/>
        <w:ind w:right="720"/>
        <w:rPr>
          <w:rFonts w:ascii="Arial" w:hAnsi="Arial" w:cs="Arial"/>
        </w:rPr>
      </w:pPr>
      <w:r w:rsidRPr="00A519AC">
        <w:rPr>
          <w:rFonts w:ascii="Arial" w:hAnsi="Arial" w:cs="Arial"/>
        </w:rPr>
        <w:t>This study was conducted among home-grown Black Tanzanian patients, a population that may parade unique genetic and vascular traits which may influence treatment response. Previous studies proposed that individuals of African descent have discrete choroidal thickness, lower retinal capillary density, and elevated VEGF and inflammatory markers</w:t>
      </w:r>
      <w:r w:rsidR="00EF5222">
        <w:rPr>
          <w:rFonts w:ascii="Arial" w:hAnsi="Arial" w:cs="Arial"/>
        </w:rPr>
        <w:t xml:space="preserve"> </w:t>
      </w:r>
      <w:r w:rsidR="00EF5222">
        <w:rPr>
          <w:rFonts w:ascii="Arial" w:hAnsi="Arial" w:cs="Arial"/>
        </w:rPr>
        <w:fldChar w:fldCharType="begin" w:fldLock="1"/>
      </w:r>
      <w:r w:rsidR="00EF5222">
        <w:rPr>
          <w:rFonts w:ascii="Arial" w:hAnsi="Arial" w:cs="Arial"/>
        </w:rPr>
        <w:instrText>ADDIN CSL_CITATION {"citationItems":[{"id":"ITEM-1","itemData":{"DOI":"10.1016/j.ajo.2020.09.042","ISSN":"18791891","abstract":"Purpose: To determine the impact of race and ethnicity on efficacy of intravitreal bevacizumab for diabetic macular edema in anti–vascular endothelial growth factor (VEGF) treatment–naive patients. Design: Retrospective cohort study. Methods: SETTING: Urban-based academic institution with affiliated private offices. STUDY POPULATION: Intravitreal anti-VEGF naïve patients seen between 2010 and 2019 of White (W) race, Black (B) race, or Hispanic (H) ethnicity aged 18 years and older with diabetic macular edema who received intravitreal injections of bevacizumab. Exclusion criteria were prior intravitreal anti-VEGF treatment, invasive ophthalmologic interventions, and laser treatments within 3 months prior to first injection through the duration of the study. EXPOSURES: Intravitreal bevacizumab. MAIN OUTCOMES MEASURES: Percentage of patients with visual acuity (VA) improvement and mean percentage reduction in central macular thickness (CMT). Results: Percentage with VA improvement was 27% vs 39% vs 50% after 1 injection (n = 314), and 34% vs 55% vs 59% after 3 injections (n = 150) for B, H, and W cohorts, respectively. Black patients experienced lower odds of VA improvement compared with White and Hispanic patients after 1 injection (odds of 0.480, CI 0.284-0.814, P = .006) and 3 injections (odds of 0.342, CI 0.149-0.782, P = .008) while controlling for age, sex, baseline glycated hemoglobin (HbA1c), baseline CMT, baseline VA, laser history, injection time course, and follow-up delay. Conclusions: Black patients had a significantly lower likelihood of visual acuity improvement following intravitreal bevacizumab treatment compared with White and Hispanic patients. Further research is warranted to understand the effect of race and ethnicity on anti-VEGF efficacy to ensure optimal treatment for each individual.","author":[{"dropping-particle":"","family":"Osathanugrah","given":"Pawarissara","non-dropping-particle":"","parse-names":false,"suffix":""},{"dropping-particle":"","family":"Sanjiv","given":"Nayan","non-dropping-particle":"","parse-names":false,"suffix":""},{"dropping-particle":"","family":"Siegel","given":"Nicole H.","non-dropping-particle":"","parse-names":false,"suffix":""},{"dropping-particle":"","family":"Ness","given":"Steven","non-dropping-particle":"","parse-names":false,"suffix":""},{"dropping-particle":"","family":"Chen","given":"Xuejing","non-dropping-particle":"","parse-names":false,"suffix":""},{"dropping-particle":"","family":"Subramanian","given":"Manju L.","non-dropping-particle":"","parse-names":false,"suffix":""}],"container-title":"American Journal of Ophthalmology","id":"ITEM-1","issued":{"date-parts":[["2021"]]},"title":"The Impact of Race on Short-term Treatment Response to Bevacizumab in Diabetic Macular Edema","type":"article-journal","volume":"222"},"uris":["http://www.mendeley.com/documents/?uuid=611ce9fe-c8da-3a2e-bf99-22041a5801e4"]}],"mendeley":{"formattedCitation":"(Osathanugrah &lt;i&gt;et al.&lt;/i&gt;, 2021)","plainTextFormattedCitation":"(Osathanugrah et al., 2021)","previouslyFormattedCitation":"(Osathanugrah &lt;i&gt;et al.&lt;/i&gt;, 2021)"},"properties":{"noteIndex":0},"schema":"https://github.com/citation-style-language/schema/raw/master/csl-citation.json"}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(Osathanugrah </w:t>
      </w:r>
      <w:r w:rsidR="00EF5222" w:rsidRPr="00EF5222">
        <w:rPr>
          <w:rFonts w:ascii="Arial" w:hAnsi="Arial" w:cs="Arial"/>
          <w:i/>
          <w:noProof/>
        </w:rPr>
        <w:t>et al.</w:t>
      </w:r>
      <w:r w:rsidR="00EF5222" w:rsidRPr="00EF5222">
        <w:rPr>
          <w:rFonts w:ascii="Arial" w:hAnsi="Arial" w:cs="Arial"/>
          <w:noProof/>
        </w:rPr>
        <w:t>, 2021)</w:t>
      </w:r>
      <w:r w:rsidR="00EF5222">
        <w:rPr>
          <w:rFonts w:ascii="Arial" w:hAnsi="Arial" w:cs="Arial"/>
        </w:rPr>
        <w:fldChar w:fldCharType="end"/>
      </w:r>
      <w:r w:rsidRPr="00A519AC">
        <w:rPr>
          <w:rFonts w:ascii="Arial" w:hAnsi="Arial" w:cs="Arial"/>
        </w:rPr>
        <w:t xml:space="preserve">. These variations can reduce systemic drug diffusion and tissue penetration of bevacizumab, possibly contributing to the lack of significant anatomical change witnessed in the contralateral </w:t>
      </w:r>
      <w:proofErr w:type="gramStart"/>
      <w:r w:rsidRPr="00A519AC">
        <w:rPr>
          <w:rFonts w:ascii="Arial" w:hAnsi="Arial" w:cs="Arial"/>
        </w:rPr>
        <w:t xml:space="preserve">eye,   </w:t>
      </w:r>
      <w:proofErr w:type="gramEnd"/>
      <w:r w:rsidRPr="00A519AC">
        <w:rPr>
          <w:rFonts w:ascii="Arial" w:hAnsi="Arial" w:cs="Arial"/>
        </w:rPr>
        <w:t xml:space="preserve">Additional factor could be the imaging modality used, in this study the Time Domain OCT was used, which is less sensitive than the Spectral Domain OCT employed in several comparative studies, potentially leading to under-detection of subtle changes. </w:t>
      </w:r>
    </w:p>
    <w:p w14:paraId="4B51081E" w14:textId="77777777" w:rsidR="00A519AC" w:rsidRPr="00A519AC" w:rsidRDefault="00A519AC" w:rsidP="00EF5222">
      <w:pPr>
        <w:pStyle w:val="Body"/>
        <w:ind w:right="720"/>
        <w:rPr>
          <w:rFonts w:ascii="Arial" w:hAnsi="Arial" w:cs="Arial"/>
        </w:rPr>
      </w:pPr>
      <w:proofErr w:type="gramStart"/>
      <w:r w:rsidRPr="00A519AC">
        <w:rPr>
          <w:rFonts w:ascii="Arial" w:hAnsi="Arial" w:cs="Arial"/>
        </w:rPr>
        <w:t>Also</w:t>
      </w:r>
      <w:proofErr w:type="gramEnd"/>
      <w:r w:rsidRPr="00A519AC">
        <w:rPr>
          <w:rFonts w:ascii="Arial" w:hAnsi="Arial" w:cs="Arial"/>
        </w:rPr>
        <w:t xml:space="preserve"> in this study found that the median </w:t>
      </w:r>
      <w:proofErr w:type="spellStart"/>
      <w:r w:rsidR="00351A17" w:rsidRPr="00A519AC">
        <w:rPr>
          <w:rFonts w:ascii="Arial" w:hAnsi="Arial" w:cs="Arial"/>
        </w:rPr>
        <w:t>LogMAR</w:t>
      </w:r>
      <w:proofErr w:type="spellEnd"/>
      <w:r w:rsidRPr="00A519AC">
        <w:rPr>
          <w:rFonts w:ascii="Arial" w:hAnsi="Arial" w:cs="Arial"/>
        </w:rPr>
        <w:t xml:space="preserve"> VA in the contralateral eye remained unchanged at 0.3(6/12), both at baseline and at four weeks post-injection. </w:t>
      </w:r>
      <w:proofErr w:type="gramStart"/>
      <w:r w:rsidRPr="00A519AC">
        <w:rPr>
          <w:rFonts w:ascii="Arial" w:hAnsi="Arial" w:cs="Arial"/>
        </w:rPr>
        <w:t>This results</w:t>
      </w:r>
      <w:proofErr w:type="gramEnd"/>
      <w:r w:rsidRPr="00A519AC">
        <w:rPr>
          <w:rFonts w:ascii="Arial" w:hAnsi="Arial" w:cs="Arial"/>
        </w:rPr>
        <w:t xml:space="preserve"> was not</w:t>
      </w:r>
      <w:r w:rsidR="00351A17">
        <w:rPr>
          <w:rFonts w:ascii="Arial" w:hAnsi="Arial" w:cs="Arial"/>
        </w:rPr>
        <w:t xml:space="preserve"> statistically significant (p=</w:t>
      </w:r>
      <w:r w:rsidRPr="00A519AC">
        <w:rPr>
          <w:rFonts w:ascii="Arial" w:hAnsi="Arial" w:cs="Arial"/>
        </w:rPr>
        <w:t xml:space="preserve">0.1154). In this study’s findings observed to be aligned with those of </w:t>
      </w:r>
      <w:r w:rsidR="00EF5222">
        <w:rPr>
          <w:rFonts w:ascii="Arial" w:hAnsi="Arial" w:cs="Arial"/>
        </w:rPr>
        <w:fldChar w:fldCharType="begin" w:fldLock="1"/>
      </w:r>
      <w:r w:rsidR="00EF5222">
        <w:rPr>
          <w:rFonts w:ascii="Arial" w:hAnsi="Arial" w:cs="Arial"/>
        </w:rPr>
        <w:instrText>ADDIN CSL_CITATION {"citationItems":[{"id":"ITEM-1","itemData":{"DOI":"10.1177/2474126418819059","ISSN":"2474-1264","author":[{"dropping-particle":"","family":"Malbin","given":"Brett","non-dropping-particle":"","parse-names":false,"suffix":""},{"dropping-particle":"","family":"Patel","given":"Harshad P.","non-dropping-particle":"","parse-names":false,"suffix":""},{"dropping-particle":"","family":"He","given":"Yuguang","non-dropping-particle":"","parse-names":false,"suffix":""},{"dropping-particle":"","family":"Le","given":"Kim","non-dropping-particle":"","parse-names":false,"suffix":""},{"dropping-particle":"","family":"Lin","given":"Xihui","non-dropping-particle":"","parse-names":false,"suffix":""}],"container-title":"Journal of VitreoRetinal Diseases","id":"ITEM-1","issue":"2","issued":{"date-parts":[["2019","3"]]},"page":"86-89","publisher":"SAGE Publications","title":"Comparative Eye Effect of Unilateral Intravitreal Bevacizumab, Ranibizumab, and Aflibercept for Diabetic Macular Edema","type":"article-journal","volume":"3"},"uris":["http://www.mendeley.com/documents/?uuid=7df5bc88-61b9-373b-bcc1-484d69bf3ee9"]}],"mendeley":{"formattedCitation":"(Malbin &lt;i&gt;et al.&lt;/i&gt;, 2019)","plainTextFormattedCitation":"(Malbin et al., 2019)","previouslyFormattedCitation":"(Malbin &lt;i&gt;et al.&lt;/i&gt;, 2019)"},"properties":{"noteIndex":0},"schema":"https://github.com/citation-style-language/schema/raw/master/csl-citation.json"}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(Malbin </w:t>
      </w:r>
      <w:r w:rsidR="00EF5222" w:rsidRPr="00EF5222">
        <w:rPr>
          <w:rFonts w:ascii="Arial" w:hAnsi="Arial" w:cs="Arial"/>
          <w:i/>
          <w:noProof/>
        </w:rPr>
        <w:t>et al.</w:t>
      </w:r>
      <w:r w:rsidR="00EF5222" w:rsidRPr="00EF5222">
        <w:rPr>
          <w:rFonts w:ascii="Arial" w:hAnsi="Arial" w:cs="Arial"/>
          <w:noProof/>
        </w:rPr>
        <w:t>, 2019)</w:t>
      </w:r>
      <w:r w:rsidR="00EF5222">
        <w:rPr>
          <w:rFonts w:ascii="Arial" w:hAnsi="Arial" w:cs="Arial"/>
        </w:rPr>
        <w:fldChar w:fldCharType="end"/>
      </w:r>
      <w:r w:rsidRPr="00A519AC">
        <w:rPr>
          <w:rFonts w:ascii="Arial" w:hAnsi="Arial" w:cs="Arial"/>
        </w:rPr>
        <w:t>, who witnessed no statistically significant change in the contralateral eye’s VA after unilateral IVB injection.</w:t>
      </w:r>
      <w:r w:rsidR="00EF5222">
        <w:rPr>
          <w:rFonts w:ascii="Arial" w:hAnsi="Arial" w:cs="Arial"/>
        </w:rPr>
        <w:t xml:space="preserve"> </w:t>
      </w:r>
      <w:r w:rsidR="00EF5222">
        <w:rPr>
          <w:rFonts w:ascii="Arial" w:hAnsi="Arial" w:cs="Arial"/>
        </w:rPr>
        <w:fldChar w:fldCharType="begin" w:fldLock="1"/>
      </w:r>
      <w:r w:rsidR="00EF5222">
        <w:rPr>
          <w:rFonts w:ascii="Arial" w:hAnsi="Arial" w:cs="Arial"/>
        </w:rPr>
        <w:instrText>ADDIN CSL_CITATION {"citationItems":[{"id":"ITEM-1","itemData":{"DOI":"10.1038/eye.2014.94","ISSN":"14765454","abstract":"AimsAnti-vascular endothelial growth factor compounds are routinely used for the treatment of diabetic macular edema (DME). We aim to evaluate for the existence and magnitude of treatment effect on fellow un-injected eyes.MethodsA consecutive group of patients with bilateral DME who received unilateral bevacizumab injections was retrospectively evaluated. Data collected included demographics, ophthalmic and systemic findings, and optical coherence tomography (OCT) measurements of macular thickness.ResultsThirty-five patients were evaluated. Mean follow-up was 245 days (range: 30-800), and the mean number of bevacizumab injections was 3.6 (range: 1-11). At end of follow-up, the mean (SD) OCT central subfield thickness reduced by 72±112 micron in the injected eye (from 469±139 to 397±120 micron; P=0.001), while in the non-injected eye it reduced by 49±75 micron (from 380±130 to 331±106 micron; P&lt;0.001). Sixteen injected eyes (45.7%) showed central subfield thickness reduction of ≥50 micron while 10 (28.6%) non-injected eyes showed such thickness reduction. Improved VA following treatment was detected in 14 (40%) injected eyes and in 15 (43%) non-injected eyes.ConclusionsUnilateral bevacizumab injections in patients with bilateral DME are often associated with bilateral response.Summary StatementAnti-vascular endothelial growth factor compounds are routinely used for the treatment of diabetic macular edema (DME). In this retrospective study, we show that unilateral bevacizumab injections often result in reduction of the macular thickness in the fellow un-injected eye. © 2014 Macmillan Publishers Limited.","author":[{"dropping-particle":"","family":"Hanhart","given":"J.","non-dropping-particle":"","parse-names":false,"suffix":""},{"dropping-particle":"","family":"Tiosano","given":"L.","non-dropping-particle":"","parse-names":false,"suffix":""},{"dropping-particle":"","family":"Averbukh","given":"E.","non-dropping-particle":"","parse-names":false,"suffix":""},{"dropping-particle":"","family":"Banin","given":"E.","non-dropping-particle":"","parse-names":false,"suffix":""},{"dropping-particle":"","family":"Hemo","given":"I.","non-dropping-particle":"","parse-names":false,"suffix":""},{"dropping-particle":"","family":"Chowers","given":"I.","non-dropping-particle":"","parse-names":false,"suffix":""}],"container-title":"Eye (Basingstoke)","id":"ITEM-1","issue":"6","issued":{"date-parts":[["2014"]]},"title":"Fellow eye effect of unilateral intravitreal bevacizumab injection in eyes with diabetic macular edema","type":"article-journal","volume":"28"},"uris":["http://www.mendeley.com/documents/?uuid=1e73003f-09f3-3afb-abc1-fe38f56c03d8"]}],"mendeley":{"formattedCitation":"(Hanhart &lt;i&gt;et al.&lt;/i&gt;, 2014)","plainTextFormattedCitation":"(Hanhart et al., 2014)","previouslyFormattedCitation":"(Hanhart &lt;i&gt;et al.&lt;/i&gt;, 2014)"},"properties":{"noteIndex":0},"schema":"https://github.com/citation-style-language/schema/raw/master/csl-citation.json"}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(Hanhart </w:t>
      </w:r>
      <w:r w:rsidR="00EF5222" w:rsidRPr="00EF5222">
        <w:rPr>
          <w:rFonts w:ascii="Arial" w:hAnsi="Arial" w:cs="Arial"/>
          <w:i/>
          <w:noProof/>
        </w:rPr>
        <w:t>et al.</w:t>
      </w:r>
      <w:r w:rsidR="00EF5222" w:rsidRPr="00EF5222">
        <w:rPr>
          <w:rFonts w:ascii="Arial" w:hAnsi="Arial" w:cs="Arial"/>
          <w:noProof/>
        </w:rPr>
        <w:t>, 2014)</w:t>
      </w:r>
      <w:r w:rsidR="00EF5222">
        <w:rPr>
          <w:rFonts w:ascii="Arial" w:hAnsi="Arial" w:cs="Arial"/>
        </w:rPr>
        <w:fldChar w:fldCharType="end"/>
      </w:r>
      <w:r w:rsidRPr="00A519AC">
        <w:rPr>
          <w:rFonts w:ascii="Arial" w:hAnsi="Arial" w:cs="Arial"/>
        </w:rPr>
        <w:t xml:space="preserve"> Also showed no significant short-term visual improvement in the fellow eye. These studies support the conclusion that systemic spillover of bevacizumab after a single injection may not be sufficient to affect functional outcomes in the un-injected eye. </w:t>
      </w:r>
    </w:p>
    <w:p w14:paraId="7EB14FF2" w14:textId="77777777" w:rsidR="00A519AC" w:rsidRPr="00A519AC" w:rsidRDefault="00A519AC" w:rsidP="00EF5222">
      <w:pPr>
        <w:pStyle w:val="Body"/>
        <w:ind w:right="720"/>
        <w:rPr>
          <w:rFonts w:ascii="Arial" w:hAnsi="Arial" w:cs="Arial"/>
        </w:rPr>
      </w:pPr>
      <w:r w:rsidRPr="00A519AC">
        <w:rPr>
          <w:rFonts w:ascii="Arial" w:hAnsi="Arial" w:cs="Arial"/>
        </w:rPr>
        <w:t xml:space="preserve">In contrast, few studies have reported meaningful improvement in fellow eye VA. However, most of these either lacked statistical rigor or had very small sample sizes, For example, </w:t>
      </w:r>
      <w:r w:rsidR="00EF5222">
        <w:rPr>
          <w:rFonts w:ascii="Arial" w:hAnsi="Arial" w:cs="Arial"/>
        </w:rPr>
        <w:fldChar w:fldCharType="begin" w:fldLock="1"/>
      </w:r>
      <w:r w:rsidR="00EF5222">
        <w:rPr>
          <w:rFonts w:ascii="Arial" w:hAnsi="Arial" w:cs="Arial"/>
        </w:rPr>
        <w:instrText>ADDIN CSL_CITATION {"citationItems":[{"id":"ITEM-1","itemData":{"DOI":"10.4103/0974-620X.176100","ISSN":"09747842","abstract":"Purpose: To compare the effects of bevacizumab and ranibizumab on the visual function and macular thickness in the contralateral (untreated) eye of patients with bilateral diabetic macular edema (DME). Materials and Methods: Thirty-nine patients with bilateral DME, who had been treated with both bevacizumab and ranibizumab in the same eye, were considered retrospectively for this study. Recorded outcome measurements included the best-corrected visual acuity (BCVA) assessment with the Early Treatment Diabetic Retinopathy Study (ETDRS) chart and the central subfield macular thickness (CSMT) measurement of the contralateral, uninjected eye before and at 4 weeks after the injections. Results: The median BCVA of the uninjected eye was 50 ETDRS letters and the median CSMT was 459 μm preceding the bevacizumab injection whereas at the control appointment, 4 weeks after the injection, the median BCVA had increased to 52 letters (P = 0.098), and the median CSMT had decreased to 390 μm (P = 0.036). The mean interval between the bevacizumab and ranibizumab treatments was 4.79 1.52 months. The measurements of the untreated eye after the ranibizumab treatment showed that the median BCVA decreased from 55 to 52 letters, and the median CSMT increased from 361 μm to 418 μm (P = 0.148 and P = 0.109, respectively). Conclusions: In contrast to ranibizumab, the intravitreal administration of bevacizumab resulted in a statistically significant decrease in macular thickness in the untreated eye in patients with bilateral DME.","author":[{"dropping-particle":"","family":"Bakbak","given":"Berker","non-dropping-particle":"","parse-names":false,"suffix":""},{"dropping-particle":"","family":"Ozturk","given":"Banu","non-dropping-particle":"","parse-names":false,"suffix":""},{"dropping-particle":"","family":"Gonul","given":"Saban","non-dropping-particle":"","parse-names":false,"suffix":""},{"dropping-particle":"","family":"Gedik","given":"Sansal","non-dropping-particle":"","parse-names":false,"suffix":""}],"container-title":"Oman Journal of Ophthalmology","id":"ITEM-1","issue":"1","issued":{"date-parts":[["2016"]]},"title":"The effect of intravitreal bevacizumab and ranibizumab on macular edema of the contralateral eye: A comparative study of two anti-VEGFs","type":"article-journal","volume":"9"},"uris":["http://www.mendeley.com/documents/?uuid=8291b8bf-1211-3021-bc6b-3681a4c9bad2"]}],"mendeley":{"formattedCitation":"(Bakbak &lt;i&gt;et al.&lt;/i&gt;, 2016)","plainTextFormattedCitation":"(Bakbak et al., 2016)","previouslyFormattedCitation":"(Bakbak &lt;i&gt;et al.&lt;/i&gt;, 2016)"},"properties":{"noteIndex":0},"schema":"https://github.com/citation-style-language/schema/raw/master/csl-citation.json"}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(Bakbak </w:t>
      </w:r>
      <w:r w:rsidR="00EF5222" w:rsidRPr="00EF5222">
        <w:rPr>
          <w:rFonts w:ascii="Arial" w:hAnsi="Arial" w:cs="Arial"/>
          <w:i/>
          <w:noProof/>
        </w:rPr>
        <w:t>et al.</w:t>
      </w:r>
      <w:r w:rsidR="00EF5222" w:rsidRPr="00EF5222">
        <w:rPr>
          <w:rFonts w:ascii="Arial" w:hAnsi="Arial" w:cs="Arial"/>
          <w:noProof/>
        </w:rPr>
        <w:t>, 2016)</w:t>
      </w:r>
      <w:r w:rsidR="00EF5222">
        <w:rPr>
          <w:rFonts w:ascii="Arial" w:hAnsi="Arial" w:cs="Arial"/>
        </w:rPr>
        <w:fldChar w:fldCharType="end"/>
      </w:r>
      <w:r w:rsidRPr="00A519AC">
        <w:rPr>
          <w:rFonts w:ascii="Arial" w:hAnsi="Arial" w:cs="Arial"/>
        </w:rPr>
        <w:t xml:space="preserve"> noted a mild non-significant trend toward improved VA, which they suggested could be due to baseline imbalances rather than treatment effect. The result in this study may be contributed by several factors, the relatively preserved baseline VA in the untreated eyes reduces the likelihood of noticeable short-term functional gains, also visual acuity improvement may lag behind anatomical recovery or may not occur at all if neuro-retinal damaged, which is common in chronic DME cases.  </w:t>
      </w:r>
    </w:p>
    <w:p w14:paraId="7354EA13" w14:textId="77777777" w:rsidR="00A519AC" w:rsidRPr="00A519AC" w:rsidRDefault="00A519AC" w:rsidP="00EF5222">
      <w:pPr>
        <w:pStyle w:val="Body"/>
        <w:ind w:right="720"/>
        <w:rPr>
          <w:rFonts w:ascii="Arial" w:hAnsi="Arial" w:cs="Arial"/>
        </w:rPr>
      </w:pPr>
      <w:r w:rsidRPr="00A519AC">
        <w:rPr>
          <w:rFonts w:ascii="Arial" w:hAnsi="Arial" w:cs="Arial"/>
        </w:rPr>
        <w:t xml:space="preserve">Without lagging behind this study also looked on the factors that were associated with the structural and function outcomes, in this study found that Hypertension was significantly associated with increased CMT in the untreated eye. This was consistent with </w:t>
      </w:r>
      <w:r w:rsidR="00EF5222">
        <w:rPr>
          <w:rFonts w:ascii="Arial" w:hAnsi="Arial" w:cs="Arial"/>
        </w:rPr>
        <w:fldChar w:fldCharType="begin" w:fldLock="1"/>
      </w:r>
      <w:r w:rsidR="00EF5222">
        <w:rPr>
          <w:rFonts w:ascii="Arial" w:hAnsi="Arial" w:cs="Arial"/>
        </w:rPr>
        <w:instrText>ADDIN CSL_CITATION {"citationItems":[{"id":"ITEM-1","itemData":{"DOI":"10.9734/or/2020/v12i430153","abstract":"Background: Diabetic macular edema is a type of diabetic maculopathy affecting the central vision, ranging from mild blur to blindness. Laser photocoagulation has been the mainstay of treatment for the past three decades but it has a limited role in improving the central vision. Recent introduction of anti-vascular endothelial growth factors appears to be promising in restoring vision. However, due to its short half life multiple injections are required to control edema and maintain vision. Objectives: To determine the visual and anatomical outcomes of intravitreal bevacizumab in patients with diabetic macular edema.\r Methods: A hospital based retrospective cross-sectional study was done at Kilimanjaro Christian Medical Center eye department from 2011- 2015. During this time, patients with  diabetic macular edema who were given intravitreal bevacizumab and satisfied the inclusion criteria were included in the study. Visual acuity, central macular thickness and macular volume were recorded at baseline, six, twelve, eighteen, twenty four and thirty weeks respectively. Optical coherence tomography was used to record central macular thickness and macular volume. Univariate and multivariate binary regression analysis were done and the p-value, odds ratio and 95% confidence interval were calculated.\r Results: The prevalence of Diabetic macular edema was 15.4%. Mean baseline visual acuity improved from  0.9 ± 0.57 log MAR (6/48) to 0.6±0.49 log MAR (6/24) (95% CI 0.207 - 0.389) at 30 weeks. The mean baseline central macular thickness decreased from 426.97 ± 148.358 μm to 280.98 ± 95.89  μm at 30 weeks (95% 151.531 - 187.044, P &lt; .001). The mean baseline macular volume decreased significantly from 10.59 ± 2.55 mm3 to 8.38 ± 1.498 mm3 (95% CI 1.860 - 2.886) at 30 weeks. In multivariate analysis, patients with no hypertension were more likely to have a better visual outcome of 6/18 or better (95% CI 1.064 - 4.420, P &lt; .033).\r Conclusion: This study shows a high burden of diabetic macular edema in our setting. Intravitreal bevacizumab injection results in better visual and anatomical outcomes.","author":[{"dropping-particle":"","family":"Kanji","given":"Shariza","non-dropping-particle":"","parse-names":false,"suffix":""},{"dropping-particle":"","family":"Dhalla","given":"Kazim","non-dropping-particle":"","parse-names":false,"suffix":""},{"dropping-particle":"","family":"Makupa","given":"William","non-dropping-particle":"","parse-names":false,"suffix":""}],"container-title":"Ophthalmology Research: An International Journal","id":"ITEM-1","issued":{"date-parts":[["2020"]]},"title":"Outcomes of Intravitreal Bevacizumab in Patients with Diabetic Macular Edema at a Tertiary Hospital in Northern Tanzania","type":"article-journal"},"uris":["http://www.mendeley.com/documents/?uuid=5825f4fd-4cc0-37db-a7e7-d01d05831a42"]}],"mendeley":{"formattedCitation":"(Kanji, Dhalla and Makupa, 2020)","plainTextFormattedCitation":"(Kanji, Dhalla and Makupa, 2020)","previouslyFormattedCitation":"(Kanji, Dhalla and Makupa, 2020)"},"properties":{"noteIndex":0},"schema":"https://github.com/citation-style-language/schema/raw/master/csl-citation.json"}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(Kanji, Dhalla and Makupa, 2020)</w:t>
      </w:r>
      <w:r w:rsidR="00EF5222">
        <w:rPr>
          <w:rFonts w:ascii="Arial" w:hAnsi="Arial" w:cs="Arial"/>
        </w:rPr>
        <w:fldChar w:fldCharType="end"/>
      </w:r>
      <w:r w:rsidRPr="00A519AC">
        <w:rPr>
          <w:rFonts w:ascii="Arial" w:hAnsi="Arial" w:cs="Arial"/>
        </w:rPr>
        <w:t xml:space="preserve"> in Tanzania, who found that hypertension negatively influenced visual outcomes in diabetic retinopathy. Raised systemic blood pressure may aggravate retinal capillary leak and prevent the therapeutic effect to VEGF. Furthermore, patients with a history of PRP showed </w:t>
      </w:r>
      <w:r w:rsidRPr="00A519AC">
        <w:rPr>
          <w:rFonts w:ascii="Arial" w:hAnsi="Arial" w:cs="Arial"/>
        </w:rPr>
        <w:lastRenderedPageBreak/>
        <w:t>reduced CMT, possibly due to worse baseline CSMT or better retinal metabolic status.</w:t>
      </w:r>
    </w:p>
    <w:p w14:paraId="1BA4E227" w14:textId="77777777" w:rsidR="00A519AC" w:rsidRPr="00A519AC" w:rsidRDefault="00A519AC" w:rsidP="00EF5222">
      <w:pPr>
        <w:pStyle w:val="Body"/>
        <w:ind w:right="720"/>
        <w:rPr>
          <w:rFonts w:ascii="Arial" w:hAnsi="Arial" w:cs="Arial"/>
        </w:rPr>
      </w:pPr>
      <w:r w:rsidRPr="00A519AC">
        <w:rPr>
          <w:rFonts w:ascii="Arial" w:hAnsi="Arial" w:cs="Arial"/>
        </w:rPr>
        <w:t xml:space="preserve">Additionally Serum creatinine was confidently associated with increased CMT, this is biologically possible since renal dysfunction often cohabits with diabetic retinopathy as part of systemic micro-vascular disease, furthermore a similar findings were reported by </w:t>
      </w:r>
      <w:r w:rsidR="00EF5222">
        <w:rPr>
          <w:rFonts w:ascii="Arial" w:hAnsi="Arial" w:cs="Arial"/>
        </w:rPr>
        <w:fldChar w:fldCharType="begin" w:fldLock="1"/>
      </w:r>
      <w:r w:rsidR="00EF5222">
        <w:rPr>
          <w:rFonts w:ascii="Arial" w:hAnsi="Arial" w:cs="Arial"/>
        </w:rPr>
        <w:instrText>ADDIN CSL_CITATION {"citationItems":[{"id":"ITEM-1","itemData":{"DOI":"10.1186/s12886-024-03432-7","ISSN":"14712415","abstract":"Background: This study investigated the effects of systemic factors in response to intravitreal injections in patients with macular edema due to non-proliferative diabetic retinopathy (NPDR). Methods: We retrospectively reviewed the medical records of patients treated with intravitreal injections for macular edema secondary to NPDR between January 2018 and January 2021. The patients were divided into three groups according to the injection response. When patients with diabetic macular edema showed 20µ or more reduction in central retinal thickness compared to baseline, they were classified as responsive group, and if not, they were classified as refractory group. The responsive group was further divided into the complete and incomplete response groups. Patients with complete disappearance of edema at seven months were classified as the complete response group, whereas those in which edema did not disappear were classified as the incomplete response group. The clinical characteristics of each group, including medical history, ophthalmic examination results, and laboratory examination results at the time of diagnosis, were analyzed. Results: Of the 112 eyes (91 patients) that satisfied the inclusion criteria, 89 (77 patients) in the responsive group and 23 (14 patients) in the refractory group were included in the analysis. The responsive group was further divided into the complete (51 eyes) and incomplete (38 eyes) response groups. The refractory group had significantly higher glycated hemoglobin levels and significantly lower estimated glomerular filtration rates than the responsive group (p = 0.026 and p = 0.012, respectively). In the multivariate logistic regression analysis, both factors were found to be significant in predicting the degree of response (all p &lt; 0.05). No factor showed a significant difference between the incomplete and complete response groups(all p &gt; 0.05). Conclusions: In macular edema caused by NPDR, low glomerular filtration rates and high glycated hemoglobin levels may be used as predictors of poor response to intravitreal injection therapy. In addition to blood glucose control, education should be provided regarding the need for the continuous monitoring of renal function.","author":[{"dropping-particle":"","family":"Lee","given":"So Hyung","non-dropping-particle":"","parse-names":false,"suffix":""},{"dropping-particle":"","family":"Lee","given":"Geun Woo","non-dropping-particle":"","parse-names":false,"suffix":""},{"dropping-particle":"","family":"Lee","given":"Soo Jung","non-dropping-particle":"","parse-names":false,"suffix":""},{"dropping-particle":"","family":"Kim","given":"Seong Gyu","non-dropping-particle":"","parse-names":false,"suffix":""}],"container-title":"BMC Ophthalmology","id":"ITEM-1","issue":"1","issued":{"date-parts":[["2024"]]},"page":"1-7","title":"Association between the response of intravitreal antivascular endothelial growth factor injection and systemic factors of diabetic macular edema","type":"article-journal","volume":"24"},"uris":["http://www.mendeley.com/documents/?uuid=59d26e65-1413-4348-ba28-3f5369affc98"]}],"mendeley":{"formattedCitation":"(Lee &lt;i&gt;et al.&lt;/i&gt;, 2024)","plainTextFormattedCitation":"(Lee et al., 2024)","previouslyFormattedCitation":"(Lee &lt;i&gt;et al.&lt;/i&gt;, 2024)"},"properties":{"noteIndex":0},"schema":"https://github.com/citation-style-language/schema/raw/master/csl-citation.json"}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(Lee </w:t>
      </w:r>
      <w:r w:rsidR="00EF5222" w:rsidRPr="00EF5222">
        <w:rPr>
          <w:rFonts w:ascii="Arial" w:hAnsi="Arial" w:cs="Arial"/>
          <w:i/>
          <w:noProof/>
        </w:rPr>
        <w:t>et al.</w:t>
      </w:r>
      <w:r w:rsidR="00EF5222" w:rsidRPr="00EF5222">
        <w:rPr>
          <w:rFonts w:ascii="Arial" w:hAnsi="Arial" w:cs="Arial"/>
          <w:noProof/>
        </w:rPr>
        <w:t>, 2024)</w:t>
      </w:r>
      <w:r w:rsidR="00EF5222">
        <w:rPr>
          <w:rFonts w:ascii="Arial" w:hAnsi="Arial" w:cs="Arial"/>
        </w:rPr>
        <w:fldChar w:fldCharType="end"/>
      </w:r>
      <w:r w:rsidRPr="00A519AC">
        <w:rPr>
          <w:rFonts w:ascii="Arial" w:hAnsi="Arial" w:cs="Arial"/>
        </w:rPr>
        <w:t xml:space="preserve"> in Korea, who showed that impaired renal function was connected to poorer anatomical responses in DME patients getting anti-VEGF therapy. </w:t>
      </w:r>
    </w:p>
    <w:p w14:paraId="1F84A067" w14:textId="77777777" w:rsidR="00A519AC" w:rsidRPr="00A519AC" w:rsidRDefault="00A519AC" w:rsidP="00EF5222">
      <w:pPr>
        <w:pStyle w:val="Body"/>
        <w:ind w:right="720"/>
        <w:rPr>
          <w:rFonts w:ascii="Arial" w:hAnsi="Arial" w:cs="Arial"/>
        </w:rPr>
      </w:pPr>
      <w:r w:rsidRPr="00A519AC">
        <w:rPr>
          <w:rFonts w:ascii="Arial" w:hAnsi="Arial" w:cs="Arial"/>
        </w:rPr>
        <w:t xml:space="preserve">HbA1c and HDL cholesterol levels in this study were significantly associated with visual acuity changes in the crude analysis and they lost significance in adjusted analysis. Poor glycemic control has long been recognized as a risk factor for both progression and poor response in diabetic retinopathy. Low HDL, a marker of poor lipid metabolism and increased oxidative stress, may worsen retinal health and thereby reduce treatment responsiveness. </w:t>
      </w:r>
      <w:r w:rsidR="00EF5222">
        <w:rPr>
          <w:rFonts w:ascii="Arial" w:hAnsi="Arial" w:cs="Arial"/>
        </w:rPr>
        <w:fldChar w:fldCharType="begin" w:fldLock="1"/>
      </w:r>
      <w:r w:rsidR="00EF5222">
        <w:rPr>
          <w:rFonts w:ascii="Arial" w:hAnsi="Arial" w:cs="Arial"/>
        </w:rPr>
        <w:instrText>ADDIN CSL_CITATION {"citationItems":[{"id":"ITEM-1","itemData":{"DOI":"10.1038/s41598-019-47241-1","ISSN":"20452322","PMID":"31358777","abstract":"Diabetic macular edema (DME) is the leading cause of visual impairment in patients with diabetes mellitus. A retrospective study was conducted to investigate the factors influencing the clinical outcomes in 73 patients (94 eyes) with DME treated with intravitreal ranibizumab therapy. Baseline demographic, systemic, and ocular data were assessed for the association with visual and anatomic outcomes after treatment. The mean best corrected visual acuity (BCVA) improved from 0.92 ± 0.45 to 0.61 ± 0.43 logarithm of the minimum angle of resolution (LogMAR) (p &lt; 0.001) after treatment. The mean central subfield macular thickness (CST) decreased from 425.2 ± 127.4 to 328.6 ± 99.4 μm (p &lt; 0.001). The treatment response was significantly influenced by Age (p = 0.003) and baseline BCVA (p = 0.001). In addition, glycosylated hemoglobin (HbA1c) (p = 0.013) and proliferative diabetic retinopathy (PDR) (p = 0.019) were the prognostic factors for the visual outcome in the responders and non-responders, respectively. Moreover, baseline CST was the strongest predictor of anatomic outcome in all subjects (p &lt; 0.001). Intravitreal ranibizumab for DME resulted in significant improvement in clinical outcomes. Younger age and better baseline BCVA were associated with better visual outcome after the treatment. In addition, glycemic control in the treatment of patients with DME is crucial to achieve better visual outcomes, especially in the responders to ranibizumab treatment.","author":[{"dropping-particle":"","family":"Chen","given":"Yen Po","non-dropping-particle":"","parse-names":false,"suffix":""},{"dropping-particle":"","family":"Wu","given":"Ai Ling","non-dropping-particle":"","parse-names":false,"suffix":""},{"dropping-particle":"","family":"Chuang","given":"Chih Chun","non-dropping-particle":"","parse-names":false,"suffix":""},{"dropping-particle":"","family":"Chen","given":"San Ni","non-dropping-particle":"","parse-names":false,"suffix":""}],"container-title":"Scientific Reports","id":"ITEM-1","issue":"1","issued":{"date-parts":[["2019"]]},"page":"1-8","title":"Factors influencing clinical outcomes in patients with diabetic macular edema treated with intravitreal ranibizumab: comparison between responder and non-responder cases","type":"article-journal","volume":"9"},"uris":["http://www.mendeley.com/documents/?uuid=876fad72-99c4-45b3-aa59-2efc55b54fea"]},{"id":"ITEM-2","itemData":{"DOI":"10.13389/j.cnki.rao.2023.0061","ISSN":"10035141","abstract":"Objective To discuss the factors that may affect the therapeutic effect of intravitreal injection of anti-vascular endothelial growth factor (VEGF) drugs in diabetic macular edema (DME) patients. Methods Totally 100 DME patients (100 eyes) treated with intravitreal injection of anti-VEGF drugs in the Department of Ophthalmology, Zhengzhou Second Hospital from January 2020 to August 2021 were included. The patients were divided into the following 3 groups according to the pathological type of DME: serous retinal detachment (SRD) group (40 eyes), cystoid macular edema (CME) group (35 eyes), and diffuse retinal thickening (DRT) group (25 eyes). The reduction rate of the central macular thickness (CMT) ^20% one month after the last anti-VEGF treatment means satisfied macular edema regression; otherwise , it is dissatisfied. An increase in best corrected visual acuity (BCVA) for 2 or more lines means satisfied visual acuity enhancement, and vice versa. The BCVA and CMT of eyes were compared among the three groups before and one month after the last treatment. The basic data, blood glucose, blood pressure, blood fat and ophthalmology-related indexes and biochemical indexes of all patients were collected. The independent risk factors affecting the therapeutic effect of intravit-real anti-VEGF drug injection on DME patients were analyzed by univariate and multivariate logistic regression analysis. Results BCVA (logMAR) and CMT were lower in three groups one month after the last treatment than those before treatment, and the differences were statistically significant (all P &lt; 0. 05). Diastolic blood pressure (DBP), high-density lipoprotein (HDL) , baseline CMT, and length of photoreceptor cell outer segment of patients with dissatisfied therapeutic effect on macular edema regression were smaller than those of patients with satisfied therapeutic effect, and the systolic blood pressure (SBP), baseline BCVA (logMAR), and ellipsoid zone (EZ) disruption ratio were larger than those of patients with satisfied therapeutic effect, with statistically significant differences (all P&lt; 0.05). The hemoglobin Ale, apoli-poprotein A (apoA) and baseline BCVA of patients with dissatisfied therapeutic effect on visual acuity improvement were greater than those of patients with satisfied therapeutic effect, and baseline CMT was less than that of patients with satisfied therapeutic effect, with statistically significant differences (all P &lt; 0. 05). High SBP, low HDL, thin baseline C…","author":[{"dropping-particle":"","family":"Yang","given":"Kaizhuan","non-dropping-particle":"","parse-names":false,"suffix":""},{"dropping-particle":"","family":"Qiao","given":"Yuhao","non-dropping-particle":"","parse-names":false,"suffix":""},{"dropping-particle":"","family":"Yan","given":"Shu","non-dropping-particle":"","parse-names":false,"suffix":""}],"container-title":"Recent Advances in Ophthalmology","id":"ITEM-2","issue":"4","issued":{"date-parts":[["2023","4","1"]]},"publisher":"Xinxiang Medical University","title":"Influencing factors for therapeutic effect of intravitreal injection of anti-vascular endothelial growth factor agents in patients with diabetic macular edema","type":"article-journal","volume":"43"},"uris":["http://www.mendeley.com/documents/?uuid=9679e70b-5fa2-3a1b-884b-dee6b74fdc05"]}],"mendeley":{"formattedCitation":"(Chen &lt;i&gt;et al.&lt;/i&gt;, 2019; Yang, Qiao and Yan, 2023)","plainTextFormattedCitation":"(Chen et al., 2019; Yang, Qiao and Yan, 2023)","previouslyFormattedCitation":"(Chen &lt;i&gt;et al.&lt;/i&gt;, 2019; Yang, Qiao and Yan, 2023)"},"properties":{"noteIndex":0},"schema":"https://github.com/citation-style-language/schema/raw/master/csl-citation.json"}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(Chen </w:t>
      </w:r>
      <w:r w:rsidR="00EF5222" w:rsidRPr="00EF5222">
        <w:rPr>
          <w:rFonts w:ascii="Arial" w:hAnsi="Arial" w:cs="Arial"/>
          <w:i/>
          <w:noProof/>
        </w:rPr>
        <w:t>et al.</w:t>
      </w:r>
      <w:r w:rsidR="00EF5222" w:rsidRPr="00EF5222">
        <w:rPr>
          <w:rFonts w:ascii="Arial" w:hAnsi="Arial" w:cs="Arial"/>
          <w:noProof/>
        </w:rPr>
        <w:t>, 2019; Yang, Qiao and Yan, 2023)</w:t>
      </w:r>
      <w:r w:rsidR="00EF5222">
        <w:rPr>
          <w:rFonts w:ascii="Arial" w:hAnsi="Arial" w:cs="Arial"/>
        </w:rPr>
        <w:fldChar w:fldCharType="end"/>
      </w:r>
      <w:r w:rsidRPr="00A519AC">
        <w:rPr>
          <w:rFonts w:ascii="Arial" w:hAnsi="Arial" w:cs="Arial"/>
        </w:rPr>
        <w:t xml:space="preserve"> both highlighted the influence of metabolic factors such as HbA1c and lipid profiles on anti-VEGF treatment outcomes. </w:t>
      </w:r>
    </w:p>
    <w:p w14:paraId="3E0A45AB" w14:textId="77777777" w:rsidR="00A519AC" w:rsidRDefault="00A519AC" w:rsidP="00EF5222">
      <w:pPr>
        <w:pStyle w:val="Body"/>
        <w:spacing w:after="0"/>
        <w:ind w:right="720"/>
        <w:rPr>
          <w:rFonts w:ascii="Arial" w:hAnsi="Arial" w:cs="Arial"/>
        </w:rPr>
      </w:pPr>
      <w:r w:rsidRPr="00A519AC">
        <w:rPr>
          <w:rFonts w:ascii="Arial" w:hAnsi="Arial" w:cs="Arial"/>
        </w:rPr>
        <w:t xml:space="preserve">Considerably, age was not significantly associated with either CMT or VA changes in this study. This result is resonated with the study by </w:t>
      </w:r>
      <w:r w:rsidR="00EF5222">
        <w:rPr>
          <w:rFonts w:ascii="Arial" w:hAnsi="Arial" w:cs="Arial"/>
        </w:rPr>
        <w:fldChar w:fldCharType="begin" w:fldLock="1"/>
      </w:r>
      <w:r w:rsidR="00EF5222">
        <w:rPr>
          <w:rFonts w:ascii="Arial" w:hAnsi="Arial" w:cs="Arial"/>
        </w:rPr>
        <w:instrText>ADDIN CSL_CITATION {"citationItems":[{"id":"ITEM-1","itemData":{"DOI":"10.1186/s40942-022-00434-9","ISSN":"20569920","abstract":"Purpose: The aim of the current study is to evaluate the effect of age as an independent factor for the response to two anti-VEGF agents, intravitreal ranibizumab and intravitreal aflibercept, among patients presented with central-involving DME in one tertiary care center in Riyadh, Saudi Arabia. Methods: Retrospective cohort study. Results: A total of 210 eyes of 121 patients were included in the study. The mean age was 61.2 ± 11.40 years, 50.4% were males. On characterizing groups based on age, the group of patients 60 years or younger are 48 patients (mean age 51.5 ± 9.92) and 52.1% of them are females. On the other hand, the group of patients older than 60 years are 73 patients (mean age 67.6 ± 6.85) and 52.1% of them are males. The two anti-VEGF agents used were aflibercept (88.1%) and ranibizumab (11.9%). The mean BCVA using ETDRS letter score improved after treatment (5.55238095 ± 15.9538695) and the mean change in CST decreased after treatment (− 106.91 ± 117.385 μm). Regarding age, we found that there is no significant difference in mean improvement of BCVA in patients according to their age (p = 0.5429), patients younger than 60 years old gained 5.64 ETDRS letter score and those older than 60 years old gained 5.49 improvement. Similarly, mean improvement in CST was different between patients younger than 60 years old (− 125.1 μm) and those who were older than 60 years old (− 94 μm) with a trend favoring younger patients but this difference was not statistically significant (p = 0.08). Conclusion: Age is a clinically significant factor affecting the outcome of anti-VEGF injections. Patients’ CST had a difference of &gt; 30 μm on average between the two age groups favoring younger patients. However, it was not statistically significant, maybe a bigger sample size is needed to prove statistical significance.","author":[{"dropping-particle":"","family":"Alshalan","given":"Hanan A.","non-dropping-particle":"","parse-names":false,"suffix":""},{"dropping-particle":"","family":"Arevalo","given":"J. Fernando","non-dropping-particle":"","parse-names":false,"suffix":""},{"dropping-particle":"","family":"Alomary","given":"Saleh I.","non-dropping-particle":"","parse-names":false,"suffix":""},{"dropping-particle":"","family":"Ardah","given":"Husam I.","non-dropping-particle":"","parse-names":false,"suffix":""},{"dropping-particle":"","family":"Hazzazi","given":"Mohammd A.","non-dropping-particle":"","parse-names":false,"suffix":""}],"container-title":"International Journal of Retina and Vitreous","id":"ITEM-1","issue":"1","issued":{"date-parts":[["2022"]]},"title":"Effect of age on response to anti-VEGF agents in patients with center involving diabetic macular edema in a tertiary hospital","type":"article-journal","volume":"8"},"uris":["http://www.mendeley.com/documents/?uuid=c7e5dabe-821b-3f7d-b04b-368bfcd5554e"]}],"mendeley":{"formattedCitation":"(Alshalan &lt;i&gt;et al.&lt;/i&gt;, 2022)","plainTextFormattedCitation":"(Alshalan et al., 2022)","previouslyFormattedCitation":"(Alshalan &lt;i&gt;et al.&lt;/i&gt;, 2022)"},"properties":{"noteIndex":0},"schema":"https://github.com/citation-style-language/schema/raw/master/csl-citation.json"}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(Alshalan </w:t>
      </w:r>
      <w:r w:rsidR="00EF5222" w:rsidRPr="00EF5222">
        <w:rPr>
          <w:rFonts w:ascii="Arial" w:hAnsi="Arial" w:cs="Arial"/>
          <w:i/>
          <w:noProof/>
        </w:rPr>
        <w:t>et al.</w:t>
      </w:r>
      <w:r w:rsidR="00EF5222" w:rsidRPr="00EF5222">
        <w:rPr>
          <w:rFonts w:ascii="Arial" w:hAnsi="Arial" w:cs="Arial"/>
          <w:noProof/>
        </w:rPr>
        <w:t>, 2022)</w:t>
      </w:r>
      <w:r w:rsidR="00EF5222">
        <w:rPr>
          <w:rFonts w:ascii="Arial" w:hAnsi="Arial" w:cs="Arial"/>
        </w:rPr>
        <w:fldChar w:fldCharType="end"/>
      </w:r>
      <w:r w:rsidRPr="00A519AC">
        <w:rPr>
          <w:rFonts w:ascii="Arial" w:hAnsi="Arial" w:cs="Arial"/>
        </w:rPr>
        <w:t xml:space="preserve">, who showed no significant impact of age on anti-VEGF treatment response in a Saudi population. Though, it was different to </w:t>
      </w:r>
      <w:r w:rsidR="00EF5222">
        <w:rPr>
          <w:rFonts w:ascii="Arial" w:hAnsi="Arial" w:cs="Arial"/>
        </w:rPr>
        <w:fldChar w:fldCharType="begin" w:fldLock="1"/>
      </w:r>
      <w:r w:rsidR="00EF5222">
        <w:rPr>
          <w:rFonts w:ascii="Arial" w:hAnsi="Arial" w:cs="Arial"/>
        </w:rPr>
        <w:instrText>ADDIN CSL_CITATION {"citationItems":[{"id":"ITEM-1","itemData":{"DOI":"10.1038/s41598-019-47241-1","ISSN":"20452322","PMID":"31358777","abstract":"Diabetic macular edema (DME) is the leading cause of visual impairment in patients with diabetes mellitus. A retrospective study was conducted to investigate the factors influencing the clinical outcomes in 73 patients (94 eyes) with DME treated with intravitreal ranibizumab therapy. Baseline demographic, systemic, and ocular data were assessed for the association with visual and anatomic outcomes after treatment. The mean best corrected visual acuity (BCVA) improved from 0.92 ± 0.45 to 0.61 ± 0.43 logarithm of the minimum angle of resolution (LogMAR) (p &lt; 0.001) after treatment. The mean central subfield macular thickness (CST) decreased from 425.2 ± 127.4 to 328.6 ± 99.4 μm (p &lt; 0.001). The treatment response was significantly influenced by Age (p = 0.003) and baseline BCVA (p = 0.001). In addition, glycosylated hemoglobin (HbA1c) (p = 0.013) and proliferative diabetic retinopathy (PDR) (p = 0.019) were the prognostic factors for the visual outcome in the responders and non-responders, respectively. Moreover, baseline CST was the strongest predictor of anatomic outcome in all subjects (p &lt; 0.001). Intravitreal ranibizumab for DME resulted in significant improvement in clinical outcomes. Younger age and better baseline BCVA were associated with better visual outcome after the treatment. In addition, glycemic control in the treatment of patients with DME is crucial to achieve better visual outcomes, especially in the responders to ranibizumab treatment.","author":[{"dropping-particle":"","family":"Chen","given":"Yen Po","non-dropping-particle":"","parse-names":false,"suffix":""},{"dropping-particle":"","family":"Wu","given":"Ai Ling","non-dropping-particle":"","parse-names":false,"suffix":""},{"dropping-particle":"","family":"Chuang","given":"Chih Chun","non-dropping-particle":"","parse-names":false,"suffix":""},{"dropping-particle":"","family":"Chen","given":"San Ni","non-dropping-particle":"","parse-names":false,"suffix":""}],"container-title":"Scientific Reports","id":"ITEM-1","issue":"1","issued":{"date-parts":[["2019"]]},"page":"1-8","title":"Factors influencing clinical outcomes in patients with diabetic macular edema treated with intravitreal ranibizumab: comparison between responder and non-responder cases","type":"article-journal","volume":"9"},"uris":["http://www.mendeley.com/documents/?uuid=876fad72-99c4-45b3-aa59-2efc55b54fea"]}],"mendeley":{"formattedCitation":"(Chen &lt;i&gt;et al.&lt;/i&gt;, 2019)","plainTextFormattedCitation":"(Chen et al., 2019)","previouslyFormattedCitation":"(Chen &lt;i&gt;et al.&lt;/i&gt;, 2019)"},"properties":{"noteIndex":0},"schema":"https://github.com/citation-style-language/schema/raw/master/csl-citation.json"}</w:instrText>
      </w:r>
      <w:r w:rsidR="00EF5222">
        <w:rPr>
          <w:rFonts w:ascii="Arial" w:hAnsi="Arial" w:cs="Arial"/>
        </w:rPr>
        <w:fldChar w:fldCharType="separate"/>
      </w:r>
      <w:r w:rsidR="00EF5222" w:rsidRPr="00EF5222">
        <w:rPr>
          <w:rFonts w:ascii="Arial" w:hAnsi="Arial" w:cs="Arial"/>
          <w:noProof/>
        </w:rPr>
        <w:t xml:space="preserve">(Chen </w:t>
      </w:r>
      <w:r w:rsidR="00EF5222" w:rsidRPr="00EF5222">
        <w:rPr>
          <w:rFonts w:ascii="Arial" w:hAnsi="Arial" w:cs="Arial"/>
          <w:i/>
          <w:noProof/>
        </w:rPr>
        <w:t>et al.</w:t>
      </w:r>
      <w:r w:rsidR="00EF5222" w:rsidRPr="00EF5222">
        <w:rPr>
          <w:rFonts w:ascii="Arial" w:hAnsi="Arial" w:cs="Arial"/>
          <w:noProof/>
        </w:rPr>
        <w:t>, 2019)</w:t>
      </w:r>
      <w:r w:rsidR="00EF5222">
        <w:rPr>
          <w:rFonts w:ascii="Arial" w:hAnsi="Arial" w:cs="Arial"/>
        </w:rPr>
        <w:fldChar w:fldCharType="end"/>
      </w:r>
      <w:r w:rsidRPr="00A519AC">
        <w:rPr>
          <w:rFonts w:ascii="Arial" w:hAnsi="Arial" w:cs="Arial"/>
        </w:rPr>
        <w:t xml:space="preserve"> who reported the younger patients tended to respond better, perhaps due to less chronic retinal damage and better baseline vascular health. In this cohort, systemic disease burden may have overshadowed any age-related physiological differences, interpreting age a less significant factor.</w:t>
      </w:r>
    </w:p>
    <w:p w14:paraId="2B1F7814" w14:textId="77777777" w:rsidR="00A519AC" w:rsidRDefault="00A519AC" w:rsidP="00EF5222">
      <w:pPr>
        <w:pStyle w:val="Body"/>
        <w:spacing w:after="0"/>
        <w:ind w:right="720"/>
        <w:rPr>
          <w:rFonts w:ascii="Arial" w:hAnsi="Arial" w:cs="Arial"/>
        </w:rPr>
      </w:pPr>
    </w:p>
    <w:p w14:paraId="714E71A0" w14:textId="77777777" w:rsidR="00A519AC" w:rsidRPr="005E672D" w:rsidRDefault="00947DB4" w:rsidP="00EF5222">
      <w:pPr>
        <w:pStyle w:val="Body"/>
        <w:ind w:right="720"/>
        <w:rPr>
          <w:rFonts w:ascii="Arial" w:hAnsi="Arial" w:cs="Arial"/>
          <w:b/>
          <w:sz w:val="22"/>
        </w:rPr>
      </w:pPr>
      <w:r w:rsidRPr="005E672D">
        <w:rPr>
          <w:rFonts w:ascii="Arial" w:hAnsi="Arial" w:cs="Arial"/>
          <w:b/>
          <w:sz w:val="22"/>
        </w:rPr>
        <w:t>5</w:t>
      </w:r>
      <w:r w:rsidR="00A519AC" w:rsidRPr="005E672D">
        <w:rPr>
          <w:rFonts w:ascii="Arial" w:hAnsi="Arial" w:cs="Arial"/>
          <w:b/>
          <w:sz w:val="22"/>
        </w:rPr>
        <w:t>. CONCLUSION</w:t>
      </w:r>
    </w:p>
    <w:p w14:paraId="696A0993" w14:textId="77777777" w:rsidR="00A519AC" w:rsidRDefault="00A519AC" w:rsidP="00EF5222">
      <w:pPr>
        <w:pStyle w:val="Body"/>
        <w:ind w:right="720"/>
        <w:rPr>
          <w:rFonts w:ascii="Arial" w:hAnsi="Arial" w:cs="Arial"/>
        </w:rPr>
      </w:pPr>
      <w:r w:rsidRPr="00A519AC">
        <w:rPr>
          <w:rFonts w:ascii="Arial" w:hAnsi="Arial" w:cs="Arial"/>
        </w:rPr>
        <w:t>This prospective cohort study conducted at KCMC found that a single unilateral intra-</w:t>
      </w:r>
      <w:proofErr w:type="spellStart"/>
      <w:r w:rsidRPr="00A519AC">
        <w:rPr>
          <w:rFonts w:ascii="Arial" w:hAnsi="Arial" w:cs="Arial"/>
        </w:rPr>
        <w:t>vitreal</w:t>
      </w:r>
      <w:proofErr w:type="spellEnd"/>
      <w:r w:rsidRPr="00A519AC">
        <w:rPr>
          <w:rFonts w:ascii="Arial" w:hAnsi="Arial" w:cs="Arial"/>
        </w:rPr>
        <w:t xml:space="preserve"> injection of bevacizumab was not enough to result in statistically significant anatomical or functional improvements in the un-injected eye in patients with bilateral DME. Though, systemic and ocular comorbidities, including hypertension, renal dysfunction, blood sugar control, lipid profile, and previous laser treatment, were significantly associated with contralateral eye outcomes. </w:t>
      </w:r>
      <w:proofErr w:type="gramStart"/>
      <w:r w:rsidRPr="00A519AC">
        <w:rPr>
          <w:rFonts w:ascii="Arial" w:hAnsi="Arial" w:cs="Arial"/>
        </w:rPr>
        <w:t>Therefore</w:t>
      </w:r>
      <w:proofErr w:type="gramEnd"/>
      <w:r w:rsidRPr="00A519AC">
        <w:rPr>
          <w:rFonts w:ascii="Arial" w:hAnsi="Arial" w:cs="Arial"/>
        </w:rPr>
        <w:t xml:space="preserve"> this result nailing the complex and multifactorial nature of treatment response in DME and highlight the need for incorporated systemic and ocular care in this population.</w:t>
      </w:r>
    </w:p>
    <w:p w14:paraId="23FE2F62" w14:textId="77777777" w:rsidR="00EF5222" w:rsidRPr="005E672D" w:rsidRDefault="00EF5222" w:rsidP="00EF5222">
      <w:pPr>
        <w:pStyle w:val="Body"/>
        <w:ind w:right="720"/>
        <w:rPr>
          <w:rFonts w:ascii="Arial" w:hAnsi="Arial" w:cs="Arial"/>
          <w:b/>
          <w:sz w:val="22"/>
        </w:rPr>
      </w:pPr>
      <w:r w:rsidRPr="005E672D">
        <w:rPr>
          <w:rFonts w:ascii="Arial" w:hAnsi="Arial" w:cs="Arial"/>
          <w:b/>
          <w:sz w:val="22"/>
        </w:rPr>
        <w:t>6. RECOMMENDATIONS</w:t>
      </w:r>
    </w:p>
    <w:p w14:paraId="696C9A6A" w14:textId="77777777" w:rsidR="00EF5222" w:rsidRDefault="00EF5222" w:rsidP="00EF5222">
      <w:pPr>
        <w:pStyle w:val="Body"/>
        <w:ind w:right="720"/>
        <w:rPr>
          <w:rFonts w:ascii="Arial" w:hAnsi="Arial" w:cs="Arial"/>
        </w:rPr>
      </w:pPr>
      <w:r w:rsidRPr="00EF5222">
        <w:rPr>
          <w:rFonts w:ascii="Arial" w:hAnsi="Arial" w:cs="Arial"/>
        </w:rPr>
        <w:t>This study emphasizes the importance of integrating systemic disease management when treating the DME. Future studies should investigate the effect of serial IVB injection in the contralateral eye and compare outcomes to bilateral injection protocols. Future studies should also use more sensitive imaging technologies (e.g.; - Spectral Domain OCT).</w:t>
      </w:r>
    </w:p>
    <w:p w14:paraId="109AC6FE" w14:textId="77777777" w:rsidR="00351A17" w:rsidRDefault="00351A17" w:rsidP="00EF5222">
      <w:pPr>
        <w:ind w:right="720"/>
        <w:jc w:val="both"/>
        <w:rPr>
          <w:rFonts w:ascii="Arial" w:hAnsi="Arial" w:cs="Arial"/>
        </w:rPr>
      </w:pPr>
      <w:bookmarkStart w:id="2" w:name="_GoBack"/>
      <w:bookmarkEnd w:id="2"/>
    </w:p>
    <w:p w14:paraId="09252FA0" w14:textId="77777777" w:rsidR="00EF5222" w:rsidRPr="00EF5222" w:rsidRDefault="00EF5222" w:rsidP="00EF5222">
      <w:pPr>
        <w:pStyle w:val="Author"/>
        <w:spacing w:line="240" w:lineRule="auto"/>
        <w:ind w:right="720"/>
        <w:jc w:val="both"/>
        <w:rPr>
          <w:rFonts w:ascii="Arial" w:hAnsi="Arial" w:cs="Arial"/>
          <w:b w:val="0"/>
          <w:sz w:val="20"/>
        </w:rPr>
      </w:pPr>
    </w:p>
    <w:p w14:paraId="72A0B8A8" w14:textId="77777777" w:rsidR="00EF5222" w:rsidRPr="00EF5222" w:rsidRDefault="00EF5222" w:rsidP="00EF5222">
      <w:pPr>
        <w:pStyle w:val="ReferHead"/>
        <w:ind w:right="720"/>
        <w:jc w:val="both"/>
        <w:rPr>
          <w:rFonts w:ascii="Arial" w:hAnsi="Arial" w:cs="Arial"/>
          <w:caps w:val="0"/>
        </w:rPr>
      </w:pPr>
      <w:r w:rsidRPr="00EF5222">
        <w:rPr>
          <w:rFonts w:ascii="Arial" w:hAnsi="Arial" w:cs="Arial"/>
          <w:caps w:val="0"/>
        </w:rPr>
        <w:lastRenderedPageBreak/>
        <w:t>ETHICAL APPROVAL AND CONSENT</w:t>
      </w:r>
    </w:p>
    <w:p w14:paraId="1AD8F354" w14:textId="77777777" w:rsidR="00EF5222" w:rsidRPr="00EF5222" w:rsidRDefault="00EF5222" w:rsidP="00EF5222">
      <w:pPr>
        <w:pStyle w:val="ReferHead"/>
        <w:ind w:right="720"/>
        <w:jc w:val="both"/>
        <w:rPr>
          <w:rFonts w:ascii="Arial" w:hAnsi="Arial" w:cs="Arial"/>
          <w:b w:val="0"/>
          <w:caps w:val="0"/>
          <w:sz w:val="20"/>
        </w:rPr>
      </w:pPr>
      <w:r w:rsidRPr="00EF5222">
        <w:rPr>
          <w:rFonts w:ascii="Arial" w:hAnsi="Arial" w:cs="Arial"/>
          <w:b w:val="0"/>
          <w:caps w:val="0"/>
          <w:sz w:val="20"/>
        </w:rPr>
        <w:t xml:space="preserve">Ethical approval to conduct this study was obtained from KCMC University Research and Ethics Review Committee (KCMU-CRERC), with ethical clearance No.PG 102/2024. </w:t>
      </w:r>
    </w:p>
    <w:p w14:paraId="0FFB9F61" w14:textId="77777777" w:rsidR="00EF5222" w:rsidRDefault="00EF5222" w:rsidP="00EF5222">
      <w:pPr>
        <w:pStyle w:val="ReferHead"/>
        <w:ind w:right="720"/>
        <w:jc w:val="both"/>
        <w:rPr>
          <w:rFonts w:ascii="Arial" w:hAnsi="Arial" w:cs="Arial"/>
          <w:b w:val="0"/>
          <w:caps w:val="0"/>
          <w:sz w:val="20"/>
        </w:rPr>
      </w:pPr>
      <w:r w:rsidRPr="00EF5222">
        <w:rPr>
          <w:rFonts w:ascii="Arial" w:hAnsi="Arial" w:cs="Arial"/>
          <w:b w:val="0"/>
          <w:caps w:val="0"/>
          <w:sz w:val="20"/>
        </w:rPr>
        <w:t>Participants’ data protection and confidentiality was guaranteed, through data coding and out of reach by unauthorized persons.</w:t>
      </w:r>
    </w:p>
    <w:p w14:paraId="431E191D" w14:textId="77777777" w:rsidR="001A29D8" w:rsidRDefault="00EF5222" w:rsidP="00EF5222">
      <w:pPr>
        <w:pStyle w:val="ReferHead"/>
        <w:ind w:right="720"/>
        <w:jc w:val="both"/>
        <w:rPr>
          <w:rFonts w:ascii="Arial" w:hAnsi="Arial" w:cs="Arial"/>
          <w:b w:val="0"/>
          <w:caps w:val="0"/>
          <w:sz w:val="20"/>
        </w:rPr>
      </w:pPr>
      <w:r w:rsidRPr="00EF5222">
        <w:rPr>
          <w:rFonts w:ascii="Arial" w:hAnsi="Arial" w:cs="Arial"/>
          <w:b w:val="0"/>
          <w:caps w:val="0"/>
          <w:sz w:val="20"/>
        </w:rPr>
        <w:t>Written and informed consent had been obtained from relevant authorities in accordance to the international standards.</w:t>
      </w:r>
    </w:p>
    <w:p w14:paraId="429DD387" w14:textId="77777777" w:rsidR="00122A9E" w:rsidRDefault="00122A9E" w:rsidP="00EF5222">
      <w:pPr>
        <w:pStyle w:val="ReferHead"/>
        <w:ind w:right="720"/>
        <w:jc w:val="both"/>
        <w:rPr>
          <w:rFonts w:ascii="Arial" w:hAnsi="Arial" w:cs="Arial"/>
          <w:b w:val="0"/>
          <w:caps w:val="0"/>
          <w:sz w:val="20"/>
        </w:rPr>
      </w:pPr>
    </w:p>
    <w:p w14:paraId="6DF65EE2" w14:textId="77777777" w:rsidR="00122A9E" w:rsidRPr="005E672D" w:rsidRDefault="00122A9E" w:rsidP="00122A9E">
      <w:pPr>
        <w:pStyle w:val="Body"/>
        <w:ind w:right="720"/>
        <w:rPr>
          <w:rFonts w:ascii="Arial" w:hAnsi="Arial" w:cs="Arial"/>
          <w:b/>
          <w:sz w:val="22"/>
          <w:szCs w:val="22"/>
        </w:rPr>
      </w:pPr>
      <w:r w:rsidRPr="005E672D">
        <w:rPr>
          <w:rFonts w:ascii="Arial" w:hAnsi="Arial" w:cs="Arial"/>
          <w:b/>
          <w:sz w:val="22"/>
          <w:szCs w:val="22"/>
        </w:rPr>
        <w:t>OPERATION DEFINATIONS</w:t>
      </w:r>
    </w:p>
    <w:p w14:paraId="1FA2E523" w14:textId="77777777" w:rsidR="00122A9E" w:rsidRDefault="00122A9E" w:rsidP="00122A9E">
      <w:pPr>
        <w:pStyle w:val="Body"/>
        <w:ind w:right="720"/>
        <w:rPr>
          <w:rFonts w:ascii="Arial" w:hAnsi="Arial" w:cs="Arial"/>
        </w:rPr>
      </w:pPr>
      <w:r w:rsidRPr="00FE3269">
        <w:rPr>
          <w:rFonts w:ascii="Arial" w:hAnsi="Arial" w:cs="Arial"/>
        </w:rPr>
        <w:t>Macular edema was defined as a central sub field macular thickness (CSMT) of &gt;250 </w:t>
      </w:r>
      <w:proofErr w:type="spellStart"/>
      <w:r w:rsidRPr="00FE3269">
        <w:rPr>
          <w:rFonts w:ascii="Arial" w:hAnsi="Arial" w:cs="Arial"/>
        </w:rPr>
        <w:t>μm</w:t>
      </w:r>
      <w:proofErr w:type="spellEnd"/>
      <w:r w:rsidRPr="00FE3269">
        <w:rPr>
          <w:rFonts w:ascii="Arial" w:hAnsi="Arial" w:cs="Arial"/>
        </w:rPr>
        <w:t xml:space="preserve"> as per optical coherent tomography.</w:t>
      </w:r>
    </w:p>
    <w:p w14:paraId="473D2BE2" w14:textId="77777777" w:rsidR="00122A9E" w:rsidRPr="00FE3269" w:rsidRDefault="00122A9E" w:rsidP="00122A9E">
      <w:pPr>
        <w:pStyle w:val="Body"/>
        <w:ind w:right="720"/>
        <w:rPr>
          <w:rFonts w:ascii="Arial" w:hAnsi="Arial" w:cs="Arial"/>
        </w:rPr>
      </w:pPr>
      <w:r w:rsidRPr="00FE3269">
        <w:rPr>
          <w:rFonts w:ascii="Arial" w:hAnsi="Arial" w:cs="Arial"/>
        </w:rPr>
        <w:t>Baseline CSMT, was a CSMT prior to bevacizumab injection.</w:t>
      </w:r>
    </w:p>
    <w:p w14:paraId="10C95179" w14:textId="77777777" w:rsidR="00122A9E" w:rsidRDefault="00122A9E" w:rsidP="00122A9E">
      <w:pPr>
        <w:pStyle w:val="Body"/>
        <w:ind w:right="720"/>
        <w:rPr>
          <w:rFonts w:ascii="Arial" w:hAnsi="Arial" w:cs="Arial"/>
        </w:rPr>
      </w:pPr>
      <w:r w:rsidRPr="00FE3269">
        <w:rPr>
          <w:rFonts w:ascii="Arial" w:hAnsi="Arial" w:cs="Arial"/>
        </w:rPr>
        <w:t>Baseline Visual Acuity, was a visual acuity prior to bevacizumab injection.</w:t>
      </w:r>
    </w:p>
    <w:p w14:paraId="369EBF0A" w14:textId="77777777" w:rsidR="00122A9E" w:rsidRDefault="00122A9E" w:rsidP="00122A9E">
      <w:pPr>
        <w:pStyle w:val="Body"/>
        <w:ind w:right="720"/>
        <w:rPr>
          <w:rFonts w:ascii="Arial" w:hAnsi="Arial" w:cs="Arial"/>
        </w:rPr>
      </w:pPr>
    </w:p>
    <w:p w14:paraId="1C0D1F00" w14:textId="77777777" w:rsidR="00122A9E" w:rsidRPr="00122A9E" w:rsidRDefault="00122A9E" w:rsidP="00122A9E">
      <w:pPr>
        <w:pStyle w:val="Body"/>
        <w:ind w:right="720"/>
        <w:rPr>
          <w:rFonts w:ascii="Arial" w:hAnsi="Arial" w:cs="Arial"/>
        </w:rPr>
      </w:pPr>
      <w:r w:rsidRPr="00122A9E">
        <w:rPr>
          <w:rFonts w:ascii="Arial" w:hAnsi="Arial" w:cs="Arial"/>
        </w:rPr>
        <w:t>COMPETING INTERESTS DISCLAIMER:</w:t>
      </w:r>
    </w:p>
    <w:p w14:paraId="3E6B12A6" w14:textId="77777777" w:rsidR="00122A9E" w:rsidRPr="00122A9E" w:rsidRDefault="00122A9E" w:rsidP="00122A9E">
      <w:pPr>
        <w:pStyle w:val="Body"/>
        <w:ind w:right="720"/>
        <w:rPr>
          <w:rFonts w:ascii="Arial" w:hAnsi="Arial" w:cs="Arial"/>
        </w:rPr>
      </w:pPr>
      <w:r w:rsidRPr="00122A9E">
        <w:rPr>
          <w:rFonts w:ascii="Arial" w:hAnsi="Arial" w:cs="Arial"/>
        </w:rPr>
        <w:t>Authors have declared that they have no known competing financial interests OR non-financial interests OR personal relationships that could have appeared to influence the work reported in this paper.</w:t>
      </w:r>
    </w:p>
    <w:p w14:paraId="2CB7475E" w14:textId="77777777" w:rsidR="00122A9E" w:rsidRPr="00122A9E" w:rsidRDefault="00122A9E" w:rsidP="00122A9E">
      <w:pPr>
        <w:pStyle w:val="Body"/>
        <w:ind w:right="720"/>
        <w:rPr>
          <w:rFonts w:ascii="Arial" w:hAnsi="Arial" w:cs="Arial"/>
        </w:rPr>
      </w:pPr>
    </w:p>
    <w:p w14:paraId="5A8F4052" w14:textId="77777777" w:rsidR="00122A9E" w:rsidRPr="00FE3269" w:rsidRDefault="00122A9E" w:rsidP="00122A9E">
      <w:pPr>
        <w:pStyle w:val="Body"/>
        <w:ind w:right="720"/>
        <w:rPr>
          <w:rFonts w:ascii="Arial" w:hAnsi="Arial" w:cs="Arial"/>
        </w:rPr>
      </w:pPr>
    </w:p>
    <w:p w14:paraId="0C41A0ED" w14:textId="77777777" w:rsidR="00122A9E" w:rsidRDefault="00122A9E" w:rsidP="00EF5222">
      <w:pPr>
        <w:pStyle w:val="ReferHead"/>
        <w:ind w:right="720"/>
        <w:jc w:val="both"/>
        <w:rPr>
          <w:rFonts w:ascii="Arial" w:hAnsi="Arial" w:cs="Arial"/>
          <w:b w:val="0"/>
          <w:caps w:val="0"/>
          <w:sz w:val="20"/>
        </w:rPr>
      </w:pPr>
    </w:p>
    <w:p w14:paraId="74B6554F" w14:textId="77777777" w:rsidR="00860000" w:rsidRDefault="00860000" w:rsidP="00EF5222">
      <w:pPr>
        <w:pStyle w:val="ReferHead"/>
        <w:spacing w:after="0"/>
        <w:ind w:right="720"/>
        <w:jc w:val="both"/>
        <w:rPr>
          <w:rFonts w:ascii="Arial" w:hAnsi="Arial" w:cs="Arial"/>
        </w:rPr>
      </w:pPr>
    </w:p>
    <w:p w14:paraId="11F3A77F" w14:textId="77777777" w:rsidR="00790ADA" w:rsidRPr="00FB3A86" w:rsidRDefault="00B01FCD" w:rsidP="00EF5222">
      <w:pPr>
        <w:pStyle w:val="ReferHead"/>
        <w:spacing w:after="0"/>
        <w:ind w:right="720"/>
        <w:jc w:val="both"/>
        <w:rPr>
          <w:rFonts w:ascii="Arial" w:hAnsi="Arial" w:cs="Arial"/>
        </w:rPr>
      </w:pPr>
      <w:r w:rsidRPr="00FB3A86">
        <w:rPr>
          <w:rFonts w:ascii="Arial" w:hAnsi="Arial" w:cs="Arial"/>
        </w:rPr>
        <w:t>References</w:t>
      </w:r>
    </w:p>
    <w:p w14:paraId="4B6D66E9" w14:textId="77777777" w:rsidR="00EF5222" w:rsidRPr="00EF5222" w:rsidRDefault="00EF5222" w:rsidP="00EF5222">
      <w:pPr>
        <w:widowControl w:val="0"/>
        <w:autoSpaceDE w:val="0"/>
        <w:autoSpaceDN w:val="0"/>
        <w:adjustRightInd w:val="0"/>
        <w:ind w:right="720"/>
        <w:jc w:val="both"/>
        <w:rPr>
          <w:rFonts w:cs="Helvetica"/>
          <w:noProof/>
          <w:szCs w:val="24"/>
        </w:rPr>
      </w:pPr>
      <w:r>
        <w:fldChar w:fldCharType="begin" w:fldLock="1"/>
      </w:r>
      <w:r>
        <w:instrText xml:space="preserve">ADDIN Mendeley Bibliography CSL_BIBLIOGRAPHY </w:instrText>
      </w:r>
      <w:r>
        <w:fldChar w:fldCharType="separate"/>
      </w:r>
      <w:r w:rsidRPr="00EF5222">
        <w:rPr>
          <w:rFonts w:cs="Helvetica"/>
          <w:noProof/>
          <w:szCs w:val="24"/>
        </w:rPr>
        <w:t xml:space="preserve">Abd El-Moniem, S.R., Abou El-Enin, A.I. and Rashwan, A.H. (2019) ‘Effect of Monocular Intravitreal Anti-Vascular Endothelial Growth Factor Injection on the Fellow Eye’, </w:t>
      </w:r>
      <w:r w:rsidRPr="00EF5222">
        <w:rPr>
          <w:rFonts w:cs="Helvetica"/>
          <w:i/>
          <w:iCs/>
          <w:noProof/>
          <w:szCs w:val="24"/>
        </w:rPr>
        <w:t>The Egyptian Journal of Hospital Medicine</w:t>
      </w:r>
      <w:r w:rsidRPr="00EF5222">
        <w:rPr>
          <w:rFonts w:cs="Helvetica"/>
          <w:noProof/>
          <w:szCs w:val="24"/>
        </w:rPr>
        <w:t>, 77(6), pp. 5883–5892. Available at: https://doi.org/10.21608/ejhm.2019.64850.</w:t>
      </w:r>
    </w:p>
    <w:p w14:paraId="3F11E631" w14:textId="77777777" w:rsidR="00EF5222" w:rsidRPr="00EF5222" w:rsidRDefault="00EF5222" w:rsidP="00EF5222">
      <w:pPr>
        <w:widowControl w:val="0"/>
        <w:autoSpaceDE w:val="0"/>
        <w:autoSpaceDN w:val="0"/>
        <w:adjustRightInd w:val="0"/>
        <w:ind w:right="720"/>
        <w:jc w:val="both"/>
        <w:rPr>
          <w:rFonts w:cs="Helvetica"/>
          <w:noProof/>
          <w:szCs w:val="24"/>
        </w:rPr>
      </w:pPr>
      <w:r w:rsidRPr="00EF5222">
        <w:rPr>
          <w:rFonts w:cs="Helvetica"/>
          <w:noProof/>
          <w:szCs w:val="24"/>
        </w:rPr>
        <w:t xml:space="preserve">Alshalan, H.A. </w:t>
      </w:r>
      <w:r w:rsidRPr="00EF5222">
        <w:rPr>
          <w:rFonts w:cs="Helvetica"/>
          <w:i/>
          <w:iCs/>
          <w:noProof/>
          <w:szCs w:val="24"/>
        </w:rPr>
        <w:t>et al.</w:t>
      </w:r>
      <w:r w:rsidRPr="00EF5222">
        <w:rPr>
          <w:rFonts w:cs="Helvetica"/>
          <w:noProof/>
          <w:szCs w:val="24"/>
        </w:rPr>
        <w:t xml:space="preserve"> (2022) ‘Effect of age on response to anti-VEGF agents in patients with center involving diabetic macular edema in a tertiary hospital’, </w:t>
      </w:r>
      <w:r w:rsidRPr="00EF5222">
        <w:rPr>
          <w:rFonts w:cs="Helvetica"/>
          <w:i/>
          <w:iCs/>
          <w:noProof/>
          <w:szCs w:val="24"/>
        </w:rPr>
        <w:t>International Journal of Retina and Vitreous</w:t>
      </w:r>
      <w:r w:rsidRPr="00EF5222">
        <w:rPr>
          <w:rFonts w:cs="Helvetica"/>
          <w:noProof/>
          <w:szCs w:val="24"/>
        </w:rPr>
        <w:t>, 8(1). Available at: https://doi.org/10.1186/s40942-022-00434-9.</w:t>
      </w:r>
    </w:p>
    <w:p w14:paraId="2CB8AEB5" w14:textId="77777777" w:rsidR="00EF5222" w:rsidRPr="00EF5222" w:rsidRDefault="00EF5222" w:rsidP="00EF5222">
      <w:pPr>
        <w:widowControl w:val="0"/>
        <w:autoSpaceDE w:val="0"/>
        <w:autoSpaceDN w:val="0"/>
        <w:adjustRightInd w:val="0"/>
        <w:ind w:right="720"/>
        <w:jc w:val="both"/>
        <w:rPr>
          <w:rFonts w:cs="Helvetica"/>
          <w:noProof/>
          <w:szCs w:val="24"/>
        </w:rPr>
      </w:pPr>
      <w:r w:rsidRPr="00EF5222">
        <w:rPr>
          <w:rFonts w:cs="Helvetica"/>
          <w:noProof/>
          <w:szCs w:val="24"/>
        </w:rPr>
        <w:t xml:space="preserve">Bakbak, B. </w:t>
      </w:r>
      <w:r w:rsidRPr="00EF5222">
        <w:rPr>
          <w:rFonts w:cs="Helvetica"/>
          <w:i/>
          <w:iCs/>
          <w:noProof/>
          <w:szCs w:val="24"/>
        </w:rPr>
        <w:t>et al.</w:t>
      </w:r>
      <w:r w:rsidRPr="00EF5222">
        <w:rPr>
          <w:rFonts w:cs="Helvetica"/>
          <w:noProof/>
          <w:szCs w:val="24"/>
        </w:rPr>
        <w:t xml:space="preserve"> (2013) ‘Comparison of the effect of unilateral intravitreal bevacizumab and ranibizumab injection on diabetic macular edema of the fellow eye’, </w:t>
      </w:r>
      <w:r w:rsidRPr="00EF5222">
        <w:rPr>
          <w:rFonts w:cs="Helvetica"/>
          <w:i/>
          <w:iCs/>
          <w:noProof/>
          <w:szCs w:val="24"/>
        </w:rPr>
        <w:t>Journal of Ocular Pharmacology and Therapeutics</w:t>
      </w:r>
      <w:r w:rsidRPr="00EF5222">
        <w:rPr>
          <w:rFonts w:cs="Helvetica"/>
          <w:noProof/>
          <w:szCs w:val="24"/>
        </w:rPr>
        <w:t>, 29(8). Available at: https://doi.org/10.1089/jop.2013.0049.</w:t>
      </w:r>
    </w:p>
    <w:p w14:paraId="4413257A" w14:textId="77777777" w:rsidR="00EF5222" w:rsidRPr="00EF5222" w:rsidRDefault="00EF5222" w:rsidP="00EF5222">
      <w:pPr>
        <w:widowControl w:val="0"/>
        <w:autoSpaceDE w:val="0"/>
        <w:autoSpaceDN w:val="0"/>
        <w:adjustRightInd w:val="0"/>
        <w:ind w:right="720"/>
        <w:jc w:val="both"/>
        <w:rPr>
          <w:rFonts w:cs="Helvetica"/>
          <w:noProof/>
          <w:szCs w:val="24"/>
        </w:rPr>
      </w:pPr>
      <w:r w:rsidRPr="00EF5222">
        <w:rPr>
          <w:rFonts w:cs="Helvetica"/>
          <w:noProof/>
          <w:szCs w:val="24"/>
        </w:rPr>
        <w:t xml:space="preserve">Bakbak, B. </w:t>
      </w:r>
      <w:r w:rsidRPr="00EF5222">
        <w:rPr>
          <w:rFonts w:cs="Helvetica"/>
          <w:i/>
          <w:iCs/>
          <w:noProof/>
          <w:szCs w:val="24"/>
        </w:rPr>
        <w:t>et al.</w:t>
      </w:r>
      <w:r w:rsidRPr="00EF5222">
        <w:rPr>
          <w:rFonts w:cs="Helvetica"/>
          <w:noProof/>
          <w:szCs w:val="24"/>
        </w:rPr>
        <w:t xml:space="preserve"> (2016) ‘The effect of intravitreal bevacizumab and ranibizumab on </w:t>
      </w:r>
      <w:r w:rsidRPr="00EF5222">
        <w:rPr>
          <w:rFonts w:cs="Helvetica"/>
          <w:noProof/>
          <w:szCs w:val="24"/>
        </w:rPr>
        <w:lastRenderedPageBreak/>
        <w:t xml:space="preserve">macular </w:t>
      </w:r>
      <w:r>
        <w:rPr>
          <w:rFonts w:cs="Helvetica"/>
          <w:noProof/>
          <w:szCs w:val="24"/>
        </w:rPr>
        <w:t xml:space="preserve"> </w:t>
      </w:r>
      <w:r w:rsidRPr="00EF5222">
        <w:rPr>
          <w:rFonts w:cs="Helvetica"/>
          <w:noProof/>
          <w:szCs w:val="24"/>
        </w:rPr>
        <w:t xml:space="preserve">edema of the contralateral eye: A comparative study of two anti-VEGFs’, </w:t>
      </w:r>
      <w:r w:rsidRPr="00EF5222">
        <w:rPr>
          <w:rFonts w:cs="Helvetica"/>
          <w:i/>
          <w:iCs/>
          <w:noProof/>
          <w:szCs w:val="24"/>
        </w:rPr>
        <w:t>Oman Journal of Ophthalmology</w:t>
      </w:r>
      <w:r w:rsidRPr="00EF5222">
        <w:rPr>
          <w:rFonts w:cs="Helvetica"/>
          <w:noProof/>
          <w:szCs w:val="24"/>
        </w:rPr>
        <w:t>, 9(1). Available at: https://doi.org/10.4103/0974-620X.176100.</w:t>
      </w:r>
    </w:p>
    <w:p w14:paraId="2D919D5A" w14:textId="77777777" w:rsidR="00EF5222" w:rsidRPr="00EF5222" w:rsidRDefault="00EF5222" w:rsidP="00EF5222">
      <w:pPr>
        <w:widowControl w:val="0"/>
        <w:autoSpaceDE w:val="0"/>
        <w:autoSpaceDN w:val="0"/>
        <w:adjustRightInd w:val="0"/>
        <w:ind w:right="720"/>
        <w:jc w:val="both"/>
        <w:rPr>
          <w:rFonts w:cs="Helvetica"/>
          <w:noProof/>
          <w:szCs w:val="24"/>
        </w:rPr>
      </w:pPr>
      <w:r w:rsidRPr="00EF5222">
        <w:rPr>
          <w:rFonts w:cs="Helvetica"/>
          <w:noProof/>
          <w:szCs w:val="24"/>
        </w:rPr>
        <w:t xml:space="preserve">Bashir, A.J. </w:t>
      </w:r>
      <w:r w:rsidRPr="00EF5222">
        <w:rPr>
          <w:rFonts w:cs="Helvetica"/>
          <w:i/>
          <w:iCs/>
          <w:noProof/>
          <w:szCs w:val="24"/>
        </w:rPr>
        <w:t>et al.</w:t>
      </w:r>
      <w:r w:rsidRPr="00EF5222">
        <w:rPr>
          <w:rFonts w:cs="Helvetica"/>
          <w:noProof/>
          <w:szCs w:val="24"/>
        </w:rPr>
        <w:t xml:space="preserve"> (2021) ‘EFFECTS OF UNILATERAL INTRAVITREAL BEVACIZUMAB ON THE CONTRALATERAL EYE HAVING DIABETIC MACULAR EDEMA’, </w:t>
      </w:r>
      <w:r w:rsidRPr="00EF5222">
        <w:rPr>
          <w:rFonts w:cs="Helvetica"/>
          <w:i/>
          <w:iCs/>
          <w:noProof/>
          <w:szCs w:val="24"/>
        </w:rPr>
        <w:t>Pakistan Armed Forces Medical Journal</w:t>
      </w:r>
      <w:r w:rsidRPr="00EF5222">
        <w:rPr>
          <w:rFonts w:cs="Helvetica"/>
          <w:noProof/>
          <w:szCs w:val="24"/>
        </w:rPr>
        <w:t>, 71(6). Available at: https://doi.org/10.51253/PAFMJ.V6I6.5853.</w:t>
      </w:r>
    </w:p>
    <w:p w14:paraId="464E4BFA" w14:textId="77777777" w:rsidR="00EF5222" w:rsidRPr="00EF5222" w:rsidRDefault="00EF5222" w:rsidP="00EF5222">
      <w:pPr>
        <w:widowControl w:val="0"/>
        <w:autoSpaceDE w:val="0"/>
        <w:autoSpaceDN w:val="0"/>
        <w:adjustRightInd w:val="0"/>
        <w:ind w:right="720"/>
        <w:jc w:val="both"/>
        <w:rPr>
          <w:rFonts w:cs="Helvetica"/>
          <w:noProof/>
          <w:szCs w:val="24"/>
        </w:rPr>
      </w:pPr>
      <w:r w:rsidRPr="00EF5222">
        <w:rPr>
          <w:rFonts w:cs="Helvetica"/>
          <w:noProof/>
          <w:szCs w:val="24"/>
        </w:rPr>
        <w:t xml:space="preserve">Chen, Y.P. </w:t>
      </w:r>
      <w:r w:rsidRPr="00EF5222">
        <w:rPr>
          <w:rFonts w:cs="Helvetica"/>
          <w:i/>
          <w:iCs/>
          <w:noProof/>
          <w:szCs w:val="24"/>
        </w:rPr>
        <w:t>et al.</w:t>
      </w:r>
      <w:r w:rsidRPr="00EF5222">
        <w:rPr>
          <w:rFonts w:cs="Helvetica"/>
          <w:noProof/>
          <w:szCs w:val="24"/>
        </w:rPr>
        <w:t xml:space="preserve"> (2019) ‘Factors influencing clinical outcomes in patients with diabetic macular edema treated with intravitreal ranibizumab: comparison between responder and non-responder cases’, </w:t>
      </w:r>
      <w:r w:rsidRPr="00EF5222">
        <w:rPr>
          <w:rFonts w:cs="Helvetica"/>
          <w:i/>
          <w:iCs/>
          <w:noProof/>
          <w:szCs w:val="24"/>
        </w:rPr>
        <w:t>Scientific Reports</w:t>
      </w:r>
      <w:r w:rsidRPr="00EF5222">
        <w:rPr>
          <w:rFonts w:cs="Helvetica"/>
          <w:noProof/>
          <w:szCs w:val="24"/>
        </w:rPr>
        <w:t>, 9(1), pp. 1–8. Available at: https://doi.org/10.1038/s41598-019-47241-1.</w:t>
      </w:r>
    </w:p>
    <w:p w14:paraId="44C59E32" w14:textId="77777777" w:rsidR="00EF5222" w:rsidRPr="00EF5222" w:rsidRDefault="00EF5222" w:rsidP="00EF5222">
      <w:pPr>
        <w:widowControl w:val="0"/>
        <w:autoSpaceDE w:val="0"/>
        <w:autoSpaceDN w:val="0"/>
        <w:adjustRightInd w:val="0"/>
        <w:ind w:right="720"/>
        <w:jc w:val="both"/>
        <w:rPr>
          <w:rFonts w:cs="Helvetica"/>
          <w:noProof/>
          <w:szCs w:val="24"/>
        </w:rPr>
      </w:pPr>
      <w:r w:rsidRPr="00EF5222">
        <w:rPr>
          <w:rFonts w:cs="Helvetica"/>
          <w:noProof/>
          <w:szCs w:val="24"/>
        </w:rPr>
        <w:t xml:space="preserve">Cleland, C.R. </w:t>
      </w:r>
      <w:r w:rsidRPr="00EF5222">
        <w:rPr>
          <w:rFonts w:cs="Helvetica"/>
          <w:i/>
          <w:iCs/>
          <w:noProof/>
          <w:szCs w:val="24"/>
        </w:rPr>
        <w:t>et al.</w:t>
      </w:r>
      <w:r w:rsidRPr="00EF5222">
        <w:rPr>
          <w:rFonts w:cs="Helvetica"/>
          <w:noProof/>
          <w:szCs w:val="24"/>
        </w:rPr>
        <w:t xml:space="preserve"> (2016) ‘Diabetic retinopathy in Tanzania: Prevalence and risk factors at entry into a regional screening programme’, </w:t>
      </w:r>
      <w:r w:rsidRPr="00EF5222">
        <w:rPr>
          <w:rFonts w:cs="Helvetica"/>
          <w:i/>
          <w:iCs/>
          <w:noProof/>
          <w:szCs w:val="24"/>
        </w:rPr>
        <w:t>Tropical Medicine and International Health</w:t>
      </w:r>
      <w:r w:rsidRPr="00EF5222">
        <w:rPr>
          <w:rFonts w:cs="Helvetica"/>
          <w:noProof/>
          <w:szCs w:val="24"/>
        </w:rPr>
        <w:t>, 21(3). Available at: https://doi.org/10.1111/tmi.12652.</w:t>
      </w:r>
    </w:p>
    <w:p w14:paraId="6C52BEFA" w14:textId="77777777" w:rsidR="00EF5222" w:rsidRPr="00EF5222" w:rsidRDefault="00EF5222" w:rsidP="00EF5222">
      <w:pPr>
        <w:widowControl w:val="0"/>
        <w:autoSpaceDE w:val="0"/>
        <w:autoSpaceDN w:val="0"/>
        <w:adjustRightInd w:val="0"/>
        <w:ind w:right="720"/>
        <w:jc w:val="both"/>
        <w:rPr>
          <w:rFonts w:cs="Helvetica"/>
          <w:noProof/>
          <w:szCs w:val="24"/>
        </w:rPr>
      </w:pPr>
      <w:r w:rsidRPr="00EF5222">
        <w:rPr>
          <w:rFonts w:cs="Helvetica"/>
          <w:noProof/>
          <w:szCs w:val="24"/>
        </w:rPr>
        <w:t xml:space="preserve">Das, A., McGuire, P. and Monickaraj, F. (2016) ‘Novel pharmacotherapies in diabetic retinopathy: Current status and what’s in the horizon?’, </w:t>
      </w:r>
      <w:r w:rsidRPr="00EF5222">
        <w:rPr>
          <w:rFonts w:cs="Helvetica"/>
          <w:i/>
          <w:iCs/>
          <w:noProof/>
          <w:szCs w:val="24"/>
        </w:rPr>
        <w:t>Indian Journal of Ophthalmology</w:t>
      </w:r>
      <w:r w:rsidRPr="00EF5222">
        <w:rPr>
          <w:rFonts w:cs="Helvetica"/>
          <w:noProof/>
          <w:szCs w:val="24"/>
        </w:rPr>
        <w:t>. Available at: https://doi.org/10.4103/0301-4738.178154.</w:t>
      </w:r>
    </w:p>
    <w:p w14:paraId="3D755C5B" w14:textId="77777777" w:rsidR="00EF5222" w:rsidRPr="00EF5222" w:rsidRDefault="00EF5222" w:rsidP="00EF5222">
      <w:pPr>
        <w:widowControl w:val="0"/>
        <w:autoSpaceDE w:val="0"/>
        <w:autoSpaceDN w:val="0"/>
        <w:adjustRightInd w:val="0"/>
        <w:ind w:right="720"/>
        <w:jc w:val="both"/>
        <w:rPr>
          <w:rFonts w:cs="Helvetica"/>
          <w:noProof/>
          <w:szCs w:val="24"/>
        </w:rPr>
      </w:pPr>
      <w:r w:rsidRPr="00EF5222">
        <w:rPr>
          <w:rFonts w:cs="Helvetica"/>
          <w:noProof/>
          <w:szCs w:val="24"/>
        </w:rPr>
        <w:t xml:space="preserve">Fogli, S. </w:t>
      </w:r>
      <w:r w:rsidRPr="00EF5222">
        <w:rPr>
          <w:rFonts w:cs="Helvetica"/>
          <w:i/>
          <w:iCs/>
          <w:noProof/>
          <w:szCs w:val="24"/>
        </w:rPr>
        <w:t>et al.</w:t>
      </w:r>
      <w:r w:rsidRPr="00EF5222">
        <w:rPr>
          <w:rFonts w:cs="Helvetica"/>
          <w:noProof/>
          <w:szCs w:val="24"/>
        </w:rPr>
        <w:t xml:space="preserve"> (2018) ‘Clinical pharmacology of intravitreal anti-VEGF drugs’, </w:t>
      </w:r>
      <w:r w:rsidRPr="00EF5222">
        <w:rPr>
          <w:rFonts w:cs="Helvetica"/>
          <w:i/>
          <w:iCs/>
          <w:noProof/>
          <w:szCs w:val="24"/>
        </w:rPr>
        <w:t>Eye (Basingstoke)</w:t>
      </w:r>
      <w:r w:rsidRPr="00EF5222">
        <w:rPr>
          <w:rFonts w:cs="Helvetica"/>
          <w:noProof/>
          <w:szCs w:val="24"/>
        </w:rPr>
        <w:t>. Available at: https://doi.org/10.1038/s41433-018-0021-7.</w:t>
      </w:r>
    </w:p>
    <w:p w14:paraId="5A64D950" w14:textId="77777777" w:rsidR="00EF5222" w:rsidRPr="00EF5222" w:rsidRDefault="00EF5222" w:rsidP="00EF5222">
      <w:pPr>
        <w:widowControl w:val="0"/>
        <w:autoSpaceDE w:val="0"/>
        <w:autoSpaceDN w:val="0"/>
        <w:adjustRightInd w:val="0"/>
        <w:ind w:right="720"/>
        <w:jc w:val="both"/>
        <w:rPr>
          <w:rFonts w:cs="Helvetica"/>
          <w:noProof/>
          <w:szCs w:val="24"/>
        </w:rPr>
      </w:pPr>
      <w:r w:rsidRPr="00EF5222">
        <w:rPr>
          <w:rFonts w:cs="Helvetica"/>
          <w:noProof/>
          <w:szCs w:val="24"/>
        </w:rPr>
        <w:t xml:space="preserve">Forrester, J. V., Kuffova, L. and Delibegovic, M. (2020) ‘The Role of Inflammation in Diabetic Retinopathy’, </w:t>
      </w:r>
      <w:r w:rsidRPr="00EF5222">
        <w:rPr>
          <w:rFonts w:cs="Helvetica"/>
          <w:i/>
          <w:iCs/>
          <w:noProof/>
          <w:szCs w:val="24"/>
        </w:rPr>
        <w:t>Frontiers in Immunology</w:t>
      </w:r>
      <w:r w:rsidRPr="00EF5222">
        <w:rPr>
          <w:rFonts w:cs="Helvetica"/>
          <w:noProof/>
          <w:szCs w:val="24"/>
        </w:rPr>
        <w:t>. Available at: https://doi.org/10.3389/fimmu.2020.583687.</w:t>
      </w:r>
    </w:p>
    <w:p w14:paraId="69F1AC20" w14:textId="77777777" w:rsidR="00EF5222" w:rsidRPr="00EF5222" w:rsidRDefault="00EF5222" w:rsidP="00EF5222">
      <w:pPr>
        <w:widowControl w:val="0"/>
        <w:autoSpaceDE w:val="0"/>
        <w:autoSpaceDN w:val="0"/>
        <w:adjustRightInd w:val="0"/>
        <w:ind w:right="720"/>
        <w:jc w:val="both"/>
        <w:rPr>
          <w:rFonts w:cs="Helvetica"/>
          <w:noProof/>
          <w:szCs w:val="24"/>
        </w:rPr>
      </w:pPr>
      <w:r w:rsidRPr="00EF5222">
        <w:rPr>
          <w:rFonts w:cs="Helvetica"/>
          <w:noProof/>
          <w:szCs w:val="24"/>
        </w:rPr>
        <w:t xml:space="preserve">Hanhart, J. </w:t>
      </w:r>
      <w:r w:rsidRPr="00EF5222">
        <w:rPr>
          <w:rFonts w:cs="Helvetica"/>
          <w:i/>
          <w:iCs/>
          <w:noProof/>
          <w:szCs w:val="24"/>
        </w:rPr>
        <w:t>et al.</w:t>
      </w:r>
      <w:r w:rsidRPr="00EF5222">
        <w:rPr>
          <w:rFonts w:cs="Helvetica"/>
          <w:noProof/>
          <w:szCs w:val="24"/>
        </w:rPr>
        <w:t xml:space="preserve"> (2014) ‘Fellow eye effect of unilateral intravitreal bevacizumab injection in eyes with diabetic macular edema’, </w:t>
      </w:r>
      <w:r w:rsidRPr="00EF5222">
        <w:rPr>
          <w:rFonts w:cs="Helvetica"/>
          <w:i/>
          <w:iCs/>
          <w:noProof/>
          <w:szCs w:val="24"/>
        </w:rPr>
        <w:t>Eye (Basingstoke)</w:t>
      </w:r>
      <w:r w:rsidRPr="00EF5222">
        <w:rPr>
          <w:rFonts w:cs="Helvetica"/>
          <w:noProof/>
          <w:szCs w:val="24"/>
        </w:rPr>
        <w:t>, 28(6). Available at: https://doi.org/10.1038/eye.2014.94.</w:t>
      </w:r>
    </w:p>
    <w:p w14:paraId="77652E33" w14:textId="77777777" w:rsidR="00EF5222" w:rsidRPr="00EF5222" w:rsidRDefault="00EF5222" w:rsidP="00EF5222">
      <w:pPr>
        <w:widowControl w:val="0"/>
        <w:autoSpaceDE w:val="0"/>
        <w:autoSpaceDN w:val="0"/>
        <w:adjustRightInd w:val="0"/>
        <w:ind w:right="720"/>
        <w:jc w:val="both"/>
        <w:rPr>
          <w:rFonts w:cs="Helvetica"/>
          <w:noProof/>
          <w:szCs w:val="24"/>
        </w:rPr>
      </w:pPr>
      <w:r w:rsidRPr="00EF5222">
        <w:rPr>
          <w:rFonts w:cs="Helvetica"/>
          <w:noProof/>
          <w:szCs w:val="24"/>
        </w:rPr>
        <w:t xml:space="preserve">Kanji, S., Dhalla, K. and Makupa, W. (2020) ‘Outcomes of Intravitreal Bevacizumab in Patients with Diabetic Macular Edema at a Tertiary Hospital in Northern Tanzania’, </w:t>
      </w:r>
      <w:r w:rsidRPr="00EF5222">
        <w:rPr>
          <w:rFonts w:cs="Helvetica"/>
          <w:i/>
          <w:iCs/>
          <w:noProof/>
          <w:szCs w:val="24"/>
        </w:rPr>
        <w:t>Ophthalmology Research: An International Journal</w:t>
      </w:r>
      <w:r w:rsidRPr="00EF5222">
        <w:rPr>
          <w:rFonts w:cs="Helvetica"/>
          <w:noProof/>
          <w:szCs w:val="24"/>
        </w:rPr>
        <w:t xml:space="preserve"> [Preprint]. Available at: https://doi.org/10.9734/or/2020/v12i430153.</w:t>
      </w:r>
    </w:p>
    <w:p w14:paraId="7FAA4DEA" w14:textId="77777777" w:rsidR="00EF5222" w:rsidRPr="00EF5222" w:rsidRDefault="00EF5222" w:rsidP="00EF5222">
      <w:pPr>
        <w:widowControl w:val="0"/>
        <w:autoSpaceDE w:val="0"/>
        <w:autoSpaceDN w:val="0"/>
        <w:adjustRightInd w:val="0"/>
        <w:ind w:right="720"/>
        <w:jc w:val="both"/>
        <w:rPr>
          <w:rFonts w:cs="Helvetica"/>
          <w:noProof/>
          <w:szCs w:val="24"/>
        </w:rPr>
      </w:pPr>
      <w:r w:rsidRPr="00EF5222">
        <w:rPr>
          <w:rFonts w:cs="Helvetica"/>
          <w:noProof/>
          <w:szCs w:val="24"/>
        </w:rPr>
        <w:t xml:space="preserve">Khatri, A. </w:t>
      </w:r>
      <w:r w:rsidRPr="00EF5222">
        <w:rPr>
          <w:rFonts w:cs="Helvetica"/>
          <w:i/>
          <w:iCs/>
          <w:noProof/>
          <w:szCs w:val="24"/>
        </w:rPr>
        <w:t>et al.</w:t>
      </w:r>
      <w:r w:rsidRPr="00EF5222">
        <w:rPr>
          <w:rFonts w:cs="Helvetica"/>
          <w:noProof/>
          <w:szCs w:val="24"/>
        </w:rPr>
        <w:t xml:space="preserve"> (2017) ‘Evaluation of effect of bevacizumab on central subfield macular thickness in the injected and contralateral (untreated) eye of patients with bilateral diabetic macular oedema’, </w:t>
      </w:r>
      <w:r w:rsidRPr="00EF5222">
        <w:rPr>
          <w:rFonts w:cs="Helvetica"/>
          <w:i/>
          <w:iCs/>
          <w:noProof/>
          <w:szCs w:val="24"/>
        </w:rPr>
        <w:t>BMJ Open Ophthalmology</w:t>
      </w:r>
      <w:r w:rsidRPr="00EF5222">
        <w:rPr>
          <w:rFonts w:cs="Helvetica"/>
          <w:noProof/>
          <w:szCs w:val="24"/>
        </w:rPr>
        <w:t>, 2(1). Available at: https://doi.org/10.1136/bmjophth-2017-000102.</w:t>
      </w:r>
    </w:p>
    <w:p w14:paraId="437BFFB8" w14:textId="77777777" w:rsidR="00EF5222" w:rsidRPr="00EF5222" w:rsidRDefault="00EF5222" w:rsidP="00EF5222">
      <w:pPr>
        <w:widowControl w:val="0"/>
        <w:autoSpaceDE w:val="0"/>
        <w:autoSpaceDN w:val="0"/>
        <w:adjustRightInd w:val="0"/>
        <w:ind w:right="720"/>
        <w:jc w:val="both"/>
        <w:rPr>
          <w:rFonts w:cs="Helvetica"/>
          <w:noProof/>
          <w:szCs w:val="24"/>
        </w:rPr>
      </w:pPr>
      <w:r w:rsidRPr="00EF5222">
        <w:rPr>
          <w:rFonts w:cs="Helvetica"/>
          <w:noProof/>
          <w:szCs w:val="24"/>
        </w:rPr>
        <w:t xml:space="preserve">Lee, S.H. </w:t>
      </w:r>
      <w:r w:rsidRPr="00EF5222">
        <w:rPr>
          <w:rFonts w:cs="Helvetica"/>
          <w:i/>
          <w:iCs/>
          <w:noProof/>
          <w:szCs w:val="24"/>
        </w:rPr>
        <w:t>et al.</w:t>
      </w:r>
      <w:r w:rsidRPr="00EF5222">
        <w:rPr>
          <w:rFonts w:cs="Helvetica"/>
          <w:noProof/>
          <w:szCs w:val="24"/>
        </w:rPr>
        <w:t xml:space="preserve"> (2024) ‘Association between the response of intravitreal antivascular endothelial growth factor injection and systemic factors of diabetic macular edema’, </w:t>
      </w:r>
      <w:r w:rsidRPr="00EF5222">
        <w:rPr>
          <w:rFonts w:cs="Helvetica"/>
          <w:i/>
          <w:iCs/>
          <w:noProof/>
          <w:szCs w:val="24"/>
        </w:rPr>
        <w:t>BMC Ophthalmology</w:t>
      </w:r>
      <w:r w:rsidRPr="00EF5222">
        <w:rPr>
          <w:rFonts w:cs="Helvetica"/>
          <w:noProof/>
          <w:szCs w:val="24"/>
        </w:rPr>
        <w:t>, 24(1), pp. 1–7. Available at: https://doi.org/10.1186/s12886-024-03432-7.</w:t>
      </w:r>
    </w:p>
    <w:p w14:paraId="070E1D79" w14:textId="77777777" w:rsidR="00EF5222" w:rsidRPr="00EF5222" w:rsidRDefault="00EF5222" w:rsidP="00EF5222">
      <w:pPr>
        <w:widowControl w:val="0"/>
        <w:autoSpaceDE w:val="0"/>
        <w:autoSpaceDN w:val="0"/>
        <w:adjustRightInd w:val="0"/>
        <w:ind w:right="720"/>
        <w:jc w:val="both"/>
        <w:rPr>
          <w:rFonts w:cs="Helvetica"/>
          <w:noProof/>
          <w:szCs w:val="24"/>
        </w:rPr>
      </w:pPr>
      <w:r w:rsidRPr="00EF5222">
        <w:rPr>
          <w:rFonts w:cs="Helvetica"/>
          <w:noProof/>
          <w:szCs w:val="24"/>
        </w:rPr>
        <w:t xml:space="preserve">Malbin, B. </w:t>
      </w:r>
      <w:r w:rsidRPr="00EF5222">
        <w:rPr>
          <w:rFonts w:cs="Helvetica"/>
          <w:i/>
          <w:iCs/>
          <w:noProof/>
          <w:szCs w:val="24"/>
        </w:rPr>
        <w:t>et al.</w:t>
      </w:r>
      <w:r w:rsidRPr="00EF5222">
        <w:rPr>
          <w:rFonts w:cs="Helvetica"/>
          <w:noProof/>
          <w:szCs w:val="24"/>
        </w:rPr>
        <w:t xml:space="preserve"> (2019) ‘Comparative Eye Effect of Unilateral Intravitreal Bevacizumab, Ranibizumab, and Aflibercept for Diabetic Macular Edema’, </w:t>
      </w:r>
      <w:r w:rsidRPr="00EF5222">
        <w:rPr>
          <w:rFonts w:cs="Helvetica"/>
          <w:i/>
          <w:iCs/>
          <w:noProof/>
          <w:szCs w:val="24"/>
        </w:rPr>
        <w:t>Journal of VitreoRetinal Diseases</w:t>
      </w:r>
      <w:r w:rsidRPr="00EF5222">
        <w:rPr>
          <w:rFonts w:cs="Helvetica"/>
          <w:noProof/>
          <w:szCs w:val="24"/>
        </w:rPr>
        <w:t>, 3(2), pp. 86–89. Available at: https://doi.org/10.1177/2474126418819059.</w:t>
      </w:r>
    </w:p>
    <w:p w14:paraId="438D6673" w14:textId="77777777" w:rsidR="00EF5222" w:rsidRPr="00EF5222" w:rsidRDefault="00EF5222" w:rsidP="00EF5222">
      <w:pPr>
        <w:widowControl w:val="0"/>
        <w:autoSpaceDE w:val="0"/>
        <w:autoSpaceDN w:val="0"/>
        <w:adjustRightInd w:val="0"/>
        <w:ind w:right="720"/>
        <w:jc w:val="both"/>
        <w:rPr>
          <w:rFonts w:cs="Helvetica"/>
          <w:noProof/>
          <w:szCs w:val="24"/>
        </w:rPr>
      </w:pPr>
      <w:r w:rsidRPr="00EF5222">
        <w:rPr>
          <w:rFonts w:cs="Helvetica"/>
          <w:noProof/>
          <w:szCs w:val="24"/>
        </w:rPr>
        <w:t xml:space="preserve">Osathanugrah, P. </w:t>
      </w:r>
      <w:r w:rsidRPr="00EF5222">
        <w:rPr>
          <w:rFonts w:cs="Helvetica"/>
          <w:i/>
          <w:iCs/>
          <w:noProof/>
          <w:szCs w:val="24"/>
        </w:rPr>
        <w:t>et al.</w:t>
      </w:r>
      <w:r w:rsidRPr="00EF5222">
        <w:rPr>
          <w:rFonts w:cs="Helvetica"/>
          <w:noProof/>
          <w:szCs w:val="24"/>
        </w:rPr>
        <w:t xml:space="preserve"> (2021) ‘The Impact of Race on Short-term Treatment Response to Bevacizumab in Diabetic Macular Edema’, </w:t>
      </w:r>
      <w:r w:rsidRPr="00EF5222">
        <w:rPr>
          <w:rFonts w:cs="Helvetica"/>
          <w:i/>
          <w:iCs/>
          <w:noProof/>
          <w:szCs w:val="24"/>
        </w:rPr>
        <w:t>American Journal of Ophthalmology</w:t>
      </w:r>
      <w:r w:rsidRPr="00EF5222">
        <w:rPr>
          <w:rFonts w:cs="Helvetica"/>
          <w:noProof/>
          <w:szCs w:val="24"/>
        </w:rPr>
        <w:t>, 222. Available at: https://doi.org/10.1016/j.ajo.2020.09.042.</w:t>
      </w:r>
    </w:p>
    <w:p w14:paraId="22A02C29" w14:textId="77777777" w:rsidR="00EF5222" w:rsidRPr="00EF5222" w:rsidRDefault="00EF5222" w:rsidP="00EF5222">
      <w:pPr>
        <w:widowControl w:val="0"/>
        <w:autoSpaceDE w:val="0"/>
        <w:autoSpaceDN w:val="0"/>
        <w:adjustRightInd w:val="0"/>
        <w:ind w:right="720"/>
        <w:jc w:val="both"/>
        <w:rPr>
          <w:rFonts w:cs="Helvetica"/>
          <w:noProof/>
          <w:szCs w:val="24"/>
        </w:rPr>
      </w:pPr>
      <w:r w:rsidRPr="00EF5222">
        <w:rPr>
          <w:rFonts w:cs="Helvetica"/>
          <w:noProof/>
          <w:szCs w:val="24"/>
        </w:rPr>
        <w:t xml:space="preserve">Taurone, S. </w:t>
      </w:r>
      <w:r w:rsidRPr="00EF5222">
        <w:rPr>
          <w:rFonts w:cs="Helvetica"/>
          <w:i/>
          <w:iCs/>
          <w:noProof/>
          <w:szCs w:val="24"/>
        </w:rPr>
        <w:t>et al.</w:t>
      </w:r>
      <w:r w:rsidRPr="00EF5222">
        <w:rPr>
          <w:rFonts w:cs="Helvetica"/>
          <w:noProof/>
          <w:szCs w:val="24"/>
        </w:rPr>
        <w:t xml:space="preserve"> (2020) ‘The role of inflammation in diabetic retinopathy: a review’, </w:t>
      </w:r>
      <w:r w:rsidRPr="00EF5222">
        <w:rPr>
          <w:rFonts w:cs="Helvetica"/>
          <w:i/>
          <w:iCs/>
          <w:noProof/>
          <w:szCs w:val="24"/>
        </w:rPr>
        <w:t>European Review for Medical and Pharmacological Sciences</w:t>
      </w:r>
      <w:r w:rsidRPr="00EF5222">
        <w:rPr>
          <w:rFonts w:cs="Helvetica"/>
          <w:noProof/>
          <w:szCs w:val="24"/>
        </w:rPr>
        <w:t>, 24(20). Available at: https://doi.org/10.26355/eurrev_202010_23379.</w:t>
      </w:r>
    </w:p>
    <w:p w14:paraId="75CAE753" w14:textId="77777777" w:rsidR="00EF5222" w:rsidRPr="00EF5222" w:rsidRDefault="00EF5222" w:rsidP="00EF5222">
      <w:pPr>
        <w:widowControl w:val="0"/>
        <w:autoSpaceDE w:val="0"/>
        <w:autoSpaceDN w:val="0"/>
        <w:adjustRightInd w:val="0"/>
        <w:ind w:right="720"/>
        <w:jc w:val="both"/>
        <w:rPr>
          <w:rFonts w:cs="Helvetica"/>
          <w:noProof/>
          <w:szCs w:val="24"/>
        </w:rPr>
      </w:pPr>
      <w:r w:rsidRPr="00EF5222">
        <w:rPr>
          <w:rFonts w:cs="Helvetica"/>
          <w:noProof/>
          <w:szCs w:val="24"/>
        </w:rPr>
        <w:t xml:space="preserve">Usui-Ouchi, A. </w:t>
      </w:r>
      <w:r w:rsidRPr="00EF5222">
        <w:rPr>
          <w:rFonts w:cs="Helvetica"/>
          <w:i/>
          <w:iCs/>
          <w:noProof/>
          <w:szCs w:val="24"/>
        </w:rPr>
        <w:t>et al.</w:t>
      </w:r>
      <w:r w:rsidRPr="00EF5222">
        <w:rPr>
          <w:rFonts w:cs="Helvetica"/>
          <w:noProof/>
          <w:szCs w:val="24"/>
        </w:rPr>
        <w:t xml:space="preserve"> (2021) ‘Factors affecting a short-term response to anti-vegf therapy in diabetic macular edema’, </w:t>
      </w:r>
      <w:r w:rsidRPr="00EF5222">
        <w:rPr>
          <w:rFonts w:cs="Helvetica"/>
          <w:i/>
          <w:iCs/>
          <w:noProof/>
          <w:szCs w:val="24"/>
        </w:rPr>
        <w:t>Life</w:t>
      </w:r>
      <w:r w:rsidRPr="00EF5222">
        <w:rPr>
          <w:rFonts w:cs="Helvetica"/>
          <w:noProof/>
          <w:szCs w:val="24"/>
        </w:rPr>
        <w:t>, 11(2), pp. 1–9. Available at: https://doi.org/10.3390/life11020083.</w:t>
      </w:r>
    </w:p>
    <w:p w14:paraId="04195178" w14:textId="77777777" w:rsidR="00EF5222" w:rsidRPr="00EF5222" w:rsidRDefault="00EF5222" w:rsidP="00EF5222">
      <w:pPr>
        <w:widowControl w:val="0"/>
        <w:autoSpaceDE w:val="0"/>
        <w:autoSpaceDN w:val="0"/>
        <w:adjustRightInd w:val="0"/>
        <w:ind w:right="720"/>
        <w:jc w:val="both"/>
        <w:rPr>
          <w:rFonts w:cs="Helvetica"/>
          <w:noProof/>
        </w:rPr>
      </w:pPr>
      <w:r w:rsidRPr="00EF5222">
        <w:rPr>
          <w:rFonts w:cs="Helvetica"/>
          <w:noProof/>
          <w:szCs w:val="24"/>
        </w:rPr>
        <w:t xml:space="preserve">Yang, K., Qiao, Y. and Yan, S. (2023) ‘Influencing factors for therapeutic effect of intravitreal injection of anti-vascular endothelial growth factor agents in patients with diabetic macular edema’, </w:t>
      </w:r>
      <w:r w:rsidRPr="00EF5222">
        <w:rPr>
          <w:rFonts w:cs="Helvetica"/>
          <w:i/>
          <w:iCs/>
          <w:noProof/>
          <w:szCs w:val="24"/>
        </w:rPr>
        <w:t>Recent Advances in Ophthalmology</w:t>
      </w:r>
      <w:r w:rsidRPr="00EF5222">
        <w:rPr>
          <w:rFonts w:cs="Helvetica"/>
          <w:noProof/>
          <w:szCs w:val="24"/>
        </w:rPr>
        <w:t xml:space="preserve">, 43(4). Available at: </w:t>
      </w:r>
      <w:r w:rsidRPr="00EF5222">
        <w:rPr>
          <w:rFonts w:cs="Helvetica"/>
          <w:noProof/>
          <w:szCs w:val="24"/>
        </w:rPr>
        <w:lastRenderedPageBreak/>
        <w:t>https://doi.org/10.13389/j.cnki.rao.2023.0061.</w:t>
      </w:r>
    </w:p>
    <w:p w14:paraId="5A5714E0" w14:textId="77777777" w:rsidR="00D74CB0" w:rsidRDefault="00EF5222" w:rsidP="00EF5222">
      <w:pPr>
        <w:pStyle w:val="Body"/>
        <w:spacing w:after="0"/>
        <w:ind w:right="720"/>
      </w:pPr>
      <w:r>
        <w:fldChar w:fldCharType="end"/>
      </w:r>
    </w:p>
    <w:p w14:paraId="59C8BCA0" w14:textId="77777777" w:rsidR="00441B6F" w:rsidRDefault="00441B6F" w:rsidP="00EF5222">
      <w:pPr>
        <w:pStyle w:val="Body"/>
        <w:spacing w:after="0"/>
        <w:ind w:right="720"/>
        <w:rPr>
          <w:rFonts w:ascii="Arial" w:hAnsi="Arial" w:cs="Arial"/>
        </w:rPr>
      </w:pPr>
    </w:p>
    <w:p w14:paraId="04F92B82" w14:textId="77777777" w:rsidR="00B01FCD" w:rsidRPr="00FB3A86" w:rsidRDefault="00B01FCD" w:rsidP="00EF5222">
      <w:pPr>
        <w:pStyle w:val="Reference"/>
        <w:numPr>
          <w:ilvl w:val="0"/>
          <w:numId w:val="0"/>
        </w:numPr>
        <w:spacing w:line="240" w:lineRule="auto"/>
        <w:ind w:right="720"/>
        <w:rPr>
          <w:rFonts w:ascii="Arial" w:hAnsi="Arial" w:cs="Arial"/>
        </w:rPr>
      </w:pPr>
    </w:p>
    <w:p w14:paraId="69DE3056" w14:textId="77777777" w:rsidR="004D4277" w:rsidRPr="00FB3A86" w:rsidRDefault="004D4277" w:rsidP="00EF5222">
      <w:pPr>
        <w:pStyle w:val="Appendix"/>
        <w:spacing w:after="0"/>
        <w:ind w:right="720"/>
        <w:jc w:val="both"/>
        <w:rPr>
          <w:rFonts w:ascii="Arial" w:hAnsi="Arial" w:cs="Arial"/>
          <w:b w:val="0"/>
        </w:rPr>
        <w:sectPr w:rsidR="004D4277" w:rsidRPr="00FB3A86" w:rsidSect="00BB14ED">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0BF14F07" w14:textId="77777777" w:rsidR="00B01FCD" w:rsidRPr="00FB3A86" w:rsidRDefault="00B01FCD" w:rsidP="00EF5222">
      <w:pPr>
        <w:pStyle w:val="Appendix"/>
        <w:spacing w:after="0"/>
        <w:ind w:right="720"/>
        <w:jc w:val="both"/>
        <w:rPr>
          <w:rFonts w:ascii="Arial" w:hAnsi="Arial" w:cs="Arial"/>
          <w:b w:val="0"/>
        </w:rPr>
      </w:pPr>
    </w:p>
    <w:sectPr w:rsidR="00B01FCD" w:rsidRPr="00FB3A86" w:rsidSect="00BB14E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51027" w14:textId="77777777" w:rsidR="000D4EA0" w:rsidRDefault="000D4EA0" w:rsidP="00C37E61">
      <w:r>
        <w:separator/>
      </w:r>
    </w:p>
  </w:endnote>
  <w:endnote w:type="continuationSeparator" w:id="0">
    <w:p w14:paraId="4965E25E" w14:textId="77777777" w:rsidR="000D4EA0" w:rsidRDefault="000D4EA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74530" w14:textId="77777777" w:rsidR="00BB14ED" w:rsidRDefault="00BB1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6CE7" w14:textId="77777777" w:rsidR="00BB14ED" w:rsidRDefault="00BB1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B054E" w14:textId="77777777" w:rsidR="009967B2" w:rsidRDefault="009967B2">
    <w:pPr>
      <w:pStyle w:val="Footer"/>
      <w:rPr>
        <w:rFonts w:ascii="Arial" w:hAnsi="Arial" w:cs="Arial"/>
        <w:sz w:val="16"/>
      </w:rPr>
    </w:pPr>
  </w:p>
  <w:p w14:paraId="32F7769A" w14:textId="77777777" w:rsidR="009967B2" w:rsidRDefault="009967B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A8DAFAF" w14:textId="77777777" w:rsidR="009967B2" w:rsidRDefault="009967B2">
    <w:pPr>
      <w:pStyle w:val="Footer"/>
      <w:rPr>
        <w:rFonts w:ascii="Arial" w:hAnsi="Arial" w:cs="Arial"/>
        <w:sz w:val="16"/>
      </w:rPr>
    </w:pPr>
  </w:p>
  <w:p w14:paraId="0899C031" w14:textId="77777777" w:rsidR="009967B2" w:rsidRPr="009E048A" w:rsidRDefault="009967B2">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8C27C" w14:textId="77777777" w:rsidR="009967B2" w:rsidRPr="00C37E61" w:rsidRDefault="009967B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79B9D" w14:textId="77777777" w:rsidR="000D4EA0" w:rsidRDefault="000D4EA0" w:rsidP="00C37E61">
      <w:r>
        <w:separator/>
      </w:r>
    </w:p>
  </w:footnote>
  <w:footnote w:type="continuationSeparator" w:id="0">
    <w:p w14:paraId="249845C5" w14:textId="77777777" w:rsidR="000D4EA0" w:rsidRDefault="000D4EA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53B31" w14:textId="02E78E13" w:rsidR="00BB14ED" w:rsidRDefault="00BB14ED">
    <w:pPr>
      <w:pStyle w:val="Header"/>
    </w:pPr>
    <w:r>
      <w:rPr>
        <w:noProof/>
      </w:rPr>
      <w:pict w14:anchorId="52B4F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372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075EB" w14:textId="1F436534" w:rsidR="00BB14ED" w:rsidRDefault="00BB14ED">
    <w:pPr>
      <w:pStyle w:val="Header"/>
    </w:pPr>
    <w:r>
      <w:rPr>
        <w:noProof/>
      </w:rPr>
      <w:pict w14:anchorId="6B1BA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372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C66F" w14:textId="6C54C2CA" w:rsidR="009967B2" w:rsidRPr="00296529" w:rsidRDefault="00BB14ED" w:rsidP="00296529">
    <w:pPr>
      <w:ind w:left="2160"/>
      <w:jc w:val="center"/>
      <w:rPr>
        <w:rFonts w:ascii="Times New Roman" w:eastAsia="Calibri" w:hAnsi="Times New Roman"/>
        <w:i/>
        <w:sz w:val="18"/>
        <w:szCs w:val="22"/>
      </w:rPr>
    </w:pPr>
    <w:r>
      <w:rPr>
        <w:noProof/>
      </w:rPr>
      <w:pict w14:anchorId="12694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372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B398728" w14:textId="77777777" w:rsidR="009967B2" w:rsidRPr="00296529" w:rsidRDefault="009967B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9030D08" w14:textId="77777777" w:rsidR="009967B2" w:rsidRPr="00296529" w:rsidRDefault="009967B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17BD5B" w14:textId="77777777" w:rsidR="009967B2" w:rsidRPr="00296529" w:rsidRDefault="009967B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C8108C" w14:textId="77777777" w:rsidR="009967B2" w:rsidRDefault="009967B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2F7F17" w14:textId="77777777" w:rsidR="009967B2" w:rsidRDefault="009967B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2B399F" w14:textId="77777777" w:rsidR="009967B2" w:rsidRDefault="009967B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0B9E6" w14:textId="21988FEA" w:rsidR="00BB14ED" w:rsidRDefault="00BB14ED">
    <w:pPr>
      <w:pStyle w:val="Header"/>
    </w:pPr>
    <w:r>
      <w:rPr>
        <w:noProof/>
      </w:rPr>
      <w:pict w14:anchorId="007EF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372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EA1E" w14:textId="18955823" w:rsidR="00BB14ED" w:rsidRDefault="00BB14ED">
    <w:pPr>
      <w:pStyle w:val="Header"/>
    </w:pPr>
    <w:r>
      <w:rPr>
        <w:noProof/>
      </w:rPr>
      <w:pict w14:anchorId="5185E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372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1CF5E" w14:textId="1ED6BEE7" w:rsidR="00BB14ED" w:rsidRDefault="00BB14ED">
    <w:pPr>
      <w:pStyle w:val="Header"/>
    </w:pPr>
    <w:r>
      <w:rPr>
        <w:noProof/>
      </w:rPr>
      <w:pict w14:anchorId="6032F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372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BIjNjE1NTQwMzc0sjCyUdpeDU4uLM/DyQAsNaAMblAAQsAAAA"/>
  </w:docVars>
  <w:rsids>
    <w:rsidRoot w:val="00AA6219"/>
    <w:rsid w:val="00000F8F"/>
    <w:rsid w:val="000276FC"/>
    <w:rsid w:val="00030174"/>
    <w:rsid w:val="0004579C"/>
    <w:rsid w:val="000536C4"/>
    <w:rsid w:val="00060827"/>
    <w:rsid w:val="000A47FA"/>
    <w:rsid w:val="000A65D3"/>
    <w:rsid w:val="000B1E33"/>
    <w:rsid w:val="000D4EA0"/>
    <w:rsid w:val="000D689F"/>
    <w:rsid w:val="000E7B7B"/>
    <w:rsid w:val="000E7D62"/>
    <w:rsid w:val="00103357"/>
    <w:rsid w:val="00122A9E"/>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44E3"/>
    <w:rsid w:val="002C53D7"/>
    <w:rsid w:val="002C57D2"/>
    <w:rsid w:val="002E0D56"/>
    <w:rsid w:val="00315186"/>
    <w:rsid w:val="00333022"/>
    <w:rsid w:val="0033343E"/>
    <w:rsid w:val="00337DDA"/>
    <w:rsid w:val="00345DB7"/>
    <w:rsid w:val="003512C2"/>
    <w:rsid w:val="00351A17"/>
    <w:rsid w:val="00364E9A"/>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053B"/>
    <w:rsid w:val="004D305E"/>
    <w:rsid w:val="004D4277"/>
    <w:rsid w:val="00502516"/>
    <w:rsid w:val="00505F06"/>
    <w:rsid w:val="00506828"/>
    <w:rsid w:val="0053056E"/>
    <w:rsid w:val="00554FDA"/>
    <w:rsid w:val="00577D89"/>
    <w:rsid w:val="005A3945"/>
    <w:rsid w:val="005C784C"/>
    <w:rsid w:val="005D17F6"/>
    <w:rsid w:val="005E5539"/>
    <w:rsid w:val="005E672D"/>
    <w:rsid w:val="00602BF5"/>
    <w:rsid w:val="00617FDD"/>
    <w:rsid w:val="00633614"/>
    <w:rsid w:val="00633F68"/>
    <w:rsid w:val="00636EB2"/>
    <w:rsid w:val="006375B8"/>
    <w:rsid w:val="00655F67"/>
    <w:rsid w:val="0066510A"/>
    <w:rsid w:val="00673F9F"/>
    <w:rsid w:val="00686953"/>
    <w:rsid w:val="00687DEA"/>
    <w:rsid w:val="00687E67"/>
    <w:rsid w:val="006967F7"/>
    <w:rsid w:val="006A250C"/>
    <w:rsid w:val="006B1EF1"/>
    <w:rsid w:val="006B21D3"/>
    <w:rsid w:val="006B57D0"/>
    <w:rsid w:val="006C2DC2"/>
    <w:rsid w:val="006D30FF"/>
    <w:rsid w:val="006D6940"/>
    <w:rsid w:val="006F11EC"/>
    <w:rsid w:val="006F24DF"/>
    <w:rsid w:val="0070082C"/>
    <w:rsid w:val="00705625"/>
    <w:rsid w:val="007369E6"/>
    <w:rsid w:val="00746E59"/>
    <w:rsid w:val="00754C9A"/>
    <w:rsid w:val="0075599A"/>
    <w:rsid w:val="00761D52"/>
    <w:rsid w:val="0077749E"/>
    <w:rsid w:val="00790ADA"/>
    <w:rsid w:val="007B58E8"/>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165A"/>
    <w:rsid w:val="008E710C"/>
    <w:rsid w:val="008F4E22"/>
    <w:rsid w:val="008F69D6"/>
    <w:rsid w:val="00902823"/>
    <w:rsid w:val="00904C54"/>
    <w:rsid w:val="00915CA6"/>
    <w:rsid w:val="00927834"/>
    <w:rsid w:val="00947DB4"/>
    <w:rsid w:val="009500A6"/>
    <w:rsid w:val="00954F92"/>
    <w:rsid w:val="00957C18"/>
    <w:rsid w:val="009659BA"/>
    <w:rsid w:val="00983040"/>
    <w:rsid w:val="009967B2"/>
    <w:rsid w:val="009B3FB9"/>
    <w:rsid w:val="009C2465"/>
    <w:rsid w:val="009D0604"/>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19AC"/>
    <w:rsid w:val="00A539AD"/>
    <w:rsid w:val="00A94063"/>
    <w:rsid w:val="00AA6219"/>
    <w:rsid w:val="00AA74E0"/>
    <w:rsid w:val="00AB703F"/>
    <w:rsid w:val="00AC64F1"/>
    <w:rsid w:val="00AC6BB8"/>
    <w:rsid w:val="00AD46C1"/>
    <w:rsid w:val="00AE008F"/>
    <w:rsid w:val="00B01FCD"/>
    <w:rsid w:val="00B02543"/>
    <w:rsid w:val="00B1776C"/>
    <w:rsid w:val="00B52583"/>
    <w:rsid w:val="00B52896"/>
    <w:rsid w:val="00B95236"/>
    <w:rsid w:val="00B9628D"/>
    <w:rsid w:val="00B96BD9"/>
    <w:rsid w:val="00BA1B01"/>
    <w:rsid w:val="00BA2641"/>
    <w:rsid w:val="00BB14ED"/>
    <w:rsid w:val="00BB37AA"/>
    <w:rsid w:val="00BC53A0"/>
    <w:rsid w:val="00BE62AD"/>
    <w:rsid w:val="00BF121F"/>
    <w:rsid w:val="00BF1F80"/>
    <w:rsid w:val="00BF6886"/>
    <w:rsid w:val="00C166EF"/>
    <w:rsid w:val="00C17EB0"/>
    <w:rsid w:val="00C27F5F"/>
    <w:rsid w:val="00C30A0F"/>
    <w:rsid w:val="00C37E61"/>
    <w:rsid w:val="00C70F1B"/>
    <w:rsid w:val="00C71A47"/>
    <w:rsid w:val="00C7464C"/>
    <w:rsid w:val="00C8492E"/>
    <w:rsid w:val="00C85588"/>
    <w:rsid w:val="00CD63BE"/>
    <w:rsid w:val="00CD6755"/>
    <w:rsid w:val="00CD6856"/>
    <w:rsid w:val="00CE0089"/>
    <w:rsid w:val="00CE793C"/>
    <w:rsid w:val="00CF193C"/>
    <w:rsid w:val="00D0663D"/>
    <w:rsid w:val="00D173F1"/>
    <w:rsid w:val="00D3506D"/>
    <w:rsid w:val="00D74CB0"/>
    <w:rsid w:val="00D8295D"/>
    <w:rsid w:val="00DA3494"/>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6162"/>
    <w:rsid w:val="00EC0CDE"/>
    <w:rsid w:val="00EC6A55"/>
    <w:rsid w:val="00ED0288"/>
    <w:rsid w:val="00EE52CB"/>
    <w:rsid w:val="00EF5222"/>
    <w:rsid w:val="00EF581D"/>
    <w:rsid w:val="00EF7FD8"/>
    <w:rsid w:val="00F00641"/>
    <w:rsid w:val="00F06F59"/>
    <w:rsid w:val="00F17988"/>
    <w:rsid w:val="00F22C0D"/>
    <w:rsid w:val="00F469F0"/>
    <w:rsid w:val="00F53273"/>
    <w:rsid w:val="00F603D5"/>
    <w:rsid w:val="00F755E4"/>
    <w:rsid w:val="00F77D02"/>
    <w:rsid w:val="00FB3A86"/>
    <w:rsid w:val="00FC1FB4"/>
    <w:rsid w:val="00FD36C8"/>
    <w:rsid w:val="00FE3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AFE9DB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1Char">
    <w:name w:val="Heading 1 Char"/>
    <w:basedOn w:val="DefaultParagraphFont"/>
    <w:link w:val="Heading1"/>
    <w:uiPriority w:val="9"/>
    <w:rsid w:val="00EF5222"/>
    <w:rPr>
      <w:rFonts w:ascii="Arial" w:hAnsi="Arial"/>
      <w:b/>
      <w:kern w:val="28"/>
      <w:sz w:val="28"/>
    </w:rPr>
  </w:style>
  <w:style w:type="character" w:styleId="UnresolvedMention">
    <w:name w:val="Unresolved Mention"/>
    <w:basedOn w:val="DefaultParagraphFont"/>
    <w:uiPriority w:val="99"/>
    <w:semiHidden/>
    <w:unhideWhenUsed/>
    <w:rsid w:val="00337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CAFCE-C880-4841-9459-6C9A9F153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19950</TotalTime>
  <Pages>15</Pages>
  <Words>15091</Words>
  <Characters>86024</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100914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cp:lastPrinted>1999-07-06T11:00:00Z</cp:lastPrinted>
  <dcterms:created xsi:type="dcterms:W3CDTF">2014-10-25T14:34:00Z</dcterms:created>
  <dcterms:modified xsi:type="dcterms:W3CDTF">2026-01-21T12:46:00Z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5d988926-baca-4b4b-bbc7-50ecfdc997f5</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 6th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12th edition - Harvard</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Citation Style_1">
    <vt:lpwstr>http://www.zotero.org/styles/harvard1</vt:lpwstr>
  </property>
  <property fmtid="{D5CDD505-2E9C-101B-9397-08002B2CF9AE}" pid="24" name="Mendeley Document_1">
    <vt:lpwstr>True</vt:lpwstr>
  </property>
  <property fmtid="{D5CDD505-2E9C-101B-9397-08002B2CF9AE}" pid="25" name="Mendeley Unique User Id_1">
    <vt:lpwstr>d1fdaa3c-3a9d-3cf5-a9d5-55ea0452a135</vt:lpwstr>
  </property>
</Properties>
</file>