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85FFB" w14:textId="77777777" w:rsidR="003F6616" w:rsidRDefault="003F6616" w:rsidP="00CC0BCB">
      <w:pPr>
        <w:pStyle w:val="Author"/>
        <w:spacing w:line="240" w:lineRule="auto"/>
        <w:jc w:val="both"/>
        <w:rPr>
          <w:rFonts w:ascii="Arial" w:hAnsi="Arial" w:cs="Arial"/>
          <w:bCs/>
          <w:color w:val="000000"/>
          <w:sz w:val="28"/>
          <w:szCs w:val="28"/>
        </w:rPr>
      </w:pPr>
      <w:r w:rsidRPr="003F6616">
        <w:rPr>
          <w:rFonts w:ascii="Arial" w:hAnsi="Arial" w:cs="Arial"/>
          <w:bCs/>
          <w:color w:val="000000"/>
          <w:sz w:val="28"/>
          <w:szCs w:val="28"/>
        </w:rPr>
        <w:t xml:space="preserve">Case report </w:t>
      </w:r>
    </w:p>
    <w:p w14:paraId="7B4E271A" w14:textId="77777777" w:rsidR="003F6616" w:rsidRDefault="003F6616" w:rsidP="00CC0BCB">
      <w:pPr>
        <w:pStyle w:val="Author"/>
        <w:spacing w:line="240" w:lineRule="auto"/>
        <w:jc w:val="both"/>
        <w:rPr>
          <w:rFonts w:ascii="Arial" w:hAnsi="Arial" w:cs="Arial"/>
          <w:bCs/>
          <w:color w:val="000000"/>
          <w:sz w:val="28"/>
          <w:szCs w:val="28"/>
        </w:rPr>
      </w:pPr>
    </w:p>
    <w:p w14:paraId="633E1EC9" w14:textId="13A794F9" w:rsidR="00CC0BCB" w:rsidRDefault="00620B7E" w:rsidP="00CC0BCB">
      <w:pPr>
        <w:pStyle w:val="Author"/>
        <w:spacing w:line="240" w:lineRule="auto"/>
        <w:jc w:val="both"/>
        <w:rPr>
          <w:rFonts w:ascii="Arial" w:hAnsi="Arial" w:cs="Arial"/>
          <w:bCs/>
          <w:color w:val="000000"/>
          <w:sz w:val="28"/>
          <w:szCs w:val="28"/>
        </w:rPr>
      </w:pPr>
      <w:r>
        <w:rPr>
          <w:rFonts w:ascii="Arial" w:hAnsi="Arial" w:cs="Arial"/>
          <w:bCs/>
          <w:color w:val="000000"/>
          <w:sz w:val="28"/>
          <w:szCs w:val="28"/>
        </w:rPr>
        <w:t xml:space="preserve">A case report on </w:t>
      </w:r>
      <w:r w:rsidR="00CC0BCB" w:rsidRPr="00CE0E0F">
        <w:rPr>
          <w:rFonts w:ascii="Arial" w:hAnsi="Arial" w:cs="Arial"/>
          <w:bCs/>
          <w:color w:val="000000"/>
          <w:sz w:val="28"/>
          <w:szCs w:val="28"/>
        </w:rPr>
        <w:t>Probable Vogt-Koyanagi-Harada disease</w:t>
      </w:r>
    </w:p>
    <w:p w14:paraId="448C02E1" w14:textId="77777777" w:rsidR="00777E15" w:rsidRDefault="00777E15" w:rsidP="00CC0BCB">
      <w:pPr>
        <w:pStyle w:val="Author"/>
        <w:spacing w:line="240" w:lineRule="auto"/>
        <w:jc w:val="both"/>
        <w:rPr>
          <w:rFonts w:ascii="Arial" w:hAnsi="Arial" w:cs="Arial"/>
          <w:bCs/>
          <w:color w:val="000000"/>
          <w:sz w:val="28"/>
          <w:szCs w:val="28"/>
        </w:rPr>
      </w:pPr>
    </w:p>
    <w:p w14:paraId="2B4BA715" w14:textId="77777777" w:rsidR="00777E15" w:rsidRPr="00CC0BCB" w:rsidRDefault="00777E15" w:rsidP="00CC0BCB">
      <w:pPr>
        <w:pStyle w:val="Author"/>
        <w:spacing w:line="240" w:lineRule="auto"/>
        <w:jc w:val="both"/>
        <w:rPr>
          <w:rFonts w:ascii="Arial" w:hAnsi="Arial" w:cs="Arial"/>
          <w:bCs/>
          <w:color w:val="000000"/>
          <w:sz w:val="32"/>
          <w:szCs w:val="32"/>
        </w:rPr>
      </w:pPr>
    </w:p>
    <w:p w14:paraId="1AA90017" w14:textId="77777777" w:rsidR="00CC0BCB" w:rsidRPr="00790ADA" w:rsidRDefault="00CC0BCB" w:rsidP="00441B6F">
      <w:pPr>
        <w:pStyle w:val="Author"/>
        <w:spacing w:line="240" w:lineRule="auto"/>
        <w:jc w:val="both"/>
        <w:rPr>
          <w:rFonts w:ascii="Arial" w:hAnsi="Arial" w:cs="Arial"/>
          <w:sz w:val="36"/>
        </w:rPr>
      </w:pPr>
    </w:p>
    <w:p w14:paraId="521F04BB" w14:textId="77777777" w:rsidR="002C57D2" w:rsidRPr="00FB3A86" w:rsidRDefault="002C57D2" w:rsidP="00441B6F">
      <w:pPr>
        <w:pStyle w:val="Affiliation"/>
        <w:spacing w:after="0" w:line="240" w:lineRule="auto"/>
        <w:jc w:val="both"/>
        <w:rPr>
          <w:rFonts w:ascii="Arial" w:hAnsi="Arial" w:cs="Arial"/>
        </w:rPr>
      </w:pPr>
    </w:p>
    <w:p w14:paraId="0B056B14" w14:textId="77777777" w:rsidR="00B01FCD" w:rsidRPr="00FB3A86" w:rsidRDefault="002A03EF" w:rsidP="00441B6F">
      <w:pPr>
        <w:pStyle w:val="Copyright"/>
        <w:spacing w:after="0" w:line="240" w:lineRule="auto"/>
        <w:jc w:val="both"/>
        <w:rPr>
          <w:rFonts w:ascii="Arial" w:hAnsi="Arial" w:cs="Arial"/>
        </w:rPr>
        <w:sectPr w:rsidR="00B01FCD" w:rsidRPr="00FB3A86" w:rsidSect="007A09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1126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E99C61" w14:textId="264EE9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2125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7793A9" w14:textId="77777777" w:rsidTr="001E44FE">
        <w:tc>
          <w:tcPr>
            <w:tcW w:w="9576" w:type="dxa"/>
            <w:shd w:val="clear" w:color="auto" w:fill="F2F2F2"/>
          </w:tcPr>
          <w:p w14:paraId="07698CC8" w14:textId="56A4CE05" w:rsidR="00505F06" w:rsidRDefault="00CC0BCB" w:rsidP="00112DFE">
            <w:pPr>
              <w:rPr>
                <w:rFonts w:ascii="Arial" w:hAnsi="Arial" w:cs="Arial"/>
                <w:noProof/>
                <w:color w:val="000000"/>
                <w:sz w:val="22"/>
                <w:szCs w:val="22"/>
              </w:rPr>
            </w:pPr>
            <w:r w:rsidRPr="00CC0BCB">
              <w:rPr>
                <w:rFonts w:ascii="Arial" w:hAnsi="Arial" w:cs="Arial"/>
                <w:noProof/>
                <w:color w:val="000000"/>
                <w:sz w:val="22"/>
                <w:szCs w:val="22"/>
              </w:rPr>
              <w:t>Abstract:</w:t>
            </w:r>
            <w:r w:rsidR="00572710">
              <w:rPr>
                <w:rFonts w:ascii="Arial" w:hAnsi="Arial" w:cs="Arial"/>
                <w:noProof/>
                <w:color w:val="000000"/>
                <w:sz w:val="22"/>
                <w:szCs w:val="22"/>
              </w:rPr>
              <w:t>P</w:t>
            </w:r>
            <w:r w:rsidRPr="00CC0BCB">
              <w:rPr>
                <w:rFonts w:ascii="Arial" w:hAnsi="Arial" w:cs="Arial"/>
                <w:noProof/>
                <w:color w:val="000000"/>
                <w:sz w:val="22"/>
                <w:szCs w:val="22"/>
              </w:rPr>
              <w:t xml:space="preserve">robable case of vogt-koyanagi-harada syndrome is very rare.The patient was diagnosed as a case of </w:t>
            </w:r>
            <w:proofErr w:type="gramStart"/>
            <w:r w:rsidRPr="00CC0BCB">
              <w:rPr>
                <w:rFonts w:ascii="Arial" w:hAnsi="Arial" w:cs="Arial"/>
                <w:noProof/>
                <w:color w:val="000000"/>
                <w:sz w:val="22"/>
                <w:szCs w:val="22"/>
              </w:rPr>
              <w:t xml:space="preserve">probable </w:t>
            </w:r>
            <w:r w:rsidRPr="00CC0BCB">
              <w:rPr>
                <w:rFonts w:ascii="Arial" w:hAnsi="Arial" w:cs="Arial"/>
                <w:bCs/>
                <w:color w:val="000000"/>
                <w:sz w:val="22"/>
                <w:szCs w:val="22"/>
              </w:rPr>
              <w:t xml:space="preserve"> Vogt</w:t>
            </w:r>
            <w:proofErr w:type="gramEnd"/>
            <w:r w:rsidRPr="00CC0BCB">
              <w:rPr>
                <w:rFonts w:ascii="Arial" w:hAnsi="Arial" w:cs="Arial"/>
                <w:bCs/>
                <w:color w:val="000000"/>
                <w:sz w:val="22"/>
                <w:szCs w:val="22"/>
              </w:rPr>
              <w:t>-Koyanagi-Harada disease</w:t>
            </w:r>
            <w:r w:rsidRPr="00CC0BCB">
              <w:rPr>
                <w:rFonts w:ascii="Arial" w:hAnsi="Arial" w:cs="Arial"/>
                <w:noProof/>
                <w:color w:val="000000"/>
                <w:sz w:val="22"/>
                <w:szCs w:val="22"/>
              </w:rPr>
              <w:t xml:space="preserve"> as there was only ocular involvement with no dermatologic or neurologic involvement.Such cases are rarely encountered in clinical practice.Here we report a three cases of probable</w:t>
            </w:r>
            <w:r w:rsidRPr="00CC0BCB">
              <w:rPr>
                <w:rFonts w:ascii="Arial" w:hAnsi="Arial" w:cs="Arial"/>
                <w:bCs/>
                <w:color w:val="000000"/>
                <w:sz w:val="22"/>
                <w:szCs w:val="22"/>
              </w:rPr>
              <w:t xml:space="preserve"> Vogt-Koyanagi-Harada disease</w:t>
            </w:r>
            <w:r w:rsidRPr="00CC0BCB">
              <w:rPr>
                <w:rFonts w:ascii="Arial" w:hAnsi="Arial" w:cs="Arial"/>
                <w:noProof/>
                <w:color w:val="000000"/>
                <w:sz w:val="22"/>
                <w:szCs w:val="22"/>
              </w:rPr>
              <w:t xml:space="preserve"> managed aggressively based on a thorough preoperative evaluation that led to good visual outcomes.</w:t>
            </w:r>
          </w:p>
          <w:p w14:paraId="1137E5CD" w14:textId="3E6D594C" w:rsidR="00112DFE" w:rsidRPr="00112DFE" w:rsidRDefault="00112DFE" w:rsidP="00112DFE">
            <w:pPr>
              <w:rPr>
                <w:rFonts w:ascii="Arial" w:hAnsi="Arial" w:cs="Arial"/>
                <w:i/>
                <w:iCs/>
                <w:sz w:val="22"/>
                <w:szCs w:val="22"/>
              </w:rPr>
            </w:pPr>
          </w:p>
        </w:tc>
      </w:tr>
    </w:tbl>
    <w:p w14:paraId="0E6877FD" w14:textId="77777777" w:rsidR="00636EB2" w:rsidRDefault="00636EB2" w:rsidP="00441B6F">
      <w:pPr>
        <w:pStyle w:val="Body"/>
        <w:spacing w:after="0"/>
        <w:rPr>
          <w:rFonts w:ascii="Arial" w:hAnsi="Arial" w:cs="Arial"/>
          <w:i/>
        </w:rPr>
      </w:pPr>
    </w:p>
    <w:p w14:paraId="58CFE439" w14:textId="420B90F8" w:rsidR="00A24E7E" w:rsidRDefault="00A24E7E" w:rsidP="00441B6F">
      <w:pPr>
        <w:pStyle w:val="Body"/>
        <w:spacing w:after="0"/>
        <w:rPr>
          <w:rFonts w:ascii="Arial" w:hAnsi="Arial" w:cs="Arial"/>
          <w:i/>
        </w:rPr>
      </w:pPr>
      <w:r>
        <w:rPr>
          <w:rFonts w:ascii="Arial" w:hAnsi="Arial" w:cs="Arial"/>
          <w:i/>
        </w:rPr>
        <w:t xml:space="preserve">Keywords: </w:t>
      </w:r>
      <w:r w:rsidR="00806BEB">
        <w:rPr>
          <w:color w:val="000000"/>
          <w:sz w:val="22"/>
          <w:szCs w:val="22"/>
        </w:rPr>
        <w:t xml:space="preserve">Probable </w:t>
      </w:r>
      <w:proofErr w:type="spellStart"/>
      <w:proofErr w:type="gramStart"/>
      <w:r w:rsidR="00806BEB">
        <w:rPr>
          <w:color w:val="000000"/>
          <w:sz w:val="22"/>
          <w:szCs w:val="22"/>
        </w:rPr>
        <w:t>VKH,Posterior</w:t>
      </w:r>
      <w:proofErr w:type="spellEnd"/>
      <w:proofErr w:type="gramEnd"/>
      <w:r w:rsidR="00806BEB">
        <w:rPr>
          <w:color w:val="000000"/>
          <w:sz w:val="22"/>
          <w:szCs w:val="22"/>
        </w:rPr>
        <w:t xml:space="preserve"> </w:t>
      </w:r>
      <w:proofErr w:type="spellStart"/>
      <w:r w:rsidR="00806BEB">
        <w:rPr>
          <w:color w:val="000000"/>
          <w:sz w:val="22"/>
          <w:szCs w:val="22"/>
        </w:rPr>
        <w:t>Uveitis,Immunosuppressives</w:t>
      </w:r>
      <w:proofErr w:type="spellEnd"/>
      <w:r w:rsidR="00806BEB">
        <w:rPr>
          <w:color w:val="000000"/>
          <w:sz w:val="22"/>
          <w:szCs w:val="22"/>
        </w:rPr>
        <w:t>.</w:t>
      </w:r>
    </w:p>
    <w:p w14:paraId="3A734B34" w14:textId="77777777" w:rsidR="00790ADA" w:rsidRDefault="00790ADA" w:rsidP="00441B6F">
      <w:pPr>
        <w:pStyle w:val="Body"/>
        <w:spacing w:after="0"/>
        <w:rPr>
          <w:rFonts w:ascii="Arial" w:hAnsi="Arial" w:cs="Arial"/>
          <w:i/>
        </w:rPr>
      </w:pPr>
    </w:p>
    <w:p w14:paraId="1E1D07B1" w14:textId="77777777" w:rsidR="0024282C" w:rsidRDefault="0024282C" w:rsidP="00441B6F">
      <w:pPr>
        <w:pStyle w:val="Body"/>
        <w:spacing w:after="0"/>
        <w:rPr>
          <w:rFonts w:ascii="Arial" w:hAnsi="Arial" w:cs="Arial"/>
          <w:i/>
          <w:sz w:val="18"/>
        </w:rPr>
      </w:pPr>
    </w:p>
    <w:p w14:paraId="5ABCE5F8" w14:textId="77777777" w:rsidR="00505F06" w:rsidRPr="00A24E7E" w:rsidRDefault="00505F06" w:rsidP="00441B6F">
      <w:pPr>
        <w:pStyle w:val="Body"/>
        <w:spacing w:after="0"/>
        <w:rPr>
          <w:rFonts w:ascii="Arial" w:hAnsi="Arial" w:cs="Arial"/>
          <w:i/>
        </w:rPr>
      </w:pPr>
    </w:p>
    <w:p w14:paraId="1BCF3EAD" w14:textId="1E354E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A435AE" w14:textId="77777777" w:rsidR="00790ADA" w:rsidRPr="00FB3A86" w:rsidRDefault="00790ADA" w:rsidP="00441B6F">
      <w:pPr>
        <w:pStyle w:val="AbstHead"/>
        <w:spacing w:after="0"/>
        <w:jc w:val="both"/>
        <w:rPr>
          <w:rFonts w:ascii="Arial" w:hAnsi="Arial" w:cs="Arial"/>
        </w:rPr>
      </w:pPr>
    </w:p>
    <w:p w14:paraId="3C0FAD66" w14:textId="7F9A3470" w:rsidR="00806BEB" w:rsidRDefault="00A9060E" w:rsidP="00A46E08">
      <w:pPr>
        <w:jc w:val="both"/>
        <w:rPr>
          <w:rFonts w:ascii="Arial" w:hAnsi="Arial" w:cs="Arial"/>
          <w:sz w:val="22"/>
          <w:szCs w:val="22"/>
        </w:rPr>
      </w:pPr>
      <w:r w:rsidRPr="00A9060E">
        <w:rPr>
          <w:rFonts w:ascii="Arial" w:hAnsi="Arial" w:cs="Arial"/>
          <w:sz w:val="22"/>
          <w:szCs w:val="22"/>
        </w:rPr>
        <w:t xml:space="preserve">Vogt–Koyanagi–Harada (VKH) disease is a bilateral granulomatous panuveitis with a multitude of systemic manifestations, including neurologic, auditory, and integumentary system </w:t>
      </w:r>
      <w:proofErr w:type="gramStart"/>
      <w:r w:rsidRPr="00A9060E">
        <w:rPr>
          <w:rFonts w:ascii="Arial" w:hAnsi="Arial" w:cs="Arial"/>
          <w:sz w:val="22"/>
          <w:szCs w:val="22"/>
        </w:rPr>
        <w:t>affection</w:t>
      </w:r>
      <w:r w:rsidRPr="00A9060E">
        <w:rPr>
          <w:rFonts w:ascii="Arial" w:hAnsi="Arial" w:cs="Arial"/>
          <w:sz w:val="22"/>
          <w:szCs w:val="22"/>
          <w:vertAlign w:val="superscript"/>
        </w:rPr>
        <w:t>(</w:t>
      </w:r>
      <w:proofErr w:type="gramEnd"/>
      <w:r w:rsidRPr="00A9060E">
        <w:rPr>
          <w:rFonts w:ascii="Arial" w:hAnsi="Arial" w:cs="Arial"/>
          <w:sz w:val="22"/>
          <w:szCs w:val="22"/>
          <w:vertAlign w:val="superscript"/>
        </w:rPr>
        <w:t>1)</w:t>
      </w:r>
      <w:r w:rsidRPr="00A9060E">
        <w:rPr>
          <w:rFonts w:ascii="Arial" w:hAnsi="Arial" w:cs="Arial"/>
          <w:b/>
          <w:bCs/>
          <w:sz w:val="22"/>
          <w:szCs w:val="22"/>
        </w:rPr>
        <w:t>.</w:t>
      </w:r>
      <w:r w:rsidRPr="00A9060E">
        <w:rPr>
          <w:rFonts w:ascii="Arial" w:hAnsi="Arial" w:cs="Arial"/>
          <w:sz w:val="22"/>
          <w:szCs w:val="22"/>
        </w:rPr>
        <w:t xml:space="preserve"> The first international workshop defined VKH as bilateral uveitis without a history of trauma or ocular surgery and classified VKH disease as (a) complete VKH with ocular, neurological, or auditory and integumentary involvement; (b) incomplete VKH with ocular and either neurological/auditory or integumentary involvement; and (c) probable VKH without extraocular manifestation.</w:t>
      </w:r>
      <w:r w:rsidRPr="00A9060E">
        <w:rPr>
          <w:rFonts w:ascii="Arial" w:hAnsi="Arial" w:cs="Arial"/>
          <w:color w:val="1B1B1B"/>
          <w:sz w:val="22"/>
          <w:szCs w:val="22"/>
          <w:shd w:val="clear" w:color="auto" w:fill="FFFFFF"/>
        </w:rPr>
        <w:t xml:space="preserve"> </w:t>
      </w:r>
      <w:r w:rsidRPr="00A9060E">
        <w:rPr>
          <w:rFonts w:ascii="Arial" w:hAnsi="Arial" w:cs="Arial"/>
          <w:sz w:val="22"/>
          <w:szCs w:val="22"/>
        </w:rPr>
        <w:t>Reports of probable VKH are meagre. Complete VKH syndrome with integumentary findings is commonly seen and managed, whereas probable VKH syndrome is rarely diagnosed. Therefore, we want to report th</w:t>
      </w:r>
      <w:r w:rsidR="00572710">
        <w:rPr>
          <w:rFonts w:ascii="Arial" w:hAnsi="Arial" w:cs="Arial"/>
          <w:sz w:val="22"/>
          <w:szCs w:val="22"/>
        </w:rPr>
        <w:t>e</w:t>
      </w:r>
      <w:r w:rsidRPr="00A9060E">
        <w:rPr>
          <w:rFonts w:ascii="Arial" w:hAnsi="Arial" w:cs="Arial"/>
          <w:sz w:val="22"/>
          <w:szCs w:val="22"/>
        </w:rPr>
        <w:t>s</w:t>
      </w:r>
      <w:r w:rsidR="00572710">
        <w:rPr>
          <w:rFonts w:ascii="Arial" w:hAnsi="Arial" w:cs="Arial"/>
          <w:sz w:val="22"/>
          <w:szCs w:val="22"/>
        </w:rPr>
        <w:t>e</w:t>
      </w:r>
      <w:r w:rsidRPr="00A9060E">
        <w:rPr>
          <w:rFonts w:ascii="Arial" w:hAnsi="Arial" w:cs="Arial"/>
          <w:sz w:val="22"/>
          <w:szCs w:val="22"/>
        </w:rPr>
        <w:t xml:space="preserve"> particular cases.</w:t>
      </w:r>
    </w:p>
    <w:p w14:paraId="05623546" w14:textId="77777777" w:rsidR="00A46E08" w:rsidRDefault="00A46E08" w:rsidP="00A46E08">
      <w:pPr>
        <w:jc w:val="both"/>
        <w:rPr>
          <w:rFonts w:ascii="Arial" w:hAnsi="Arial" w:cs="Arial"/>
          <w:sz w:val="22"/>
          <w:szCs w:val="22"/>
        </w:rPr>
      </w:pPr>
    </w:p>
    <w:p w14:paraId="446FF808" w14:textId="77777777" w:rsidR="00A46E08" w:rsidRPr="00A46E08" w:rsidRDefault="00A46E08" w:rsidP="00A46E08">
      <w:pPr>
        <w:jc w:val="both"/>
        <w:rPr>
          <w:rFonts w:ascii="Arial" w:hAnsi="Arial" w:cs="Arial"/>
          <w:sz w:val="22"/>
          <w:szCs w:val="22"/>
          <w:vertAlign w:val="subscript"/>
        </w:rPr>
      </w:pPr>
    </w:p>
    <w:p w14:paraId="1813AD15" w14:textId="77777777" w:rsidR="000F0DD8" w:rsidRPr="001F6C3C" w:rsidRDefault="000F0DD8" w:rsidP="000F0DD8">
      <w:pPr>
        <w:spacing w:before="60" w:line="400" w:lineRule="atLeast"/>
        <w:jc w:val="both"/>
        <w:outlineLvl w:val="0"/>
        <w:rPr>
          <w:rFonts w:ascii="Arial" w:hAnsi="Arial" w:cs="Arial"/>
          <w:color w:val="000000"/>
          <w:sz w:val="22"/>
          <w:szCs w:val="22"/>
        </w:rPr>
      </w:pPr>
      <w:r w:rsidRPr="00F161E5">
        <w:rPr>
          <w:rFonts w:ascii="Arial" w:hAnsi="Arial" w:cs="Arial"/>
          <w:b/>
          <w:bCs/>
          <w:color w:val="000000"/>
          <w:sz w:val="22"/>
          <w:szCs w:val="22"/>
        </w:rPr>
        <w:t>Case History</w:t>
      </w:r>
      <w:r w:rsidRPr="001F6C3C">
        <w:rPr>
          <w:rFonts w:ascii="Arial" w:hAnsi="Arial" w:cs="Arial"/>
          <w:color w:val="000000"/>
          <w:sz w:val="22"/>
          <w:szCs w:val="22"/>
        </w:rPr>
        <w:t>:</w:t>
      </w:r>
    </w:p>
    <w:p w14:paraId="45E3B853" w14:textId="77777777" w:rsidR="000F0DD8" w:rsidRPr="001F6C3C" w:rsidRDefault="000F0DD8" w:rsidP="000F0DD8">
      <w:pPr>
        <w:jc w:val="both"/>
        <w:rPr>
          <w:rFonts w:ascii="Arial" w:hAnsi="Arial" w:cs="Arial"/>
          <w:sz w:val="22"/>
          <w:szCs w:val="22"/>
        </w:rPr>
      </w:pPr>
      <w:r w:rsidRPr="001F6C3C">
        <w:rPr>
          <w:rFonts w:ascii="Arial" w:hAnsi="Arial" w:cs="Arial"/>
          <w:sz w:val="22"/>
          <w:szCs w:val="22"/>
        </w:rPr>
        <w:t xml:space="preserve">Case-1  26 year old male presented with a history of sudden decrease in vision in both eye for 1 week(LE&gt;RE).on examination BCVA was 6/36 N18 in RE and CF 3m N36 </w:t>
      </w:r>
      <w:proofErr w:type="spellStart"/>
      <w:r w:rsidRPr="001F6C3C">
        <w:rPr>
          <w:rFonts w:ascii="Arial" w:hAnsi="Arial" w:cs="Arial"/>
          <w:sz w:val="22"/>
          <w:szCs w:val="22"/>
        </w:rPr>
        <w:t>LE.normal</w:t>
      </w:r>
      <w:proofErr w:type="spellEnd"/>
      <w:r w:rsidRPr="001F6C3C">
        <w:rPr>
          <w:rFonts w:ascii="Arial" w:hAnsi="Arial" w:cs="Arial"/>
          <w:sz w:val="22"/>
          <w:szCs w:val="22"/>
        </w:rPr>
        <w:t xml:space="preserve"> anterior segment and </w:t>
      </w:r>
      <w:proofErr w:type="spellStart"/>
      <w:r w:rsidRPr="001F6C3C">
        <w:rPr>
          <w:rFonts w:ascii="Arial" w:hAnsi="Arial" w:cs="Arial"/>
          <w:sz w:val="22"/>
          <w:szCs w:val="22"/>
        </w:rPr>
        <w:t>IOP.Fundus</w:t>
      </w:r>
      <w:proofErr w:type="spellEnd"/>
      <w:r w:rsidRPr="001F6C3C">
        <w:rPr>
          <w:rFonts w:ascii="Arial" w:hAnsi="Arial" w:cs="Arial"/>
          <w:sz w:val="22"/>
          <w:szCs w:val="22"/>
        </w:rPr>
        <w:t xml:space="preserve"> examination of both eye shows normal optic </w:t>
      </w:r>
      <w:proofErr w:type="spellStart"/>
      <w:r w:rsidRPr="001F6C3C">
        <w:rPr>
          <w:rFonts w:ascii="Arial" w:hAnsi="Arial" w:cs="Arial"/>
          <w:sz w:val="22"/>
          <w:szCs w:val="22"/>
        </w:rPr>
        <w:t>disc,multifocal</w:t>
      </w:r>
      <w:proofErr w:type="spellEnd"/>
      <w:r w:rsidRPr="001F6C3C">
        <w:rPr>
          <w:rFonts w:ascii="Arial" w:hAnsi="Arial" w:cs="Arial"/>
          <w:sz w:val="22"/>
          <w:szCs w:val="22"/>
        </w:rPr>
        <w:t xml:space="preserve"> serous retinal detachment in the posterior pole (Fig 1a 1b).Fundus fluorescein angiography -multiple spots of pinpoint </w:t>
      </w:r>
      <w:proofErr w:type="spellStart"/>
      <w:r w:rsidRPr="001F6C3C">
        <w:rPr>
          <w:rFonts w:ascii="Arial" w:hAnsi="Arial" w:cs="Arial"/>
          <w:sz w:val="22"/>
          <w:szCs w:val="22"/>
        </w:rPr>
        <w:t>hyperfluorescence</w:t>
      </w:r>
      <w:proofErr w:type="spellEnd"/>
      <w:r w:rsidRPr="001F6C3C">
        <w:rPr>
          <w:rFonts w:ascii="Arial" w:hAnsi="Arial" w:cs="Arial"/>
          <w:sz w:val="22"/>
          <w:szCs w:val="22"/>
        </w:rPr>
        <w:t xml:space="preserve"> in the early arteriovenous phase with pooling and leakage of dye in the subretinal space in the late stage of angiogram (Fig 1c 1d).optical coherence tomography shows neurosensory detachment with subretinal fluid and subretinal </w:t>
      </w:r>
      <w:proofErr w:type="spellStart"/>
      <w:r w:rsidRPr="001F6C3C">
        <w:rPr>
          <w:rFonts w:ascii="Arial" w:hAnsi="Arial" w:cs="Arial"/>
          <w:sz w:val="22"/>
          <w:szCs w:val="22"/>
        </w:rPr>
        <w:t>septae</w:t>
      </w:r>
      <w:proofErr w:type="spellEnd"/>
      <w:r w:rsidRPr="001F6C3C">
        <w:rPr>
          <w:rFonts w:ascii="Arial" w:hAnsi="Arial" w:cs="Arial"/>
          <w:sz w:val="22"/>
          <w:szCs w:val="22"/>
        </w:rPr>
        <w:t xml:space="preserve">(Fig 1e 1f).The patient was diagnosed with probable VKH </w:t>
      </w:r>
      <w:proofErr w:type="spellStart"/>
      <w:r w:rsidRPr="001F6C3C">
        <w:rPr>
          <w:rFonts w:ascii="Arial" w:hAnsi="Arial" w:cs="Arial"/>
          <w:sz w:val="22"/>
          <w:szCs w:val="22"/>
        </w:rPr>
        <w:t>disease.Patient</w:t>
      </w:r>
      <w:proofErr w:type="spellEnd"/>
      <w:r w:rsidRPr="001F6C3C">
        <w:rPr>
          <w:rFonts w:ascii="Arial" w:hAnsi="Arial" w:cs="Arial"/>
          <w:sz w:val="22"/>
          <w:szCs w:val="22"/>
        </w:rPr>
        <w:t xml:space="preserve"> was administered IVMP 1gm daily for three consecutive days followed by oral prednisolone was given according to bodyweight in tapering </w:t>
      </w:r>
      <w:proofErr w:type="spellStart"/>
      <w:r w:rsidRPr="001F6C3C">
        <w:rPr>
          <w:rFonts w:ascii="Arial" w:hAnsi="Arial" w:cs="Arial"/>
          <w:sz w:val="22"/>
          <w:szCs w:val="22"/>
        </w:rPr>
        <w:t>dose.The</w:t>
      </w:r>
      <w:proofErr w:type="spellEnd"/>
      <w:r w:rsidRPr="001F6C3C">
        <w:rPr>
          <w:rFonts w:ascii="Arial" w:hAnsi="Arial" w:cs="Arial"/>
          <w:sz w:val="22"/>
          <w:szCs w:val="22"/>
        </w:rPr>
        <w:t xml:space="preserve"> patient was prescribed immunosuppressive medication to prevent the recurrence. After 6 weeks, the BCVA in both eyes was 20/20, N6. IOP was normal bilaterally. The fundus was normal bilaterally.</w:t>
      </w:r>
    </w:p>
    <w:p w14:paraId="4C231CBF" w14:textId="77777777" w:rsidR="000F0DD8" w:rsidRPr="001F6C3C" w:rsidRDefault="000F0DD8" w:rsidP="000F0DD8">
      <w:pPr>
        <w:jc w:val="both"/>
        <w:rPr>
          <w:rFonts w:ascii="Arial" w:hAnsi="Arial" w:cs="Arial"/>
          <w:sz w:val="22"/>
          <w:szCs w:val="22"/>
        </w:rPr>
      </w:pPr>
    </w:p>
    <w:p w14:paraId="7A12A7FF" w14:textId="4F6BF2FB" w:rsidR="000F0DD8" w:rsidRPr="001F6C3C" w:rsidRDefault="000F0DD8" w:rsidP="000F0DD8">
      <w:pPr>
        <w:shd w:val="clear" w:color="auto" w:fill="FFFFFF"/>
        <w:spacing w:before="100" w:beforeAutospacing="1" w:after="100" w:afterAutospacing="1"/>
        <w:jc w:val="both"/>
        <w:outlineLvl w:val="1"/>
        <w:rPr>
          <w:rFonts w:ascii="Arial" w:hAnsi="Arial" w:cs="Arial"/>
          <w:sz w:val="22"/>
          <w:szCs w:val="22"/>
        </w:rPr>
      </w:pPr>
      <w:r w:rsidRPr="001F6C3C">
        <w:rPr>
          <w:rFonts w:ascii="Arial" w:hAnsi="Arial" w:cs="Arial"/>
          <w:sz w:val="22"/>
          <w:szCs w:val="22"/>
        </w:rPr>
        <w:t xml:space="preserve">Case 2-67 year old female came with complaints </w:t>
      </w:r>
      <w:proofErr w:type="gramStart"/>
      <w:r w:rsidRPr="001F6C3C">
        <w:rPr>
          <w:rFonts w:ascii="Arial" w:hAnsi="Arial" w:cs="Arial"/>
          <w:sz w:val="22"/>
          <w:szCs w:val="22"/>
        </w:rPr>
        <w:t>of  blurring</w:t>
      </w:r>
      <w:proofErr w:type="gramEnd"/>
      <w:r w:rsidRPr="001F6C3C">
        <w:rPr>
          <w:rFonts w:ascii="Arial" w:hAnsi="Arial" w:cs="Arial"/>
          <w:sz w:val="22"/>
          <w:szCs w:val="22"/>
        </w:rPr>
        <w:t xml:space="preserve"> of vision in BE since 2 </w:t>
      </w:r>
      <w:proofErr w:type="spellStart"/>
      <w:r w:rsidRPr="001F6C3C">
        <w:rPr>
          <w:rFonts w:ascii="Arial" w:hAnsi="Arial" w:cs="Arial"/>
          <w:sz w:val="22"/>
          <w:szCs w:val="22"/>
        </w:rPr>
        <w:t>days.BCVA</w:t>
      </w:r>
      <w:proofErr w:type="spellEnd"/>
      <w:r w:rsidRPr="001F6C3C">
        <w:rPr>
          <w:rFonts w:ascii="Arial" w:hAnsi="Arial" w:cs="Arial"/>
          <w:sz w:val="22"/>
          <w:szCs w:val="22"/>
        </w:rPr>
        <w:t xml:space="preserve"> RE-3/60 N36 LE-6/36 N18.normal IOP and anterior segment. Fundus examination of both eye </w:t>
      </w:r>
      <w:proofErr w:type="gramStart"/>
      <w:r w:rsidRPr="001F6C3C">
        <w:rPr>
          <w:rFonts w:ascii="Arial" w:hAnsi="Arial" w:cs="Arial"/>
          <w:sz w:val="22"/>
          <w:szCs w:val="22"/>
        </w:rPr>
        <w:t>shows  normal</w:t>
      </w:r>
      <w:proofErr w:type="gramEnd"/>
      <w:r w:rsidRPr="001F6C3C">
        <w:rPr>
          <w:rFonts w:ascii="Arial" w:hAnsi="Arial" w:cs="Arial"/>
          <w:sz w:val="22"/>
          <w:szCs w:val="22"/>
        </w:rPr>
        <w:t xml:space="preserve"> optic </w:t>
      </w:r>
      <w:proofErr w:type="spellStart"/>
      <w:r w:rsidRPr="001F6C3C">
        <w:rPr>
          <w:rFonts w:ascii="Arial" w:hAnsi="Arial" w:cs="Arial"/>
          <w:sz w:val="22"/>
          <w:szCs w:val="22"/>
        </w:rPr>
        <w:t>disc,multifocal</w:t>
      </w:r>
      <w:proofErr w:type="spellEnd"/>
      <w:r w:rsidRPr="001F6C3C">
        <w:rPr>
          <w:rFonts w:ascii="Arial" w:hAnsi="Arial" w:cs="Arial"/>
          <w:sz w:val="22"/>
          <w:szCs w:val="22"/>
        </w:rPr>
        <w:t xml:space="preserve"> serous retinal detachment in the posterior pole(</w:t>
      </w:r>
      <w:r w:rsidR="00E33580">
        <w:rPr>
          <w:rFonts w:ascii="Arial" w:hAnsi="Arial" w:cs="Arial"/>
          <w:sz w:val="22"/>
          <w:szCs w:val="22"/>
        </w:rPr>
        <w:t xml:space="preserve">Fig </w:t>
      </w:r>
      <w:r w:rsidRPr="001F6C3C">
        <w:rPr>
          <w:rFonts w:ascii="Arial" w:hAnsi="Arial" w:cs="Arial"/>
          <w:sz w:val="22"/>
          <w:szCs w:val="22"/>
        </w:rPr>
        <w:t xml:space="preserve">2a 2b). OCT – shows large serous retinal detachments with subretinal </w:t>
      </w:r>
      <w:proofErr w:type="spellStart"/>
      <w:r w:rsidRPr="001F6C3C">
        <w:rPr>
          <w:rFonts w:ascii="Arial" w:hAnsi="Arial" w:cs="Arial"/>
          <w:sz w:val="22"/>
          <w:szCs w:val="22"/>
        </w:rPr>
        <w:t>septae</w:t>
      </w:r>
      <w:proofErr w:type="spellEnd"/>
      <w:r w:rsidRPr="001F6C3C">
        <w:rPr>
          <w:rFonts w:ascii="Arial" w:hAnsi="Arial" w:cs="Arial"/>
          <w:sz w:val="22"/>
          <w:szCs w:val="22"/>
        </w:rPr>
        <w:t xml:space="preserve"> and RPE </w:t>
      </w:r>
      <w:proofErr w:type="gramStart"/>
      <w:r w:rsidRPr="001F6C3C">
        <w:rPr>
          <w:rFonts w:ascii="Arial" w:hAnsi="Arial" w:cs="Arial"/>
          <w:sz w:val="22"/>
          <w:szCs w:val="22"/>
        </w:rPr>
        <w:t>undulation(</w:t>
      </w:r>
      <w:proofErr w:type="gramEnd"/>
      <w:r w:rsidR="00E33580">
        <w:rPr>
          <w:rFonts w:ascii="Arial" w:hAnsi="Arial" w:cs="Arial"/>
          <w:sz w:val="22"/>
          <w:szCs w:val="22"/>
        </w:rPr>
        <w:t xml:space="preserve">Fig </w:t>
      </w:r>
      <w:r w:rsidRPr="001F6C3C">
        <w:rPr>
          <w:rFonts w:ascii="Arial" w:hAnsi="Arial" w:cs="Arial"/>
          <w:sz w:val="22"/>
          <w:szCs w:val="22"/>
        </w:rPr>
        <w:t xml:space="preserve">2c 2d).patient was treated with IVMP followed by oral steroids and immunosuppression with </w:t>
      </w:r>
      <w:proofErr w:type="spellStart"/>
      <w:r w:rsidRPr="001F6C3C">
        <w:rPr>
          <w:rFonts w:ascii="Arial" w:hAnsi="Arial" w:cs="Arial"/>
          <w:sz w:val="22"/>
          <w:szCs w:val="22"/>
        </w:rPr>
        <w:t>Azathioprine.At</w:t>
      </w:r>
      <w:proofErr w:type="spellEnd"/>
      <w:r w:rsidRPr="001F6C3C">
        <w:rPr>
          <w:rFonts w:ascii="Arial" w:hAnsi="Arial" w:cs="Arial"/>
          <w:sz w:val="22"/>
          <w:szCs w:val="22"/>
        </w:rPr>
        <w:t xml:space="preserve"> 2 months follow up BCVA improved to 6/6 N6.</w:t>
      </w:r>
    </w:p>
    <w:p w14:paraId="38C3CEF5" w14:textId="77777777" w:rsidR="000F0DD8" w:rsidRDefault="000F0DD8" w:rsidP="000F0DD8">
      <w:pPr>
        <w:shd w:val="clear" w:color="auto" w:fill="FFFFFF"/>
        <w:spacing w:before="100" w:beforeAutospacing="1" w:after="100" w:afterAutospacing="1"/>
        <w:jc w:val="both"/>
        <w:outlineLvl w:val="1"/>
        <w:rPr>
          <w:rFonts w:ascii="Arial" w:hAnsi="Arial" w:cs="Arial"/>
          <w:sz w:val="22"/>
          <w:szCs w:val="22"/>
        </w:rPr>
      </w:pPr>
      <w:r w:rsidRPr="001F6C3C">
        <w:rPr>
          <w:rFonts w:ascii="Arial" w:hAnsi="Arial" w:cs="Arial"/>
          <w:sz w:val="22"/>
          <w:szCs w:val="22"/>
        </w:rPr>
        <w:t xml:space="preserve">Case </w:t>
      </w:r>
      <w:proofErr w:type="gramStart"/>
      <w:r w:rsidRPr="001F6C3C">
        <w:rPr>
          <w:rFonts w:ascii="Arial" w:hAnsi="Arial" w:cs="Arial"/>
          <w:sz w:val="22"/>
          <w:szCs w:val="22"/>
        </w:rPr>
        <w:t>3-58 year old</w:t>
      </w:r>
      <w:proofErr w:type="gramEnd"/>
      <w:r w:rsidRPr="001F6C3C">
        <w:rPr>
          <w:rFonts w:ascii="Arial" w:hAnsi="Arial" w:cs="Arial"/>
          <w:sz w:val="22"/>
          <w:szCs w:val="22"/>
        </w:rPr>
        <w:t xml:space="preserve"> female came with complaints of diminution of vision in both eyes since 3 months. She also gave history of redness in both eyes in the past. On ocular examination her Visual Acuity was 6/60 in right eye and 3/60 in left eye with N36 for near vision. Anterior segment examination revealed bilateral conjunctival congestion, old mutton fat KP’s, AC cells 2+ with Koeppe’s nodules. Pupil reaction was sluggish.</w:t>
      </w:r>
      <w:r w:rsidRPr="001F6C3C">
        <w:rPr>
          <w:rFonts w:ascii="Arial" w:hAnsi="Arial" w:cs="Arial"/>
          <w:color w:val="000000"/>
          <w:kern w:val="24"/>
          <w:sz w:val="22"/>
          <w:szCs w:val="22"/>
        </w:rPr>
        <w:t xml:space="preserve"> </w:t>
      </w:r>
      <w:r w:rsidRPr="001F6C3C">
        <w:rPr>
          <w:rFonts w:ascii="Arial" w:hAnsi="Arial" w:cs="Arial"/>
          <w:sz w:val="22"/>
          <w:szCs w:val="22"/>
        </w:rPr>
        <w:t xml:space="preserve">Fundus had a hazy media due to </w:t>
      </w:r>
      <w:proofErr w:type="spellStart"/>
      <w:r w:rsidRPr="001F6C3C">
        <w:rPr>
          <w:rFonts w:ascii="Arial" w:hAnsi="Arial" w:cs="Arial"/>
          <w:sz w:val="22"/>
          <w:szCs w:val="22"/>
        </w:rPr>
        <w:t>vitritis</w:t>
      </w:r>
      <w:proofErr w:type="spellEnd"/>
      <w:r w:rsidRPr="001F6C3C">
        <w:rPr>
          <w:rFonts w:ascii="Arial" w:hAnsi="Arial" w:cs="Arial"/>
          <w:sz w:val="22"/>
          <w:szCs w:val="22"/>
        </w:rPr>
        <w:t xml:space="preserve">, hyperemic blurred disc, dilated tortuous veins with macular edema and multiple fluid pockets around arcade in both eyes. FFA showed a hot disc, multiple hyper &amp; </w:t>
      </w:r>
      <w:proofErr w:type="spellStart"/>
      <w:r w:rsidRPr="001F6C3C">
        <w:rPr>
          <w:rFonts w:ascii="Arial" w:hAnsi="Arial" w:cs="Arial"/>
          <w:sz w:val="22"/>
          <w:szCs w:val="22"/>
        </w:rPr>
        <w:t>hypoflourescent</w:t>
      </w:r>
      <w:proofErr w:type="spellEnd"/>
      <w:r w:rsidRPr="001F6C3C">
        <w:rPr>
          <w:rFonts w:ascii="Arial" w:hAnsi="Arial" w:cs="Arial"/>
          <w:sz w:val="22"/>
          <w:szCs w:val="22"/>
        </w:rPr>
        <w:t xml:space="preserve"> dots, </w:t>
      </w:r>
      <w:proofErr w:type="spellStart"/>
      <w:r w:rsidRPr="001F6C3C">
        <w:rPr>
          <w:rFonts w:ascii="Arial" w:hAnsi="Arial" w:cs="Arial"/>
          <w:sz w:val="22"/>
          <w:szCs w:val="22"/>
        </w:rPr>
        <w:t>multilobular</w:t>
      </w:r>
      <w:proofErr w:type="spellEnd"/>
      <w:r w:rsidRPr="001F6C3C">
        <w:rPr>
          <w:rFonts w:ascii="Arial" w:hAnsi="Arial" w:cs="Arial"/>
          <w:sz w:val="22"/>
          <w:szCs w:val="22"/>
        </w:rPr>
        <w:t xml:space="preserve"> pooling and window defect. On OCT - RPE undulations, increased choroidal thickness, numerous subretinal </w:t>
      </w:r>
      <w:proofErr w:type="spellStart"/>
      <w:r w:rsidRPr="001F6C3C">
        <w:rPr>
          <w:rFonts w:ascii="Arial" w:hAnsi="Arial" w:cs="Arial"/>
          <w:sz w:val="22"/>
          <w:szCs w:val="22"/>
        </w:rPr>
        <w:t>septae</w:t>
      </w:r>
      <w:proofErr w:type="spellEnd"/>
      <w:r w:rsidRPr="001F6C3C">
        <w:rPr>
          <w:rFonts w:ascii="Arial" w:hAnsi="Arial" w:cs="Arial"/>
          <w:sz w:val="22"/>
          <w:szCs w:val="22"/>
        </w:rPr>
        <w:t xml:space="preserve">, subretinal fluid, macular edema was </w:t>
      </w:r>
      <w:proofErr w:type="spellStart"/>
      <w:proofErr w:type="gramStart"/>
      <w:r w:rsidRPr="001F6C3C">
        <w:rPr>
          <w:rFonts w:ascii="Arial" w:hAnsi="Arial" w:cs="Arial"/>
          <w:sz w:val="22"/>
          <w:szCs w:val="22"/>
        </w:rPr>
        <w:t>seen.The</w:t>
      </w:r>
      <w:proofErr w:type="spellEnd"/>
      <w:proofErr w:type="gramEnd"/>
      <w:r w:rsidRPr="001F6C3C">
        <w:rPr>
          <w:rFonts w:ascii="Arial" w:hAnsi="Arial" w:cs="Arial"/>
          <w:sz w:val="22"/>
          <w:szCs w:val="22"/>
        </w:rPr>
        <w:t xml:space="preserve"> patient was started </w:t>
      </w:r>
      <w:proofErr w:type="spellStart"/>
      <w:r w:rsidRPr="001F6C3C">
        <w:rPr>
          <w:rFonts w:ascii="Arial" w:hAnsi="Arial" w:cs="Arial"/>
          <w:sz w:val="22"/>
          <w:szCs w:val="22"/>
        </w:rPr>
        <w:t>on:Tab</w:t>
      </w:r>
      <w:proofErr w:type="spellEnd"/>
      <w:r w:rsidRPr="001F6C3C">
        <w:rPr>
          <w:rFonts w:ascii="Arial" w:hAnsi="Arial" w:cs="Arial"/>
          <w:sz w:val="22"/>
          <w:szCs w:val="22"/>
        </w:rPr>
        <w:t>. Prednisolone 60mg OD ,Topical Prednisolone acetate 1% eye drops 8 times a day and Topical Homatropine eye drops twice a day.</w:t>
      </w:r>
      <w:r w:rsidRPr="001F6C3C">
        <w:rPr>
          <w:rFonts w:ascii="Arial" w:hAnsi="Arial" w:cs="Arial"/>
          <w:color w:val="000000"/>
          <w:kern w:val="24"/>
          <w:sz w:val="22"/>
          <w:szCs w:val="22"/>
        </w:rPr>
        <w:t xml:space="preserve"> </w:t>
      </w:r>
      <w:r w:rsidRPr="001F6C3C">
        <w:rPr>
          <w:rFonts w:ascii="Arial" w:hAnsi="Arial" w:cs="Arial"/>
          <w:sz w:val="22"/>
          <w:szCs w:val="22"/>
        </w:rPr>
        <w:t xml:space="preserve">At her first follow up after 1 week, vision had improved to 6/60 in both eyes with no ocular complaints. During her follow up visits Tab. Prednisolone was slowly tapered over </w:t>
      </w:r>
      <w:proofErr w:type="gramStart"/>
      <w:r w:rsidRPr="001F6C3C">
        <w:rPr>
          <w:rFonts w:ascii="Arial" w:hAnsi="Arial" w:cs="Arial"/>
          <w:sz w:val="22"/>
          <w:szCs w:val="22"/>
        </w:rPr>
        <w:t>months ,</w:t>
      </w:r>
      <w:proofErr w:type="gramEnd"/>
      <w:r w:rsidRPr="001F6C3C">
        <w:rPr>
          <w:rFonts w:ascii="Arial" w:hAnsi="Arial" w:cs="Arial"/>
          <w:sz w:val="22"/>
          <w:szCs w:val="22"/>
        </w:rPr>
        <w:t xml:space="preserve">Tab. Azathioprine was started. On follow-up at 3 months, the disc and the macular edema had </w:t>
      </w:r>
      <w:proofErr w:type="gramStart"/>
      <w:r w:rsidRPr="001F6C3C">
        <w:rPr>
          <w:rFonts w:ascii="Arial" w:hAnsi="Arial" w:cs="Arial"/>
          <w:sz w:val="22"/>
          <w:szCs w:val="22"/>
        </w:rPr>
        <w:t>resolved ,BE</w:t>
      </w:r>
      <w:proofErr w:type="gramEnd"/>
      <w:r w:rsidRPr="001F6C3C">
        <w:rPr>
          <w:rFonts w:ascii="Arial" w:hAnsi="Arial" w:cs="Arial"/>
          <w:sz w:val="22"/>
          <w:szCs w:val="22"/>
        </w:rPr>
        <w:t xml:space="preserve"> BCVA improved to 6/9 N6.</w:t>
      </w:r>
    </w:p>
    <w:p w14:paraId="35805E4C" w14:textId="4B85DB98" w:rsidR="00175B03" w:rsidRPr="00175B03" w:rsidRDefault="00175B03" w:rsidP="000F0DD8">
      <w:pPr>
        <w:shd w:val="clear" w:color="auto" w:fill="FFFFFF"/>
        <w:spacing w:before="100" w:beforeAutospacing="1" w:after="100" w:afterAutospacing="1"/>
        <w:jc w:val="both"/>
        <w:outlineLvl w:val="1"/>
        <w:rPr>
          <w:rFonts w:ascii="Arial" w:hAnsi="Arial" w:cs="Arial"/>
          <w:sz w:val="22"/>
          <w:szCs w:val="22"/>
        </w:rPr>
      </w:pPr>
      <w:r w:rsidRPr="00175B03">
        <w:rPr>
          <w:rFonts w:ascii="Arial" w:hAnsi="Arial" w:cs="Arial"/>
          <w:noProof/>
          <w:sz w:val="22"/>
          <w:szCs w:val="22"/>
        </w:rPr>
        <w:t xml:space="preserve">Fig 1a,1b (Fundus photography of BE) - </w:t>
      </w:r>
      <w:r w:rsidRPr="00175B03">
        <w:rPr>
          <w:rFonts w:ascii="Arial" w:hAnsi="Arial" w:cs="Arial"/>
          <w:sz w:val="22"/>
          <w:szCs w:val="22"/>
        </w:rPr>
        <w:t xml:space="preserve">normal optic </w:t>
      </w:r>
      <w:proofErr w:type="spellStart"/>
      <w:proofErr w:type="gramStart"/>
      <w:r w:rsidRPr="00175B03">
        <w:rPr>
          <w:rFonts w:ascii="Arial" w:hAnsi="Arial" w:cs="Arial"/>
          <w:sz w:val="22"/>
          <w:szCs w:val="22"/>
        </w:rPr>
        <w:t>disc,multifocal</w:t>
      </w:r>
      <w:proofErr w:type="spellEnd"/>
      <w:proofErr w:type="gramEnd"/>
      <w:r w:rsidRPr="00175B03">
        <w:rPr>
          <w:rFonts w:ascii="Arial" w:hAnsi="Arial" w:cs="Arial"/>
          <w:sz w:val="22"/>
          <w:szCs w:val="22"/>
        </w:rPr>
        <w:t xml:space="preserve"> serous retinal detachment in the posterior pole.</w:t>
      </w:r>
    </w:p>
    <w:p w14:paraId="291579CE" w14:textId="3A3CEB1D" w:rsidR="00175B03" w:rsidRDefault="00175B03" w:rsidP="000F0DD8">
      <w:pPr>
        <w:shd w:val="clear" w:color="auto" w:fill="FFFFFF"/>
        <w:spacing w:before="100" w:beforeAutospacing="1" w:after="100" w:afterAutospacing="1"/>
        <w:jc w:val="both"/>
        <w:outlineLvl w:val="1"/>
        <w:rPr>
          <w:noProof/>
        </w:rPr>
      </w:pPr>
      <w:r w:rsidRPr="00175B03">
        <w:rPr>
          <w:rFonts w:ascii="Arial" w:hAnsi="Arial" w:cs="Arial"/>
          <w:noProof/>
          <w:sz w:val="22"/>
          <w:szCs w:val="22"/>
        </w:rPr>
        <w:drawing>
          <wp:inline distT="0" distB="0" distL="0" distR="0" wp14:anchorId="42647188" wp14:editId="208061E7">
            <wp:extent cx="2495550" cy="1917833"/>
            <wp:effectExtent l="0" t="0" r="0" b="0"/>
            <wp:docPr id="9" name="Picture 8">
              <a:extLst xmlns:a="http://schemas.openxmlformats.org/drawingml/2006/main">
                <a:ext uri="{FF2B5EF4-FFF2-40B4-BE49-F238E27FC236}">
                  <a16:creationId xmlns:a16="http://schemas.microsoft.com/office/drawing/2014/main" id="{B6ADA0FF-3B72-1512-CB10-70E26843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6ADA0FF-3B72-1512-CB10-70E268433B52}"/>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8947" r="4448"/>
                    <a:stretch/>
                  </pic:blipFill>
                  <pic:spPr>
                    <a:xfrm>
                      <a:off x="0" y="0"/>
                      <a:ext cx="2503670" cy="1924073"/>
                    </a:xfrm>
                    <a:prstGeom prst="rect">
                      <a:avLst/>
                    </a:prstGeom>
                  </pic:spPr>
                </pic:pic>
              </a:graphicData>
            </a:graphic>
          </wp:inline>
        </w:drawing>
      </w:r>
      <w:r w:rsidRPr="00175B03">
        <w:rPr>
          <w:noProof/>
        </w:rPr>
        <w:t xml:space="preserve"> </w:t>
      </w:r>
      <w:r w:rsidRPr="00175B03">
        <w:rPr>
          <w:rFonts w:ascii="Arial" w:hAnsi="Arial" w:cs="Arial"/>
          <w:noProof/>
          <w:sz w:val="22"/>
          <w:szCs w:val="22"/>
        </w:rPr>
        <w:drawing>
          <wp:inline distT="0" distB="0" distL="0" distR="0" wp14:anchorId="723AB32C" wp14:editId="5EE20901">
            <wp:extent cx="2481836" cy="1894840"/>
            <wp:effectExtent l="0" t="0" r="0" b="0"/>
            <wp:docPr id="10" name="Content Placeholder 9">
              <a:extLst xmlns:a="http://schemas.openxmlformats.org/drawingml/2006/main">
                <a:ext uri="{FF2B5EF4-FFF2-40B4-BE49-F238E27FC236}">
                  <a16:creationId xmlns:a16="http://schemas.microsoft.com/office/drawing/2014/main" id="{CFD2A9EE-8748-D031-9553-AA184ACE191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CFD2A9EE-8748-D031-9553-AA184ACE191C}"/>
                        </a:ext>
                      </a:extLst>
                    </pic:cNvPr>
                    <pic:cNvPicPr>
                      <a:picLocks noGrp="1" noChangeAspect="1"/>
                    </pic:cNvPicPr>
                  </pic:nvPicPr>
                  <pic:blipFill rotWithShape="1">
                    <a:blip r:embed="rId15" cstate="print">
                      <a:extLst>
                        <a:ext uri="{28A0092B-C50C-407E-A947-70E740481C1C}">
                          <a14:useLocalDpi xmlns:a14="http://schemas.microsoft.com/office/drawing/2010/main" val="0"/>
                        </a:ext>
                      </a:extLst>
                    </a:blip>
                    <a:srcRect l="8780" r="4061"/>
                    <a:stretch/>
                  </pic:blipFill>
                  <pic:spPr>
                    <a:xfrm>
                      <a:off x="0" y="0"/>
                      <a:ext cx="2493808" cy="1903981"/>
                    </a:xfrm>
                    <a:prstGeom prst="rect">
                      <a:avLst/>
                    </a:prstGeom>
                  </pic:spPr>
                </pic:pic>
              </a:graphicData>
            </a:graphic>
          </wp:inline>
        </w:drawing>
      </w:r>
    </w:p>
    <w:p w14:paraId="71E195A0" w14:textId="2638D677" w:rsidR="00175B03" w:rsidRPr="00175B03" w:rsidRDefault="00175B03" w:rsidP="00175B03">
      <w:r w:rsidRPr="00175B03">
        <w:rPr>
          <w:rFonts w:ascii="Arial" w:hAnsi="Arial" w:cs="Arial"/>
          <w:sz w:val="22"/>
          <w:szCs w:val="22"/>
        </w:rPr>
        <w:t>Fig 1c,1d (Fundus fluorescein angiography of BE)- pooling and leakage of dye in the subretinal space in the late stage of angiogram</w:t>
      </w:r>
      <w:r>
        <w:t>.</w:t>
      </w:r>
    </w:p>
    <w:p w14:paraId="69B60DCA" w14:textId="7DD86CA1" w:rsidR="0032469B" w:rsidRDefault="00175B03" w:rsidP="000F0DD8">
      <w:pPr>
        <w:shd w:val="clear" w:color="auto" w:fill="FFFFFF"/>
        <w:spacing w:before="100" w:beforeAutospacing="1" w:after="100" w:afterAutospacing="1"/>
        <w:jc w:val="both"/>
        <w:outlineLvl w:val="1"/>
        <w:rPr>
          <w:rFonts w:ascii="Arial" w:hAnsi="Arial" w:cs="Arial"/>
        </w:rPr>
      </w:pPr>
      <w:r w:rsidRPr="00175B03">
        <w:rPr>
          <w:rFonts w:ascii="Arial" w:hAnsi="Arial" w:cs="Arial"/>
          <w:noProof/>
        </w:rPr>
        <w:drawing>
          <wp:inline distT="0" distB="0" distL="0" distR="0" wp14:anchorId="72CC5C03" wp14:editId="1B42707C">
            <wp:extent cx="2524125" cy="1894840"/>
            <wp:effectExtent l="0" t="0" r="0" b="0"/>
            <wp:docPr id="237999757" name="Picture 8">
              <a:extLst xmlns:a="http://schemas.openxmlformats.org/drawingml/2006/main">
                <a:ext uri="{FF2B5EF4-FFF2-40B4-BE49-F238E27FC236}">
                  <a16:creationId xmlns:a16="http://schemas.microsoft.com/office/drawing/2014/main" id="{3BE58018-8AA3-12AF-B562-E4ABDC2E76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BE58018-8AA3-12AF-B562-E4ABDC2E7615}"/>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000" t="-1831" r="3909"/>
                    <a:stretch/>
                  </pic:blipFill>
                  <pic:spPr>
                    <a:xfrm>
                      <a:off x="0" y="0"/>
                      <a:ext cx="2565354" cy="1925790"/>
                    </a:xfrm>
                    <a:prstGeom prst="rect">
                      <a:avLst/>
                    </a:prstGeom>
                  </pic:spPr>
                </pic:pic>
              </a:graphicData>
            </a:graphic>
          </wp:inline>
        </w:drawing>
      </w:r>
      <w:r w:rsidRPr="00175B03">
        <w:rPr>
          <w:rFonts w:ascii="Arial" w:hAnsi="Arial" w:cs="Arial"/>
          <w:noProof/>
        </w:rPr>
        <w:drawing>
          <wp:inline distT="0" distB="0" distL="0" distR="0" wp14:anchorId="51F801CF" wp14:editId="730B8035">
            <wp:extent cx="2481423" cy="1914852"/>
            <wp:effectExtent l="0" t="0" r="0" b="0"/>
            <wp:docPr id="11" name="Picture 10">
              <a:extLst xmlns:a="http://schemas.openxmlformats.org/drawingml/2006/main">
                <a:ext uri="{FF2B5EF4-FFF2-40B4-BE49-F238E27FC236}">
                  <a16:creationId xmlns:a16="http://schemas.microsoft.com/office/drawing/2014/main" id="{873ED07F-1057-DFC3-84B0-17532C2D9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73ED07F-1057-DFC3-84B0-17532C2D9866}"/>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000" t="-1831" r="3909"/>
                    <a:stretch/>
                  </pic:blipFill>
                  <pic:spPr>
                    <a:xfrm>
                      <a:off x="0" y="0"/>
                      <a:ext cx="2522452" cy="1946513"/>
                    </a:xfrm>
                    <a:prstGeom prst="rect">
                      <a:avLst/>
                    </a:prstGeom>
                  </pic:spPr>
                </pic:pic>
              </a:graphicData>
            </a:graphic>
          </wp:inline>
        </w:drawing>
      </w:r>
    </w:p>
    <w:p w14:paraId="598299D6" w14:textId="77777777" w:rsidR="00175B03" w:rsidRPr="00175B03" w:rsidRDefault="00175B03" w:rsidP="00175B03">
      <w:pPr>
        <w:rPr>
          <w:rFonts w:ascii="Arial" w:hAnsi="Arial" w:cs="Arial"/>
          <w:sz w:val="22"/>
          <w:szCs w:val="22"/>
        </w:rPr>
      </w:pPr>
      <w:r w:rsidRPr="00175B03">
        <w:rPr>
          <w:rFonts w:ascii="Arial" w:hAnsi="Arial" w:cs="Arial"/>
          <w:sz w:val="22"/>
          <w:szCs w:val="22"/>
        </w:rPr>
        <w:lastRenderedPageBreak/>
        <w:t xml:space="preserve">Fig 1e,1f (optical coherence tomography of BE) - multiple neurosensory detachment with subretinal fluid and subretinal </w:t>
      </w:r>
      <w:proofErr w:type="spellStart"/>
      <w:r w:rsidRPr="00175B03">
        <w:rPr>
          <w:rFonts w:ascii="Arial" w:hAnsi="Arial" w:cs="Arial"/>
          <w:sz w:val="22"/>
          <w:szCs w:val="22"/>
        </w:rPr>
        <w:t>septae</w:t>
      </w:r>
      <w:proofErr w:type="spellEnd"/>
      <w:r w:rsidRPr="00175B03">
        <w:rPr>
          <w:rFonts w:ascii="Arial" w:hAnsi="Arial" w:cs="Arial"/>
          <w:sz w:val="22"/>
          <w:szCs w:val="22"/>
        </w:rPr>
        <w:t>.</w:t>
      </w:r>
    </w:p>
    <w:p w14:paraId="43B70908" w14:textId="369E1155" w:rsidR="00175B03" w:rsidRDefault="00175B03" w:rsidP="000F0DD8">
      <w:pPr>
        <w:shd w:val="clear" w:color="auto" w:fill="FFFFFF"/>
        <w:spacing w:before="100" w:beforeAutospacing="1" w:after="100" w:afterAutospacing="1"/>
        <w:jc w:val="both"/>
        <w:outlineLvl w:val="1"/>
        <w:rPr>
          <w:rFonts w:ascii="Arial" w:hAnsi="Arial" w:cs="Arial"/>
        </w:rPr>
      </w:pPr>
      <w:r w:rsidRPr="00175B03">
        <w:rPr>
          <w:rFonts w:ascii="Arial" w:hAnsi="Arial" w:cs="Arial"/>
          <w:noProof/>
        </w:rPr>
        <w:drawing>
          <wp:inline distT="0" distB="0" distL="0" distR="0" wp14:anchorId="690BBED8" wp14:editId="721FA5E8">
            <wp:extent cx="2479675" cy="1714139"/>
            <wp:effectExtent l="0" t="0" r="0" b="0"/>
            <wp:docPr id="5" name="Content Placeholder 4">
              <a:extLst xmlns:a="http://schemas.openxmlformats.org/drawingml/2006/main">
                <a:ext uri="{FF2B5EF4-FFF2-40B4-BE49-F238E27FC236}">
                  <a16:creationId xmlns:a16="http://schemas.microsoft.com/office/drawing/2014/main" id="{C5526C41-9806-5A67-70D1-AE4E2DC3B8E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5526C41-9806-5A67-70D1-AE4E2DC3B8E3}"/>
                        </a:ext>
                      </a:extLst>
                    </pic:cNvPr>
                    <pic:cNvPicPr>
                      <a:picLocks noGrp="1" noChangeAspect="1"/>
                    </pic:cNvPicPr>
                  </pic:nvPicPr>
                  <pic:blipFill>
                    <a:blip r:embed="rId18"/>
                    <a:stretch>
                      <a:fillRect/>
                    </a:stretch>
                  </pic:blipFill>
                  <pic:spPr>
                    <a:xfrm>
                      <a:off x="0" y="0"/>
                      <a:ext cx="2589029" cy="1789733"/>
                    </a:xfrm>
                    <a:prstGeom prst="rect">
                      <a:avLst/>
                    </a:prstGeom>
                  </pic:spPr>
                </pic:pic>
              </a:graphicData>
            </a:graphic>
          </wp:inline>
        </w:drawing>
      </w:r>
      <w:r w:rsidRPr="00175B03">
        <w:rPr>
          <w:rFonts w:ascii="Arial" w:hAnsi="Arial" w:cs="Arial"/>
          <w:noProof/>
        </w:rPr>
        <w:drawing>
          <wp:inline distT="0" distB="0" distL="0" distR="0" wp14:anchorId="79D69E35" wp14:editId="158A8D1E">
            <wp:extent cx="2552700" cy="1681233"/>
            <wp:effectExtent l="0" t="0" r="0" b="0"/>
            <wp:docPr id="1630228114" name="Picture 8">
              <a:extLst xmlns:a="http://schemas.openxmlformats.org/drawingml/2006/main">
                <a:ext uri="{FF2B5EF4-FFF2-40B4-BE49-F238E27FC236}">
                  <a16:creationId xmlns:a16="http://schemas.microsoft.com/office/drawing/2014/main" id="{8552A2B0-0280-D0BA-5118-C5A58383AD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552A2B0-0280-D0BA-5118-C5A58383ADCE}"/>
                        </a:ext>
                      </a:extLst>
                    </pic:cNvPr>
                    <pic:cNvPicPr>
                      <a:picLocks noChangeAspect="1"/>
                    </pic:cNvPicPr>
                  </pic:nvPicPr>
                  <pic:blipFill>
                    <a:blip r:embed="rId19"/>
                    <a:stretch>
                      <a:fillRect/>
                    </a:stretch>
                  </pic:blipFill>
                  <pic:spPr>
                    <a:xfrm>
                      <a:off x="0" y="0"/>
                      <a:ext cx="2593038" cy="1707800"/>
                    </a:xfrm>
                    <a:prstGeom prst="rect">
                      <a:avLst/>
                    </a:prstGeom>
                  </pic:spPr>
                </pic:pic>
              </a:graphicData>
            </a:graphic>
          </wp:inline>
        </w:drawing>
      </w:r>
    </w:p>
    <w:p w14:paraId="09E2DB19" w14:textId="77777777" w:rsidR="00A46E08" w:rsidRDefault="00A46E08" w:rsidP="006E04A2">
      <w:pPr>
        <w:rPr>
          <w:rFonts w:ascii="Arial" w:hAnsi="Arial" w:cs="Arial"/>
          <w:sz w:val="22"/>
          <w:szCs w:val="22"/>
        </w:rPr>
      </w:pPr>
    </w:p>
    <w:p w14:paraId="73A23C25" w14:textId="77777777" w:rsidR="00A46E08" w:rsidRDefault="00A46E08" w:rsidP="006E04A2">
      <w:pPr>
        <w:rPr>
          <w:rFonts w:ascii="Arial" w:hAnsi="Arial" w:cs="Arial"/>
          <w:sz w:val="22"/>
          <w:szCs w:val="22"/>
        </w:rPr>
      </w:pPr>
    </w:p>
    <w:p w14:paraId="05DE0D85" w14:textId="77777777" w:rsidR="00A46E08" w:rsidRDefault="00A46E08" w:rsidP="006E04A2">
      <w:pPr>
        <w:rPr>
          <w:rFonts w:ascii="Arial" w:hAnsi="Arial" w:cs="Arial"/>
          <w:sz w:val="22"/>
          <w:szCs w:val="22"/>
        </w:rPr>
      </w:pPr>
    </w:p>
    <w:p w14:paraId="3C35A315" w14:textId="77777777" w:rsidR="00A46E08" w:rsidRDefault="00A46E08" w:rsidP="006E04A2">
      <w:pPr>
        <w:rPr>
          <w:rFonts w:ascii="Arial" w:hAnsi="Arial" w:cs="Arial"/>
          <w:sz w:val="22"/>
          <w:szCs w:val="22"/>
        </w:rPr>
      </w:pPr>
    </w:p>
    <w:p w14:paraId="67AEB5B7" w14:textId="7BF9E0E5" w:rsidR="006E04A2" w:rsidRPr="006E04A2" w:rsidRDefault="006E04A2" w:rsidP="006E04A2">
      <w:pPr>
        <w:rPr>
          <w:rFonts w:ascii="Arial" w:hAnsi="Arial" w:cs="Arial"/>
          <w:sz w:val="22"/>
          <w:szCs w:val="22"/>
        </w:rPr>
      </w:pPr>
      <w:r w:rsidRPr="006E04A2">
        <w:rPr>
          <w:rFonts w:ascii="Arial" w:hAnsi="Arial" w:cs="Arial"/>
          <w:sz w:val="22"/>
          <w:szCs w:val="22"/>
        </w:rPr>
        <w:t xml:space="preserve">Fig 2a,2b </w:t>
      </w:r>
      <w:r w:rsidRPr="006E04A2">
        <w:rPr>
          <w:rFonts w:ascii="Arial" w:hAnsi="Arial" w:cs="Arial"/>
          <w:noProof/>
          <w:sz w:val="22"/>
          <w:szCs w:val="22"/>
        </w:rPr>
        <w:t xml:space="preserve">(Fundus photography of BE) </w:t>
      </w:r>
      <w:r w:rsidRPr="006E04A2">
        <w:rPr>
          <w:rFonts w:ascii="Arial" w:hAnsi="Arial" w:cs="Arial"/>
          <w:sz w:val="22"/>
          <w:szCs w:val="22"/>
        </w:rPr>
        <w:t xml:space="preserve">- </w:t>
      </w:r>
      <w:proofErr w:type="gramStart"/>
      <w:r w:rsidRPr="006E04A2">
        <w:rPr>
          <w:rFonts w:ascii="Arial" w:hAnsi="Arial" w:cs="Arial"/>
          <w:sz w:val="22"/>
          <w:szCs w:val="22"/>
        </w:rPr>
        <w:t>shows  normal</w:t>
      </w:r>
      <w:proofErr w:type="gramEnd"/>
      <w:r w:rsidRPr="006E04A2">
        <w:rPr>
          <w:rFonts w:ascii="Arial" w:hAnsi="Arial" w:cs="Arial"/>
          <w:sz w:val="22"/>
          <w:szCs w:val="22"/>
        </w:rPr>
        <w:t xml:space="preserve"> optic </w:t>
      </w:r>
      <w:proofErr w:type="spellStart"/>
      <w:r w:rsidRPr="006E04A2">
        <w:rPr>
          <w:rFonts w:ascii="Arial" w:hAnsi="Arial" w:cs="Arial"/>
          <w:sz w:val="22"/>
          <w:szCs w:val="22"/>
        </w:rPr>
        <w:t>disc,multifocal</w:t>
      </w:r>
      <w:proofErr w:type="spellEnd"/>
      <w:r w:rsidRPr="006E04A2">
        <w:rPr>
          <w:rFonts w:ascii="Arial" w:hAnsi="Arial" w:cs="Arial"/>
          <w:sz w:val="22"/>
          <w:szCs w:val="22"/>
        </w:rPr>
        <w:t xml:space="preserve"> serous retinal detachment in the posterior pole.</w:t>
      </w:r>
    </w:p>
    <w:p w14:paraId="3F2AF296" w14:textId="2817D399" w:rsidR="006E04A2" w:rsidRDefault="006E04A2" w:rsidP="000F0DD8">
      <w:pPr>
        <w:shd w:val="clear" w:color="auto" w:fill="FFFFFF"/>
        <w:spacing w:before="100" w:beforeAutospacing="1" w:after="100" w:afterAutospacing="1"/>
        <w:jc w:val="both"/>
        <w:outlineLvl w:val="1"/>
        <w:rPr>
          <w:rFonts w:ascii="Arial" w:hAnsi="Arial" w:cs="Arial"/>
        </w:rPr>
      </w:pPr>
      <w:r w:rsidRPr="006E04A2">
        <w:rPr>
          <w:rFonts w:ascii="Arial" w:hAnsi="Arial" w:cs="Arial"/>
          <w:noProof/>
        </w:rPr>
        <w:drawing>
          <wp:inline distT="0" distB="0" distL="0" distR="0" wp14:anchorId="65E3052B" wp14:editId="7728F3CF">
            <wp:extent cx="2684780" cy="2019633"/>
            <wp:effectExtent l="0" t="0" r="0" b="0"/>
            <wp:docPr id="1802483190" name="Content Placeholder 4">
              <a:extLst xmlns:a="http://schemas.openxmlformats.org/drawingml/2006/main">
                <a:ext uri="{FF2B5EF4-FFF2-40B4-BE49-F238E27FC236}">
                  <a16:creationId xmlns:a16="http://schemas.microsoft.com/office/drawing/2014/main" id="{0B1C1755-7532-0BC6-E48C-C254484D664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0B1C1755-7532-0BC6-E48C-C254484D6649}"/>
                        </a:ext>
                      </a:extLst>
                    </pic:cNvPr>
                    <pic:cNvPicPr>
                      <a:picLocks noGrp="1" noChangeAspect="1"/>
                    </pic:cNvPicPr>
                  </pic:nvPicPr>
                  <pic:blipFill rotWithShape="1">
                    <a:blip r:embed="rId20" cstate="print">
                      <a:extLst>
                        <a:ext uri="{28A0092B-C50C-407E-A947-70E740481C1C}">
                          <a14:useLocalDpi xmlns:a14="http://schemas.microsoft.com/office/drawing/2010/main" val="0"/>
                        </a:ext>
                      </a:extLst>
                    </a:blip>
                    <a:srcRect l="8703" t="-4034" r="5526" b="7091"/>
                    <a:stretch/>
                  </pic:blipFill>
                  <pic:spPr>
                    <a:xfrm>
                      <a:off x="0" y="0"/>
                      <a:ext cx="2698492" cy="2029948"/>
                    </a:xfrm>
                    <a:prstGeom prst="rect">
                      <a:avLst/>
                    </a:prstGeom>
                  </pic:spPr>
                </pic:pic>
              </a:graphicData>
            </a:graphic>
          </wp:inline>
        </w:drawing>
      </w:r>
      <w:r w:rsidRPr="006E04A2">
        <w:rPr>
          <w:rFonts w:ascii="Arial" w:hAnsi="Arial" w:cs="Arial"/>
          <w:noProof/>
        </w:rPr>
        <w:drawing>
          <wp:inline distT="0" distB="0" distL="0" distR="0" wp14:anchorId="612DDA91" wp14:editId="2C5294F3">
            <wp:extent cx="2497006" cy="1933575"/>
            <wp:effectExtent l="0" t="0" r="0" b="0"/>
            <wp:docPr id="7" name="Picture 6">
              <a:extLst xmlns:a="http://schemas.openxmlformats.org/drawingml/2006/main">
                <a:ext uri="{FF2B5EF4-FFF2-40B4-BE49-F238E27FC236}">
                  <a16:creationId xmlns:a16="http://schemas.microsoft.com/office/drawing/2014/main" id="{4FF8CBE9-DE13-99FA-1619-75DEBA323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FF8CBE9-DE13-99FA-1619-75DEBA323A6F}"/>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9051" r="5000"/>
                    <a:stretch/>
                  </pic:blipFill>
                  <pic:spPr>
                    <a:xfrm>
                      <a:off x="0" y="0"/>
                      <a:ext cx="2503173" cy="1938351"/>
                    </a:xfrm>
                    <a:prstGeom prst="rect">
                      <a:avLst/>
                    </a:prstGeom>
                  </pic:spPr>
                </pic:pic>
              </a:graphicData>
            </a:graphic>
          </wp:inline>
        </w:drawing>
      </w:r>
    </w:p>
    <w:p w14:paraId="6E9336C8" w14:textId="77777777" w:rsidR="006E04A2" w:rsidRDefault="006E04A2" w:rsidP="000F0DD8">
      <w:pPr>
        <w:shd w:val="clear" w:color="auto" w:fill="FFFFFF"/>
        <w:spacing w:before="100" w:beforeAutospacing="1" w:after="100" w:afterAutospacing="1"/>
        <w:jc w:val="both"/>
        <w:outlineLvl w:val="1"/>
        <w:rPr>
          <w:rFonts w:ascii="Arial" w:hAnsi="Arial" w:cs="Arial"/>
        </w:rPr>
      </w:pPr>
    </w:p>
    <w:p w14:paraId="1D34A37F" w14:textId="78A15453" w:rsidR="006E04A2" w:rsidRPr="006E04A2" w:rsidRDefault="006E04A2" w:rsidP="006E04A2">
      <w:pPr>
        <w:rPr>
          <w:sz w:val="22"/>
          <w:szCs w:val="22"/>
        </w:rPr>
      </w:pPr>
      <w:r w:rsidRPr="006E04A2">
        <w:rPr>
          <w:sz w:val="22"/>
          <w:szCs w:val="22"/>
        </w:rPr>
        <w:t xml:space="preserve">Fig 2c,2d (optical coherence tomography of </w:t>
      </w:r>
      <w:proofErr w:type="gramStart"/>
      <w:r w:rsidRPr="006E04A2">
        <w:rPr>
          <w:sz w:val="22"/>
          <w:szCs w:val="22"/>
        </w:rPr>
        <w:t>BE)  -</w:t>
      </w:r>
      <w:proofErr w:type="gramEnd"/>
      <w:r w:rsidRPr="006E04A2">
        <w:rPr>
          <w:sz w:val="22"/>
          <w:szCs w:val="22"/>
        </w:rPr>
        <w:t xml:space="preserve"> large serous retinal detachments with subretinal </w:t>
      </w:r>
      <w:proofErr w:type="spellStart"/>
      <w:r w:rsidRPr="006E04A2">
        <w:rPr>
          <w:sz w:val="22"/>
          <w:szCs w:val="22"/>
        </w:rPr>
        <w:t>septae</w:t>
      </w:r>
      <w:proofErr w:type="spellEnd"/>
      <w:r w:rsidRPr="006E04A2">
        <w:rPr>
          <w:sz w:val="22"/>
          <w:szCs w:val="22"/>
        </w:rPr>
        <w:t xml:space="preserve"> and RPE undulation.</w:t>
      </w:r>
    </w:p>
    <w:p w14:paraId="2652F978" w14:textId="50A1DDA4" w:rsidR="0032469B" w:rsidRDefault="006E04A2" w:rsidP="0032469B">
      <w:pPr>
        <w:spacing w:before="60" w:line="400" w:lineRule="atLeast"/>
        <w:jc w:val="both"/>
        <w:outlineLvl w:val="0"/>
        <w:rPr>
          <w:color w:val="000000"/>
          <w:sz w:val="22"/>
          <w:szCs w:val="22"/>
        </w:rPr>
      </w:pPr>
      <w:r w:rsidRPr="006E04A2">
        <w:rPr>
          <w:noProof/>
          <w:color w:val="000000"/>
          <w:sz w:val="22"/>
          <w:szCs w:val="22"/>
        </w:rPr>
        <w:drawing>
          <wp:inline distT="0" distB="0" distL="0" distR="0" wp14:anchorId="6CC0B9F0" wp14:editId="262C5EFF">
            <wp:extent cx="2495550" cy="1490731"/>
            <wp:effectExtent l="0" t="0" r="0" b="0"/>
            <wp:docPr id="13" name="Picture 12">
              <a:extLst xmlns:a="http://schemas.openxmlformats.org/drawingml/2006/main">
                <a:ext uri="{FF2B5EF4-FFF2-40B4-BE49-F238E27FC236}">
                  <a16:creationId xmlns:a16="http://schemas.microsoft.com/office/drawing/2014/main" id="{0A832ABC-325D-D265-AFA4-7710D94E6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0A832ABC-325D-D265-AFA4-7710D94E67C6}"/>
                        </a:ext>
                      </a:extLst>
                    </pic:cNvPr>
                    <pic:cNvPicPr>
                      <a:picLocks noChangeAspect="1"/>
                    </pic:cNvPicPr>
                  </pic:nvPicPr>
                  <pic:blipFill rotWithShape="1">
                    <a:blip r:embed="rId22">
                      <a:extLst>
                        <a:ext uri="{28A0092B-C50C-407E-A947-70E740481C1C}">
                          <a14:useLocalDpi xmlns:a14="http://schemas.microsoft.com/office/drawing/2010/main" val="0"/>
                        </a:ext>
                      </a:extLst>
                    </a:blip>
                    <a:srcRect t="13312" b="14801"/>
                    <a:stretch/>
                  </pic:blipFill>
                  <pic:spPr>
                    <a:xfrm>
                      <a:off x="0" y="0"/>
                      <a:ext cx="2549249" cy="1522808"/>
                    </a:xfrm>
                    <a:prstGeom prst="rect">
                      <a:avLst/>
                    </a:prstGeom>
                  </pic:spPr>
                </pic:pic>
              </a:graphicData>
            </a:graphic>
          </wp:inline>
        </w:drawing>
      </w:r>
      <w:r w:rsidRPr="006E04A2">
        <w:rPr>
          <w:noProof/>
          <w:color w:val="000000"/>
          <w:sz w:val="22"/>
          <w:szCs w:val="22"/>
        </w:rPr>
        <w:drawing>
          <wp:inline distT="0" distB="0" distL="0" distR="0" wp14:anchorId="7B0163CD" wp14:editId="4A7DF80E">
            <wp:extent cx="2580834" cy="1466215"/>
            <wp:effectExtent l="0" t="0" r="0" b="0"/>
            <wp:docPr id="342754273" name="Picture 10">
              <a:extLst xmlns:a="http://schemas.openxmlformats.org/drawingml/2006/main">
                <a:ext uri="{FF2B5EF4-FFF2-40B4-BE49-F238E27FC236}">
                  <a16:creationId xmlns:a16="http://schemas.microsoft.com/office/drawing/2014/main" id="{3B747272-D37C-1FEA-16C4-9DCF7DBCE9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B747272-D37C-1FEA-16C4-9DCF7DBCE957}"/>
                        </a:ext>
                      </a:extLst>
                    </pic:cNvPr>
                    <pic:cNvPicPr>
                      <a:picLocks noChangeAspect="1"/>
                    </pic:cNvPicPr>
                  </pic:nvPicPr>
                  <pic:blipFill rotWithShape="1">
                    <a:blip r:embed="rId23">
                      <a:extLst>
                        <a:ext uri="{28A0092B-C50C-407E-A947-70E740481C1C}">
                          <a14:useLocalDpi xmlns:a14="http://schemas.microsoft.com/office/drawing/2010/main" val="0"/>
                        </a:ext>
                      </a:extLst>
                    </a:blip>
                    <a:srcRect l="-476" t="25916" r="476" b="4747"/>
                    <a:stretch/>
                  </pic:blipFill>
                  <pic:spPr>
                    <a:xfrm>
                      <a:off x="0" y="0"/>
                      <a:ext cx="2639490" cy="1499539"/>
                    </a:xfrm>
                    <a:prstGeom prst="rect">
                      <a:avLst/>
                    </a:prstGeom>
                  </pic:spPr>
                </pic:pic>
              </a:graphicData>
            </a:graphic>
          </wp:inline>
        </w:drawing>
      </w:r>
    </w:p>
    <w:p w14:paraId="2A0E5B47" w14:textId="77777777" w:rsidR="0032469B" w:rsidRDefault="0032469B" w:rsidP="0032469B">
      <w:pPr>
        <w:spacing w:before="60" w:line="400" w:lineRule="atLeast"/>
        <w:jc w:val="both"/>
        <w:outlineLvl w:val="0"/>
        <w:rPr>
          <w:color w:val="000000"/>
          <w:sz w:val="22"/>
          <w:szCs w:val="22"/>
        </w:rPr>
      </w:pPr>
    </w:p>
    <w:p w14:paraId="307E5870" w14:textId="77777777" w:rsidR="005050DF" w:rsidRDefault="005050DF" w:rsidP="0032469B">
      <w:pPr>
        <w:spacing w:before="60" w:line="400" w:lineRule="atLeast"/>
        <w:jc w:val="both"/>
        <w:outlineLvl w:val="0"/>
        <w:rPr>
          <w:rFonts w:ascii="Arial" w:hAnsi="Arial" w:cs="Arial"/>
          <w:b/>
          <w:bCs/>
          <w:color w:val="000000"/>
          <w:sz w:val="22"/>
          <w:szCs w:val="22"/>
        </w:rPr>
      </w:pPr>
    </w:p>
    <w:p w14:paraId="1928819F" w14:textId="77777777" w:rsidR="00A46E08" w:rsidRDefault="00A46E08" w:rsidP="0032469B">
      <w:pPr>
        <w:spacing w:before="60" w:line="400" w:lineRule="atLeast"/>
        <w:jc w:val="both"/>
        <w:outlineLvl w:val="0"/>
        <w:rPr>
          <w:rFonts w:ascii="Arial" w:hAnsi="Arial" w:cs="Arial"/>
          <w:b/>
          <w:bCs/>
          <w:color w:val="000000"/>
          <w:sz w:val="22"/>
          <w:szCs w:val="22"/>
        </w:rPr>
      </w:pPr>
    </w:p>
    <w:p w14:paraId="1BB50DFA" w14:textId="413D1F58" w:rsidR="0032469B" w:rsidRPr="0032469B" w:rsidRDefault="0032469B" w:rsidP="0032469B">
      <w:pPr>
        <w:spacing w:before="60" w:line="400" w:lineRule="atLeast"/>
        <w:jc w:val="both"/>
        <w:outlineLvl w:val="0"/>
        <w:rPr>
          <w:rFonts w:ascii="Arial" w:hAnsi="Arial" w:cs="Arial"/>
          <w:color w:val="000000"/>
        </w:rPr>
      </w:pPr>
      <w:r w:rsidRPr="0032469B">
        <w:rPr>
          <w:rFonts w:ascii="Arial" w:hAnsi="Arial" w:cs="Arial"/>
          <w:b/>
          <w:bCs/>
          <w:color w:val="000000"/>
          <w:sz w:val="22"/>
          <w:szCs w:val="22"/>
        </w:rPr>
        <w:lastRenderedPageBreak/>
        <w:t>Discussion</w:t>
      </w:r>
      <w:r w:rsidRPr="0032469B">
        <w:rPr>
          <w:rFonts w:ascii="Arial" w:hAnsi="Arial" w:cs="Arial"/>
          <w:color w:val="000000"/>
        </w:rPr>
        <w:t>:</w:t>
      </w:r>
    </w:p>
    <w:p w14:paraId="0BE5FFEC" w14:textId="0643B465" w:rsidR="0032469B" w:rsidRPr="00A46E08" w:rsidRDefault="0032469B" w:rsidP="0032469B">
      <w:pPr>
        <w:shd w:val="clear" w:color="auto" w:fill="FFFFFF"/>
        <w:spacing w:before="100" w:beforeAutospacing="1" w:after="100" w:afterAutospacing="1"/>
        <w:jc w:val="both"/>
        <w:outlineLvl w:val="1"/>
        <w:rPr>
          <w:rFonts w:ascii="Arial" w:hAnsi="Arial" w:cs="Arial"/>
          <w:sz w:val="22"/>
          <w:szCs w:val="22"/>
          <w:vertAlign w:val="subscript"/>
        </w:rPr>
      </w:pPr>
      <w:r w:rsidRPr="00A46E08">
        <w:rPr>
          <w:rFonts w:ascii="Arial" w:hAnsi="Arial" w:cs="Arial"/>
          <w:sz w:val="22"/>
          <w:szCs w:val="22"/>
        </w:rPr>
        <w:t>VKH disease was defined as a rare granulomatous inflammatory disease that affects the pigmented structures such as eye meninges inner ear skin-</w:t>
      </w:r>
      <w:proofErr w:type="gramStart"/>
      <w:r w:rsidRPr="00A46E08">
        <w:rPr>
          <w:rFonts w:ascii="Arial" w:hAnsi="Arial" w:cs="Arial"/>
          <w:sz w:val="22"/>
          <w:szCs w:val="22"/>
        </w:rPr>
        <w:t>hair</w:t>
      </w:r>
      <w:r w:rsidRPr="00A46E08">
        <w:rPr>
          <w:rFonts w:ascii="Arial" w:hAnsi="Arial" w:cs="Arial"/>
          <w:sz w:val="22"/>
          <w:szCs w:val="22"/>
          <w:vertAlign w:val="superscript"/>
        </w:rPr>
        <w:t>(</w:t>
      </w:r>
      <w:proofErr w:type="gramEnd"/>
      <w:r w:rsidRPr="00A46E08">
        <w:rPr>
          <w:rFonts w:ascii="Arial" w:hAnsi="Arial" w:cs="Arial"/>
          <w:sz w:val="22"/>
          <w:szCs w:val="22"/>
          <w:vertAlign w:val="superscript"/>
        </w:rPr>
        <w:t>2)</w:t>
      </w:r>
      <w:r w:rsidRPr="00A46E08">
        <w:rPr>
          <w:rFonts w:ascii="Arial" w:hAnsi="Arial" w:cs="Arial"/>
          <w:sz w:val="22"/>
          <w:szCs w:val="22"/>
          <w:vertAlign w:val="subscript"/>
        </w:rPr>
        <w:t>.</w:t>
      </w:r>
      <w:r w:rsidRPr="00A46E08">
        <w:rPr>
          <w:rFonts w:ascii="Arial" w:hAnsi="Arial" w:cs="Arial"/>
          <w:sz w:val="22"/>
          <w:szCs w:val="22"/>
        </w:rPr>
        <w:t xml:space="preserve"> T-cell-mediated autoimmune reaction against one or more antigens found on or associated with melanocytes plays a role in the </w:t>
      </w:r>
      <w:proofErr w:type="gramStart"/>
      <w:r w:rsidRPr="00A46E08">
        <w:rPr>
          <w:rFonts w:ascii="Arial" w:hAnsi="Arial" w:cs="Arial"/>
          <w:sz w:val="22"/>
          <w:szCs w:val="22"/>
        </w:rPr>
        <w:t>pathogenesis</w:t>
      </w:r>
      <w:r w:rsidRPr="00A46E08">
        <w:rPr>
          <w:rFonts w:ascii="Arial" w:hAnsi="Arial" w:cs="Arial"/>
          <w:sz w:val="22"/>
          <w:szCs w:val="22"/>
          <w:vertAlign w:val="superscript"/>
        </w:rPr>
        <w:t>(</w:t>
      </w:r>
      <w:proofErr w:type="gramEnd"/>
      <w:r w:rsidRPr="00A46E08">
        <w:rPr>
          <w:rFonts w:ascii="Arial" w:hAnsi="Arial" w:cs="Arial"/>
          <w:sz w:val="22"/>
          <w:szCs w:val="22"/>
          <w:vertAlign w:val="superscript"/>
        </w:rPr>
        <w:t>3)(4)</w:t>
      </w:r>
      <w:r w:rsidRPr="00A46E08">
        <w:rPr>
          <w:rFonts w:ascii="Arial" w:hAnsi="Arial" w:cs="Arial"/>
          <w:sz w:val="22"/>
          <w:szCs w:val="22"/>
          <w:vertAlign w:val="subscript"/>
        </w:rPr>
        <w:t>.</w:t>
      </w:r>
      <w:r w:rsidRPr="00A46E08">
        <w:rPr>
          <w:rFonts w:ascii="Arial" w:hAnsi="Arial" w:cs="Arial"/>
          <w:sz w:val="22"/>
          <w:szCs w:val="22"/>
        </w:rPr>
        <w:t xml:space="preserve">The disease manifests more commonly in the age group of 20–50 years, with a female </w:t>
      </w:r>
      <w:proofErr w:type="spellStart"/>
      <w:r w:rsidRPr="00A46E08">
        <w:rPr>
          <w:rFonts w:ascii="Arial" w:hAnsi="Arial" w:cs="Arial"/>
          <w:sz w:val="22"/>
          <w:szCs w:val="22"/>
        </w:rPr>
        <w:t>predilection.Its</w:t>
      </w:r>
      <w:proofErr w:type="spellEnd"/>
      <w:r w:rsidRPr="00A46E08">
        <w:rPr>
          <w:rFonts w:ascii="Arial" w:hAnsi="Arial" w:cs="Arial"/>
          <w:sz w:val="22"/>
          <w:szCs w:val="22"/>
        </w:rPr>
        <w:t xml:space="preserve"> prevalence in developing countries like India is 1.4%–3.5%</w:t>
      </w:r>
      <w:r w:rsidRPr="00A46E08">
        <w:rPr>
          <w:rFonts w:ascii="Arial" w:hAnsi="Arial" w:cs="Arial"/>
          <w:sz w:val="22"/>
          <w:szCs w:val="22"/>
          <w:vertAlign w:val="superscript"/>
        </w:rPr>
        <w:t>(5)</w:t>
      </w:r>
      <w:r w:rsidRPr="00A46E08">
        <w:rPr>
          <w:rFonts w:ascii="Arial" w:hAnsi="Arial" w:cs="Arial"/>
          <w:sz w:val="22"/>
          <w:szCs w:val="22"/>
        </w:rPr>
        <w:t xml:space="preserve"> There are four specific phases of VKH – prodromal, acute </w:t>
      </w:r>
      <w:proofErr w:type="spellStart"/>
      <w:r w:rsidRPr="00A46E08">
        <w:rPr>
          <w:rFonts w:ascii="Arial" w:hAnsi="Arial" w:cs="Arial"/>
          <w:sz w:val="22"/>
          <w:szCs w:val="22"/>
        </w:rPr>
        <w:t>uveitic</w:t>
      </w:r>
      <w:proofErr w:type="spellEnd"/>
      <w:r w:rsidRPr="00A46E08">
        <w:rPr>
          <w:rFonts w:ascii="Arial" w:hAnsi="Arial" w:cs="Arial"/>
          <w:sz w:val="22"/>
          <w:szCs w:val="22"/>
        </w:rPr>
        <w:t xml:space="preserve">, chronic </w:t>
      </w:r>
      <w:proofErr w:type="spellStart"/>
      <w:r w:rsidRPr="00A46E08">
        <w:rPr>
          <w:rFonts w:ascii="Arial" w:hAnsi="Arial" w:cs="Arial"/>
          <w:sz w:val="22"/>
          <w:szCs w:val="22"/>
        </w:rPr>
        <w:t>uveitic</w:t>
      </w:r>
      <w:proofErr w:type="spellEnd"/>
      <w:r w:rsidRPr="00A46E08">
        <w:rPr>
          <w:rFonts w:ascii="Arial" w:hAnsi="Arial" w:cs="Arial"/>
          <w:sz w:val="22"/>
          <w:szCs w:val="22"/>
        </w:rPr>
        <w:t xml:space="preserve">, and recurrent chronic phase.  prodromal phase of the disease will describe dizziness, eye pain, photophobia, headache, meningeal signs, or </w:t>
      </w:r>
      <w:proofErr w:type="gramStart"/>
      <w:r w:rsidRPr="00A46E08">
        <w:rPr>
          <w:rFonts w:ascii="Arial" w:hAnsi="Arial" w:cs="Arial"/>
          <w:sz w:val="22"/>
          <w:szCs w:val="22"/>
        </w:rPr>
        <w:t>fever</w:t>
      </w:r>
      <w:r w:rsidRPr="00A46E08">
        <w:rPr>
          <w:rFonts w:ascii="Arial" w:hAnsi="Arial" w:cs="Arial"/>
          <w:sz w:val="22"/>
          <w:szCs w:val="22"/>
          <w:vertAlign w:val="superscript"/>
        </w:rPr>
        <w:t>(</w:t>
      </w:r>
      <w:proofErr w:type="gramEnd"/>
      <w:r w:rsidRPr="00A46E08">
        <w:rPr>
          <w:rFonts w:ascii="Arial" w:hAnsi="Arial" w:cs="Arial"/>
          <w:sz w:val="22"/>
          <w:szCs w:val="22"/>
          <w:vertAlign w:val="superscript"/>
        </w:rPr>
        <w:t>6)</w:t>
      </w:r>
      <w:r w:rsidRPr="00A46E08">
        <w:rPr>
          <w:rFonts w:ascii="Arial" w:hAnsi="Arial" w:cs="Arial"/>
          <w:sz w:val="22"/>
          <w:szCs w:val="22"/>
          <w:vertAlign w:val="subscript"/>
        </w:rPr>
        <w:t>.</w:t>
      </w:r>
      <w:r w:rsidRPr="00A46E08">
        <w:rPr>
          <w:rFonts w:ascii="Arial" w:hAnsi="Arial" w:cs="Arial"/>
          <w:sz w:val="22"/>
          <w:szCs w:val="22"/>
        </w:rPr>
        <w:t xml:space="preserve">The acute </w:t>
      </w:r>
      <w:proofErr w:type="spellStart"/>
      <w:r w:rsidRPr="00A46E08">
        <w:rPr>
          <w:rFonts w:ascii="Arial" w:hAnsi="Arial" w:cs="Arial"/>
          <w:sz w:val="22"/>
          <w:szCs w:val="22"/>
        </w:rPr>
        <w:t>uveitic</w:t>
      </w:r>
      <w:proofErr w:type="spellEnd"/>
      <w:r w:rsidRPr="00A46E08">
        <w:rPr>
          <w:rFonts w:ascii="Arial" w:hAnsi="Arial" w:cs="Arial"/>
          <w:sz w:val="22"/>
          <w:szCs w:val="22"/>
        </w:rPr>
        <w:t xml:space="preserve"> phase consists of blurry vision and photophobia secondary to </w:t>
      </w:r>
      <w:proofErr w:type="spellStart"/>
      <w:r w:rsidRPr="00A46E08">
        <w:rPr>
          <w:rFonts w:ascii="Arial" w:hAnsi="Arial" w:cs="Arial"/>
          <w:sz w:val="22"/>
          <w:szCs w:val="22"/>
        </w:rPr>
        <w:t>chorioretinal</w:t>
      </w:r>
      <w:proofErr w:type="spellEnd"/>
      <w:r w:rsidRPr="00A46E08">
        <w:rPr>
          <w:rFonts w:ascii="Arial" w:hAnsi="Arial" w:cs="Arial"/>
          <w:sz w:val="22"/>
          <w:szCs w:val="22"/>
        </w:rPr>
        <w:t xml:space="preserve"> inflammation. Edema secondary to inflammation in this stage can extend to the retina, the optic nerve, or the ciliary body leading to the development of exudative retinal detachments, papillitis, and acute anatomic angle closure, </w:t>
      </w:r>
      <w:proofErr w:type="spellStart"/>
      <w:proofErr w:type="gramStart"/>
      <w:r w:rsidRPr="00A46E08">
        <w:rPr>
          <w:rFonts w:ascii="Arial" w:hAnsi="Arial" w:cs="Arial"/>
          <w:sz w:val="22"/>
          <w:szCs w:val="22"/>
        </w:rPr>
        <w:t>respectively.The</w:t>
      </w:r>
      <w:proofErr w:type="spellEnd"/>
      <w:proofErr w:type="gramEnd"/>
      <w:r w:rsidRPr="00A46E08">
        <w:rPr>
          <w:rFonts w:ascii="Arial" w:hAnsi="Arial" w:cs="Arial"/>
          <w:sz w:val="22"/>
          <w:szCs w:val="22"/>
        </w:rPr>
        <w:t xml:space="preserve"> chronic phase of the disease develops subsequently. This phase represents the formation of </w:t>
      </w:r>
      <w:proofErr w:type="gramStart"/>
      <w:r w:rsidRPr="00A46E08">
        <w:rPr>
          <w:rFonts w:ascii="Arial" w:hAnsi="Arial" w:cs="Arial"/>
          <w:sz w:val="22"/>
          <w:szCs w:val="22"/>
        </w:rPr>
        <w:t>extraocular  manifestations</w:t>
      </w:r>
      <w:proofErr w:type="gramEnd"/>
      <w:r w:rsidRPr="00A46E08">
        <w:rPr>
          <w:rFonts w:ascii="Arial" w:hAnsi="Arial" w:cs="Arial"/>
          <w:sz w:val="22"/>
          <w:szCs w:val="22"/>
        </w:rPr>
        <w:t>, including hearing manifestations, skin depigmentation, and ciliary depigmentation - commonly noted at the eyebrows, eyelashes, and scalp. Hearing manifestations include tinnitus, dysacusis, and hearing loss.</w:t>
      </w:r>
      <w:r w:rsidRPr="00A46E08">
        <w:rPr>
          <w:rFonts w:ascii="Arial" w:hAnsi="Arial" w:cs="Arial"/>
          <w:sz w:val="22"/>
          <w:szCs w:val="22"/>
          <w:vertAlign w:val="superscript"/>
        </w:rPr>
        <w:t>(7,8,9)</w:t>
      </w:r>
      <w:r w:rsidRPr="00A46E08">
        <w:rPr>
          <w:rFonts w:ascii="Arial" w:hAnsi="Arial" w:cs="Arial"/>
          <w:sz w:val="22"/>
          <w:szCs w:val="22"/>
        </w:rPr>
        <w:t xml:space="preserve">The recurrent chronic phase consists of symptoms of panuveitis, inflammation throughout the intraocular compartments, and subsequent vision-threatening signs such as sunset glow fundus, choroidal neovascular membranes, neovascularization of the iris, open- and closed-angle glaucoma, and subretinal </w:t>
      </w:r>
      <w:proofErr w:type="spellStart"/>
      <w:r w:rsidRPr="00A46E08">
        <w:rPr>
          <w:rFonts w:ascii="Arial" w:hAnsi="Arial" w:cs="Arial"/>
          <w:sz w:val="22"/>
          <w:szCs w:val="22"/>
        </w:rPr>
        <w:t>fibrosis.Treatment</w:t>
      </w:r>
      <w:proofErr w:type="spellEnd"/>
      <w:r w:rsidRPr="00A46E08">
        <w:rPr>
          <w:rFonts w:ascii="Arial" w:hAnsi="Arial" w:cs="Arial"/>
          <w:sz w:val="22"/>
          <w:szCs w:val="22"/>
        </w:rPr>
        <w:t xml:space="preserve"> regimens include corticosteroids (intravenous, </w:t>
      </w:r>
      <w:proofErr w:type="spellStart"/>
      <w:r w:rsidRPr="00A46E08">
        <w:rPr>
          <w:rFonts w:ascii="Arial" w:hAnsi="Arial" w:cs="Arial"/>
          <w:sz w:val="22"/>
          <w:szCs w:val="22"/>
        </w:rPr>
        <w:t>oral,and</w:t>
      </w:r>
      <w:proofErr w:type="spellEnd"/>
      <w:r w:rsidRPr="00A46E08">
        <w:rPr>
          <w:rFonts w:ascii="Arial" w:hAnsi="Arial" w:cs="Arial"/>
          <w:sz w:val="22"/>
          <w:szCs w:val="22"/>
        </w:rPr>
        <w:t xml:space="preserve"> regional),immunosuppressive agents  and immunomodulators</w:t>
      </w:r>
      <w:r w:rsidRPr="00A46E08">
        <w:rPr>
          <w:rFonts w:ascii="Arial" w:hAnsi="Arial" w:cs="Arial"/>
          <w:sz w:val="22"/>
          <w:szCs w:val="22"/>
          <w:vertAlign w:val="superscript"/>
        </w:rPr>
        <w:t>(10).</w:t>
      </w:r>
      <w:r w:rsidRPr="00A46E08">
        <w:rPr>
          <w:rFonts w:ascii="Arial" w:hAnsi="Arial" w:cs="Arial"/>
          <w:sz w:val="22"/>
          <w:szCs w:val="22"/>
        </w:rPr>
        <w:t>Our report showed a series of probable case of VKH. Age of presentation is between 2</w:t>
      </w:r>
      <w:r w:rsidRPr="00A46E08">
        <w:rPr>
          <w:rFonts w:ascii="Arial" w:hAnsi="Arial" w:cs="Arial"/>
          <w:sz w:val="22"/>
          <w:szCs w:val="22"/>
          <w:vertAlign w:val="superscript"/>
        </w:rPr>
        <w:t>nd</w:t>
      </w:r>
      <w:r w:rsidRPr="00A46E08">
        <w:rPr>
          <w:rFonts w:ascii="Arial" w:hAnsi="Arial" w:cs="Arial"/>
          <w:sz w:val="22"/>
          <w:szCs w:val="22"/>
        </w:rPr>
        <w:t xml:space="preserve"> -6</w:t>
      </w:r>
      <w:r w:rsidRPr="00A46E08">
        <w:rPr>
          <w:rFonts w:ascii="Arial" w:hAnsi="Arial" w:cs="Arial"/>
          <w:sz w:val="22"/>
          <w:szCs w:val="22"/>
          <w:vertAlign w:val="superscript"/>
        </w:rPr>
        <w:t>th</w:t>
      </w:r>
      <w:r w:rsidRPr="00A46E08">
        <w:rPr>
          <w:rFonts w:ascii="Arial" w:hAnsi="Arial" w:cs="Arial"/>
          <w:sz w:val="22"/>
          <w:szCs w:val="22"/>
        </w:rPr>
        <w:t xml:space="preserve"> </w:t>
      </w:r>
      <w:proofErr w:type="spellStart"/>
      <w:r w:rsidRPr="00A46E08">
        <w:rPr>
          <w:rFonts w:ascii="Arial" w:hAnsi="Arial" w:cs="Arial"/>
          <w:sz w:val="22"/>
          <w:szCs w:val="22"/>
        </w:rPr>
        <w:t>decade.All</w:t>
      </w:r>
      <w:proofErr w:type="spellEnd"/>
      <w:r w:rsidRPr="00A46E08">
        <w:rPr>
          <w:rFonts w:ascii="Arial" w:hAnsi="Arial" w:cs="Arial"/>
          <w:sz w:val="22"/>
          <w:szCs w:val="22"/>
        </w:rPr>
        <w:t xml:space="preserve"> three patients presented in acute </w:t>
      </w:r>
      <w:proofErr w:type="spellStart"/>
      <w:r w:rsidRPr="00A46E08">
        <w:rPr>
          <w:rFonts w:ascii="Arial" w:hAnsi="Arial" w:cs="Arial"/>
          <w:sz w:val="22"/>
          <w:szCs w:val="22"/>
        </w:rPr>
        <w:t>uveitic</w:t>
      </w:r>
      <w:proofErr w:type="spellEnd"/>
      <w:r w:rsidRPr="00A46E08">
        <w:rPr>
          <w:rFonts w:ascii="Arial" w:hAnsi="Arial" w:cs="Arial"/>
          <w:sz w:val="22"/>
          <w:szCs w:val="22"/>
        </w:rPr>
        <w:t xml:space="preserve"> phase ,most common presenting symptom was diminution of </w:t>
      </w:r>
      <w:proofErr w:type="spellStart"/>
      <w:r w:rsidRPr="00A46E08">
        <w:rPr>
          <w:rFonts w:ascii="Arial" w:hAnsi="Arial" w:cs="Arial"/>
          <w:sz w:val="22"/>
          <w:szCs w:val="22"/>
        </w:rPr>
        <w:t>vision..out</w:t>
      </w:r>
      <w:proofErr w:type="spellEnd"/>
      <w:r w:rsidRPr="00A46E08">
        <w:rPr>
          <w:rFonts w:ascii="Arial" w:hAnsi="Arial" w:cs="Arial"/>
          <w:sz w:val="22"/>
          <w:szCs w:val="22"/>
        </w:rPr>
        <w:t xml:space="preserve"> of three cases two cases presented with </w:t>
      </w:r>
      <w:proofErr w:type="spellStart"/>
      <w:r w:rsidRPr="00A46E08">
        <w:rPr>
          <w:rFonts w:ascii="Arial" w:hAnsi="Arial" w:cs="Arial"/>
          <w:sz w:val="22"/>
          <w:szCs w:val="22"/>
        </w:rPr>
        <w:t>predominantely</w:t>
      </w:r>
      <w:proofErr w:type="spellEnd"/>
      <w:r w:rsidRPr="00A46E08">
        <w:rPr>
          <w:rFonts w:ascii="Arial" w:hAnsi="Arial" w:cs="Arial"/>
          <w:sz w:val="22"/>
          <w:szCs w:val="22"/>
        </w:rPr>
        <w:t xml:space="preserve"> posterior segment involvement with serous retinal detachment.one case has a presentation of </w:t>
      </w:r>
      <w:proofErr w:type="spellStart"/>
      <w:r w:rsidRPr="00A46E08">
        <w:rPr>
          <w:rFonts w:ascii="Arial" w:hAnsi="Arial" w:cs="Arial"/>
          <w:sz w:val="22"/>
          <w:szCs w:val="22"/>
        </w:rPr>
        <w:t>panuveitis.with</w:t>
      </w:r>
      <w:proofErr w:type="spellEnd"/>
      <w:r w:rsidRPr="00A46E08">
        <w:rPr>
          <w:rFonts w:ascii="Arial" w:hAnsi="Arial" w:cs="Arial"/>
          <w:sz w:val="22"/>
          <w:szCs w:val="22"/>
        </w:rPr>
        <w:t xml:space="preserve"> no extraocular </w:t>
      </w:r>
      <w:proofErr w:type="spellStart"/>
      <w:r w:rsidRPr="00A46E08">
        <w:rPr>
          <w:rFonts w:ascii="Arial" w:hAnsi="Arial" w:cs="Arial"/>
          <w:sz w:val="22"/>
          <w:szCs w:val="22"/>
        </w:rPr>
        <w:t>involvement..OCT</w:t>
      </w:r>
      <w:proofErr w:type="spellEnd"/>
      <w:r w:rsidRPr="00A46E08">
        <w:rPr>
          <w:rFonts w:ascii="Arial" w:hAnsi="Arial" w:cs="Arial"/>
          <w:sz w:val="22"/>
          <w:szCs w:val="22"/>
        </w:rPr>
        <w:t xml:space="preserve">  shows the classical features of </w:t>
      </w:r>
      <w:proofErr w:type="spellStart"/>
      <w:r w:rsidRPr="00A46E08">
        <w:rPr>
          <w:rFonts w:ascii="Arial" w:hAnsi="Arial" w:cs="Arial"/>
          <w:sz w:val="22"/>
          <w:szCs w:val="22"/>
        </w:rPr>
        <w:t>VKH,multifocal</w:t>
      </w:r>
      <w:proofErr w:type="spellEnd"/>
      <w:r w:rsidRPr="00A46E08">
        <w:rPr>
          <w:rFonts w:ascii="Arial" w:hAnsi="Arial" w:cs="Arial"/>
          <w:sz w:val="22"/>
          <w:szCs w:val="22"/>
        </w:rPr>
        <w:t xml:space="preserve"> neurosensory detachment with subretinal </w:t>
      </w:r>
      <w:proofErr w:type="spellStart"/>
      <w:r w:rsidRPr="00A46E08">
        <w:rPr>
          <w:rFonts w:ascii="Arial" w:hAnsi="Arial" w:cs="Arial"/>
          <w:sz w:val="22"/>
          <w:szCs w:val="22"/>
        </w:rPr>
        <w:t>fluid,fibrous</w:t>
      </w:r>
      <w:proofErr w:type="spellEnd"/>
      <w:r w:rsidRPr="00A46E08">
        <w:rPr>
          <w:rFonts w:ascii="Arial" w:hAnsi="Arial" w:cs="Arial"/>
          <w:sz w:val="22"/>
          <w:szCs w:val="22"/>
        </w:rPr>
        <w:t xml:space="preserve"> </w:t>
      </w:r>
      <w:proofErr w:type="spellStart"/>
      <w:r w:rsidRPr="00A46E08">
        <w:rPr>
          <w:rFonts w:ascii="Arial" w:hAnsi="Arial" w:cs="Arial"/>
          <w:sz w:val="22"/>
          <w:szCs w:val="22"/>
        </w:rPr>
        <w:t>septae</w:t>
      </w:r>
      <w:proofErr w:type="spellEnd"/>
      <w:r w:rsidRPr="00A46E08">
        <w:rPr>
          <w:rFonts w:ascii="Arial" w:hAnsi="Arial" w:cs="Arial"/>
          <w:sz w:val="22"/>
          <w:szCs w:val="22"/>
        </w:rPr>
        <w:t xml:space="preserve"> and RPE </w:t>
      </w:r>
      <w:proofErr w:type="spellStart"/>
      <w:r w:rsidRPr="00A46E08">
        <w:rPr>
          <w:rFonts w:ascii="Arial" w:hAnsi="Arial" w:cs="Arial"/>
          <w:sz w:val="22"/>
          <w:szCs w:val="22"/>
        </w:rPr>
        <w:t>undulation.All</w:t>
      </w:r>
      <w:proofErr w:type="spellEnd"/>
      <w:r w:rsidRPr="00A46E08">
        <w:rPr>
          <w:rFonts w:ascii="Arial" w:hAnsi="Arial" w:cs="Arial"/>
          <w:sz w:val="22"/>
          <w:szCs w:val="22"/>
        </w:rPr>
        <w:t xml:space="preserve"> three patients treated with combination of steroidal and non-steroidal immunosuppression, as first-line therapy, could prevent chronic evolution and cure the disease</w:t>
      </w:r>
      <w:r w:rsidRPr="00A46E08">
        <w:rPr>
          <w:rFonts w:ascii="Arial" w:hAnsi="Arial" w:cs="Arial"/>
          <w:sz w:val="22"/>
          <w:szCs w:val="22"/>
          <w:vertAlign w:val="subscript"/>
        </w:rPr>
        <w:t>.</w:t>
      </w:r>
    </w:p>
    <w:p w14:paraId="30B374F6" w14:textId="77777777" w:rsidR="00E053D0" w:rsidRPr="00A46E08" w:rsidRDefault="00E053D0" w:rsidP="00441B6F">
      <w:pPr>
        <w:pStyle w:val="Body"/>
        <w:spacing w:after="0"/>
        <w:rPr>
          <w:rFonts w:ascii="Arial" w:hAnsi="Arial" w:cs="Arial"/>
          <w:sz w:val="22"/>
          <w:szCs w:val="22"/>
        </w:rPr>
      </w:pPr>
    </w:p>
    <w:p w14:paraId="6F9ABDD5" w14:textId="77777777" w:rsidR="00790ADA" w:rsidRPr="00A46E08" w:rsidRDefault="00790ADA" w:rsidP="00441B6F">
      <w:pPr>
        <w:pStyle w:val="Body"/>
        <w:spacing w:after="0"/>
        <w:rPr>
          <w:rFonts w:ascii="Arial" w:hAnsi="Arial" w:cs="Arial"/>
          <w:sz w:val="22"/>
          <w:szCs w:val="22"/>
        </w:rPr>
      </w:pPr>
    </w:p>
    <w:p w14:paraId="1E7184A0" w14:textId="77777777" w:rsidR="00B01FCD" w:rsidRPr="00A46E08" w:rsidRDefault="00000F8F" w:rsidP="00441B6F">
      <w:pPr>
        <w:pStyle w:val="ConcHead"/>
        <w:spacing w:after="0"/>
        <w:jc w:val="both"/>
        <w:rPr>
          <w:rFonts w:ascii="Arial" w:hAnsi="Arial" w:cs="Arial"/>
          <w:szCs w:val="22"/>
        </w:rPr>
      </w:pPr>
      <w:r w:rsidRPr="00A46E08">
        <w:rPr>
          <w:rFonts w:ascii="Arial" w:hAnsi="Arial" w:cs="Arial"/>
          <w:szCs w:val="22"/>
        </w:rPr>
        <w:t xml:space="preserve">4. </w:t>
      </w:r>
      <w:r w:rsidR="00B01FCD" w:rsidRPr="00A46E08">
        <w:rPr>
          <w:rFonts w:ascii="Arial" w:hAnsi="Arial" w:cs="Arial"/>
          <w:szCs w:val="22"/>
        </w:rPr>
        <w:t>Conclusion</w:t>
      </w:r>
    </w:p>
    <w:p w14:paraId="03F9A580" w14:textId="77777777" w:rsidR="00790ADA" w:rsidRPr="00A46E08" w:rsidRDefault="00790ADA" w:rsidP="00441B6F">
      <w:pPr>
        <w:pStyle w:val="ConcHead"/>
        <w:spacing w:after="0"/>
        <w:jc w:val="both"/>
        <w:rPr>
          <w:rFonts w:ascii="Arial" w:hAnsi="Arial" w:cs="Arial"/>
          <w:szCs w:val="22"/>
        </w:rPr>
      </w:pPr>
    </w:p>
    <w:p w14:paraId="2273DA9D" w14:textId="7EF81DA5" w:rsidR="005050DF" w:rsidRDefault="0032469B" w:rsidP="005050DF">
      <w:pPr>
        <w:jc w:val="both"/>
        <w:rPr>
          <w:rFonts w:ascii="Arial" w:hAnsi="Arial" w:cs="Arial"/>
          <w:sz w:val="22"/>
          <w:szCs w:val="22"/>
        </w:rPr>
      </w:pPr>
      <w:r w:rsidRPr="00A46E08">
        <w:rPr>
          <w:rFonts w:ascii="Arial" w:hAnsi="Arial" w:cs="Arial"/>
          <w:sz w:val="22"/>
          <w:szCs w:val="22"/>
        </w:rPr>
        <w:t xml:space="preserve">Inflammation in VKH disease is exclusively originating from the choroidal stroma and choroidal space is easily accessible to systemic </w:t>
      </w:r>
      <w:proofErr w:type="spellStart"/>
      <w:r w:rsidRPr="00A46E08">
        <w:rPr>
          <w:rFonts w:ascii="Arial" w:hAnsi="Arial" w:cs="Arial"/>
          <w:sz w:val="22"/>
          <w:szCs w:val="22"/>
        </w:rPr>
        <w:t>therapy.early</w:t>
      </w:r>
      <w:proofErr w:type="spellEnd"/>
      <w:r w:rsidRPr="00A46E08">
        <w:rPr>
          <w:rFonts w:ascii="Arial" w:hAnsi="Arial" w:cs="Arial"/>
          <w:sz w:val="22"/>
          <w:szCs w:val="22"/>
        </w:rPr>
        <w:t xml:space="preserve"> and sustained treatment right at the onset of the disease process with dual corticosteroid and non-steroidal immunosuppressive therapy can result in full “healing” in many cases preventing sunset glow fundus which results from depigmentation from chronic uncontrolled </w:t>
      </w:r>
      <w:proofErr w:type="spellStart"/>
      <w:r w:rsidRPr="00A46E08">
        <w:rPr>
          <w:rFonts w:ascii="Arial" w:hAnsi="Arial" w:cs="Arial"/>
          <w:sz w:val="22"/>
          <w:szCs w:val="22"/>
        </w:rPr>
        <w:t>inflammation.Recurrence</w:t>
      </w:r>
      <w:proofErr w:type="spellEnd"/>
      <w:r w:rsidRPr="00A46E08">
        <w:rPr>
          <w:rFonts w:ascii="Arial" w:hAnsi="Arial" w:cs="Arial"/>
          <w:sz w:val="22"/>
          <w:szCs w:val="22"/>
        </w:rPr>
        <w:t xml:space="preserve"> of the disease is also very common, so all the patients of VKH syndrome should be counseled for regular follow</w:t>
      </w:r>
      <w:r w:rsidRPr="00A46E08">
        <w:rPr>
          <w:rFonts w:ascii="Arial" w:hAnsi="Arial" w:cs="Arial"/>
          <w:sz w:val="22"/>
          <w:szCs w:val="22"/>
        </w:rPr>
        <w:noBreakHyphen/>
        <w:t>up to prevent further ocular complications.</w:t>
      </w:r>
    </w:p>
    <w:p w14:paraId="36B367AD" w14:textId="77777777" w:rsidR="00A46E08" w:rsidRPr="00A46E08" w:rsidRDefault="00A46E08" w:rsidP="005050DF">
      <w:pPr>
        <w:jc w:val="both"/>
        <w:rPr>
          <w:rFonts w:ascii="Arial" w:hAnsi="Arial" w:cs="Arial"/>
          <w:sz w:val="22"/>
          <w:szCs w:val="22"/>
        </w:rPr>
      </w:pPr>
    </w:p>
    <w:p w14:paraId="0DB97534" w14:textId="77777777" w:rsidR="005050DF" w:rsidRDefault="005050DF" w:rsidP="005050DF">
      <w:pPr>
        <w:jc w:val="both"/>
        <w:rPr>
          <w:rFonts w:ascii="Arial" w:hAnsi="Arial" w:cs="Arial"/>
          <w:b/>
        </w:rPr>
      </w:pPr>
    </w:p>
    <w:p w14:paraId="183430CA" w14:textId="06D914F5" w:rsidR="00A46E08" w:rsidRDefault="00860000" w:rsidP="00A46E08">
      <w:pPr>
        <w:jc w:val="both"/>
        <w:rPr>
          <w:rFonts w:ascii="Arial" w:hAnsi="Arial" w:cs="Arial"/>
          <w:b/>
          <w:sz w:val="24"/>
          <w:szCs w:val="24"/>
        </w:rPr>
      </w:pPr>
      <w:r w:rsidRPr="00A46E08">
        <w:rPr>
          <w:rFonts w:ascii="Arial" w:hAnsi="Arial" w:cs="Arial"/>
          <w:b/>
          <w:sz w:val="24"/>
          <w:szCs w:val="24"/>
        </w:rPr>
        <w:t>Competing interests</w:t>
      </w:r>
    </w:p>
    <w:p w14:paraId="4798FBE8" w14:textId="77777777" w:rsidR="00A46E08" w:rsidRPr="00A46E08" w:rsidRDefault="005050DF" w:rsidP="00A46E08">
      <w:pPr>
        <w:jc w:val="both"/>
        <w:rPr>
          <w:rFonts w:ascii="Arial" w:hAnsi="Arial" w:cs="Arial"/>
          <w:sz w:val="22"/>
          <w:szCs w:val="22"/>
          <w:u w:val="single"/>
        </w:rPr>
      </w:pPr>
      <w:r w:rsidRPr="00A46E08">
        <w:rPr>
          <w:rFonts w:ascii="Arial" w:hAnsi="Arial" w:cs="Arial"/>
          <w:sz w:val="22"/>
          <w:szCs w:val="22"/>
          <w:u w:val="single"/>
        </w:rPr>
        <w:t xml:space="preserve">No competing interest </w:t>
      </w:r>
      <w:proofErr w:type="gramStart"/>
      <w:r w:rsidRPr="00A46E08">
        <w:rPr>
          <w:rFonts w:ascii="Arial" w:hAnsi="Arial" w:cs="Arial"/>
          <w:sz w:val="22"/>
          <w:szCs w:val="22"/>
          <w:u w:val="single"/>
        </w:rPr>
        <w:t>exist</w:t>
      </w:r>
      <w:proofErr w:type="gramEnd"/>
    </w:p>
    <w:p w14:paraId="0EBDB9B9" w14:textId="77777777" w:rsidR="00A46E08" w:rsidRDefault="00A46E08" w:rsidP="00A46E08">
      <w:pPr>
        <w:jc w:val="both"/>
        <w:rPr>
          <w:rFonts w:ascii="Arial" w:hAnsi="Arial" w:cs="Arial"/>
          <w:u w:val="single"/>
        </w:rPr>
      </w:pPr>
    </w:p>
    <w:p w14:paraId="2D27D7CB" w14:textId="77777777" w:rsidR="00A46E08" w:rsidRDefault="00A46E08" w:rsidP="00A46E08">
      <w:pPr>
        <w:jc w:val="both"/>
        <w:rPr>
          <w:rFonts w:ascii="Arial" w:hAnsi="Arial" w:cs="Arial"/>
          <w:u w:val="single"/>
        </w:rPr>
      </w:pPr>
    </w:p>
    <w:p w14:paraId="4B479B69" w14:textId="77777777" w:rsidR="00A46E08" w:rsidRDefault="002B685A" w:rsidP="00A46E08">
      <w:pPr>
        <w:jc w:val="both"/>
        <w:rPr>
          <w:rFonts w:ascii="Arial" w:hAnsi="Arial" w:cs="Arial"/>
          <w:b/>
          <w:sz w:val="22"/>
          <w:szCs w:val="22"/>
          <w:u w:val="single"/>
        </w:rPr>
      </w:pPr>
      <w:r w:rsidRPr="00A46E08">
        <w:rPr>
          <w:rFonts w:ascii="Arial" w:hAnsi="Arial" w:cs="Arial"/>
          <w:b/>
          <w:sz w:val="22"/>
          <w:szCs w:val="22"/>
        </w:rPr>
        <w:t xml:space="preserve">Consent </w:t>
      </w:r>
      <w:r w:rsidR="005050DF" w:rsidRPr="00A46E08">
        <w:rPr>
          <w:rFonts w:ascii="Arial" w:hAnsi="Arial" w:cs="Arial"/>
          <w:b/>
          <w:sz w:val="22"/>
          <w:szCs w:val="22"/>
          <w:u w:val="single"/>
        </w:rPr>
        <w:t xml:space="preserve"> </w:t>
      </w:r>
    </w:p>
    <w:p w14:paraId="6A5BF251" w14:textId="49E9DBE1" w:rsidR="00A46E08" w:rsidRPr="00A46E08" w:rsidRDefault="00A46E08" w:rsidP="00A46E08">
      <w:pPr>
        <w:jc w:val="both"/>
        <w:rPr>
          <w:rFonts w:ascii="Arial" w:hAnsi="Arial" w:cs="Arial"/>
          <w:b/>
          <w:sz w:val="22"/>
          <w:szCs w:val="22"/>
          <w:u w:val="single"/>
        </w:rPr>
      </w:pPr>
      <w:r w:rsidRPr="00A46E08">
        <w:rPr>
          <w:rFonts w:ascii="Arial" w:hAnsi="Arial" w:cs="Arial"/>
          <w:sz w:val="22"/>
          <w:szCs w:val="22"/>
          <w:u w:val="single"/>
        </w:rPr>
        <w:t>Written and informed consent is ta</w:t>
      </w:r>
      <w:r w:rsidR="00E33580">
        <w:rPr>
          <w:rFonts w:ascii="Arial" w:hAnsi="Arial" w:cs="Arial"/>
          <w:sz w:val="22"/>
          <w:szCs w:val="22"/>
          <w:u w:val="single"/>
        </w:rPr>
        <w:t>k</w:t>
      </w:r>
      <w:r w:rsidRPr="00A46E08">
        <w:rPr>
          <w:rFonts w:ascii="Arial" w:hAnsi="Arial" w:cs="Arial"/>
          <w:sz w:val="22"/>
          <w:szCs w:val="22"/>
          <w:u w:val="single"/>
        </w:rPr>
        <w:t xml:space="preserve">en from the patient for publication of case report and </w:t>
      </w:r>
      <w:proofErr w:type="spellStart"/>
      <w:r w:rsidRPr="00A46E08">
        <w:rPr>
          <w:rFonts w:ascii="Arial" w:hAnsi="Arial" w:cs="Arial"/>
          <w:sz w:val="22"/>
          <w:szCs w:val="22"/>
          <w:u w:val="single"/>
        </w:rPr>
        <w:t>accomapanying</w:t>
      </w:r>
      <w:proofErr w:type="spellEnd"/>
      <w:r w:rsidRPr="00A46E08">
        <w:rPr>
          <w:rFonts w:ascii="Arial" w:hAnsi="Arial" w:cs="Arial"/>
          <w:sz w:val="22"/>
          <w:szCs w:val="22"/>
          <w:u w:val="single"/>
        </w:rPr>
        <w:t xml:space="preserve"> images.</w:t>
      </w:r>
    </w:p>
    <w:p w14:paraId="646BEEFB" w14:textId="77777777" w:rsidR="00A46E08" w:rsidRDefault="00A46E08" w:rsidP="00A46E08">
      <w:pPr>
        <w:pStyle w:val="ReferHead"/>
        <w:spacing w:after="0"/>
        <w:jc w:val="both"/>
        <w:rPr>
          <w:rFonts w:ascii="Arial" w:hAnsi="Arial" w:cs="Arial"/>
          <w:b w:val="0"/>
          <w:caps w:val="0"/>
          <w:sz w:val="20"/>
          <w:u w:val="single"/>
        </w:rPr>
      </w:pPr>
    </w:p>
    <w:p w14:paraId="1BBC000F" w14:textId="77777777" w:rsidR="00A46E08" w:rsidRDefault="00A46E08" w:rsidP="00A46E08">
      <w:pPr>
        <w:pStyle w:val="ReferHead"/>
        <w:spacing w:after="0"/>
        <w:jc w:val="both"/>
        <w:rPr>
          <w:rFonts w:ascii="Arial" w:hAnsi="Arial" w:cs="Arial"/>
          <w:b w:val="0"/>
          <w:caps w:val="0"/>
          <w:sz w:val="20"/>
        </w:rPr>
      </w:pPr>
    </w:p>
    <w:p w14:paraId="165AF001" w14:textId="77777777" w:rsidR="00A46E08" w:rsidRDefault="00A46E08" w:rsidP="00A46E08">
      <w:pPr>
        <w:pStyle w:val="ReferHead"/>
        <w:spacing w:after="0"/>
        <w:jc w:val="both"/>
        <w:rPr>
          <w:rFonts w:ascii="Arial" w:hAnsi="Arial" w:cs="Arial"/>
          <w:b w:val="0"/>
          <w:caps w:val="0"/>
          <w:sz w:val="20"/>
        </w:rPr>
      </w:pPr>
    </w:p>
    <w:p w14:paraId="39B624D0" w14:textId="0F830856" w:rsidR="00A46E08" w:rsidRDefault="00A46E08" w:rsidP="00A46E08">
      <w:pPr>
        <w:pStyle w:val="ReferHead"/>
        <w:spacing w:after="0"/>
        <w:jc w:val="both"/>
        <w:rPr>
          <w:rFonts w:ascii="Arial" w:hAnsi="Arial" w:cs="Arial"/>
          <w:bCs/>
        </w:rPr>
      </w:pPr>
      <w:r>
        <w:rPr>
          <w:rFonts w:ascii="Arial" w:hAnsi="Arial" w:cs="Arial"/>
          <w:bCs/>
        </w:rPr>
        <w:t xml:space="preserve">Ethical approval </w:t>
      </w:r>
    </w:p>
    <w:p w14:paraId="1BAF2039" w14:textId="77777777" w:rsidR="00A46E08" w:rsidRPr="0032469B" w:rsidRDefault="00A46E08" w:rsidP="00A46E08">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w:t>
      </w:r>
      <w:r w:rsidRPr="00A46E08">
        <w:rPr>
          <w:rFonts w:ascii="Arial" w:hAnsi="Arial" w:cs="Arial"/>
          <w:b w:val="0"/>
          <w:caps w:val="0"/>
          <w:szCs w:val="22"/>
          <w:u w:val="single"/>
        </w:rPr>
        <w:t>All authors hereby declare that all experiments have been examined and approved by the appropriate ethics committee and have therefore been performed in accordance with the ethical standards laid down in the 1964 Declaration of Helsinki.”</w:t>
      </w:r>
    </w:p>
    <w:p w14:paraId="3A8CFA76" w14:textId="77777777" w:rsidR="00A46E08" w:rsidRDefault="00A46E08" w:rsidP="00A46E08">
      <w:pPr>
        <w:jc w:val="both"/>
        <w:rPr>
          <w:rFonts w:ascii="Arial" w:hAnsi="Arial" w:cs="Arial"/>
          <w:u w:val="single"/>
        </w:rPr>
      </w:pPr>
    </w:p>
    <w:p w14:paraId="4CB1D289" w14:textId="77777777" w:rsidR="00860000" w:rsidRDefault="00860000" w:rsidP="00441B6F">
      <w:pPr>
        <w:pStyle w:val="ReferHead"/>
        <w:spacing w:after="0"/>
        <w:jc w:val="both"/>
        <w:rPr>
          <w:rFonts w:ascii="Arial" w:hAnsi="Arial" w:cs="Arial"/>
        </w:rPr>
      </w:pPr>
    </w:p>
    <w:p w14:paraId="49F288CC" w14:textId="77777777" w:rsidR="00844047" w:rsidRDefault="00844047" w:rsidP="00441B6F">
      <w:pPr>
        <w:pStyle w:val="ReferHead"/>
        <w:spacing w:after="0"/>
        <w:jc w:val="both"/>
        <w:rPr>
          <w:rFonts w:ascii="Arial" w:hAnsi="Arial" w:cs="Arial"/>
        </w:rPr>
      </w:pPr>
    </w:p>
    <w:p w14:paraId="3EE87053" w14:textId="77777777" w:rsidR="00844047" w:rsidRDefault="00844047" w:rsidP="00441B6F">
      <w:pPr>
        <w:pStyle w:val="ReferHead"/>
        <w:spacing w:after="0"/>
        <w:jc w:val="both"/>
        <w:rPr>
          <w:rFonts w:ascii="Arial" w:hAnsi="Arial" w:cs="Arial"/>
        </w:rPr>
      </w:pPr>
    </w:p>
    <w:p w14:paraId="5CE6AD8E" w14:textId="0D061F38" w:rsidR="00B01FCD" w:rsidRDefault="00B01FCD" w:rsidP="00441B6F">
      <w:pPr>
        <w:pStyle w:val="ReferHead"/>
        <w:spacing w:after="0"/>
        <w:jc w:val="both"/>
        <w:rPr>
          <w:rFonts w:ascii="Arial" w:hAnsi="Arial" w:cs="Arial"/>
        </w:rPr>
      </w:pPr>
      <w:r w:rsidRPr="00FB3A86">
        <w:rPr>
          <w:rFonts w:ascii="Arial" w:hAnsi="Arial" w:cs="Arial"/>
        </w:rPr>
        <w:t>References</w:t>
      </w:r>
    </w:p>
    <w:p w14:paraId="189D0DFC" w14:textId="77777777" w:rsidR="00790ADA" w:rsidRPr="00FB3A86" w:rsidRDefault="00790ADA" w:rsidP="00441B6F">
      <w:pPr>
        <w:pStyle w:val="ReferHead"/>
        <w:spacing w:after="0"/>
        <w:jc w:val="both"/>
        <w:rPr>
          <w:rFonts w:ascii="Arial" w:hAnsi="Arial" w:cs="Arial"/>
        </w:rPr>
      </w:pPr>
    </w:p>
    <w:p w14:paraId="5EFAC069" w14:textId="2958BBEE" w:rsidR="0006741E" w:rsidRPr="002507CB" w:rsidRDefault="00E95830" w:rsidP="002507CB">
      <w:pPr>
        <w:pStyle w:val="ListParagraph"/>
        <w:numPr>
          <w:ilvl w:val="0"/>
          <w:numId w:val="33"/>
        </w:numPr>
        <w:shd w:val="clear" w:color="auto" w:fill="FFFFFF"/>
        <w:spacing w:before="100" w:beforeAutospacing="1" w:after="100" w:afterAutospacing="1" w:line="360" w:lineRule="auto"/>
        <w:jc w:val="both"/>
        <w:outlineLvl w:val="1"/>
      </w:pPr>
      <w:r w:rsidRPr="002507CB">
        <w:rPr>
          <w:lang w:val="en-GB"/>
        </w:rPr>
        <w:t>Read, R. W., Rao, N. A., &amp; Cunningham, E. T., Jr. (2000). Vogt-</w:t>
      </w:r>
      <w:proofErr w:type="spellStart"/>
      <w:r w:rsidRPr="002507CB">
        <w:rPr>
          <w:lang w:val="en-GB"/>
        </w:rPr>
        <w:t>Koyanagi</w:t>
      </w:r>
      <w:proofErr w:type="spellEnd"/>
      <w:r w:rsidRPr="002507CB">
        <w:rPr>
          <w:lang w:val="en-GB"/>
        </w:rPr>
        <w:t>-Harada disease. Current Opinion in Ophthalmology, 11(6), 437-442. https://doi.org/10.1097/00055735-200012000-00009</w:t>
      </w:r>
    </w:p>
    <w:p w14:paraId="54B454C9" w14:textId="77777777" w:rsidR="0006741E" w:rsidRPr="002507CB" w:rsidRDefault="0006741E" w:rsidP="002507CB">
      <w:pPr>
        <w:pStyle w:val="ListParagraph"/>
        <w:shd w:val="clear" w:color="auto" w:fill="FFFFFF"/>
        <w:spacing w:before="100" w:beforeAutospacing="1" w:after="100" w:afterAutospacing="1" w:line="360" w:lineRule="auto"/>
        <w:jc w:val="both"/>
        <w:outlineLvl w:val="1"/>
      </w:pPr>
    </w:p>
    <w:p w14:paraId="2525784A" w14:textId="478D5091" w:rsidR="0006741E" w:rsidRPr="002507CB" w:rsidRDefault="00BC05C3" w:rsidP="002507CB">
      <w:pPr>
        <w:pStyle w:val="ListParagraph"/>
        <w:numPr>
          <w:ilvl w:val="0"/>
          <w:numId w:val="33"/>
        </w:numPr>
        <w:spacing w:line="360" w:lineRule="auto"/>
        <w:jc w:val="both"/>
      </w:pPr>
      <w:proofErr w:type="spellStart"/>
      <w:r w:rsidRPr="002507CB">
        <w:t>Lavezzo</w:t>
      </w:r>
      <w:proofErr w:type="spellEnd"/>
      <w:r w:rsidRPr="002507CB">
        <w:t>, M. M., Sakata, V. M., Morita, C., Rodriguez, E. E. C., Abdallah, S. F., da Silva, F. T. G., Hirata, C. E., &amp; Yamamoto, J. H. (2016). Vogt-</w:t>
      </w:r>
      <w:proofErr w:type="spellStart"/>
      <w:r w:rsidRPr="002507CB">
        <w:t>Koyanagi</w:t>
      </w:r>
      <w:proofErr w:type="spellEnd"/>
      <w:r w:rsidRPr="002507CB">
        <w:t xml:space="preserve">-Harada disease: review of a rare autoimmune disease targeting antigens of melanocytes. </w:t>
      </w:r>
      <w:proofErr w:type="spellStart"/>
      <w:r w:rsidRPr="002507CB">
        <w:t>Orphanet</w:t>
      </w:r>
      <w:proofErr w:type="spellEnd"/>
      <w:r w:rsidRPr="002507CB">
        <w:t xml:space="preserve"> Journal of Rare Diseases, 11(1), 29. https://doi.org/10.1186/s13023-016-0412-4</w:t>
      </w:r>
    </w:p>
    <w:p w14:paraId="29847D7C" w14:textId="77777777" w:rsidR="0006741E" w:rsidRPr="002507CB" w:rsidRDefault="0006741E" w:rsidP="002507CB">
      <w:pPr>
        <w:pStyle w:val="ListParagraph"/>
        <w:spacing w:line="360" w:lineRule="auto"/>
        <w:jc w:val="both"/>
      </w:pPr>
    </w:p>
    <w:p w14:paraId="5ACEC647" w14:textId="3582E79C" w:rsidR="0006741E" w:rsidRPr="002507CB" w:rsidRDefault="0000164D" w:rsidP="002507CB">
      <w:pPr>
        <w:pStyle w:val="ListParagraph"/>
        <w:numPr>
          <w:ilvl w:val="0"/>
          <w:numId w:val="33"/>
        </w:numPr>
        <w:shd w:val="clear" w:color="auto" w:fill="FFFFFF"/>
        <w:spacing w:before="100" w:beforeAutospacing="1" w:after="100" w:afterAutospacing="1" w:line="360" w:lineRule="auto"/>
        <w:jc w:val="both"/>
        <w:outlineLvl w:val="1"/>
      </w:pPr>
      <w:r w:rsidRPr="002507CB">
        <w:t xml:space="preserve">Kobayashi, H., </w:t>
      </w:r>
      <w:proofErr w:type="spellStart"/>
      <w:r w:rsidRPr="002507CB">
        <w:t>Kokubo</w:t>
      </w:r>
      <w:proofErr w:type="spellEnd"/>
      <w:r w:rsidRPr="002507CB">
        <w:t xml:space="preserve">, T., Takahashi, M., Sato, K., </w:t>
      </w:r>
      <w:proofErr w:type="spellStart"/>
      <w:r w:rsidRPr="002507CB">
        <w:t>Miyokawa</w:t>
      </w:r>
      <w:proofErr w:type="spellEnd"/>
      <w:r w:rsidRPr="002507CB">
        <w:t xml:space="preserve">, N., Kimura, S., </w:t>
      </w:r>
      <w:proofErr w:type="spellStart"/>
      <w:r w:rsidRPr="002507CB">
        <w:t>Kinouchi</w:t>
      </w:r>
      <w:proofErr w:type="spellEnd"/>
      <w:r w:rsidRPr="002507CB">
        <w:t xml:space="preserve">, R., &amp; </w:t>
      </w:r>
      <w:proofErr w:type="spellStart"/>
      <w:r w:rsidRPr="002507CB">
        <w:t>Katagiri</w:t>
      </w:r>
      <w:proofErr w:type="spellEnd"/>
      <w:r w:rsidRPr="002507CB">
        <w:t>, M. (1998). Tyrosinase epitope recognized by an HLA-DR-restricted T-cell line from a Vogt-</w:t>
      </w:r>
      <w:proofErr w:type="spellStart"/>
      <w:r w:rsidRPr="002507CB">
        <w:t>Koyanagi</w:t>
      </w:r>
      <w:proofErr w:type="spellEnd"/>
      <w:r w:rsidRPr="002507CB">
        <w:t>-Harada disease patient. Immunogenetics, 47(5), 398–403. https://doi.org/10.1007/s002510050375</w:t>
      </w:r>
    </w:p>
    <w:p w14:paraId="49996F87" w14:textId="77777777" w:rsidR="0006741E" w:rsidRPr="002507CB" w:rsidRDefault="0006741E" w:rsidP="002507CB">
      <w:pPr>
        <w:pStyle w:val="ListParagraph"/>
        <w:spacing w:line="360" w:lineRule="auto"/>
        <w:jc w:val="both"/>
      </w:pPr>
    </w:p>
    <w:p w14:paraId="1E5870CD" w14:textId="55957D31" w:rsidR="0006741E" w:rsidRPr="002507CB" w:rsidRDefault="005C68F2" w:rsidP="002507CB">
      <w:pPr>
        <w:pStyle w:val="ListParagraph"/>
        <w:numPr>
          <w:ilvl w:val="0"/>
          <w:numId w:val="33"/>
        </w:numPr>
        <w:shd w:val="clear" w:color="auto" w:fill="FFFFFF"/>
        <w:spacing w:before="100" w:beforeAutospacing="1" w:after="100" w:afterAutospacing="1" w:line="360" w:lineRule="auto"/>
        <w:jc w:val="both"/>
        <w:outlineLvl w:val="1"/>
      </w:pPr>
      <w:r w:rsidRPr="002507CB">
        <w:t xml:space="preserve">Sugita, S., Takase, H., Taguchi, C., Imai, Y., </w:t>
      </w:r>
      <w:proofErr w:type="spellStart"/>
      <w:r w:rsidRPr="002507CB">
        <w:t>Kamoi</w:t>
      </w:r>
      <w:proofErr w:type="spellEnd"/>
      <w:r w:rsidRPr="002507CB">
        <w:t xml:space="preserve">, K., Kawaguchi, T., </w:t>
      </w:r>
      <w:proofErr w:type="spellStart"/>
      <w:r w:rsidRPr="002507CB">
        <w:t>Sugamoto</w:t>
      </w:r>
      <w:proofErr w:type="spellEnd"/>
      <w:r w:rsidRPr="002507CB">
        <w:t xml:space="preserve">, Y., </w:t>
      </w:r>
      <w:proofErr w:type="spellStart"/>
      <w:r w:rsidRPr="002507CB">
        <w:t>Futagami</w:t>
      </w:r>
      <w:proofErr w:type="spellEnd"/>
      <w:r w:rsidRPr="002507CB">
        <w:t xml:space="preserve">, Y., Itoh, K., &amp; Mochizuki, M. (2006). Ocular Infiltrating CD4+ T Cells </w:t>
      </w:r>
      <w:proofErr w:type="gramStart"/>
      <w:r w:rsidRPr="002507CB">
        <w:t>From</w:t>
      </w:r>
      <w:proofErr w:type="gramEnd"/>
      <w:r w:rsidRPr="002507CB">
        <w:t xml:space="preserve"> Patients With Vogt-</w:t>
      </w:r>
      <w:proofErr w:type="spellStart"/>
      <w:r w:rsidRPr="002507CB">
        <w:t>Koyanagi</w:t>
      </w:r>
      <w:proofErr w:type="spellEnd"/>
      <w:r w:rsidRPr="002507CB">
        <w:t>-Harada Disease Recognize Human Melanocyte Antigens. Investigative Ophthalmology &amp; Visual Science, 47(6), 2547-2554. https://doi.org/10.1167/iovs.05-1547</w:t>
      </w:r>
    </w:p>
    <w:p w14:paraId="41EC2B62" w14:textId="77777777" w:rsidR="0006741E" w:rsidRPr="002507CB" w:rsidRDefault="0006741E" w:rsidP="002507CB">
      <w:pPr>
        <w:pStyle w:val="ListParagraph"/>
        <w:spacing w:line="360" w:lineRule="auto"/>
        <w:jc w:val="both"/>
      </w:pPr>
    </w:p>
    <w:p w14:paraId="1C493050" w14:textId="3597E4EA" w:rsidR="0006741E" w:rsidRPr="002507CB" w:rsidRDefault="00DB6E51" w:rsidP="002507CB">
      <w:pPr>
        <w:pStyle w:val="ListParagraph"/>
        <w:numPr>
          <w:ilvl w:val="0"/>
          <w:numId w:val="33"/>
        </w:numPr>
        <w:shd w:val="clear" w:color="auto" w:fill="FFFFFF"/>
        <w:spacing w:before="100" w:beforeAutospacing="1" w:after="100" w:afterAutospacing="1" w:line="360" w:lineRule="auto"/>
        <w:outlineLvl w:val="1"/>
      </w:pPr>
      <w:r w:rsidRPr="002507CB">
        <w:t xml:space="preserve">Patil, Y. B., Garg, R., </w:t>
      </w:r>
      <w:proofErr w:type="spellStart"/>
      <w:r w:rsidRPr="002507CB">
        <w:t>Rajguru</w:t>
      </w:r>
      <w:proofErr w:type="spellEnd"/>
      <w:r w:rsidRPr="002507CB">
        <w:t xml:space="preserve">, J. P., </w:t>
      </w:r>
      <w:proofErr w:type="spellStart"/>
      <w:r w:rsidRPr="002507CB">
        <w:t>Sirsalmath</w:t>
      </w:r>
      <w:proofErr w:type="spellEnd"/>
      <w:r w:rsidRPr="002507CB">
        <w:t xml:space="preserve">, M., </w:t>
      </w:r>
      <w:proofErr w:type="spellStart"/>
      <w:r w:rsidRPr="002507CB">
        <w:t>Bevinakatti</w:t>
      </w:r>
      <w:proofErr w:type="spellEnd"/>
      <w:r w:rsidRPr="002507CB">
        <w:t>, V. A., Kumar, M., &amp; Sharma, S. (2020). Vogt-</w:t>
      </w:r>
      <w:proofErr w:type="spellStart"/>
      <w:r w:rsidRPr="002507CB">
        <w:t>Koyanagi</w:t>
      </w:r>
      <w:proofErr w:type="spellEnd"/>
      <w:r w:rsidRPr="002507CB">
        <w:t>-Harada (VKH) syndrome: A new perspective for healthcare professionals. Journal of Family Medicine and Primary Care, 9(1), 31-35. https://doi.org/10.4103/jfmpc.jfmpc_787_19</w:t>
      </w:r>
    </w:p>
    <w:p w14:paraId="3ECF1B25" w14:textId="77777777" w:rsidR="0006741E" w:rsidRPr="002507CB" w:rsidRDefault="0006741E" w:rsidP="002507CB">
      <w:pPr>
        <w:pStyle w:val="ListParagraph"/>
        <w:spacing w:line="360" w:lineRule="auto"/>
        <w:jc w:val="both"/>
      </w:pPr>
    </w:p>
    <w:p w14:paraId="2A51291E" w14:textId="3B5ECA80" w:rsidR="0006741E" w:rsidRPr="002507CB" w:rsidRDefault="007F075B" w:rsidP="002507CB">
      <w:pPr>
        <w:pStyle w:val="ListParagraph"/>
        <w:numPr>
          <w:ilvl w:val="0"/>
          <w:numId w:val="33"/>
        </w:numPr>
        <w:shd w:val="clear" w:color="auto" w:fill="FFFFFF"/>
        <w:spacing w:before="100" w:beforeAutospacing="1" w:after="100" w:afterAutospacing="1" w:line="360" w:lineRule="auto"/>
        <w:jc w:val="both"/>
        <w:outlineLvl w:val="1"/>
      </w:pPr>
      <w:r w:rsidRPr="002507CB">
        <w:t>O'Keefe, G. A., &amp; Rao, N. A. (2017). Vogt-</w:t>
      </w:r>
      <w:proofErr w:type="spellStart"/>
      <w:r w:rsidRPr="002507CB">
        <w:t>Koyanagi</w:t>
      </w:r>
      <w:proofErr w:type="spellEnd"/>
      <w:r w:rsidRPr="002507CB">
        <w:t>-Harada disease. Survey of Ophthalmology, 62(1), 1-25. https://doi.org/10.1016/j.survophthal.2016.05.002</w:t>
      </w:r>
    </w:p>
    <w:p w14:paraId="06A3331A" w14:textId="77777777" w:rsidR="0006741E" w:rsidRPr="002507CB" w:rsidRDefault="0006741E" w:rsidP="002507CB">
      <w:pPr>
        <w:pStyle w:val="ListParagraph"/>
        <w:spacing w:line="360" w:lineRule="auto"/>
        <w:jc w:val="both"/>
      </w:pPr>
    </w:p>
    <w:p w14:paraId="3DEC1FB2" w14:textId="6B99E43D" w:rsidR="0006741E" w:rsidRPr="002507CB" w:rsidRDefault="00CF64BC" w:rsidP="002507CB">
      <w:pPr>
        <w:pStyle w:val="ListParagraph"/>
        <w:numPr>
          <w:ilvl w:val="0"/>
          <w:numId w:val="33"/>
        </w:numPr>
        <w:shd w:val="clear" w:color="auto" w:fill="FFFFFF"/>
        <w:spacing w:before="100" w:beforeAutospacing="1" w:after="100" w:afterAutospacing="1" w:line="360" w:lineRule="auto"/>
        <w:jc w:val="both"/>
        <w:outlineLvl w:val="1"/>
      </w:pPr>
      <w:r w:rsidRPr="002507CB">
        <w:t xml:space="preserve">Yang, P., Zhong, Y., Du, L., Chi, W., Chen, L., Zhang, R., Zhang, M., Wang, H., Lu, H., Yang, L., Zhuang, W., Yang, Y., Xing, L., Feng, L., Jiang, Z., Zhang, X., Wang, Y., Zhong, H., Jiang, L., ... </w:t>
      </w:r>
      <w:proofErr w:type="spellStart"/>
      <w:r w:rsidRPr="002507CB">
        <w:t>Kijlstra</w:t>
      </w:r>
      <w:proofErr w:type="spellEnd"/>
      <w:r w:rsidRPr="002507CB">
        <w:t>, A. (2018). Development and Evaluation of Diagnostic Criteria for Vogt-</w:t>
      </w:r>
      <w:proofErr w:type="spellStart"/>
      <w:r w:rsidRPr="002507CB">
        <w:t>Koyanagi</w:t>
      </w:r>
      <w:proofErr w:type="spellEnd"/>
      <w:r w:rsidRPr="002507CB">
        <w:t>-Harada Disease. JAMA Ophthalmology, 136(9), 1025-1031. https://doi.org/10.1001/jamaophthalmol.2018.2664</w:t>
      </w:r>
    </w:p>
    <w:p w14:paraId="2688D2CC" w14:textId="77777777" w:rsidR="0006741E" w:rsidRPr="002507CB" w:rsidRDefault="0006741E" w:rsidP="002507CB">
      <w:pPr>
        <w:pStyle w:val="ListParagraph"/>
        <w:spacing w:line="360" w:lineRule="auto"/>
        <w:jc w:val="both"/>
      </w:pPr>
    </w:p>
    <w:p w14:paraId="6A0B9B7F" w14:textId="15D8E18D" w:rsidR="0006741E" w:rsidRPr="002507CB" w:rsidRDefault="003A58AE" w:rsidP="002507CB">
      <w:pPr>
        <w:pStyle w:val="ListParagraph"/>
        <w:numPr>
          <w:ilvl w:val="0"/>
          <w:numId w:val="33"/>
        </w:numPr>
        <w:shd w:val="clear" w:color="auto" w:fill="FFFFFF"/>
        <w:spacing w:before="100" w:beforeAutospacing="1" w:after="100" w:afterAutospacing="1" w:line="360" w:lineRule="auto"/>
        <w:jc w:val="both"/>
        <w:outlineLvl w:val="1"/>
      </w:pPr>
      <w:proofErr w:type="spellStart"/>
      <w:r w:rsidRPr="002507CB">
        <w:lastRenderedPageBreak/>
        <w:t>Herbort</w:t>
      </w:r>
      <w:proofErr w:type="spellEnd"/>
      <w:r w:rsidRPr="002507CB">
        <w:t xml:space="preserve">, C. P., </w:t>
      </w:r>
      <w:proofErr w:type="spellStart"/>
      <w:r w:rsidRPr="002507CB">
        <w:t>Tugal-Tutkun</w:t>
      </w:r>
      <w:proofErr w:type="spellEnd"/>
      <w:r w:rsidRPr="002507CB">
        <w:t xml:space="preserve">, I., Abu-El-Asrar, A., Gupta, A., Takeuchi, M., </w:t>
      </w:r>
      <w:proofErr w:type="spellStart"/>
      <w:r w:rsidRPr="002507CB">
        <w:t>Fardeau</w:t>
      </w:r>
      <w:proofErr w:type="spellEnd"/>
      <w:r w:rsidRPr="002507CB">
        <w:t xml:space="preserve">, C., </w:t>
      </w:r>
      <w:proofErr w:type="spellStart"/>
      <w:r w:rsidRPr="002507CB">
        <w:t>Hedayatfar</w:t>
      </w:r>
      <w:proofErr w:type="spellEnd"/>
      <w:r w:rsidRPr="002507CB">
        <w:t xml:space="preserve">, A., </w:t>
      </w:r>
      <w:proofErr w:type="spellStart"/>
      <w:r w:rsidRPr="002507CB">
        <w:t>Urzua</w:t>
      </w:r>
      <w:proofErr w:type="spellEnd"/>
      <w:r w:rsidRPr="002507CB">
        <w:t xml:space="preserve">, C., &amp; </w:t>
      </w:r>
      <w:proofErr w:type="spellStart"/>
      <w:r w:rsidRPr="002507CB">
        <w:t>Papasavvas</w:t>
      </w:r>
      <w:proofErr w:type="spellEnd"/>
      <w:r w:rsidRPr="002507CB">
        <w:t>, I. (2022). Precise, simplified diagnostic criteria and optimised management of initial-onset Vogt–</w:t>
      </w:r>
      <w:proofErr w:type="spellStart"/>
      <w:r w:rsidRPr="002507CB">
        <w:t>Koyanagi</w:t>
      </w:r>
      <w:proofErr w:type="spellEnd"/>
      <w:r w:rsidRPr="002507CB">
        <w:t>–Harada disease: an updated review. Eye (London), 36(1), 29–43. https://doi.org/10.1038/s41433-021-01573-3</w:t>
      </w:r>
    </w:p>
    <w:p w14:paraId="5A594A9A" w14:textId="77777777" w:rsidR="0006741E" w:rsidRPr="002507CB" w:rsidRDefault="0006741E" w:rsidP="002507CB">
      <w:pPr>
        <w:pStyle w:val="ListParagraph"/>
        <w:shd w:val="clear" w:color="auto" w:fill="FFFFFF"/>
        <w:spacing w:before="100" w:beforeAutospacing="1" w:after="100" w:afterAutospacing="1" w:line="360" w:lineRule="auto"/>
        <w:jc w:val="both"/>
        <w:outlineLvl w:val="1"/>
      </w:pPr>
    </w:p>
    <w:p w14:paraId="2E8FCC44" w14:textId="77777777" w:rsidR="0006741E" w:rsidRPr="002507CB" w:rsidRDefault="0006741E" w:rsidP="002507CB">
      <w:pPr>
        <w:pStyle w:val="ListParagraph"/>
        <w:shd w:val="clear" w:color="auto" w:fill="FFFFFF"/>
        <w:spacing w:before="100" w:beforeAutospacing="1" w:after="100" w:afterAutospacing="1" w:line="360" w:lineRule="auto"/>
        <w:jc w:val="both"/>
        <w:outlineLvl w:val="1"/>
      </w:pPr>
    </w:p>
    <w:p w14:paraId="5D9C09C5" w14:textId="6010298C" w:rsidR="0006741E" w:rsidRPr="002507CB" w:rsidRDefault="009F2DDC" w:rsidP="002507CB">
      <w:pPr>
        <w:pStyle w:val="ListParagraph"/>
        <w:numPr>
          <w:ilvl w:val="0"/>
          <w:numId w:val="33"/>
        </w:numPr>
        <w:shd w:val="clear" w:color="auto" w:fill="FFFFFF"/>
        <w:spacing w:before="100" w:beforeAutospacing="1" w:after="100" w:afterAutospacing="1" w:line="360" w:lineRule="auto"/>
        <w:jc w:val="both"/>
        <w:outlineLvl w:val="1"/>
      </w:pPr>
      <w:r w:rsidRPr="002507CB">
        <w:t>Sultan, M., Khan, A., Habib, S. S., &amp; Abdulsalam, D. (2019). Unique clinical spectrum with distinguishing diagnostic features in Vogt-</w:t>
      </w:r>
      <w:proofErr w:type="spellStart"/>
      <w:r w:rsidRPr="002507CB">
        <w:t>Koyanagi</w:t>
      </w:r>
      <w:proofErr w:type="spellEnd"/>
      <w:r w:rsidRPr="002507CB">
        <w:t>-Harada syndrome. BMJ Case Reports, 12(12), e231397. https://doi.org/10.1136/bcr-2019-231397</w:t>
      </w:r>
      <w:r w:rsidR="0006741E" w:rsidRPr="002507CB">
        <w:t xml:space="preserve"> </w:t>
      </w:r>
    </w:p>
    <w:p w14:paraId="462FA5D4" w14:textId="77777777" w:rsidR="0006741E" w:rsidRPr="002507CB" w:rsidRDefault="0006741E" w:rsidP="002507CB">
      <w:pPr>
        <w:pStyle w:val="ListParagraph"/>
        <w:shd w:val="clear" w:color="auto" w:fill="FFFFFF"/>
        <w:spacing w:before="100" w:beforeAutospacing="1" w:after="100" w:afterAutospacing="1" w:line="360" w:lineRule="auto"/>
        <w:jc w:val="both"/>
        <w:outlineLvl w:val="1"/>
      </w:pPr>
    </w:p>
    <w:p w14:paraId="2CF998FF" w14:textId="2B59DC01" w:rsidR="0006741E" w:rsidRPr="002507CB" w:rsidRDefault="00F42C76" w:rsidP="002507CB">
      <w:pPr>
        <w:pStyle w:val="ListParagraph"/>
        <w:numPr>
          <w:ilvl w:val="0"/>
          <w:numId w:val="33"/>
        </w:numPr>
        <w:shd w:val="clear" w:color="auto" w:fill="FFFFFF"/>
        <w:spacing w:before="60" w:beforeAutospacing="1" w:after="100" w:afterAutospacing="1" w:line="360" w:lineRule="auto"/>
        <w:jc w:val="both"/>
        <w:outlineLvl w:val="0"/>
        <w:rPr>
          <w:color w:val="000000"/>
          <w:sz w:val="22"/>
          <w:szCs w:val="22"/>
        </w:rPr>
      </w:pPr>
      <w:r w:rsidRPr="002507CB">
        <w:rPr>
          <w:lang w:val="en-GB"/>
        </w:rPr>
        <w:t xml:space="preserve">Rahman, N., </w:t>
      </w:r>
      <w:proofErr w:type="spellStart"/>
      <w:r w:rsidRPr="002507CB">
        <w:rPr>
          <w:lang w:val="en-GB"/>
        </w:rPr>
        <w:t>Artiaga</w:t>
      </w:r>
      <w:proofErr w:type="spellEnd"/>
      <w:r w:rsidRPr="002507CB">
        <w:rPr>
          <w:lang w:val="en-GB"/>
        </w:rPr>
        <w:t xml:space="preserve">, J. C. M., </w:t>
      </w:r>
      <w:proofErr w:type="spellStart"/>
      <w:r w:rsidRPr="002507CB">
        <w:rPr>
          <w:lang w:val="en-GB"/>
        </w:rPr>
        <w:t>Bouras</w:t>
      </w:r>
      <w:proofErr w:type="spellEnd"/>
      <w:r w:rsidRPr="002507CB">
        <w:rPr>
          <w:lang w:val="en-GB"/>
        </w:rPr>
        <w:t>, K., Luis, J., Rees, A., &amp; Westcott, M. (2023). Immunosuppressive therapy for Vogt-</w:t>
      </w:r>
      <w:proofErr w:type="spellStart"/>
      <w:r w:rsidRPr="002507CB">
        <w:rPr>
          <w:lang w:val="en-GB"/>
        </w:rPr>
        <w:t>Koyanagi</w:t>
      </w:r>
      <w:proofErr w:type="spellEnd"/>
      <w:r w:rsidRPr="002507CB">
        <w:rPr>
          <w:lang w:val="en-GB"/>
        </w:rPr>
        <w:t>-Harada disease: a retrospective study and review of literature. Journal of Ophthalmic Inflammation and Infection. https://doi.org/10.1186/s12348-023-00333-6</w:t>
      </w:r>
    </w:p>
    <w:p w14:paraId="7E6F4673" w14:textId="77777777" w:rsidR="0006741E" w:rsidRPr="002253ED" w:rsidRDefault="0006741E" w:rsidP="0006741E">
      <w:pPr>
        <w:spacing w:before="60" w:line="400" w:lineRule="atLeast"/>
        <w:jc w:val="both"/>
        <w:outlineLvl w:val="0"/>
        <w:rPr>
          <w:color w:val="000000"/>
          <w:sz w:val="22"/>
          <w:szCs w:val="22"/>
        </w:rPr>
      </w:pPr>
    </w:p>
    <w:p w14:paraId="21F2EE5E" w14:textId="00B8CF6D" w:rsidR="00B1776C" w:rsidRDefault="00B1776C" w:rsidP="00441B6F">
      <w:pPr>
        <w:pStyle w:val="Body"/>
        <w:spacing w:after="0"/>
        <w:rPr>
          <w:rFonts w:ascii="Arial" w:hAnsi="Arial" w:cs="Arial"/>
        </w:rPr>
      </w:pPr>
    </w:p>
    <w:p w14:paraId="7FAF5F17" w14:textId="77777777" w:rsidR="00790ADA" w:rsidRPr="002C57D2" w:rsidRDefault="00790ADA" w:rsidP="00441B6F">
      <w:pPr>
        <w:pStyle w:val="Body"/>
        <w:spacing w:after="0"/>
        <w:rPr>
          <w:rFonts w:ascii="Arial" w:hAnsi="Arial" w:cs="Arial"/>
        </w:rPr>
      </w:pPr>
    </w:p>
    <w:p w14:paraId="05DFF87C" w14:textId="77777777" w:rsidR="008B459E" w:rsidRPr="002C57D2" w:rsidRDefault="008B459E" w:rsidP="00441B6F">
      <w:pPr>
        <w:pStyle w:val="Body"/>
        <w:spacing w:after="0"/>
        <w:rPr>
          <w:rFonts w:ascii="Arial" w:hAnsi="Arial" w:cs="Arial"/>
        </w:rPr>
      </w:pPr>
    </w:p>
    <w:p w14:paraId="1AF44038" w14:textId="77777777" w:rsidR="00441B6F" w:rsidRDefault="00441B6F" w:rsidP="00441B6F">
      <w:pPr>
        <w:pStyle w:val="Body"/>
        <w:spacing w:after="0"/>
        <w:jc w:val="left"/>
        <w:rPr>
          <w:rFonts w:ascii="Arial" w:hAnsi="Arial" w:cs="Arial"/>
        </w:rPr>
      </w:pPr>
    </w:p>
    <w:p w14:paraId="275075CB" w14:textId="77777777" w:rsidR="00B01FCD" w:rsidRPr="00FB3A86" w:rsidRDefault="00B01FCD" w:rsidP="00441B6F">
      <w:pPr>
        <w:pStyle w:val="Reference"/>
        <w:numPr>
          <w:ilvl w:val="0"/>
          <w:numId w:val="0"/>
        </w:numPr>
        <w:spacing w:line="240" w:lineRule="auto"/>
        <w:rPr>
          <w:rFonts w:ascii="Arial" w:hAnsi="Arial" w:cs="Arial"/>
        </w:rPr>
      </w:pPr>
    </w:p>
    <w:p w14:paraId="128C79B0" w14:textId="77777777" w:rsidR="00B01FCD" w:rsidRPr="00FB3A86" w:rsidRDefault="00B01FCD" w:rsidP="00441B6F">
      <w:pPr>
        <w:pStyle w:val="Appendix"/>
        <w:spacing w:after="0"/>
        <w:jc w:val="both"/>
        <w:rPr>
          <w:rFonts w:ascii="Arial" w:hAnsi="Arial" w:cs="Arial"/>
          <w:b w:val="0"/>
        </w:rPr>
      </w:pPr>
    </w:p>
    <w:sectPr w:rsidR="00B01FCD" w:rsidRPr="00FB3A86" w:rsidSect="007A0987">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CBF0" w14:textId="77777777" w:rsidR="002A03EF" w:rsidRDefault="002A03EF" w:rsidP="00C37E61">
      <w:r>
        <w:separator/>
      </w:r>
    </w:p>
  </w:endnote>
  <w:endnote w:type="continuationSeparator" w:id="0">
    <w:p w14:paraId="156F06BC" w14:textId="77777777" w:rsidR="002A03EF" w:rsidRDefault="002A03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C2E8" w14:textId="77777777" w:rsidR="007A0987" w:rsidRDefault="007A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6A06" w14:textId="77777777" w:rsidR="007A0987" w:rsidRDefault="007A0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52F9" w14:textId="2C73E43F" w:rsidR="00754C9A" w:rsidRPr="009F5A44" w:rsidRDefault="00754C9A" w:rsidP="009F5A4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CDE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AF55F" w14:textId="77777777" w:rsidR="002A03EF" w:rsidRDefault="002A03EF" w:rsidP="00C37E61">
      <w:r>
        <w:separator/>
      </w:r>
    </w:p>
  </w:footnote>
  <w:footnote w:type="continuationSeparator" w:id="0">
    <w:p w14:paraId="7E91C961" w14:textId="77777777" w:rsidR="002A03EF" w:rsidRDefault="002A03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F503" w14:textId="0AAADAA9" w:rsidR="007A0987" w:rsidRDefault="007A0987">
    <w:pPr>
      <w:pStyle w:val="Header"/>
    </w:pPr>
    <w:r>
      <w:rPr>
        <w:noProof/>
      </w:rPr>
      <w:pict w14:anchorId="2866C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09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8FEC" w14:textId="1E3F233F" w:rsidR="007A0987" w:rsidRDefault="007A0987">
    <w:pPr>
      <w:pStyle w:val="Header"/>
    </w:pPr>
    <w:r>
      <w:rPr>
        <w:noProof/>
      </w:rPr>
      <w:pict w14:anchorId="07E2A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09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FAA7" w14:textId="09230C22" w:rsidR="00296529" w:rsidRPr="00296529" w:rsidRDefault="007A0987" w:rsidP="00296529">
    <w:pPr>
      <w:ind w:left="2160"/>
      <w:jc w:val="center"/>
      <w:rPr>
        <w:rFonts w:ascii="Times New Roman" w:eastAsia="Calibri" w:hAnsi="Times New Roman"/>
        <w:i/>
        <w:sz w:val="18"/>
        <w:szCs w:val="22"/>
      </w:rPr>
    </w:pPr>
    <w:r>
      <w:rPr>
        <w:noProof/>
      </w:rPr>
      <w:pict w14:anchorId="1F473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09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BCBE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D3A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20621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6087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35E7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04EE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F62C" w14:textId="384E7A2E" w:rsidR="007A0987" w:rsidRDefault="007A0987">
    <w:pPr>
      <w:pStyle w:val="Header"/>
    </w:pPr>
    <w:r>
      <w:rPr>
        <w:noProof/>
      </w:rPr>
      <w:pict w14:anchorId="6D06C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09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F29A" w14:textId="4AE1C56D" w:rsidR="007A0987" w:rsidRDefault="007A0987">
    <w:pPr>
      <w:pStyle w:val="Header"/>
    </w:pPr>
    <w:r>
      <w:rPr>
        <w:noProof/>
      </w:rPr>
      <w:pict w14:anchorId="42BC3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09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EFB90" w14:textId="4BA1C431" w:rsidR="007A0987" w:rsidRDefault="007A0987">
    <w:pPr>
      <w:pStyle w:val="Header"/>
    </w:pPr>
    <w:r>
      <w:rPr>
        <w:noProof/>
      </w:rPr>
      <w:pict w14:anchorId="77171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09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36989"/>
    <w:multiLevelType w:val="hybridMultilevel"/>
    <w:tmpl w:val="21C60C0E"/>
    <w:lvl w:ilvl="0" w:tplc="CA4E957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45758"/>
    <w:multiLevelType w:val="hybridMultilevel"/>
    <w:tmpl w:val="24C2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021F5B"/>
    <w:multiLevelType w:val="hybridMultilevel"/>
    <w:tmpl w:val="DC622E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6"/>
  </w:num>
  <w:num w:numId="27">
    <w:abstractNumId w:val="23"/>
  </w:num>
  <w:num w:numId="28">
    <w:abstractNumId w:val="30"/>
  </w:num>
  <w:num w:numId="29">
    <w:abstractNumId w:val="27"/>
  </w:num>
  <w:num w:numId="30">
    <w:abstractNumId w:val="10"/>
  </w:num>
  <w:num w:numId="31">
    <w:abstractNumId w:val="21"/>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64D"/>
    <w:rsid w:val="00030174"/>
    <w:rsid w:val="00043F89"/>
    <w:rsid w:val="0004579C"/>
    <w:rsid w:val="00057D9F"/>
    <w:rsid w:val="0006741E"/>
    <w:rsid w:val="000679BD"/>
    <w:rsid w:val="00090850"/>
    <w:rsid w:val="000A47FA"/>
    <w:rsid w:val="000A65D3"/>
    <w:rsid w:val="000B1E33"/>
    <w:rsid w:val="000D689F"/>
    <w:rsid w:val="000E7B7B"/>
    <w:rsid w:val="000E7D62"/>
    <w:rsid w:val="000F0DD8"/>
    <w:rsid w:val="00103357"/>
    <w:rsid w:val="00112DFE"/>
    <w:rsid w:val="00123C9F"/>
    <w:rsid w:val="00126190"/>
    <w:rsid w:val="00130F17"/>
    <w:rsid w:val="001320BF"/>
    <w:rsid w:val="00163BC4"/>
    <w:rsid w:val="00175B03"/>
    <w:rsid w:val="00191062"/>
    <w:rsid w:val="00192B72"/>
    <w:rsid w:val="001A29D8"/>
    <w:rsid w:val="001A5CAA"/>
    <w:rsid w:val="001B0427"/>
    <w:rsid w:val="001D3A51"/>
    <w:rsid w:val="001D3C01"/>
    <w:rsid w:val="001E10D2"/>
    <w:rsid w:val="001E25B4"/>
    <w:rsid w:val="001E44FE"/>
    <w:rsid w:val="001F6C3C"/>
    <w:rsid w:val="001F724B"/>
    <w:rsid w:val="00200595"/>
    <w:rsid w:val="00204835"/>
    <w:rsid w:val="00231920"/>
    <w:rsid w:val="0023195C"/>
    <w:rsid w:val="0024282C"/>
    <w:rsid w:val="002460DC"/>
    <w:rsid w:val="002507CB"/>
    <w:rsid w:val="00250985"/>
    <w:rsid w:val="002556F6"/>
    <w:rsid w:val="00261BB8"/>
    <w:rsid w:val="00283105"/>
    <w:rsid w:val="00284C4C"/>
    <w:rsid w:val="00287E68"/>
    <w:rsid w:val="00296529"/>
    <w:rsid w:val="002A03EF"/>
    <w:rsid w:val="002B27FB"/>
    <w:rsid w:val="002B685A"/>
    <w:rsid w:val="002C57D2"/>
    <w:rsid w:val="002E0D56"/>
    <w:rsid w:val="00315186"/>
    <w:rsid w:val="0032469B"/>
    <w:rsid w:val="0033343E"/>
    <w:rsid w:val="003411B0"/>
    <w:rsid w:val="003512C2"/>
    <w:rsid w:val="00367880"/>
    <w:rsid w:val="00371FB6"/>
    <w:rsid w:val="003763C1"/>
    <w:rsid w:val="00376BBE"/>
    <w:rsid w:val="0039224F"/>
    <w:rsid w:val="00393C6F"/>
    <w:rsid w:val="003A43A4"/>
    <w:rsid w:val="003A58AE"/>
    <w:rsid w:val="003A7E18"/>
    <w:rsid w:val="003C4C86"/>
    <w:rsid w:val="003C6258"/>
    <w:rsid w:val="003D696B"/>
    <w:rsid w:val="003E2904"/>
    <w:rsid w:val="003F369C"/>
    <w:rsid w:val="003F6616"/>
    <w:rsid w:val="00400AC8"/>
    <w:rsid w:val="00401927"/>
    <w:rsid w:val="0041027F"/>
    <w:rsid w:val="00412475"/>
    <w:rsid w:val="00423789"/>
    <w:rsid w:val="00440F43"/>
    <w:rsid w:val="00441B6F"/>
    <w:rsid w:val="00446221"/>
    <w:rsid w:val="00450E62"/>
    <w:rsid w:val="004539DB"/>
    <w:rsid w:val="00471A80"/>
    <w:rsid w:val="004D305E"/>
    <w:rsid w:val="004D4277"/>
    <w:rsid w:val="004E2C22"/>
    <w:rsid w:val="00502516"/>
    <w:rsid w:val="005050DF"/>
    <w:rsid w:val="00505F06"/>
    <w:rsid w:val="00506828"/>
    <w:rsid w:val="0053056E"/>
    <w:rsid w:val="00554FDA"/>
    <w:rsid w:val="00561550"/>
    <w:rsid w:val="00572710"/>
    <w:rsid w:val="00577CCA"/>
    <w:rsid w:val="00580E18"/>
    <w:rsid w:val="005B2A65"/>
    <w:rsid w:val="005C68F2"/>
    <w:rsid w:val="005C784C"/>
    <w:rsid w:val="005D17F6"/>
    <w:rsid w:val="005E5539"/>
    <w:rsid w:val="00602BF5"/>
    <w:rsid w:val="00606CDD"/>
    <w:rsid w:val="00613274"/>
    <w:rsid w:val="00617FDD"/>
    <w:rsid w:val="00620B7E"/>
    <w:rsid w:val="0062691D"/>
    <w:rsid w:val="00633614"/>
    <w:rsid w:val="00633F68"/>
    <w:rsid w:val="00636EB2"/>
    <w:rsid w:val="006375B8"/>
    <w:rsid w:val="0066510A"/>
    <w:rsid w:val="00673F9F"/>
    <w:rsid w:val="00686953"/>
    <w:rsid w:val="00687DEA"/>
    <w:rsid w:val="00687E67"/>
    <w:rsid w:val="006967F7"/>
    <w:rsid w:val="006A250C"/>
    <w:rsid w:val="006B21D3"/>
    <w:rsid w:val="006B4A9D"/>
    <w:rsid w:val="006B57D0"/>
    <w:rsid w:val="006C45F9"/>
    <w:rsid w:val="006D30FF"/>
    <w:rsid w:val="006D6940"/>
    <w:rsid w:val="006E04A2"/>
    <w:rsid w:val="006F11EC"/>
    <w:rsid w:val="006F3E9A"/>
    <w:rsid w:val="0070082C"/>
    <w:rsid w:val="007369E6"/>
    <w:rsid w:val="00741783"/>
    <w:rsid w:val="00746E59"/>
    <w:rsid w:val="00754C9A"/>
    <w:rsid w:val="0075599A"/>
    <w:rsid w:val="00761D52"/>
    <w:rsid w:val="0077749E"/>
    <w:rsid w:val="00777E15"/>
    <w:rsid w:val="00790ADA"/>
    <w:rsid w:val="007A0987"/>
    <w:rsid w:val="007A0D70"/>
    <w:rsid w:val="007C7DC6"/>
    <w:rsid w:val="007D2288"/>
    <w:rsid w:val="007E088F"/>
    <w:rsid w:val="007F075B"/>
    <w:rsid w:val="007F7B32"/>
    <w:rsid w:val="00804BC2"/>
    <w:rsid w:val="00805BBF"/>
    <w:rsid w:val="00806BEB"/>
    <w:rsid w:val="0081431A"/>
    <w:rsid w:val="0083216F"/>
    <w:rsid w:val="00844047"/>
    <w:rsid w:val="00860000"/>
    <w:rsid w:val="00860772"/>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FCA"/>
    <w:rsid w:val="00983040"/>
    <w:rsid w:val="00994904"/>
    <w:rsid w:val="009956D3"/>
    <w:rsid w:val="009A28C8"/>
    <w:rsid w:val="009B3FB9"/>
    <w:rsid w:val="009C2465"/>
    <w:rsid w:val="009D35A0"/>
    <w:rsid w:val="009D7EB7"/>
    <w:rsid w:val="009E048A"/>
    <w:rsid w:val="009E08E9"/>
    <w:rsid w:val="009E3DB9"/>
    <w:rsid w:val="009E6E35"/>
    <w:rsid w:val="009F0EDA"/>
    <w:rsid w:val="009F2DDC"/>
    <w:rsid w:val="009F5A44"/>
    <w:rsid w:val="00A03B96"/>
    <w:rsid w:val="00A05B19"/>
    <w:rsid w:val="00A1134E"/>
    <w:rsid w:val="00A24E7E"/>
    <w:rsid w:val="00A258C3"/>
    <w:rsid w:val="00A347C0"/>
    <w:rsid w:val="00A46E08"/>
    <w:rsid w:val="00A51431"/>
    <w:rsid w:val="00A539AD"/>
    <w:rsid w:val="00A5544D"/>
    <w:rsid w:val="00A9060E"/>
    <w:rsid w:val="00A94063"/>
    <w:rsid w:val="00AA6219"/>
    <w:rsid w:val="00AA74E0"/>
    <w:rsid w:val="00AB703F"/>
    <w:rsid w:val="00AB7902"/>
    <w:rsid w:val="00AC6BB8"/>
    <w:rsid w:val="00AE008F"/>
    <w:rsid w:val="00B01FCD"/>
    <w:rsid w:val="00B15599"/>
    <w:rsid w:val="00B1776C"/>
    <w:rsid w:val="00B52583"/>
    <w:rsid w:val="00B52896"/>
    <w:rsid w:val="00B86EB8"/>
    <w:rsid w:val="00B95236"/>
    <w:rsid w:val="00B96BD9"/>
    <w:rsid w:val="00BA1B01"/>
    <w:rsid w:val="00BA2641"/>
    <w:rsid w:val="00BB37AA"/>
    <w:rsid w:val="00BC05C3"/>
    <w:rsid w:val="00BC53A0"/>
    <w:rsid w:val="00BE62AD"/>
    <w:rsid w:val="00BF121F"/>
    <w:rsid w:val="00BF1F80"/>
    <w:rsid w:val="00C166EF"/>
    <w:rsid w:val="00C17EB0"/>
    <w:rsid w:val="00C27F5F"/>
    <w:rsid w:val="00C30A0F"/>
    <w:rsid w:val="00C37E61"/>
    <w:rsid w:val="00C52348"/>
    <w:rsid w:val="00C70F1B"/>
    <w:rsid w:val="00C71A47"/>
    <w:rsid w:val="00C7464C"/>
    <w:rsid w:val="00C85588"/>
    <w:rsid w:val="00CC0BCB"/>
    <w:rsid w:val="00CD6755"/>
    <w:rsid w:val="00CD6856"/>
    <w:rsid w:val="00CE0089"/>
    <w:rsid w:val="00CE0E0F"/>
    <w:rsid w:val="00CE20C5"/>
    <w:rsid w:val="00CE793C"/>
    <w:rsid w:val="00CF193C"/>
    <w:rsid w:val="00CF64BC"/>
    <w:rsid w:val="00D173F1"/>
    <w:rsid w:val="00D74CB0"/>
    <w:rsid w:val="00D8295D"/>
    <w:rsid w:val="00DB6E51"/>
    <w:rsid w:val="00DC2A65"/>
    <w:rsid w:val="00DE15F0"/>
    <w:rsid w:val="00DE3019"/>
    <w:rsid w:val="00DE5663"/>
    <w:rsid w:val="00DE78AA"/>
    <w:rsid w:val="00DF4ACF"/>
    <w:rsid w:val="00E053D0"/>
    <w:rsid w:val="00E15994"/>
    <w:rsid w:val="00E3114E"/>
    <w:rsid w:val="00E31A70"/>
    <w:rsid w:val="00E33580"/>
    <w:rsid w:val="00E35B02"/>
    <w:rsid w:val="00E66496"/>
    <w:rsid w:val="00E66B35"/>
    <w:rsid w:val="00E66E10"/>
    <w:rsid w:val="00E730D1"/>
    <w:rsid w:val="00E769F6"/>
    <w:rsid w:val="00E8407C"/>
    <w:rsid w:val="00E84F3C"/>
    <w:rsid w:val="00E95830"/>
    <w:rsid w:val="00EA012C"/>
    <w:rsid w:val="00EC6A55"/>
    <w:rsid w:val="00ED0288"/>
    <w:rsid w:val="00EE52CB"/>
    <w:rsid w:val="00EF581D"/>
    <w:rsid w:val="00EF7FD8"/>
    <w:rsid w:val="00F06F59"/>
    <w:rsid w:val="00F161E5"/>
    <w:rsid w:val="00F17988"/>
    <w:rsid w:val="00F42C76"/>
    <w:rsid w:val="00F469F0"/>
    <w:rsid w:val="00F53273"/>
    <w:rsid w:val="00F755E4"/>
    <w:rsid w:val="00F77D02"/>
    <w:rsid w:val="00FB3A86"/>
    <w:rsid w:val="00FD36C8"/>
    <w:rsid w:val="00FE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63EF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6741E"/>
    <w:pPr>
      <w:ind w:left="720"/>
      <w:contextualSpacing/>
    </w:pPr>
    <w:rPr>
      <w:rFonts w:ascii="Times New Roman" w:hAnsi="Times New Roman"/>
      <w:sz w:val="24"/>
      <w:szCs w:val="24"/>
      <w:lang w:val="en-IN" w:eastAsia="en-IN"/>
    </w:rPr>
  </w:style>
  <w:style w:type="paragraph" w:styleId="Revision">
    <w:name w:val="Revision"/>
    <w:hidden/>
    <w:uiPriority w:val="99"/>
    <w:semiHidden/>
    <w:rsid w:val="00A46E0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3A9B1-F32D-429D-B277-14BA60C7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460</TotalTime>
  <Pages>6</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11412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66</cp:revision>
  <cp:lastPrinted>2025-12-08T06:59:00Z</cp:lastPrinted>
  <dcterms:created xsi:type="dcterms:W3CDTF">2014-10-25T14:34:00Z</dcterms:created>
  <dcterms:modified xsi:type="dcterms:W3CDTF">2025-12-08T10:01:00Z</dcterms:modified>
</cp:coreProperties>
</file>