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1298DF" w14:textId="7C9DB80C" w:rsidR="003C0B6A" w:rsidRPr="003928CB" w:rsidRDefault="003C0B6A" w:rsidP="003C0B6A">
      <w:pPr>
        <w:spacing w:after="280" w:line="480" w:lineRule="auto"/>
        <w:jc w:val="center"/>
        <w:rPr>
          <w:rFonts w:ascii="Times New Roman" w:eastAsia="Times New Roman" w:hAnsi="Times New Roman" w:cs="Times New Roman"/>
          <w:b/>
          <w:bCs/>
          <w:sz w:val="24"/>
          <w:szCs w:val="24"/>
        </w:rPr>
      </w:pPr>
      <w:r w:rsidRPr="003928CB">
        <w:rPr>
          <w:rFonts w:ascii="Times New Roman" w:eastAsia="Times New Roman" w:hAnsi="Times New Roman" w:cs="Times New Roman"/>
          <w:b/>
          <w:bCs/>
          <w:sz w:val="24"/>
          <w:szCs w:val="24"/>
        </w:rPr>
        <w:t>Impact of Co-Infections on Peste des Peti</w:t>
      </w:r>
      <w:r w:rsidR="00427F07">
        <w:rPr>
          <w:rFonts w:ascii="Times New Roman" w:eastAsia="Times New Roman" w:hAnsi="Times New Roman" w:cs="Times New Roman"/>
          <w:b/>
          <w:bCs/>
          <w:sz w:val="24"/>
          <w:szCs w:val="24"/>
        </w:rPr>
        <w:t>t</w:t>
      </w:r>
      <w:r w:rsidRPr="003928CB">
        <w:rPr>
          <w:rFonts w:ascii="Times New Roman" w:eastAsia="Times New Roman" w:hAnsi="Times New Roman" w:cs="Times New Roman"/>
          <w:b/>
          <w:bCs/>
          <w:sz w:val="24"/>
          <w:szCs w:val="24"/>
        </w:rPr>
        <w:t xml:space="preserve">s </w:t>
      </w:r>
      <w:r w:rsidR="00F7642C" w:rsidRPr="003928CB">
        <w:rPr>
          <w:rFonts w:ascii="Times New Roman" w:eastAsia="Times New Roman" w:hAnsi="Times New Roman" w:cs="Times New Roman"/>
          <w:b/>
          <w:bCs/>
          <w:sz w:val="24"/>
          <w:szCs w:val="24"/>
        </w:rPr>
        <w:t>Ruminants vaccine</w:t>
      </w:r>
      <w:r w:rsidRPr="003928CB">
        <w:rPr>
          <w:rFonts w:ascii="Times New Roman" w:eastAsia="Times New Roman" w:hAnsi="Times New Roman" w:cs="Times New Roman"/>
          <w:b/>
          <w:bCs/>
          <w:sz w:val="24"/>
          <w:szCs w:val="24"/>
        </w:rPr>
        <w:t xml:space="preserve"> efficacy: Insights from  an Outbreak in Sheep and Goats in Andhra Pradesh, India</w:t>
      </w:r>
    </w:p>
    <w:p w14:paraId="114A32EC" w14:textId="77777777" w:rsidR="00120852" w:rsidRDefault="00120852" w:rsidP="006B6AFD">
      <w:pPr>
        <w:spacing w:before="280" w:after="280" w:line="480" w:lineRule="auto"/>
        <w:jc w:val="center"/>
        <w:rPr>
          <w:rFonts w:ascii="Times New Roman" w:eastAsia="Times New Roman" w:hAnsi="Times New Roman" w:cs="Times New Roman"/>
          <w:b/>
          <w:bCs/>
          <w:sz w:val="24"/>
          <w:szCs w:val="24"/>
        </w:rPr>
      </w:pPr>
    </w:p>
    <w:p w14:paraId="5A6891FE" w14:textId="3673BDEE" w:rsidR="00A071FD" w:rsidRPr="003928CB" w:rsidRDefault="00A071FD" w:rsidP="006B6AFD">
      <w:pPr>
        <w:spacing w:before="280" w:after="280" w:line="480" w:lineRule="auto"/>
        <w:jc w:val="center"/>
        <w:rPr>
          <w:rFonts w:ascii="Times New Roman" w:eastAsia="Times New Roman" w:hAnsi="Times New Roman" w:cs="Times New Roman"/>
          <w:sz w:val="24"/>
          <w:szCs w:val="24"/>
        </w:rPr>
      </w:pPr>
      <w:r w:rsidRPr="003928CB">
        <w:rPr>
          <w:rFonts w:ascii="Times New Roman" w:eastAsia="Times New Roman" w:hAnsi="Times New Roman" w:cs="Times New Roman"/>
          <w:b/>
          <w:bCs/>
          <w:sz w:val="24"/>
          <w:szCs w:val="24"/>
        </w:rPr>
        <w:t>A</w:t>
      </w:r>
      <w:r w:rsidR="006B6AFD" w:rsidRPr="003928CB">
        <w:rPr>
          <w:rFonts w:ascii="Times New Roman" w:eastAsia="Times New Roman" w:hAnsi="Times New Roman" w:cs="Times New Roman"/>
          <w:b/>
          <w:bCs/>
          <w:sz w:val="24"/>
          <w:szCs w:val="24"/>
        </w:rPr>
        <w:t>BSTRACT</w:t>
      </w:r>
    </w:p>
    <w:p w14:paraId="03F52791" w14:textId="72326FFB" w:rsidR="007E5793" w:rsidRPr="003928CB" w:rsidRDefault="007E5793" w:rsidP="003031AC">
      <w:pPr>
        <w:spacing w:before="280" w:after="280" w:line="480" w:lineRule="auto"/>
        <w:jc w:val="both"/>
        <w:rPr>
          <w:rFonts w:ascii="Times New Roman" w:eastAsia="Times New Roman" w:hAnsi="Times New Roman" w:cs="Times New Roman"/>
          <w:sz w:val="24"/>
          <w:szCs w:val="24"/>
          <w:lang w:val="en-IN"/>
        </w:rPr>
      </w:pPr>
      <w:r w:rsidRPr="003928CB">
        <w:rPr>
          <w:rFonts w:ascii="Times New Roman" w:eastAsia="Times New Roman" w:hAnsi="Times New Roman" w:cs="Times New Roman"/>
          <w:sz w:val="24"/>
          <w:szCs w:val="24"/>
          <w:lang w:val="en-IN"/>
        </w:rPr>
        <w:t xml:space="preserve">This study examines the interaction between Peste des Petits Ruminants virus (PPRV), gastrointestinal helminthic infestation, and secondary bacterial infections in PPR vaccinated sheep and goats in Manimeswaram village, Krishna District, Andhra Pradesh, India. In February 2023, 20 lambs aged 4-6 months died in a flock of 250 animals with symptoms of pyrexia, diarrhea, and anorexia. RT-PCR targeting the N gene of PPRV confirmed viral presence in samples from six clinically affected animals and necropsy tissue from one. A multifactorial analysis was conducted on samples from two flocks: the affected flock, exhibiting illness and mortality, and a control flock that appeared healthy. PPR antibodies were detected in most animals from both flocks, indicating adequate vaccine response. However, PPRV, gastrointestinal helminths, and secondary bacterial infections were present in the affected flock but absent in the control flock. Clinical illness was observed only in animals positive for both PPR virus and gastrointestinal helminths infections, while animals free of parasitic infestation remained asymptomatic. Statistical analysis showed a significant negative correlation (r = -0.479) between parasitic infestation and animal health, whereas the correlation between PPR virus presence and animal health was not significant. A stronger negative correlation (r = -0.624) was observed between co-infection with parasites and PPR virus and animal health. These findings suggest PPR virus alone had a limited direct impact on health and mortality, whereas co-infection with parasites significantly worsened outcomes. </w:t>
      </w:r>
      <w:r w:rsidRPr="003928CB">
        <w:rPr>
          <w:rFonts w:ascii="Times New Roman" w:eastAsia="Times New Roman" w:hAnsi="Times New Roman" w:cs="Times New Roman"/>
          <w:sz w:val="24"/>
          <w:szCs w:val="24"/>
          <w:lang w:val="en-IN"/>
        </w:rPr>
        <w:lastRenderedPageBreak/>
        <w:t>Mortality was highest in 4</w:t>
      </w:r>
      <w:r w:rsidR="003E7C97" w:rsidRPr="003928CB">
        <w:rPr>
          <w:rFonts w:ascii="Times New Roman" w:eastAsia="Times New Roman" w:hAnsi="Times New Roman" w:cs="Times New Roman"/>
          <w:sz w:val="24"/>
          <w:szCs w:val="24"/>
          <w:lang w:val="en-IN"/>
        </w:rPr>
        <w:t xml:space="preserve"> to </w:t>
      </w:r>
      <w:r w:rsidRPr="003928CB">
        <w:rPr>
          <w:rFonts w:ascii="Times New Roman" w:eastAsia="Times New Roman" w:hAnsi="Times New Roman" w:cs="Times New Roman"/>
          <w:sz w:val="24"/>
          <w:szCs w:val="24"/>
          <w:lang w:val="en-IN"/>
        </w:rPr>
        <w:t>8</w:t>
      </w:r>
      <w:r w:rsidR="003E7C97" w:rsidRPr="003928CB">
        <w:rPr>
          <w:rFonts w:ascii="Times New Roman" w:eastAsia="Times New Roman" w:hAnsi="Times New Roman" w:cs="Times New Roman"/>
          <w:sz w:val="24"/>
          <w:szCs w:val="24"/>
          <w:lang w:val="en-IN"/>
        </w:rPr>
        <w:t xml:space="preserve"> </w:t>
      </w:r>
      <w:r w:rsidRPr="003928CB">
        <w:rPr>
          <w:rFonts w:ascii="Times New Roman" w:eastAsia="Times New Roman" w:hAnsi="Times New Roman" w:cs="Times New Roman"/>
          <w:sz w:val="24"/>
          <w:szCs w:val="24"/>
          <w:lang w:val="en-IN"/>
        </w:rPr>
        <w:t>month</w:t>
      </w:r>
      <w:r w:rsidR="003E7C97" w:rsidRPr="003928CB">
        <w:rPr>
          <w:rFonts w:ascii="Times New Roman" w:eastAsia="Times New Roman" w:hAnsi="Times New Roman" w:cs="Times New Roman"/>
          <w:sz w:val="24"/>
          <w:szCs w:val="24"/>
          <w:lang w:val="en-IN"/>
        </w:rPr>
        <w:t xml:space="preserve"> </w:t>
      </w:r>
      <w:r w:rsidRPr="003928CB">
        <w:rPr>
          <w:rFonts w:ascii="Times New Roman" w:eastAsia="Times New Roman" w:hAnsi="Times New Roman" w:cs="Times New Roman"/>
          <w:sz w:val="24"/>
          <w:szCs w:val="24"/>
          <w:lang w:val="en-IN"/>
        </w:rPr>
        <w:t>old lambs, likely due to delayed vaccination. These results emphasize the importance of effective</w:t>
      </w:r>
      <w:r w:rsidR="003E7C97" w:rsidRPr="003928CB">
        <w:rPr>
          <w:rFonts w:ascii="Times New Roman" w:eastAsia="Times New Roman" w:hAnsi="Times New Roman" w:cs="Times New Roman"/>
          <w:sz w:val="24"/>
          <w:szCs w:val="24"/>
          <w:lang w:val="en-IN"/>
        </w:rPr>
        <w:t xml:space="preserve"> anthelmintic</w:t>
      </w:r>
      <w:r w:rsidRPr="003928CB">
        <w:rPr>
          <w:rFonts w:ascii="Times New Roman" w:eastAsia="Times New Roman" w:hAnsi="Times New Roman" w:cs="Times New Roman"/>
          <w:sz w:val="24"/>
          <w:szCs w:val="24"/>
          <w:lang w:val="en-IN"/>
        </w:rPr>
        <w:t xml:space="preserve"> treatment prior to PPR vaccination and highlight the necessity of vaccinating lambs soon after maternal immunity declines to enhance disease control.</w:t>
      </w:r>
    </w:p>
    <w:p w14:paraId="276BEE7C" w14:textId="56FD94D0" w:rsidR="009C7262" w:rsidRDefault="009C7262" w:rsidP="003031AC">
      <w:pPr>
        <w:spacing w:before="280" w:after="280" w:line="480" w:lineRule="auto"/>
        <w:jc w:val="both"/>
        <w:rPr>
          <w:rFonts w:ascii="Times New Roman" w:eastAsia="Times New Roman" w:hAnsi="Times New Roman" w:cs="Times New Roman"/>
          <w:sz w:val="24"/>
          <w:szCs w:val="24"/>
          <w:lang w:val="en-IN"/>
        </w:rPr>
      </w:pPr>
      <w:r w:rsidRPr="003928CB">
        <w:rPr>
          <w:rFonts w:ascii="Times New Roman" w:eastAsia="Times New Roman" w:hAnsi="Times New Roman" w:cs="Times New Roman"/>
          <w:b/>
          <w:bCs/>
          <w:sz w:val="24"/>
          <w:szCs w:val="24"/>
          <w:lang w:val="en-IN"/>
        </w:rPr>
        <w:t>Key words:</w:t>
      </w:r>
      <w:r w:rsidRPr="003928CB">
        <w:rPr>
          <w:rFonts w:ascii="Times New Roman" w:eastAsia="Times New Roman" w:hAnsi="Times New Roman" w:cs="Times New Roman"/>
          <w:sz w:val="24"/>
          <w:szCs w:val="24"/>
          <w:lang w:val="en-IN"/>
        </w:rPr>
        <w:t xml:space="preserve"> PPR</w:t>
      </w:r>
      <w:r w:rsidR="0094294E" w:rsidRPr="003928CB">
        <w:rPr>
          <w:rFonts w:ascii="Times New Roman" w:eastAsia="Times New Roman" w:hAnsi="Times New Roman" w:cs="Times New Roman"/>
          <w:sz w:val="24"/>
          <w:szCs w:val="24"/>
          <w:lang w:val="en-IN"/>
        </w:rPr>
        <w:t>V</w:t>
      </w:r>
      <w:r w:rsidRPr="003928CB">
        <w:rPr>
          <w:rFonts w:ascii="Times New Roman" w:eastAsia="Times New Roman" w:hAnsi="Times New Roman" w:cs="Times New Roman"/>
          <w:sz w:val="24"/>
          <w:szCs w:val="24"/>
          <w:lang w:val="en-IN"/>
        </w:rPr>
        <w:t>, changing disease pattern, vaccination, coinfection, gastro intestinal helminths</w:t>
      </w:r>
    </w:p>
    <w:p w14:paraId="131975BE" w14:textId="2EDECA9B" w:rsidR="007538D9" w:rsidRPr="007538D9" w:rsidRDefault="007538D9" w:rsidP="007538D9">
      <w:pPr>
        <w:spacing w:before="280" w:after="280" w:line="480" w:lineRule="auto"/>
        <w:jc w:val="center"/>
        <w:rPr>
          <w:rFonts w:ascii="Times New Roman" w:eastAsia="Times New Roman" w:hAnsi="Times New Roman" w:cs="Times New Roman"/>
          <w:b/>
          <w:bCs/>
          <w:sz w:val="24"/>
          <w:szCs w:val="24"/>
          <w:lang w:val="en-IN"/>
        </w:rPr>
      </w:pPr>
      <w:r w:rsidRPr="007538D9">
        <w:rPr>
          <w:rFonts w:ascii="Times New Roman" w:eastAsia="Times New Roman" w:hAnsi="Times New Roman" w:cs="Times New Roman"/>
          <w:b/>
          <w:bCs/>
          <w:sz w:val="24"/>
          <w:szCs w:val="24"/>
          <w:lang w:val="en-IN"/>
        </w:rPr>
        <w:t>Introduction</w:t>
      </w:r>
    </w:p>
    <w:p w14:paraId="52D831C6" w14:textId="310E04A7" w:rsidR="004445BF" w:rsidRPr="003928CB" w:rsidRDefault="00A071FD" w:rsidP="003031AC">
      <w:pPr>
        <w:spacing w:before="280" w:after="280" w:line="480" w:lineRule="auto"/>
        <w:jc w:val="both"/>
        <w:rPr>
          <w:rFonts w:ascii="Times New Roman" w:eastAsia="Times New Roman" w:hAnsi="Times New Roman" w:cs="Times New Roman"/>
          <w:sz w:val="24"/>
          <w:szCs w:val="24"/>
        </w:rPr>
      </w:pPr>
      <w:r w:rsidRPr="003928CB">
        <w:rPr>
          <w:rFonts w:ascii="Times New Roman" w:eastAsia="Times New Roman" w:hAnsi="Times New Roman" w:cs="Times New Roman"/>
          <w:sz w:val="24"/>
          <w:szCs w:val="24"/>
        </w:rPr>
        <w:t xml:space="preserve">Peste des Petits Ruminants (PPR) is a highly contagious viral disease primarily affecting small ruminants, particularly sheep and goats. The disease is caused by the PPR virus (PPRV), species </w:t>
      </w:r>
      <w:r w:rsidRPr="003928CB">
        <w:rPr>
          <w:rFonts w:ascii="Times New Roman" w:eastAsia="Times New Roman" w:hAnsi="Times New Roman" w:cs="Times New Roman"/>
          <w:i/>
          <w:iCs/>
          <w:sz w:val="24"/>
          <w:szCs w:val="24"/>
        </w:rPr>
        <w:t>Morbilliviruscaprinae</w:t>
      </w:r>
      <w:r w:rsidRPr="003928CB">
        <w:rPr>
          <w:rFonts w:ascii="Times New Roman" w:eastAsia="Times New Roman" w:hAnsi="Times New Roman" w:cs="Times New Roman"/>
          <w:sz w:val="24"/>
          <w:szCs w:val="24"/>
        </w:rPr>
        <w:t xml:space="preserve">, under genus </w:t>
      </w:r>
      <w:r w:rsidRPr="003928CB">
        <w:rPr>
          <w:rFonts w:ascii="Times New Roman" w:eastAsia="Times New Roman" w:hAnsi="Times New Roman" w:cs="Times New Roman"/>
          <w:i/>
          <w:iCs/>
          <w:sz w:val="24"/>
          <w:szCs w:val="24"/>
        </w:rPr>
        <w:t>Morbillivirus</w:t>
      </w:r>
      <w:r w:rsidRPr="003928CB">
        <w:rPr>
          <w:rFonts w:ascii="Times New Roman" w:eastAsia="Times New Roman" w:hAnsi="Times New Roman" w:cs="Times New Roman"/>
          <w:sz w:val="24"/>
          <w:szCs w:val="24"/>
        </w:rPr>
        <w:t xml:space="preserve"> within the family </w:t>
      </w:r>
      <w:r w:rsidRPr="003928CB">
        <w:rPr>
          <w:rFonts w:ascii="Times New Roman" w:eastAsia="Times New Roman" w:hAnsi="Times New Roman" w:cs="Times New Roman"/>
          <w:i/>
          <w:iCs/>
          <w:sz w:val="24"/>
          <w:szCs w:val="24"/>
        </w:rPr>
        <w:t>Paramyxoviridae</w:t>
      </w:r>
      <w:r w:rsidRPr="003928CB">
        <w:rPr>
          <w:rFonts w:ascii="Times New Roman" w:eastAsia="Times New Roman" w:hAnsi="Times New Roman" w:cs="Times New Roman"/>
          <w:sz w:val="24"/>
          <w:szCs w:val="24"/>
        </w:rPr>
        <w:t>. The disease is characterized by fever, respiratory distress, diarrhea, and erosive stomatitis often resulting in mortality. High morbidity and mortality rates in susceptible flocks lead to significant economic losses for producers (Diallo et al</w:t>
      </w:r>
      <w:r w:rsidR="0094294E" w:rsidRPr="003928CB">
        <w:rPr>
          <w:rFonts w:ascii="Times New Roman" w:eastAsia="Times New Roman" w:hAnsi="Times New Roman" w:cs="Times New Roman"/>
          <w:sz w:val="24"/>
          <w:szCs w:val="24"/>
        </w:rPr>
        <w:t>.</w:t>
      </w:r>
      <w:r w:rsidRPr="003928CB">
        <w:rPr>
          <w:rFonts w:ascii="Times New Roman" w:eastAsia="Times New Roman" w:hAnsi="Times New Roman" w:cs="Times New Roman"/>
          <w:sz w:val="24"/>
          <w:szCs w:val="24"/>
        </w:rPr>
        <w:t xml:space="preserve"> 2007). PPR is endemic in many parts of Africa, Asia, and the Middle East, and efforts to control the disease through vaccination have proven to be a key strategy in reducing outbreaks (Banyard et al. 2010). The introduction of live attenuated vaccines has led to a significant reduction in the incidence of Peste des Petits Ruminants (PPR) in many regions; however, outbreaks continue to occur, even among vaccinated populations. Vaccination against PPR has been effective in inducing immunity; however, several factors can compromise the success of these vaccination programs. The cold chain infrastructure, animal identification issues, timing of the vaccination, the quality of the vaccine, and health status of the animal while conducting vaccination play a major role in the success of a vaccination program (Pambudi et al. 2022)</w:t>
      </w:r>
      <w:r w:rsidR="004445BF" w:rsidRPr="003928CB">
        <w:rPr>
          <w:rFonts w:ascii="Times New Roman" w:eastAsia="Times New Roman" w:hAnsi="Times New Roman" w:cs="Times New Roman"/>
          <w:sz w:val="24"/>
          <w:szCs w:val="24"/>
        </w:rPr>
        <w:t>.</w:t>
      </w:r>
    </w:p>
    <w:p w14:paraId="4AFA5385" w14:textId="01D53E7B" w:rsidR="00A071FD" w:rsidRPr="003928CB" w:rsidRDefault="00A071FD" w:rsidP="003031AC">
      <w:pPr>
        <w:spacing w:before="280" w:after="280" w:line="480" w:lineRule="auto"/>
        <w:jc w:val="both"/>
        <w:rPr>
          <w:rFonts w:ascii="Times New Roman" w:eastAsia="Times New Roman" w:hAnsi="Times New Roman" w:cs="Times New Roman"/>
          <w:sz w:val="24"/>
          <w:szCs w:val="24"/>
        </w:rPr>
      </w:pPr>
      <w:r w:rsidRPr="003928CB">
        <w:rPr>
          <w:rFonts w:ascii="Times New Roman" w:eastAsia="Times New Roman" w:hAnsi="Times New Roman" w:cs="Times New Roman"/>
          <w:sz w:val="24"/>
          <w:szCs w:val="24"/>
        </w:rPr>
        <w:lastRenderedPageBreak/>
        <w:t>In healthy animals the live-attenuated PPR vaccine is known to provide strong humoral and cellular immune responses, leading to long-lasting immunity. Research indicates that these vaccinated animals can remain protected against PPR for extended periods, often up to three years or more, without significant side effects or transmission of the virus to unvaccinated animals (</w:t>
      </w:r>
      <w:r w:rsidRPr="003928CB">
        <w:rPr>
          <w:rFonts w:ascii="Times New Roman" w:eastAsia="Times New Roman" w:hAnsi="Times New Roman" w:cs="Times New Roman"/>
          <w:sz w:val="24"/>
          <w:szCs w:val="24"/>
          <w:shd w:val="clear" w:color="auto" w:fill="FFFFFF"/>
        </w:rPr>
        <w:t>Milovanović M et al</w:t>
      </w:r>
      <w:r w:rsidR="0094294E" w:rsidRPr="003928CB">
        <w:rPr>
          <w:rFonts w:ascii="Times New Roman" w:eastAsia="Times New Roman" w:hAnsi="Times New Roman" w:cs="Times New Roman"/>
          <w:sz w:val="24"/>
          <w:szCs w:val="24"/>
          <w:shd w:val="clear" w:color="auto" w:fill="FFFFFF"/>
        </w:rPr>
        <w:t>.</w:t>
      </w:r>
      <w:r w:rsidRPr="003928CB">
        <w:rPr>
          <w:rFonts w:ascii="Times New Roman" w:eastAsia="Times New Roman" w:hAnsi="Times New Roman" w:cs="Times New Roman"/>
          <w:sz w:val="24"/>
          <w:szCs w:val="24"/>
          <w:shd w:val="clear" w:color="auto" w:fill="FFFFFF"/>
        </w:rPr>
        <w:t xml:space="preserve"> 2023).</w:t>
      </w:r>
      <w:r w:rsidRPr="003928CB">
        <w:rPr>
          <w:rFonts w:ascii="Times New Roman" w:eastAsia="Times New Roman" w:hAnsi="Times New Roman" w:cs="Times New Roman"/>
          <w:sz w:val="24"/>
          <w:szCs w:val="24"/>
        </w:rPr>
        <w:t xml:space="preserve"> Whereas in immunocompromised animals a significantly reduced immune response to </w:t>
      </w:r>
      <w:r w:rsidR="00350810" w:rsidRPr="003928CB">
        <w:rPr>
          <w:rFonts w:ascii="Times New Roman" w:eastAsia="Times New Roman" w:hAnsi="Times New Roman" w:cs="Times New Roman"/>
          <w:sz w:val="24"/>
          <w:szCs w:val="24"/>
        </w:rPr>
        <w:t xml:space="preserve">PPR </w:t>
      </w:r>
      <w:r w:rsidRPr="003928CB">
        <w:rPr>
          <w:rFonts w:ascii="Times New Roman" w:eastAsia="Times New Roman" w:hAnsi="Times New Roman" w:cs="Times New Roman"/>
          <w:sz w:val="24"/>
          <w:szCs w:val="24"/>
        </w:rPr>
        <w:t xml:space="preserve">vaccinations is observed, which can lead to lower efficacy of vaccines against diseases. Morbidity and mortality rates can be significantly elevated in immunocompromised populations, where the disease may manifest more aggressively than in healthy animals. Immunocompromised animals are also more prone to secondary bacterial infections, such as Pasteurellosis, or </w:t>
      </w:r>
      <w:r w:rsidR="00350810" w:rsidRPr="003928CB">
        <w:rPr>
          <w:rFonts w:ascii="Times New Roman" w:eastAsia="Times New Roman" w:hAnsi="Times New Roman" w:cs="Times New Roman"/>
          <w:sz w:val="24"/>
          <w:szCs w:val="24"/>
        </w:rPr>
        <w:t xml:space="preserve">other respiratory </w:t>
      </w:r>
      <w:r w:rsidRPr="003928CB">
        <w:rPr>
          <w:rFonts w:ascii="Times New Roman" w:eastAsia="Times New Roman" w:hAnsi="Times New Roman" w:cs="Times New Roman"/>
          <w:sz w:val="24"/>
          <w:szCs w:val="24"/>
        </w:rPr>
        <w:t>infections, which can complicate the clinical picture of PPR and further reduce the chances of recovery, leading to the death of animals due to bronchopneumonia.</w:t>
      </w:r>
    </w:p>
    <w:p w14:paraId="5BDD8305" w14:textId="367E8DF9" w:rsidR="0095427A" w:rsidRPr="003928CB" w:rsidRDefault="0095427A" w:rsidP="003031AC">
      <w:pPr>
        <w:spacing w:after="0" w:line="480" w:lineRule="auto"/>
        <w:jc w:val="both"/>
        <w:rPr>
          <w:rFonts w:ascii="Times New Roman" w:eastAsia="Times New Roman" w:hAnsi="Times New Roman" w:cs="Times New Roman"/>
          <w:sz w:val="24"/>
          <w:szCs w:val="24"/>
          <w:lang w:val="en-IN"/>
        </w:rPr>
      </w:pPr>
      <w:r w:rsidRPr="003928CB">
        <w:rPr>
          <w:rFonts w:ascii="Times New Roman" w:eastAsia="Times New Roman" w:hAnsi="Times New Roman" w:cs="Times New Roman"/>
          <w:sz w:val="24"/>
          <w:szCs w:val="24"/>
        </w:rPr>
        <w:t>Co-infections with parasites or bacteria, along with factors such as malnutrition and environmental stressors, can compromise the immune response in livestock, leading to increased disease susceptibility despite vaccination (Gibbs et al. 2019). Gastrointestinal helminthic infections, in particular, modulate the host immune system by impairing responses to non-parasite antigens (Nussenzweig</w:t>
      </w:r>
      <w:r w:rsidR="00E13383" w:rsidRPr="003928CB">
        <w:rPr>
          <w:rFonts w:ascii="Times New Roman" w:eastAsia="Times New Roman" w:hAnsi="Times New Roman" w:cs="Times New Roman"/>
          <w:sz w:val="24"/>
          <w:szCs w:val="24"/>
        </w:rPr>
        <w:t>.</w:t>
      </w:r>
      <w:r w:rsidRPr="003928CB">
        <w:rPr>
          <w:rFonts w:ascii="Times New Roman" w:eastAsia="Times New Roman" w:hAnsi="Times New Roman" w:cs="Times New Roman"/>
          <w:sz w:val="24"/>
          <w:szCs w:val="24"/>
        </w:rPr>
        <w:t xml:space="preserve"> 1982). Concurrent helminth and enteric viral infections may increase the number of susceptible target cells, thereby enhancing viral replication and pathogenesis (Desai et al. 2021). Notably, gastrointestinal parasitic infections, which are widespread in many developing regions, have been implicated in exacerbating susceptibility to viral diseases such as peste des petits ruminants (PPR) (Coop </w:t>
      </w:r>
      <w:r w:rsidR="00E13383" w:rsidRPr="003928CB">
        <w:rPr>
          <w:rFonts w:ascii="Times New Roman" w:eastAsia="Times New Roman" w:hAnsi="Times New Roman" w:cs="Times New Roman"/>
          <w:sz w:val="24"/>
          <w:szCs w:val="24"/>
        </w:rPr>
        <w:t>and</w:t>
      </w:r>
      <w:r w:rsidRPr="003928CB">
        <w:rPr>
          <w:rFonts w:ascii="Times New Roman" w:eastAsia="Times New Roman" w:hAnsi="Times New Roman" w:cs="Times New Roman"/>
          <w:sz w:val="24"/>
          <w:szCs w:val="24"/>
        </w:rPr>
        <w:t xml:space="preserve"> Kyriazakis</w:t>
      </w:r>
      <w:r w:rsidR="00E13383" w:rsidRPr="003928CB">
        <w:rPr>
          <w:rFonts w:ascii="Times New Roman" w:eastAsia="Times New Roman" w:hAnsi="Times New Roman" w:cs="Times New Roman"/>
          <w:sz w:val="24"/>
          <w:szCs w:val="24"/>
        </w:rPr>
        <w:t>.</w:t>
      </w:r>
      <w:r w:rsidRPr="003928CB">
        <w:rPr>
          <w:rFonts w:ascii="Times New Roman" w:eastAsia="Times New Roman" w:hAnsi="Times New Roman" w:cs="Times New Roman"/>
          <w:sz w:val="24"/>
          <w:szCs w:val="24"/>
        </w:rPr>
        <w:t xml:space="preserve"> 2001). However, the interplay between parasitic burden and vaccine efficacy in ruminants remains poorly understood</w:t>
      </w:r>
      <w:r w:rsidR="00BE7C7B" w:rsidRPr="003928CB">
        <w:rPr>
          <w:rFonts w:ascii="Times New Roman" w:eastAsia="Times New Roman" w:hAnsi="Times New Roman" w:cs="Times New Roman"/>
          <w:sz w:val="24"/>
          <w:szCs w:val="24"/>
        </w:rPr>
        <w:t xml:space="preserve">. </w:t>
      </w:r>
      <w:r w:rsidRPr="003928CB">
        <w:rPr>
          <w:rFonts w:ascii="Times New Roman" w:eastAsia="Times New Roman" w:hAnsi="Times New Roman" w:cs="Times New Roman"/>
          <w:sz w:val="24"/>
          <w:szCs w:val="24"/>
        </w:rPr>
        <w:t>and warrants further investigation.</w:t>
      </w:r>
    </w:p>
    <w:p w14:paraId="548FE883" w14:textId="77777777" w:rsidR="00B0069B" w:rsidRPr="003928CB" w:rsidRDefault="00B0069B" w:rsidP="003031AC">
      <w:pPr>
        <w:spacing w:after="0" w:line="480" w:lineRule="auto"/>
        <w:jc w:val="both"/>
        <w:rPr>
          <w:rFonts w:ascii="Times New Roman" w:eastAsia="Times New Roman" w:hAnsi="Times New Roman" w:cs="Times New Roman"/>
          <w:sz w:val="24"/>
          <w:szCs w:val="24"/>
        </w:rPr>
      </w:pPr>
      <w:r w:rsidRPr="003928CB">
        <w:rPr>
          <w:rFonts w:ascii="Times New Roman" w:eastAsia="Times New Roman" w:hAnsi="Times New Roman" w:cs="Times New Roman"/>
          <w:sz w:val="24"/>
          <w:szCs w:val="24"/>
        </w:rPr>
        <w:lastRenderedPageBreak/>
        <w:t>This study investigates an outbreak of PPR in a vaccinated flock in Manimeswaram village, Krishna District, Andhra Pradesh, India, during February 2023. The objective was to explore the possible reasons for this outbreak despite reported vaccination, with a particular focus on the role of co-infections, including gastrointestinal parasites and bacterial pathogens, in influencing vaccine effectiveness. Additionally, the study aimed to determine why mortality was predominantly observed in 4–8-month-old lambs. Understanding these interactions is crucial for optimizing vaccination strategies and preventing future outbreaks in regions where small ruminants serve as a vital livelihood for rural communities</w:t>
      </w:r>
    </w:p>
    <w:p w14:paraId="0578DC9F" w14:textId="77777777" w:rsidR="00F64FC0" w:rsidRPr="003928CB" w:rsidRDefault="00F64FC0" w:rsidP="006B6AFD">
      <w:pPr>
        <w:spacing w:after="0" w:line="480" w:lineRule="auto"/>
        <w:jc w:val="center"/>
        <w:rPr>
          <w:rFonts w:ascii="Times New Roman" w:eastAsia="Times New Roman" w:hAnsi="Times New Roman" w:cs="Times New Roman"/>
          <w:b/>
          <w:bCs/>
          <w:sz w:val="24"/>
          <w:szCs w:val="24"/>
        </w:rPr>
      </w:pPr>
    </w:p>
    <w:p w14:paraId="63BCF9D6" w14:textId="0AC6BE22" w:rsidR="00B0069B" w:rsidRPr="003928CB" w:rsidRDefault="009C7262" w:rsidP="006B6AFD">
      <w:pPr>
        <w:spacing w:after="0" w:line="480" w:lineRule="auto"/>
        <w:jc w:val="center"/>
        <w:rPr>
          <w:rFonts w:ascii="Times New Roman" w:eastAsia="Times New Roman" w:hAnsi="Times New Roman" w:cs="Times New Roman"/>
          <w:b/>
          <w:bCs/>
          <w:sz w:val="24"/>
          <w:szCs w:val="24"/>
        </w:rPr>
      </w:pPr>
      <w:r w:rsidRPr="003928CB">
        <w:rPr>
          <w:rFonts w:ascii="Times New Roman" w:eastAsia="Times New Roman" w:hAnsi="Times New Roman" w:cs="Times New Roman"/>
          <w:b/>
          <w:bCs/>
          <w:sz w:val="24"/>
          <w:szCs w:val="24"/>
        </w:rPr>
        <w:t>M</w:t>
      </w:r>
      <w:r w:rsidR="006B6AFD" w:rsidRPr="003928CB">
        <w:rPr>
          <w:rFonts w:ascii="Times New Roman" w:eastAsia="Times New Roman" w:hAnsi="Times New Roman" w:cs="Times New Roman"/>
          <w:b/>
          <w:bCs/>
          <w:sz w:val="24"/>
          <w:szCs w:val="24"/>
        </w:rPr>
        <w:t>ATERIALS AND METHODS</w:t>
      </w:r>
    </w:p>
    <w:p w14:paraId="03679C9C" w14:textId="17D53F5D" w:rsidR="000266C1" w:rsidRPr="003928CB" w:rsidRDefault="000266C1" w:rsidP="003031AC">
      <w:pPr>
        <w:spacing w:after="0" w:line="480" w:lineRule="auto"/>
        <w:jc w:val="both"/>
        <w:rPr>
          <w:rFonts w:ascii="Times New Roman" w:eastAsia="Times New Roman" w:hAnsi="Times New Roman" w:cs="Times New Roman"/>
          <w:sz w:val="24"/>
          <w:szCs w:val="24"/>
        </w:rPr>
      </w:pPr>
      <w:r w:rsidRPr="003928CB">
        <w:rPr>
          <w:rFonts w:ascii="Times New Roman" w:eastAsia="Times New Roman" w:hAnsi="Times New Roman" w:cs="Times New Roman"/>
          <w:i/>
          <w:iCs/>
          <w:sz w:val="24"/>
          <w:szCs w:val="24"/>
        </w:rPr>
        <w:t>Case History:</w:t>
      </w:r>
      <w:r w:rsidRPr="003928CB">
        <w:rPr>
          <w:rFonts w:ascii="Times New Roman" w:eastAsia="Times New Roman" w:hAnsi="Times New Roman" w:cs="Times New Roman"/>
          <w:sz w:val="24"/>
          <w:szCs w:val="24"/>
        </w:rPr>
        <w:t xml:space="preserve"> In February 2023, a significant mortality event was reported in a flock of 250 animals in Manimeswaram village, Krishna district. Shepherds reported approximately 20 deaths within a 15-day period, with affected animals exhibiting </w:t>
      </w:r>
      <w:r w:rsidR="00CB7234" w:rsidRPr="003928CB">
        <w:rPr>
          <w:rFonts w:ascii="Times New Roman" w:eastAsia="Times New Roman" w:hAnsi="Times New Roman" w:cs="Times New Roman"/>
          <w:sz w:val="24"/>
          <w:szCs w:val="24"/>
        </w:rPr>
        <w:t xml:space="preserve">weakness, anorexia, </w:t>
      </w:r>
      <w:r w:rsidRPr="003928CB">
        <w:rPr>
          <w:rFonts w:ascii="Times New Roman" w:eastAsia="Times New Roman" w:hAnsi="Times New Roman" w:cs="Times New Roman"/>
          <w:sz w:val="24"/>
          <w:szCs w:val="24"/>
        </w:rPr>
        <w:t>pyrexia</w:t>
      </w:r>
      <w:r w:rsidR="00B0069B" w:rsidRPr="003928CB">
        <w:rPr>
          <w:rFonts w:ascii="Times New Roman" w:eastAsia="Times New Roman" w:hAnsi="Times New Roman" w:cs="Times New Roman"/>
          <w:sz w:val="24"/>
          <w:szCs w:val="24"/>
        </w:rPr>
        <w:t xml:space="preserve"> </w:t>
      </w:r>
      <w:r w:rsidR="004641FC" w:rsidRPr="003928CB">
        <w:rPr>
          <w:rFonts w:ascii="Times New Roman" w:eastAsia="Times New Roman" w:hAnsi="Times New Roman" w:cs="Times New Roman"/>
          <w:sz w:val="24"/>
          <w:szCs w:val="24"/>
        </w:rPr>
        <w:t>and diarrhea</w:t>
      </w:r>
      <w:r w:rsidRPr="003928CB">
        <w:rPr>
          <w:rFonts w:ascii="Times New Roman" w:eastAsia="Times New Roman" w:hAnsi="Times New Roman" w:cs="Times New Roman"/>
          <w:sz w:val="24"/>
          <w:szCs w:val="24"/>
        </w:rPr>
        <w:t>, Notably, no clinical illness or mortality was reported in another flock in the same area, owned by a different farmer. Both flocks had been vaccinated with a live attenuated PPR vaccine three months prior. All animals had received fenbendazole and praziquantel as part of an anthelmintic program six months prior. The majority of mortalities occurred in lambs aged 4-8 months.</w:t>
      </w:r>
      <w:r w:rsidR="00B0069B" w:rsidRPr="003928CB">
        <w:rPr>
          <w:rFonts w:ascii="Times New Roman" w:eastAsia="Times New Roman" w:hAnsi="Times New Roman" w:cs="Times New Roman"/>
          <w:sz w:val="24"/>
          <w:szCs w:val="24"/>
        </w:rPr>
        <w:t xml:space="preserve"> </w:t>
      </w:r>
      <w:r w:rsidR="000D04D1" w:rsidRPr="003928CB">
        <w:rPr>
          <w:rFonts w:ascii="Times New Roman" w:eastAsia="Times New Roman" w:hAnsi="Times New Roman" w:cs="Times New Roman"/>
          <w:sz w:val="24"/>
          <w:szCs w:val="24"/>
        </w:rPr>
        <w:t>Nasal, conjunctival, and buccal swabs, as well as whole blood samples, were collected from six affected sheep</w:t>
      </w:r>
      <w:r w:rsidRPr="003928CB">
        <w:rPr>
          <w:rFonts w:ascii="Times New Roman" w:eastAsia="Times New Roman" w:hAnsi="Times New Roman" w:cs="Times New Roman"/>
          <w:sz w:val="24"/>
          <w:szCs w:val="24"/>
        </w:rPr>
        <w:t>. Mesenteric lymph node and spleen samples were collected from one sheep during necropsy. All samples were subjected to reverse transcription polymerase chain reaction (RT-PCR) targeting the PPR virus nucleoprotein (N) gene for disease confirmation</w:t>
      </w:r>
      <w:r w:rsidR="00350810" w:rsidRPr="003928CB">
        <w:rPr>
          <w:rFonts w:ascii="Times New Roman" w:eastAsia="Times New Roman" w:hAnsi="Times New Roman" w:cs="Times New Roman"/>
          <w:sz w:val="24"/>
          <w:szCs w:val="24"/>
        </w:rPr>
        <w:t>.</w:t>
      </w:r>
    </w:p>
    <w:p w14:paraId="38EFC5B1" w14:textId="3EDDAAB9" w:rsidR="00CF4EAD" w:rsidRPr="003928CB" w:rsidRDefault="005F763D" w:rsidP="003031AC">
      <w:pPr>
        <w:spacing w:after="0" w:line="480" w:lineRule="auto"/>
        <w:jc w:val="both"/>
        <w:rPr>
          <w:rFonts w:ascii="Times New Roman" w:eastAsia="Times New Roman" w:hAnsi="Times New Roman" w:cs="Times New Roman"/>
          <w:sz w:val="24"/>
          <w:szCs w:val="24"/>
        </w:rPr>
      </w:pPr>
      <w:r w:rsidRPr="003928CB">
        <w:rPr>
          <w:rFonts w:ascii="Times New Roman" w:eastAsia="Times New Roman" w:hAnsi="Times New Roman" w:cs="Times New Roman"/>
          <w:i/>
          <w:iCs/>
          <w:sz w:val="24"/>
          <w:szCs w:val="24"/>
          <w:lang w:val="en-IN"/>
        </w:rPr>
        <w:t>Confirmation</w:t>
      </w:r>
      <w:r w:rsidR="00CB7234" w:rsidRPr="003928CB">
        <w:rPr>
          <w:rFonts w:ascii="Times New Roman" w:eastAsia="Times New Roman" w:hAnsi="Times New Roman" w:cs="Times New Roman"/>
          <w:i/>
          <w:iCs/>
          <w:sz w:val="24"/>
          <w:szCs w:val="24"/>
          <w:lang w:val="en-IN"/>
        </w:rPr>
        <w:t xml:space="preserve"> of PPRV by RT-PCR</w:t>
      </w:r>
      <w:r w:rsidR="00CB7234" w:rsidRPr="003928CB">
        <w:rPr>
          <w:rFonts w:ascii="Times New Roman" w:eastAsia="Times New Roman" w:hAnsi="Times New Roman" w:cs="Times New Roman"/>
          <w:b/>
          <w:bCs/>
          <w:sz w:val="24"/>
          <w:szCs w:val="24"/>
          <w:lang w:val="en-IN"/>
        </w:rPr>
        <w:t xml:space="preserve">: </w:t>
      </w:r>
      <w:r w:rsidR="00CB7234" w:rsidRPr="003928CB">
        <w:rPr>
          <w:rFonts w:ascii="Times New Roman" w:eastAsia="Times New Roman" w:hAnsi="Times New Roman" w:cs="Times New Roman"/>
          <w:sz w:val="24"/>
          <w:szCs w:val="24"/>
          <w:lang w:val="en-IN"/>
        </w:rPr>
        <w:t xml:space="preserve"> RNA was isolated from  blood, </w:t>
      </w:r>
      <w:r w:rsidR="00350810" w:rsidRPr="003928CB">
        <w:rPr>
          <w:rFonts w:ascii="Times New Roman" w:eastAsia="Times New Roman" w:hAnsi="Times New Roman" w:cs="Times New Roman"/>
          <w:sz w:val="24"/>
          <w:szCs w:val="24"/>
          <w:lang w:val="en-IN"/>
        </w:rPr>
        <w:t xml:space="preserve">nasal, buccal, conjunctival </w:t>
      </w:r>
      <w:r w:rsidR="00CB7234" w:rsidRPr="003928CB">
        <w:rPr>
          <w:rFonts w:ascii="Times New Roman" w:eastAsia="Times New Roman" w:hAnsi="Times New Roman" w:cs="Times New Roman"/>
          <w:sz w:val="24"/>
          <w:szCs w:val="24"/>
          <w:lang w:val="en-IN"/>
        </w:rPr>
        <w:t>swabs and tissues using TRIzol</w:t>
      </w:r>
      <w:r w:rsidR="00350810" w:rsidRPr="003928CB">
        <w:rPr>
          <w:rFonts w:ascii="Times New Roman" w:eastAsia="Times New Roman" w:hAnsi="Times New Roman" w:cs="Times New Roman"/>
          <w:sz w:val="24"/>
          <w:szCs w:val="24"/>
          <w:lang w:val="en-IN"/>
        </w:rPr>
        <w:t>reagent</w:t>
      </w:r>
      <w:r w:rsidR="00CB7234" w:rsidRPr="003928CB">
        <w:rPr>
          <w:rFonts w:ascii="Times New Roman" w:eastAsia="Times New Roman" w:hAnsi="Times New Roman" w:cs="Times New Roman"/>
          <w:sz w:val="24"/>
          <w:szCs w:val="24"/>
          <w:lang w:val="en-IN"/>
        </w:rPr>
        <w:t xml:space="preserve">(Invitrogen, Thermo Fisher) and one-step RT-PCR was </w:t>
      </w:r>
      <w:r w:rsidR="00CB7234" w:rsidRPr="003928CB">
        <w:rPr>
          <w:rFonts w:ascii="Times New Roman" w:eastAsia="Times New Roman" w:hAnsi="Times New Roman" w:cs="Times New Roman"/>
          <w:sz w:val="24"/>
          <w:szCs w:val="24"/>
          <w:lang w:val="en-IN"/>
        </w:rPr>
        <w:lastRenderedPageBreak/>
        <w:t xml:space="preserve">performed using the Prime Script™ One Step RT-PCR Kit  by Takara Bio. </w:t>
      </w:r>
      <w:r w:rsidR="00CF4EAD" w:rsidRPr="003928CB">
        <w:rPr>
          <w:rFonts w:ascii="Times New Roman" w:eastAsia="Times New Roman" w:hAnsi="Times New Roman" w:cs="Times New Roman"/>
          <w:sz w:val="24"/>
          <w:szCs w:val="24"/>
        </w:rPr>
        <w:t xml:space="preserve">The primer sequences and thermal cycling </w:t>
      </w:r>
      <w:r w:rsidR="00350810" w:rsidRPr="003928CB">
        <w:rPr>
          <w:rFonts w:ascii="Times New Roman" w:eastAsia="Times New Roman" w:hAnsi="Times New Roman" w:cs="Times New Roman"/>
          <w:sz w:val="24"/>
          <w:szCs w:val="24"/>
        </w:rPr>
        <w:t>conditions employed</w:t>
      </w:r>
      <w:r w:rsidR="00E91D80" w:rsidRPr="003928CB">
        <w:rPr>
          <w:rFonts w:ascii="Times New Roman" w:eastAsia="Times New Roman" w:hAnsi="Times New Roman" w:cs="Times New Roman"/>
          <w:sz w:val="24"/>
          <w:szCs w:val="24"/>
        </w:rPr>
        <w:t xml:space="preserve"> </w:t>
      </w:r>
      <w:r w:rsidR="00CF4EAD" w:rsidRPr="003928CB">
        <w:rPr>
          <w:rFonts w:ascii="Times New Roman" w:eastAsia="Times New Roman" w:hAnsi="Times New Roman" w:cs="Times New Roman"/>
          <w:sz w:val="24"/>
          <w:szCs w:val="24"/>
        </w:rPr>
        <w:t>were as per methodology described in the WOAH Terrestrial Manual (2022).</w:t>
      </w:r>
    </w:p>
    <w:p w14:paraId="617FF9E8" w14:textId="77777777" w:rsidR="00CF4EAD" w:rsidRPr="003928CB" w:rsidRDefault="00CF4EAD" w:rsidP="003031AC">
      <w:pPr>
        <w:spacing w:after="0" w:line="480" w:lineRule="auto"/>
        <w:jc w:val="both"/>
        <w:rPr>
          <w:rFonts w:ascii="Times New Roman" w:eastAsia="Times New Roman" w:hAnsi="Times New Roman" w:cs="Times New Roman"/>
          <w:sz w:val="24"/>
          <w:szCs w:val="24"/>
          <w:lang w:val="en-IN"/>
        </w:rPr>
      </w:pPr>
      <w:r w:rsidRPr="003928CB">
        <w:rPr>
          <w:rFonts w:ascii="Times New Roman" w:eastAsia="Times New Roman" w:hAnsi="Times New Roman" w:cs="Times New Roman"/>
          <w:sz w:val="24"/>
          <w:szCs w:val="24"/>
          <w:lang w:val="en-IN"/>
        </w:rPr>
        <w:t xml:space="preserve">Nucleoprotein (N) gene primer sequences used: </w:t>
      </w:r>
    </w:p>
    <w:p w14:paraId="05A3149F" w14:textId="5544B4E3" w:rsidR="00CF4EAD" w:rsidRPr="003928CB" w:rsidRDefault="00CF4EAD" w:rsidP="003031AC">
      <w:pPr>
        <w:spacing w:after="0" w:line="480" w:lineRule="auto"/>
        <w:jc w:val="both"/>
        <w:rPr>
          <w:rFonts w:ascii="Times New Roman" w:eastAsia="Times New Roman" w:hAnsi="Times New Roman" w:cs="Times New Roman"/>
          <w:sz w:val="24"/>
          <w:szCs w:val="24"/>
          <w:lang w:val="en-IN"/>
        </w:rPr>
      </w:pPr>
      <w:r w:rsidRPr="003928CB">
        <w:rPr>
          <w:rFonts w:ascii="Times New Roman" w:eastAsia="Times New Roman" w:hAnsi="Times New Roman" w:cs="Times New Roman"/>
          <w:sz w:val="24"/>
          <w:szCs w:val="24"/>
          <w:lang w:val="en-IN"/>
        </w:rPr>
        <w:t>NP3: 5’-GTCTCGGAAATCGCCTCACAGACT-3’</w:t>
      </w:r>
    </w:p>
    <w:p w14:paraId="5C5ADB58" w14:textId="47DC47C6" w:rsidR="00CF4EAD" w:rsidRPr="003928CB" w:rsidRDefault="00CF4EAD" w:rsidP="003031AC">
      <w:pPr>
        <w:spacing w:after="0" w:line="480" w:lineRule="auto"/>
        <w:jc w:val="both"/>
        <w:rPr>
          <w:rFonts w:ascii="Times New Roman" w:eastAsia="Times New Roman" w:hAnsi="Times New Roman" w:cs="Times New Roman"/>
          <w:sz w:val="24"/>
          <w:szCs w:val="24"/>
        </w:rPr>
      </w:pPr>
      <w:r w:rsidRPr="003928CB">
        <w:rPr>
          <w:rFonts w:ascii="Times New Roman" w:eastAsia="Times New Roman" w:hAnsi="Times New Roman" w:cs="Times New Roman"/>
          <w:sz w:val="24"/>
          <w:szCs w:val="24"/>
          <w:lang w:val="en-IN"/>
        </w:rPr>
        <w:t>NP4: 5’-CCTCCTCCTGGTCCTCCAGAATCT-3’</w:t>
      </w:r>
    </w:p>
    <w:p w14:paraId="249DB907" w14:textId="38533A41" w:rsidR="00CB7234" w:rsidRPr="003928CB" w:rsidRDefault="00644FF2" w:rsidP="003031AC">
      <w:pPr>
        <w:spacing w:before="280" w:after="280" w:line="480" w:lineRule="auto"/>
        <w:jc w:val="both"/>
        <w:rPr>
          <w:rFonts w:ascii="Times New Roman" w:eastAsia="Times New Roman" w:hAnsi="Times New Roman" w:cs="Times New Roman"/>
          <w:sz w:val="24"/>
          <w:szCs w:val="24"/>
        </w:rPr>
      </w:pPr>
      <w:r w:rsidRPr="003928CB">
        <w:rPr>
          <w:rFonts w:ascii="Times New Roman" w:eastAsia="Times New Roman" w:hAnsi="Times New Roman" w:cs="Times New Roman"/>
          <w:sz w:val="24"/>
          <w:szCs w:val="24"/>
        </w:rPr>
        <w:t>The RT-PCR reaction mix contained 25 μL 2X Master mix, 1 μL each of forward and reverse primers (10 pmol/μL), 2 μL</w:t>
      </w:r>
      <w:r w:rsidR="00272F3E" w:rsidRPr="003928CB">
        <w:rPr>
          <w:rFonts w:ascii="Times New Roman" w:eastAsia="Times New Roman" w:hAnsi="Times New Roman" w:cs="Times New Roman"/>
          <w:sz w:val="24"/>
          <w:szCs w:val="24"/>
        </w:rPr>
        <w:t xml:space="preserve"> </w:t>
      </w:r>
      <w:r w:rsidR="005F763D" w:rsidRPr="003928CB">
        <w:rPr>
          <w:rFonts w:ascii="Times New Roman" w:eastAsia="Times New Roman" w:hAnsi="Times New Roman" w:cs="Times New Roman"/>
          <w:sz w:val="24"/>
          <w:szCs w:val="24"/>
        </w:rPr>
        <w:t>Primescript</w:t>
      </w:r>
      <w:r w:rsidRPr="003928CB">
        <w:rPr>
          <w:rFonts w:ascii="Times New Roman" w:eastAsia="Times New Roman" w:hAnsi="Times New Roman" w:cs="Times New Roman"/>
          <w:sz w:val="24"/>
          <w:szCs w:val="24"/>
        </w:rPr>
        <w:t xml:space="preserve"> RT enzyme, 1 μL</w:t>
      </w:r>
      <w:r w:rsidR="00BF13BE" w:rsidRPr="003928CB">
        <w:rPr>
          <w:rFonts w:ascii="Times New Roman" w:eastAsia="Times New Roman" w:hAnsi="Times New Roman" w:cs="Times New Roman"/>
          <w:sz w:val="24"/>
          <w:szCs w:val="24"/>
        </w:rPr>
        <w:t xml:space="preserve">RNA </w:t>
      </w:r>
      <w:r w:rsidRPr="003928CB">
        <w:rPr>
          <w:rFonts w:ascii="Times New Roman" w:eastAsia="Times New Roman" w:hAnsi="Times New Roman" w:cs="Times New Roman"/>
          <w:sz w:val="24"/>
          <w:szCs w:val="24"/>
        </w:rPr>
        <w:t xml:space="preserve">template, and 20 μL nuclease-free water, totaling 50 μL. The thermal profile included cDNA synthesis at 50°C for 30 min, initial denaturation at 95°C for 15 min, then 40 cycles of 94°C for 30 s, 60°C for 30 s, and 72°C for 1 min, followed by a final extension at 72°C for 5 min. </w:t>
      </w:r>
      <w:r w:rsidR="00BF13BE" w:rsidRPr="003928CB">
        <w:rPr>
          <w:rFonts w:ascii="Times New Roman" w:eastAsia="Times New Roman" w:hAnsi="Times New Roman" w:cs="Times New Roman"/>
          <w:sz w:val="24"/>
          <w:szCs w:val="24"/>
        </w:rPr>
        <w:t xml:space="preserve">PCR </w:t>
      </w:r>
      <w:r w:rsidR="00272F3E" w:rsidRPr="003928CB">
        <w:rPr>
          <w:rFonts w:ascii="Times New Roman" w:eastAsia="Times New Roman" w:hAnsi="Times New Roman" w:cs="Times New Roman"/>
          <w:sz w:val="24"/>
          <w:szCs w:val="24"/>
        </w:rPr>
        <w:t>p</w:t>
      </w:r>
      <w:r w:rsidRPr="003928CB">
        <w:rPr>
          <w:rFonts w:ascii="Times New Roman" w:eastAsia="Times New Roman" w:hAnsi="Times New Roman" w:cs="Times New Roman"/>
          <w:sz w:val="24"/>
          <w:szCs w:val="24"/>
        </w:rPr>
        <w:t>roducts were analyzed by electrophoresis on a 1.5% agarose gel in 1X T</w:t>
      </w:r>
      <w:r w:rsidR="005F763D" w:rsidRPr="003928CB">
        <w:rPr>
          <w:rFonts w:ascii="Times New Roman" w:eastAsia="Times New Roman" w:hAnsi="Times New Roman" w:cs="Times New Roman"/>
          <w:sz w:val="24"/>
          <w:szCs w:val="24"/>
        </w:rPr>
        <w:t>A</w:t>
      </w:r>
      <w:r w:rsidRPr="003928CB">
        <w:rPr>
          <w:rFonts w:ascii="Times New Roman" w:eastAsia="Times New Roman" w:hAnsi="Times New Roman" w:cs="Times New Roman"/>
          <w:sz w:val="24"/>
          <w:szCs w:val="24"/>
        </w:rPr>
        <w:t>E buffer with 0.5 μg/mL ethidium bromide and visualized under UV light.</w:t>
      </w:r>
    </w:p>
    <w:p w14:paraId="63B72353" w14:textId="31E717F7" w:rsidR="00B0069B" w:rsidRPr="003928CB" w:rsidRDefault="00A071FD" w:rsidP="003031AC">
      <w:pPr>
        <w:spacing w:before="280" w:after="280" w:line="480" w:lineRule="auto"/>
        <w:jc w:val="both"/>
        <w:rPr>
          <w:rFonts w:ascii="Times New Roman" w:eastAsia="Times New Roman" w:hAnsi="Times New Roman" w:cs="Times New Roman"/>
          <w:sz w:val="24"/>
          <w:szCs w:val="24"/>
        </w:rPr>
      </w:pPr>
      <w:r w:rsidRPr="003928CB">
        <w:rPr>
          <w:rFonts w:ascii="Times New Roman" w:eastAsia="Times New Roman" w:hAnsi="Times New Roman" w:cs="Times New Roman"/>
          <w:i/>
          <w:iCs/>
          <w:sz w:val="24"/>
          <w:szCs w:val="24"/>
        </w:rPr>
        <w:t xml:space="preserve">Sampling </w:t>
      </w:r>
      <w:r w:rsidR="00BF13BE" w:rsidRPr="003928CB">
        <w:rPr>
          <w:rFonts w:ascii="Times New Roman" w:eastAsia="Times New Roman" w:hAnsi="Times New Roman" w:cs="Times New Roman"/>
          <w:i/>
          <w:iCs/>
          <w:sz w:val="24"/>
          <w:szCs w:val="24"/>
        </w:rPr>
        <w:t>p</w:t>
      </w:r>
      <w:r w:rsidRPr="003928CB">
        <w:rPr>
          <w:rFonts w:ascii="Times New Roman" w:eastAsia="Times New Roman" w:hAnsi="Times New Roman" w:cs="Times New Roman"/>
          <w:i/>
          <w:iCs/>
          <w:sz w:val="24"/>
          <w:szCs w:val="24"/>
        </w:rPr>
        <w:t>lan</w:t>
      </w:r>
      <w:r w:rsidR="000266C1" w:rsidRPr="003928CB">
        <w:rPr>
          <w:rFonts w:ascii="Times New Roman" w:eastAsia="Times New Roman" w:hAnsi="Times New Roman" w:cs="Times New Roman"/>
          <w:i/>
          <w:iCs/>
          <w:sz w:val="24"/>
          <w:szCs w:val="24"/>
        </w:rPr>
        <w:t xml:space="preserve"> for further investigation</w:t>
      </w:r>
      <w:r w:rsidRPr="003928CB">
        <w:rPr>
          <w:rFonts w:ascii="Times New Roman" w:eastAsia="Times New Roman" w:hAnsi="Times New Roman" w:cs="Times New Roman"/>
          <w:i/>
          <w:iCs/>
          <w:sz w:val="24"/>
          <w:szCs w:val="24"/>
        </w:rPr>
        <w:t>:</w:t>
      </w:r>
      <w:r w:rsidR="00510446" w:rsidRPr="003928CB">
        <w:rPr>
          <w:rFonts w:ascii="Times New Roman" w:eastAsia="Times New Roman" w:hAnsi="Times New Roman" w:cs="Times New Roman"/>
          <w:b/>
          <w:bCs/>
          <w:sz w:val="24"/>
          <w:szCs w:val="24"/>
        </w:rPr>
        <w:t xml:space="preserve"> </w:t>
      </w:r>
      <w:r w:rsidR="005276C9" w:rsidRPr="003928CB">
        <w:rPr>
          <w:rFonts w:ascii="Times New Roman" w:eastAsia="Times New Roman" w:hAnsi="Times New Roman" w:cs="Times New Roman"/>
          <w:sz w:val="24"/>
          <w:szCs w:val="24"/>
        </w:rPr>
        <w:t>To further investigate the etiological factors contributing to the PPR outbreak despite prior vaccination, a comprehensive, multidimensional study was conducted. This study involved sampling a total of 25 animals from both the affected (Group I) and healthy control (Group II) flocks, all of which had received PPR vaccination three months prior.</w:t>
      </w:r>
      <w:r w:rsidR="00B0069B" w:rsidRPr="003928CB">
        <w:rPr>
          <w:rFonts w:ascii="Times New Roman" w:eastAsia="Times New Roman" w:hAnsi="Times New Roman" w:cs="Times New Roman"/>
          <w:sz w:val="24"/>
          <w:szCs w:val="24"/>
        </w:rPr>
        <w:t xml:space="preserve"> </w:t>
      </w:r>
      <w:r w:rsidR="000D04D1" w:rsidRPr="003928CB">
        <w:rPr>
          <w:rFonts w:ascii="Times New Roman" w:eastAsia="Times New Roman" w:hAnsi="Times New Roman" w:cs="Times New Roman"/>
          <w:sz w:val="24"/>
          <w:szCs w:val="24"/>
        </w:rPr>
        <w:t>Samples were collected from both clinically ill and apparently healthy animals, as well as from young and adult animals, to enable multifactorial analysis.</w:t>
      </w:r>
      <w:r w:rsidR="00BB5C9E" w:rsidRPr="003928CB">
        <w:rPr>
          <w:rFonts w:ascii="Times New Roman" w:eastAsia="Times New Roman" w:hAnsi="Times New Roman" w:cs="Times New Roman"/>
          <w:sz w:val="24"/>
          <w:szCs w:val="24"/>
        </w:rPr>
        <w:t xml:space="preserve"> </w:t>
      </w:r>
      <w:r w:rsidR="000D04D1" w:rsidRPr="003928CB">
        <w:rPr>
          <w:rFonts w:ascii="Times New Roman" w:eastAsia="Times New Roman" w:hAnsi="Times New Roman" w:cs="Times New Roman"/>
          <w:sz w:val="24"/>
          <w:szCs w:val="24"/>
        </w:rPr>
        <w:t xml:space="preserve">Specimens collected from all animals included whole blood, serum,  nasal, ocular, oral swabs and fecal samples. </w:t>
      </w:r>
      <w:r w:rsidR="005271CE" w:rsidRPr="003928CB">
        <w:rPr>
          <w:rFonts w:ascii="Times New Roman" w:eastAsia="Times New Roman" w:hAnsi="Times New Roman" w:cs="Times New Roman"/>
          <w:sz w:val="24"/>
          <w:szCs w:val="24"/>
        </w:rPr>
        <w:t>Fecal samples were examined for intestinal parasites. Blood and nasal</w:t>
      </w:r>
      <w:r w:rsidR="00A431A7" w:rsidRPr="003928CB">
        <w:rPr>
          <w:rFonts w:ascii="Times New Roman" w:eastAsia="Times New Roman" w:hAnsi="Times New Roman" w:cs="Times New Roman"/>
          <w:sz w:val="24"/>
          <w:szCs w:val="24"/>
        </w:rPr>
        <w:t xml:space="preserve"> </w:t>
      </w:r>
      <w:r w:rsidR="005271CE" w:rsidRPr="003928CB">
        <w:rPr>
          <w:rFonts w:ascii="Times New Roman" w:eastAsia="Times New Roman" w:hAnsi="Times New Roman" w:cs="Times New Roman"/>
          <w:sz w:val="24"/>
          <w:szCs w:val="24"/>
        </w:rPr>
        <w:t xml:space="preserve">swab samples were processed for bacterial culture and hematological analysis. Serum was used for biochemical analyses and anti-PPRV </w:t>
      </w:r>
      <w:r w:rsidR="005271CE" w:rsidRPr="003928CB">
        <w:rPr>
          <w:rFonts w:ascii="Times New Roman" w:eastAsia="Times New Roman" w:hAnsi="Times New Roman" w:cs="Times New Roman"/>
          <w:sz w:val="24"/>
          <w:szCs w:val="24"/>
        </w:rPr>
        <w:lastRenderedPageBreak/>
        <w:t>antibody detection via cELISA. Nasal, ocular, oral swabs and blood were tested by immuno-capture ELISA for PPRV</w:t>
      </w:r>
      <w:r w:rsidR="00A431A7" w:rsidRPr="003928CB">
        <w:rPr>
          <w:rFonts w:ascii="Times New Roman" w:eastAsia="Times New Roman" w:hAnsi="Times New Roman" w:cs="Times New Roman"/>
          <w:sz w:val="24"/>
          <w:szCs w:val="24"/>
        </w:rPr>
        <w:t>.</w:t>
      </w:r>
    </w:p>
    <w:p w14:paraId="37193763" w14:textId="0D626096" w:rsidR="00A071FD" w:rsidRPr="003928CB" w:rsidRDefault="00B0069B" w:rsidP="003031AC">
      <w:pPr>
        <w:spacing w:before="280" w:after="280" w:line="480" w:lineRule="auto"/>
        <w:jc w:val="both"/>
        <w:rPr>
          <w:rFonts w:ascii="Times New Roman" w:eastAsia="Times New Roman" w:hAnsi="Times New Roman" w:cs="Times New Roman"/>
          <w:i/>
          <w:iCs/>
          <w:sz w:val="24"/>
          <w:szCs w:val="24"/>
        </w:rPr>
      </w:pPr>
      <w:r w:rsidRPr="003928CB">
        <w:rPr>
          <w:rFonts w:ascii="Times New Roman" w:eastAsia="Times New Roman" w:hAnsi="Times New Roman" w:cs="Times New Roman"/>
          <w:i/>
          <w:iCs/>
          <w:sz w:val="24"/>
          <w:szCs w:val="24"/>
        </w:rPr>
        <w:t>Methods:</w:t>
      </w:r>
      <w:r w:rsidR="00F64FC0" w:rsidRPr="003928CB">
        <w:rPr>
          <w:rFonts w:ascii="Times New Roman" w:eastAsia="Times New Roman" w:hAnsi="Times New Roman" w:cs="Times New Roman"/>
          <w:i/>
          <w:iCs/>
          <w:sz w:val="24"/>
          <w:szCs w:val="24"/>
        </w:rPr>
        <w:t xml:space="preserve"> </w:t>
      </w:r>
      <w:r w:rsidR="00A071FD" w:rsidRPr="003928CB">
        <w:rPr>
          <w:rFonts w:ascii="Times New Roman" w:eastAsia="Times New Roman" w:hAnsi="Times New Roman" w:cs="Times New Roman"/>
          <w:sz w:val="24"/>
          <w:szCs w:val="24"/>
          <w:shd w:val="clear" w:color="auto" w:fill="FFFFFF"/>
        </w:rPr>
        <w:t>For detecting the immune status of the animal post-vaccination, competitive enzyme-linked immunosorbent assay (cELISA) utilizing monoclonal antibodies (MAbs) against either nucleocapsid protein (N) or viral attachment proteins (H) is the recommended test. For diagnosing PPRV in clinical cases,</w:t>
      </w:r>
      <w:r w:rsidR="005F763D" w:rsidRPr="003928CB">
        <w:rPr>
          <w:rFonts w:ascii="Times New Roman" w:eastAsia="Times New Roman" w:hAnsi="Times New Roman" w:cs="Times New Roman"/>
          <w:sz w:val="24"/>
          <w:szCs w:val="24"/>
          <w:shd w:val="clear" w:color="auto" w:fill="FFFFFF"/>
        </w:rPr>
        <w:t xml:space="preserve"> RT-PCR &amp;</w:t>
      </w:r>
      <w:r w:rsidR="00A071FD" w:rsidRPr="003928CB">
        <w:rPr>
          <w:rFonts w:ascii="Times New Roman" w:eastAsia="Times New Roman" w:hAnsi="Times New Roman" w:cs="Times New Roman"/>
          <w:sz w:val="24"/>
          <w:szCs w:val="24"/>
          <w:shd w:val="clear" w:color="auto" w:fill="FFFFFF"/>
        </w:rPr>
        <w:t xml:space="preserve"> immune capture ELISA </w:t>
      </w:r>
      <w:r w:rsidR="005F763D" w:rsidRPr="003928CB">
        <w:rPr>
          <w:rFonts w:ascii="Times New Roman" w:eastAsia="Times New Roman" w:hAnsi="Times New Roman" w:cs="Times New Roman"/>
          <w:sz w:val="24"/>
          <w:szCs w:val="24"/>
          <w:shd w:val="clear" w:color="auto" w:fill="FFFFFF"/>
        </w:rPr>
        <w:t>are</w:t>
      </w:r>
      <w:r w:rsidR="00A071FD" w:rsidRPr="003928CB">
        <w:rPr>
          <w:rFonts w:ascii="Times New Roman" w:eastAsia="Times New Roman" w:hAnsi="Times New Roman" w:cs="Times New Roman"/>
          <w:sz w:val="24"/>
          <w:szCs w:val="24"/>
          <w:shd w:val="clear" w:color="auto" w:fill="FFFFFF"/>
        </w:rPr>
        <w:t xml:space="preserve"> the recommended tests as </w:t>
      </w:r>
      <w:r w:rsidR="005F763D" w:rsidRPr="003928CB">
        <w:rPr>
          <w:rFonts w:ascii="Times New Roman" w:eastAsia="Times New Roman" w:hAnsi="Times New Roman" w:cs="Times New Roman"/>
          <w:sz w:val="24"/>
          <w:szCs w:val="24"/>
          <w:shd w:val="clear" w:color="auto" w:fill="FFFFFF"/>
        </w:rPr>
        <w:t>they</w:t>
      </w:r>
      <w:r w:rsidR="00A071FD" w:rsidRPr="003928CB">
        <w:rPr>
          <w:rFonts w:ascii="Times New Roman" w:eastAsia="Times New Roman" w:hAnsi="Times New Roman" w:cs="Times New Roman"/>
          <w:sz w:val="24"/>
          <w:szCs w:val="24"/>
          <w:shd w:val="clear" w:color="auto" w:fill="FFFFFF"/>
        </w:rPr>
        <w:t xml:space="preserve"> exhibit high specificity and sensitivity, with the capability to detect 10</w:t>
      </w:r>
      <w:r w:rsidR="00A071FD" w:rsidRPr="003928CB">
        <w:rPr>
          <w:rFonts w:ascii="Times New Roman" w:eastAsia="Times New Roman" w:hAnsi="Times New Roman" w:cs="Times New Roman"/>
          <w:sz w:val="24"/>
          <w:szCs w:val="24"/>
          <w:shd w:val="clear" w:color="auto" w:fill="FFFFFF"/>
          <w:vertAlign w:val="superscript"/>
        </w:rPr>
        <w:t>0.6</w:t>
      </w:r>
      <w:r w:rsidR="00A071FD" w:rsidRPr="003928CB">
        <w:rPr>
          <w:rFonts w:ascii="Times New Roman" w:eastAsia="Times New Roman" w:hAnsi="Times New Roman" w:cs="Times New Roman"/>
          <w:sz w:val="24"/>
          <w:szCs w:val="24"/>
          <w:shd w:val="clear" w:color="auto" w:fill="FFFFFF"/>
        </w:rPr>
        <w:t xml:space="preserve"> TCID</w:t>
      </w:r>
      <w:r w:rsidR="00A071FD" w:rsidRPr="003928CB">
        <w:rPr>
          <w:rFonts w:ascii="Times New Roman" w:eastAsia="Times New Roman" w:hAnsi="Times New Roman" w:cs="Times New Roman"/>
          <w:sz w:val="24"/>
          <w:szCs w:val="24"/>
          <w:shd w:val="clear" w:color="auto" w:fill="FFFFFF"/>
          <w:vertAlign w:val="subscript"/>
        </w:rPr>
        <w:t>50</w:t>
      </w:r>
      <w:r w:rsidR="00A071FD" w:rsidRPr="003928CB">
        <w:rPr>
          <w:rFonts w:ascii="Times New Roman" w:eastAsia="Times New Roman" w:hAnsi="Times New Roman" w:cs="Times New Roman"/>
          <w:sz w:val="24"/>
          <w:szCs w:val="24"/>
          <w:shd w:val="clear" w:color="auto" w:fill="FFFFFF"/>
        </w:rPr>
        <w:t xml:space="preserve"> per well (WOAH</w:t>
      </w:r>
      <w:r w:rsidR="00E13383" w:rsidRPr="003928CB">
        <w:rPr>
          <w:rFonts w:ascii="Times New Roman" w:eastAsia="Times New Roman" w:hAnsi="Times New Roman" w:cs="Times New Roman"/>
          <w:sz w:val="24"/>
          <w:szCs w:val="24"/>
          <w:shd w:val="clear" w:color="auto" w:fill="FFFFFF"/>
        </w:rPr>
        <w:t>.</w:t>
      </w:r>
      <w:r w:rsidR="00A071FD" w:rsidRPr="003928CB">
        <w:rPr>
          <w:rFonts w:ascii="Times New Roman" w:eastAsia="Times New Roman" w:hAnsi="Times New Roman" w:cs="Times New Roman"/>
          <w:sz w:val="24"/>
          <w:szCs w:val="24"/>
          <w:shd w:val="clear" w:color="auto" w:fill="FFFFFF"/>
        </w:rPr>
        <w:t xml:space="preserve"> 202</w:t>
      </w:r>
      <w:r w:rsidR="00EA146F" w:rsidRPr="003928CB">
        <w:rPr>
          <w:rFonts w:ascii="Times New Roman" w:eastAsia="Times New Roman" w:hAnsi="Times New Roman" w:cs="Times New Roman"/>
          <w:sz w:val="24"/>
          <w:szCs w:val="24"/>
          <w:shd w:val="clear" w:color="auto" w:fill="FFFFFF"/>
        </w:rPr>
        <w:t>2</w:t>
      </w:r>
      <w:r w:rsidR="00A071FD" w:rsidRPr="003928CB">
        <w:rPr>
          <w:rFonts w:ascii="Times New Roman" w:eastAsia="Times New Roman" w:hAnsi="Times New Roman" w:cs="Times New Roman"/>
          <w:sz w:val="24"/>
          <w:szCs w:val="24"/>
          <w:shd w:val="clear" w:color="auto" w:fill="FFFFFF"/>
        </w:rPr>
        <w:t>).</w:t>
      </w:r>
    </w:p>
    <w:p w14:paraId="5D6EA6D5" w14:textId="3C941AFB" w:rsidR="00A071FD" w:rsidRPr="003928CB" w:rsidRDefault="005F763D" w:rsidP="003031AC">
      <w:pPr>
        <w:spacing w:before="280" w:after="280" w:line="480" w:lineRule="auto"/>
        <w:jc w:val="both"/>
        <w:rPr>
          <w:rFonts w:ascii="Times New Roman" w:eastAsia="Times New Roman" w:hAnsi="Times New Roman" w:cs="Times New Roman"/>
          <w:sz w:val="24"/>
          <w:szCs w:val="24"/>
        </w:rPr>
      </w:pPr>
      <w:r w:rsidRPr="003928CB">
        <w:rPr>
          <w:rFonts w:ascii="Times New Roman" w:eastAsia="Times New Roman" w:hAnsi="Times New Roman" w:cs="Times New Roman"/>
          <w:sz w:val="24"/>
          <w:szCs w:val="24"/>
        </w:rPr>
        <w:t xml:space="preserve">For </w:t>
      </w:r>
      <w:r w:rsidR="005276C9" w:rsidRPr="003928CB">
        <w:rPr>
          <w:rFonts w:ascii="Times New Roman" w:eastAsia="Times New Roman" w:hAnsi="Times New Roman" w:cs="Times New Roman"/>
          <w:sz w:val="24"/>
          <w:szCs w:val="24"/>
        </w:rPr>
        <w:t>this</w:t>
      </w:r>
      <w:r w:rsidR="00B0069B" w:rsidRPr="003928CB">
        <w:rPr>
          <w:rFonts w:ascii="Times New Roman" w:eastAsia="Times New Roman" w:hAnsi="Times New Roman" w:cs="Times New Roman"/>
          <w:sz w:val="24"/>
          <w:szCs w:val="24"/>
        </w:rPr>
        <w:t xml:space="preserve"> </w:t>
      </w:r>
      <w:r w:rsidRPr="003928CB">
        <w:rPr>
          <w:rFonts w:ascii="Times New Roman" w:eastAsia="Times New Roman" w:hAnsi="Times New Roman" w:cs="Times New Roman"/>
          <w:sz w:val="24"/>
          <w:szCs w:val="24"/>
        </w:rPr>
        <w:t>multifactorial investigation in both flocks</w:t>
      </w:r>
      <w:r w:rsidR="00A071FD" w:rsidRPr="003928CB">
        <w:rPr>
          <w:rFonts w:ascii="Times New Roman" w:eastAsia="Times New Roman" w:hAnsi="Times New Roman" w:cs="Times New Roman"/>
          <w:sz w:val="24"/>
          <w:szCs w:val="24"/>
        </w:rPr>
        <w:t xml:space="preserve">, ID Screen® (PPR Competition, ID Vet, Montpellier, France) competitive ELISA kit was employed to detect anti nucleoprotein antibodies following the manufacturer’s instructions. The optical density (OD) values were converted to Competition Percentage (S/N %) using the following formula S/N % = 100×(OD sample/OD negative control). The cut-off for seropositivity used was ≤50 percent as recommended by the manufacturer. For </w:t>
      </w:r>
      <w:r w:rsidR="005276C9" w:rsidRPr="003928CB">
        <w:rPr>
          <w:rFonts w:ascii="Times New Roman" w:eastAsia="Times New Roman" w:hAnsi="Times New Roman" w:cs="Times New Roman"/>
          <w:sz w:val="24"/>
          <w:szCs w:val="24"/>
        </w:rPr>
        <w:t>PPRV</w:t>
      </w:r>
      <w:r w:rsidR="00A071FD" w:rsidRPr="003928CB">
        <w:rPr>
          <w:rFonts w:ascii="Times New Roman" w:eastAsia="Times New Roman" w:hAnsi="Times New Roman" w:cs="Times New Roman"/>
          <w:sz w:val="24"/>
          <w:szCs w:val="24"/>
        </w:rPr>
        <w:t xml:space="preserve"> detection ID</w:t>
      </w:r>
      <w:r w:rsidR="00A071FD" w:rsidRPr="003928CB">
        <w:rPr>
          <w:rFonts w:ascii="Times New Roman" w:eastAsia="Times New Roman" w:hAnsi="Times New Roman" w:cs="Times New Roman"/>
          <w:sz w:val="24"/>
          <w:szCs w:val="24"/>
          <w:shd w:val="clear" w:color="auto" w:fill="FFFFFF"/>
        </w:rPr>
        <w:t xml:space="preserve"> Screen® (PPR Sandwich ELISA test kit IDVet, CIRAD‐EMVT, Montpellier, France) Immune capture ELISA kit was used. The optical density value for each sample, which correlates with the quantity of PPR antigen in the sample, was converted to percentage positivity (P.P</w:t>
      </w:r>
      <w:r w:rsidR="005276C9" w:rsidRPr="003928CB">
        <w:rPr>
          <w:rFonts w:ascii="Times New Roman" w:eastAsia="Times New Roman" w:hAnsi="Times New Roman" w:cs="Times New Roman"/>
          <w:sz w:val="24"/>
          <w:szCs w:val="24"/>
          <w:shd w:val="clear" w:color="auto" w:fill="FFFFFF"/>
        </w:rPr>
        <w:t>) calculated</w:t>
      </w:r>
      <w:r w:rsidR="00A071FD" w:rsidRPr="003928CB">
        <w:rPr>
          <w:rFonts w:ascii="Times New Roman" w:eastAsia="Times New Roman" w:hAnsi="Times New Roman" w:cs="Times New Roman"/>
          <w:sz w:val="24"/>
          <w:szCs w:val="24"/>
          <w:shd w:val="clear" w:color="auto" w:fill="FFFFFF"/>
        </w:rPr>
        <w:t xml:space="preserve"> using formula P.P= 100x(OD of sample-OD of N.C)/ ( O.D of P.C- O.D of N.C,). The samples with P.P values ≥20% were considered positive for PPR virus. </w:t>
      </w:r>
    </w:p>
    <w:p w14:paraId="7903195C" w14:textId="122011F1" w:rsidR="0053556C" w:rsidRPr="003928CB" w:rsidRDefault="0053556C" w:rsidP="003031AC">
      <w:pPr>
        <w:spacing w:line="480" w:lineRule="auto"/>
        <w:jc w:val="both"/>
        <w:rPr>
          <w:rFonts w:ascii="Times New Roman" w:eastAsia="Times New Roman" w:hAnsi="Times New Roman" w:cs="Times New Roman"/>
          <w:sz w:val="24"/>
          <w:szCs w:val="24"/>
          <w:shd w:val="clear" w:color="auto" w:fill="FFFFFF"/>
        </w:rPr>
      </w:pPr>
      <w:r w:rsidRPr="003928CB">
        <w:rPr>
          <w:rFonts w:ascii="Times New Roman" w:eastAsia="Times New Roman" w:hAnsi="Times New Roman" w:cs="Times New Roman"/>
          <w:sz w:val="24"/>
          <w:szCs w:val="24"/>
          <w:shd w:val="clear" w:color="auto" w:fill="FFFFFF"/>
        </w:rPr>
        <w:t xml:space="preserve">Fecal samples were examined by direct microscopy for internal parasites. Blood and nasal swab samples were cultured for bacterial identification. Hematological and biochemical analyses were conducted using automated and semi-automated analyzers, respectively. Descriptive statistics </w:t>
      </w:r>
      <w:r w:rsidRPr="003928CB">
        <w:rPr>
          <w:rFonts w:ascii="Times New Roman" w:eastAsia="Times New Roman" w:hAnsi="Times New Roman" w:cs="Times New Roman"/>
          <w:sz w:val="24"/>
          <w:szCs w:val="24"/>
          <w:shd w:val="clear" w:color="auto" w:fill="FFFFFF"/>
        </w:rPr>
        <w:lastRenderedPageBreak/>
        <w:t xml:space="preserve">were used for data analysis. Spearman's rank correlation (SPSS v.20) was used to </w:t>
      </w:r>
      <w:r w:rsidR="005276C9" w:rsidRPr="003928CB">
        <w:rPr>
          <w:rFonts w:ascii="Times New Roman" w:eastAsia="Times New Roman" w:hAnsi="Times New Roman" w:cs="Times New Roman"/>
          <w:sz w:val="24"/>
          <w:szCs w:val="24"/>
          <w:shd w:val="clear" w:color="auto" w:fill="FFFFFF"/>
        </w:rPr>
        <w:t>assess the</w:t>
      </w:r>
      <w:r w:rsidRPr="003928CB">
        <w:rPr>
          <w:rFonts w:ascii="Times New Roman" w:eastAsia="Times New Roman" w:hAnsi="Times New Roman" w:cs="Times New Roman"/>
          <w:sz w:val="24"/>
          <w:szCs w:val="24"/>
          <w:shd w:val="clear" w:color="auto" w:fill="FFFFFF"/>
        </w:rPr>
        <w:t xml:space="preserve"> relationship between PPRV presence/absence, parasitic infestation, and animal health status.</w:t>
      </w:r>
    </w:p>
    <w:p w14:paraId="06F0D26A" w14:textId="73189C07" w:rsidR="0053556C" w:rsidRPr="003928CB" w:rsidRDefault="00A071FD" w:rsidP="006B6AFD">
      <w:pPr>
        <w:spacing w:line="480" w:lineRule="auto"/>
        <w:jc w:val="center"/>
        <w:rPr>
          <w:rFonts w:ascii="Times New Roman" w:eastAsia="Times New Roman" w:hAnsi="Times New Roman" w:cs="Times New Roman"/>
          <w:b/>
          <w:bCs/>
          <w:sz w:val="24"/>
          <w:szCs w:val="24"/>
        </w:rPr>
      </w:pPr>
      <w:r w:rsidRPr="003928CB">
        <w:rPr>
          <w:rFonts w:ascii="Times New Roman" w:eastAsia="Times New Roman" w:hAnsi="Times New Roman" w:cs="Times New Roman"/>
          <w:b/>
          <w:bCs/>
          <w:sz w:val="24"/>
          <w:szCs w:val="24"/>
        </w:rPr>
        <w:t>R</w:t>
      </w:r>
      <w:r w:rsidR="006B6AFD" w:rsidRPr="003928CB">
        <w:rPr>
          <w:rFonts w:ascii="Times New Roman" w:eastAsia="Times New Roman" w:hAnsi="Times New Roman" w:cs="Times New Roman"/>
          <w:b/>
          <w:bCs/>
          <w:sz w:val="24"/>
          <w:szCs w:val="24"/>
        </w:rPr>
        <w:t>ESULTS AND DISCUSSION</w:t>
      </w:r>
    </w:p>
    <w:p w14:paraId="5FC4E6E0" w14:textId="3B32DC35" w:rsidR="004B377D" w:rsidRPr="003928CB" w:rsidRDefault="004B377D" w:rsidP="003031AC">
      <w:pPr>
        <w:spacing w:line="480" w:lineRule="auto"/>
        <w:jc w:val="both"/>
        <w:rPr>
          <w:rFonts w:ascii="Times New Roman" w:eastAsia="Times New Roman" w:hAnsi="Times New Roman" w:cs="Times New Roman"/>
          <w:sz w:val="24"/>
          <w:szCs w:val="24"/>
        </w:rPr>
      </w:pPr>
      <w:r w:rsidRPr="003928CB">
        <w:rPr>
          <w:rFonts w:ascii="Times New Roman" w:eastAsia="Times New Roman" w:hAnsi="Times New Roman" w:cs="Times New Roman"/>
          <w:sz w:val="24"/>
          <w:szCs w:val="24"/>
        </w:rPr>
        <w:t>Amplification of a 351 bp product specific to the PPRV nucleoprotein gene</w:t>
      </w:r>
      <w:r w:rsidR="009D003D" w:rsidRPr="003928CB">
        <w:rPr>
          <w:rFonts w:ascii="Times New Roman" w:eastAsia="Times New Roman" w:hAnsi="Times New Roman" w:cs="Times New Roman"/>
          <w:sz w:val="24"/>
          <w:szCs w:val="24"/>
        </w:rPr>
        <w:t xml:space="preserve"> (N)</w:t>
      </w:r>
      <w:r w:rsidRPr="003928CB">
        <w:rPr>
          <w:rFonts w:ascii="Times New Roman" w:eastAsia="Times New Roman" w:hAnsi="Times New Roman" w:cs="Times New Roman"/>
          <w:sz w:val="24"/>
          <w:szCs w:val="24"/>
        </w:rPr>
        <w:t xml:space="preserve"> by RT-PCR confirmed the presence of PPRV in the affected flock</w:t>
      </w:r>
      <w:r w:rsidR="0030118E" w:rsidRPr="003928CB">
        <w:rPr>
          <w:rFonts w:ascii="Times New Roman" w:eastAsia="Times New Roman" w:hAnsi="Times New Roman" w:cs="Times New Roman"/>
          <w:sz w:val="24"/>
          <w:szCs w:val="24"/>
        </w:rPr>
        <w:t xml:space="preserve"> (Fig 1)</w:t>
      </w:r>
      <w:r w:rsidRPr="003928CB">
        <w:rPr>
          <w:rFonts w:ascii="Times New Roman" w:eastAsia="Times New Roman" w:hAnsi="Times New Roman" w:cs="Times New Roman"/>
          <w:sz w:val="24"/>
          <w:szCs w:val="24"/>
        </w:rPr>
        <w:t>. This product was detected in blood, nasal, and buccal swab samples collected from the six clinically ill sheep, as well as in tissue samples obtained during necropsy.</w:t>
      </w:r>
    </w:p>
    <w:p w14:paraId="6F505363" w14:textId="77777777" w:rsidR="00643D7E" w:rsidRPr="003928CB" w:rsidRDefault="00643D7E" w:rsidP="003031AC">
      <w:pPr>
        <w:spacing w:line="480" w:lineRule="auto"/>
        <w:jc w:val="both"/>
        <w:rPr>
          <w:rFonts w:ascii="Times New Roman" w:eastAsia="Times New Roman" w:hAnsi="Times New Roman" w:cs="Times New Roman"/>
          <w:sz w:val="24"/>
          <w:szCs w:val="24"/>
        </w:rPr>
      </w:pPr>
    </w:p>
    <w:p w14:paraId="333F7B68" w14:textId="77777777" w:rsidR="00AE4A47" w:rsidRDefault="00AE4A47" w:rsidP="00643D7E">
      <w:pPr>
        <w:spacing w:after="0" w:line="240" w:lineRule="auto"/>
        <w:jc w:val="center"/>
        <w:rPr>
          <w:rFonts w:ascii="Times New Roman" w:eastAsia="Times New Roman" w:hAnsi="Times New Roman" w:cs="Times New Roman"/>
          <w:b/>
          <w:bCs/>
          <w:sz w:val="24"/>
          <w:szCs w:val="24"/>
        </w:rPr>
      </w:pPr>
    </w:p>
    <w:p w14:paraId="0B8E3777" w14:textId="77777777" w:rsidR="00AE4A47" w:rsidRDefault="00AE4A47" w:rsidP="00643D7E">
      <w:pPr>
        <w:spacing w:after="0" w:line="240" w:lineRule="auto"/>
        <w:jc w:val="center"/>
        <w:rPr>
          <w:rFonts w:ascii="Times New Roman" w:eastAsia="Times New Roman" w:hAnsi="Times New Roman" w:cs="Times New Roman"/>
          <w:b/>
          <w:bCs/>
          <w:sz w:val="24"/>
          <w:szCs w:val="24"/>
        </w:rPr>
      </w:pPr>
    </w:p>
    <w:p w14:paraId="1793E9DA" w14:textId="77777777" w:rsidR="00AE4A47" w:rsidRDefault="00AE4A47" w:rsidP="00643D7E">
      <w:pPr>
        <w:spacing w:after="0" w:line="240" w:lineRule="auto"/>
        <w:jc w:val="center"/>
        <w:rPr>
          <w:rFonts w:ascii="Times New Roman" w:eastAsia="Times New Roman" w:hAnsi="Times New Roman" w:cs="Times New Roman"/>
          <w:b/>
          <w:bCs/>
          <w:sz w:val="24"/>
          <w:szCs w:val="24"/>
        </w:rPr>
      </w:pPr>
    </w:p>
    <w:p w14:paraId="08E9715D" w14:textId="69F282E1" w:rsidR="00643D7E" w:rsidRPr="003928CB" w:rsidRDefault="00643D7E" w:rsidP="00643D7E">
      <w:pPr>
        <w:spacing w:after="0" w:line="240" w:lineRule="auto"/>
        <w:jc w:val="center"/>
        <w:rPr>
          <w:rFonts w:ascii="Times New Roman" w:eastAsia="Times New Roman" w:hAnsi="Times New Roman" w:cs="Times New Roman"/>
          <w:sz w:val="24"/>
          <w:szCs w:val="24"/>
        </w:rPr>
      </w:pPr>
      <w:r w:rsidRPr="003928CB">
        <w:rPr>
          <w:rFonts w:ascii="Times New Roman" w:eastAsia="Times New Roman" w:hAnsi="Times New Roman" w:cs="Times New Roman"/>
          <w:b/>
          <w:bCs/>
          <w:sz w:val="24"/>
          <w:szCs w:val="24"/>
        </w:rPr>
        <w:t>Fig1</w:t>
      </w:r>
      <w:r w:rsidRPr="003928CB">
        <w:rPr>
          <w:rFonts w:ascii="Times New Roman" w:eastAsia="Times New Roman" w:hAnsi="Times New Roman" w:cs="Times New Roman"/>
          <w:sz w:val="24"/>
          <w:szCs w:val="24"/>
        </w:rPr>
        <w:t>: Agarose gel electrophoresis of PPRV N gene specific RT-PCR.</w:t>
      </w:r>
    </w:p>
    <w:p w14:paraId="11560D5D" w14:textId="77777777" w:rsidR="00643D7E" w:rsidRPr="003928CB" w:rsidRDefault="00643D7E" w:rsidP="003031AC">
      <w:pPr>
        <w:spacing w:after="0" w:line="480" w:lineRule="auto"/>
        <w:jc w:val="center"/>
        <w:rPr>
          <w:rFonts w:ascii="Times New Roman" w:eastAsia="Times New Roman" w:hAnsi="Times New Roman" w:cs="Times New Roman"/>
          <w:sz w:val="24"/>
          <w:szCs w:val="24"/>
        </w:rPr>
      </w:pPr>
    </w:p>
    <w:p w14:paraId="1FDA0C53" w14:textId="7EAEC204" w:rsidR="00EB7438" w:rsidRPr="003928CB" w:rsidRDefault="00EB7438" w:rsidP="003031AC">
      <w:pPr>
        <w:spacing w:after="0" w:line="480" w:lineRule="auto"/>
        <w:jc w:val="center"/>
        <w:rPr>
          <w:rFonts w:ascii="Times New Roman" w:eastAsia="Times New Roman" w:hAnsi="Times New Roman" w:cs="Times New Roman"/>
          <w:sz w:val="24"/>
          <w:szCs w:val="24"/>
        </w:rPr>
      </w:pPr>
      <w:r w:rsidRPr="003928CB">
        <w:rPr>
          <w:rFonts w:ascii="Times New Roman" w:eastAsia="Times New Roman" w:hAnsi="Times New Roman" w:cs="Times New Roman"/>
          <w:noProof/>
          <w:sz w:val="24"/>
          <w:szCs w:val="24"/>
        </w:rPr>
        <w:drawing>
          <wp:inline distT="0" distB="0" distL="0" distR="0" wp14:anchorId="4B727E09" wp14:editId="34379057">
            <wp:extent cx="4750435" cy="2959100"/>
            <wp:effectExtent l="0" t="0" r="0" b="0"/>
            <wp:docPr id="2" name="Picture 1" descr="C:\Users\User\AppData\Local\Microsoft\Windows\INetCache\Content.Word\PPR  6 samples exported.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PPR  6 samples exported.tif"/>
                    <pic:cNvPicPr>
                      <a:picLocks noChangeAspect="1" noChangeArrowheads="1"/>
                    </pic:cNvPicPr>
                  </pic:nvPicPr>
                  <pic:blipFill>
                    <a:blip r:embed="rId7" cstate="print"/>
                    <a:srcRect/>
                    <a:stretch>
                      <a:fillRect/>
                    </a:stretch>
                  </pic:blipFill>
                  <pic:spPr bwMode="auto">
                    <a:xfrm>
                      <a:off x="0" y="0"/>
                      <a:ext cx="4772676" cy="2972954"/>
                    </a:xfrm>
                    <a:prstGeom prst="rect">
                      <a:avLst/>
                    </a:prstGeom>
                    <a:noFill/>
                    <a:ln w="9525">
                      <a:noFill/>
                      <a:miter lim="800000"/>
                      <a:headEnd/>
                      <a:tailEnd/>
                    </a:ln>
                  </pic:spPr>
                </pic:pic>
              </a:graphicData>
            </a:graphic>
          </wp:inline>
        </w:drawing>
      </w:r>
    </w:p>
    <w:p w14:paraId="24E7D105" w14:textId="1D5686AF" w:rsidR="00643D7E" w:rsidRPr="003928CB" w:rsidRDefault="00643D7E" w:rsidP="00643D7E">
      <w:pPr>
        <w:spacing w:after="0" w:line="240" w:lineRule="auto"/>
        <w:rPr>
          <w:rFonts w:ascii="Times New Roman" w:eastAsia="Times New Roman" w:hAnsi="Times New Roman" w:cs="Times New Roman"/>
          <w:sz w:val="24"/>
          <w:szCs w:val="24"/>
        </w:rPr>
      </w:pPr>
      <w:r w:rsidRPr="003928CB">
        <w:rPr>
          <w:rFonts w:ascii="Times New Roman" w:eastAsia="Times New Roman" w:hAnsi="Times New Roman" w:cs="Times New Roman"/>
          <w:sz w:val="24"/>
          <w:szCs w:val="24"/>
        </w:rPr>
        <w:lastRenderedPageBreak/>
        <w:t xml:space="preserve">Lane </w:t>
      </w:r>
      <w:r w:rsidR="00E13383" w:rsidRPr="003928CB">
        <w:rPr>
          <w:rFonts w:ascii="Times New Roman" w:eastAsia="Times New Roman" w:hAnsi="Times New Roman" w:cs="Times New Roman"/>
          <w:sz w:val="24"/>
          <w:szCs w:val="24"/>
        </w:rPr>
        <w:t>1,</w:t>
      </w:r>
      <w:r w:rsidRPr="003928CB">
        <w:rPr>
          <w:rFonts w:ascii="Times New Roman" w:eastAsia="Times New Roman" w:hAnsi="Times New Roman" w:cs="Times New Roman"/>
          <w:sz w:val="24"/>
          <w:szCs w:val="24"/>
        </w:rPr>
        <w:t>2, 3, 4: Nasal  swab    samples, Lane 5: Spleen sample, Lane 6:    Mesenteric     lymph node,  Lane 8: Positive control, Lane12: Negative control , Lane</w:t>
      </w:r>
      <w:r w:rsidR="00E13383" w:rsidRPr="003928CB">
        <w:rPr>
          <w:rFonts w:ascii="Times New Roman" w:eastAsia="Times New Roman" w:hAnsi="Times New Roman" w:cs="Times New Roman"/>
          <w:sz w:val="24"/>
          <w:szCs w:val="24"/>
        </w:rPr>
        <w:t xml:space="preserve"> </w:t>
      </w:r>
      <w:r w:rsidRPr="003928CB">
        <w:rPr>
          <w:rFonts w:ascii="Times New Roman" w:eastAsia="Times New Roman" w:hAnsi="Times New Roman" w:cs="Times New Roman"/>
          <w:sz w:val="24"/>
          <w:szCs w:val="24"/>
        </w:rPr>
        <w:t>7,9,11: No</w:t>
      </w:r>
      <w:r w:rsidR="00E13383" w:rsidRPr="003928CB">
        <w:rPr>
          <w:rFonts w:ascii="Times New Roman" w:eastAsia="Times New Roman" w:hAnsi="Times New Roman" w:cs="Times New Roman"/>
          <w:sz w:val="24"/>
          <w:szCs w:val="24"/>
        </w:rPr>
        <w:t xml:space="preserve"> </w:t>
      </w:r>
      <w:r w:rsidRPr="003928CB">
        <w:rPr>
          <w:rFonts w:ascii="Times New Roman" w:eastAsia="Times New Roman" w:hAnsi="Times New Roman" w:cs="Times New Roman"/>
          <w:sz w:val="24"/>
          <w:szCs w:val="24"/>
        </w:rPr>
        <w:t xml:space="preserve">sample, Lane  10: 100 bp DNA  molecular weight marker </w:t>
      </w:r>
    </w:p>
    <w:p w14:paraId="4289742C" w14:textId="77777777" w:rsidR="00643D7E" w:rsidRPr="003928CB" w:rsidRDefault="00643D7E" w:rsidP="003031AC">
      <w:pPr>
        <w:spacing w:after="0" w:line="480" w:lineRule="auto"/>
        <w:jc w:val="center"/>
        <w:rPr>
          <w:rFonts w:ascii="Times New Roman" w:eastAsia="Times New Roman" w:hAnsi="Times New Roman" w:cs="Times New Roman"/>
          <w:sz w:val="24"/>
          <w:szCs w:val="24"/>
        </w:rPr>
      </w:pPr>
    </w:p>
    <w:p w14:paraId="59246CB1" w14:textId="45256D0B" w:rsidR="00CA395C" w:rsidRPr="003928CB" w:rsidRDefault="00CA395C" w:rsidP="00A431A7">
      <w:pPr>
        <w:spacing w:after="0" w:line="480" w:lineRule="auto"/>
        <w:jc w:val="both"/>
        <w:rPr>
          <w:rFonts w:ascii="Times New Roman" w:eastAsia="Times New Roman" w:hAnsi="Times New Roman" w:cs="Times New Roman"/>
          <w:sz w:val="24"/>
          <w:szCs w:val="24"/>
        </w:rPr>
      </w:pPr>
      <w:r w:rsidRPr="003928CB">
        <w:rPr>
          <w:rFonts w:ascii="Times New Roman" w:eastAsia="Times New Roman" w:hAnsi="Times New Roman" w:cs="Times New Roman"/>
          <w:sz w:val="24"/>
          <w:szCs w:val="24"/>
        </w:rPr>
        <w:t>The results of multifactorial analysis in both affected and healthy control flock both group-wise and individual animal-wise, are detailed in Table 1. Which includes</w:t>
      </w:r>
      <w:r w:rsidR="00297748" w:rsidRPr="003928CB">
        <w:rPr>
          <w:rFonts w:ascii="Times New Roman" w:eastAsia="Times New Roman" w:hAnsi="Times New Roman" w:cs="Times New Roman"/>
          <w:sz w:val="24"/>
          <w:szCs w:val="24"/>
        </w:rPr>
        <w:t xml:space="preserve"> </w:t>
      </w:r>
      <w:r w:rsidRPr="003928CB">
        <w:rPr>
          <w:rFonts w:ascii="Times New Roman" w:eastAsia="Times New Roman" w:hAnsi="Times New Roman" w:cs="Times New Roman"/>
          <w:sz w:val="24"/>
          <w:szCs w:val="24"/>
        </w:rPr>
        <w:t xml:space="preserve">PPR antibody testing, PPR antigen testing, internal parasitic examination, bacterial culture, hematology, and biochemical analysis, A comparison of the affected and control group is graphically represented in Figure 2.  The results indicated gastrointestinal helminths (Strongyles and Amphistomes) in most of the animals in the affected flock (Group I), but none in the control flocks (Group II). Anemia was observed in the majority of the ailing flock, as well as in some animals in Group II. Leukocytosis, lymphocytosis, and hypoproteinemia were observed in only a few animals of the ailing group. Salmonella and </w:t>
      </w:r>
      <w:r w:rsidRPr="003928CB">
        <w:rPr>
          <w:rFonts w:ascii="Times New Roman" w:eastAsia="Times New Roman" w:hAnsi="Times New Roman" w:cs="Times New Roman"/>
          <w:i/>
          <w:iCs/>
          <w:sz w:val="24"/>
          <w:szCs w:val="24"/>
        </w:rPr>
        <w:t>Staphylococcus aureus</w:t>
      </w:r>
      <w:r w:rsidRPr="003928CB">
        <w:rPr>
          <w:rFonts w:ascii="Times New Roman" w:eastAsia="Times New Roman" w:hAnsi="Times New Roman" w:cs="Times New Roman"/>
          <w:sz w:val="24"/>
          <w:szCs w:val="24"/>
        </w:rPr>
        <w:t xml:space="preserve"> were identified from bacterial cultures in majority of animals in the ailing group. </w:t>
      </w:r>
    </w:p>
    <w:p w14:paraId="040B7EA4" w14:textId="62C9FBCB" w:rsidR="00160564" w:rsidRPr="003928CB" w:rsidRDefault="00160564" w:rsidP="00A431A7">
      <w:pPr>
        <w:spacing w:after="0" w:line="480" w:lineRule="auto"/>
        <w:jc w:val="both"/>
        <w:rPr>
          <w:rFonts w:ascii="Times New Roman" w:eastAsia="Times New Roman" w:hAnsi="Times New Roman" w:cs="Times New Roman"/>
          <w:sz w:val="24"/>
          <w:szCs w:val="24"/>
        </w:rPr>
      </w:pPr>
      <w:r w:rsidRPr="003928CB">
        <w:rPr>
          <w:rFonts w:ascii="Times New Roman" w:eastAsia="Times New Roman" w:hAnsi="Times New Roman" w:cs="Times New Roman"/>
          <w:b/>
          <w:bCs/>
          <w:sz w:val="24"/>
          <w:szCs w:val="24"/>
        </w:rPr>
        <w:t>Table1</w:t>
      </w:r>
      <w:r w:rsidRPr="003928CB">
        <w:rPr>
          <w:rFonts w:ascii="Times New Roman" w:eastAsia="Times New Roman" w:hAnsi="Times New Roman" w:cs="Times New Roman"/>
          <w:sz w:val="24"/>
          <w:szCs w:val="24"/>
        </w:rPr>
        <w:t>: Individual animal wise and groupwise data showing all parametres of the study</w:t>
      </w:r>
    </w:p>
    <w:p w14:paraId="5A4EEC8B" w14:textId="7FA9B7E3" w:rsidR="00160564" w:rsidRPr="003928CB" w:rsidRDefault="00160564" w:rsidP="00A431A7">
      <w:pPr>
        <w:spacing w:after="0" w:line="480" w:lineRule="auto"/>
        <w:jc w:val="both"/>
        <w:rPr>
          <w:rFonts w:ascii="Times New Roman" w:eastAsia="Times New Roman" w:hAnsi="Times New Roman" w:cs="Times New Roman"/>
          <w:sz w:val="24"/>
          <w:szCs w:val="24"/>
        </w:rPr>
      </w:pPr>
      <w:r w:rsidRPr="003928CB">
        <w:rPr>
          <w:noProof/>
        </w:rPr>
        <w:lastRenderedPageBreak/>
        <w:drawing>
          <wp:inline distT="0" distB="0" distL="0" distR="0" wp14:anchorId="12CDCE32" wp14:editId="7FD6472F">
            <wp:extent cx="5943600" cy="7552690"/>
            <wp:effectExtent l="0" t="0" r="0" b="0"/>
            <wp:docPr id="4408189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7552690"/>
                    </a:xfrm>
                    <a:prstGeom prst="rect">
                      <a:avLst/>
                    </a:prstGeom>
                    <a:noFill/>
                    <a:ln>
                      <a:noFill/>
                    </a:ln>
                  </pic:spPr>
                </pic:pic>
              </a:graphicData>
            </a:graphic>
          </wp:inline>
        </w:drawing>
      </w:r>
    </w:p>
    <w:p w14:paraId="2DDEA188" w14:textId="77777777" w:rsidR="00643D7E" w:rsidRPr="003928CB" w:rsidRDefault="00643D7E" w:rsidP="00643D7E">
      <w:pPr>
        <w:spacing w:after="0" w:line="240" w:lineRule="auto"/>
        <w:jc w:val="both"/>
        <w:rPr>
          <w:rFonts w:ascii="Times New Roman" w:eastAsia="Times New Roman" w:hAnsi="Times New Roman" w:cs="Times New Roman"/>
          <w:sz w:val="24"/>
          <w:szCs w:val="24"/>
        </w:rPr>
      </w:pPr>
      <w:r w:rsidRPr="003928CB">
        <w:rPr>
          <w:rFonts w:ascii="Times New Roman" w:eastAsia="Times New Roman" w:hAnsi="Times New Roman" w:cs="Times New Roman"/>
          <w:b/>
          <w:bCs/>
          <w:sz w:val="24"/>
          <w:szCs w:val="24"/>
        </w:rPr>
        <w:t>Fig 2</w:t>
      </w:r>
      <w:r w:rsidRPr="003928CB">
        <w:rPr>
          <w:rFonts w:ascii="Times New Roman" w:eastAsia="Times New Roman" w:hAnsi="Times New Roman" w:cs="Times New Roman"/>
          <w:sz w:val="24"/>
          <w:szCs w:val="24"/>
        </w:rPr>
        <w:t xml:space="preserve">: Graphical representation showing status of PPR antigen, antibody, parasitic infestation and   </w:t>
      </w:r>
    </w:p>
    <w:p w14:paraId="34148E72" w14:textId="38F89581" w:rsidR="00643D7E" w:rsidRPr="003928CB" w:rsidRDefault="00643D7E" w:rsidP="00643D7E">
      <w:pPr>
        <w:spacing w:after="0" w:line="240" w:lineRule="auto"/>
        <w:jc w:val="both"/>
        <w:rPr>
          <w:rFonts w:ascii="Times New Roman" w:eastAsia="Times New Roman" w:hAnsi="Times New Roman" w:cs="Times New Roman"/>
          <w:sz w:val="24"/>
          <w:szCs w:val="24"/>
        </w:rPr>
      </w:pPr>
      <w:r w:rsidRPr="003928CB">
        <w:rPr>
          <w:rFonts w:ascii="Times New Roman" w:eastAsia="Times New Roman" w:hAnsi="Times New Roman" w:cs="Times New Roman"/>
          <w:sz w:val="24"/>
          <w:szCs w:val="24"/>
        </w:rPr>
        <w:lastRenderedPageBreak/>
        <w:t xml:space="preserve">           health status of animals </w:t>
      </w:r>
    </w:p>
    <w:p w14:paraId="671F7AAA" w14:textId="77777777" w:rsidR="00643D7E" w:rsidRPr="003928CB" w:rsidRDefault="00643D7E" w:rsidP="003031AC">
      <w:pPr>
        <w:spacing w:after="0" w:line="480" w:lineRule="auto"/>
        <w:rPr>
          <w:rFonts w:ascii="Times New Roman" w:eastAsia="Times New Roman" w:hAnsi="Times New Roman" w:cs="Times New Roman"/>
          <w:sz w:val="24"/>
          <w:szCs w:val="24"/>
        </w:rPr>
      </w:pPr>
    </w:p>
    <w:p w14:paraId="5ADC1D13" w14:textId="13A975F9" w:rsidR="005F4445" w:rsidRPr="003928CB" w:rsidRDefault="00B14324" w:rsidP="003031AC">
      <w:pPr>
        <w:spacing w:after="0" w:line="480" w:lineRule="auto"/>
        <w:rPr>
          <w:rFonts w:ascii="Times New Roman" w:eastAsia="Times New Roman" w:hAnsi="Times New Roman" w:cs="Times New Roman"/>
          <w:sz w:val="24"/>
          <w:szCs w:val="24"/>
        </w:rPr>
      </w:pPr>
      <w:r w:rsidRPr="003928CB">
        <w:rPr>
          <w:rFonts w:ascii="Times New Roman" w:eastAsia="Times New Roman" w:hAnsi="Times New Roman" w:cs="Times New Roman"/>
          <w:noProof/>
          <w:sz w:val="24"/>
          <w:szCs w:val="24"/>
        </w:rPr>
        <w:drawing>
          <wp:inline distT="0" distB="0" distL="0" distR="0" wp14:anchorId="626AF15D" wp14:editId="3BBA7712">
            <wp:extent cx="2743200" cy="2959100"/>
            <wp:effectExtent l="0" t="0" r="0" b="12700"/>
            <wp:docPr id="2047310239" name="Chart 1">
              <a:extLst xmlns:a="http://schemas.openxmlformats.org/drawingml/2006/main">
                <a:ext uri="{FF2B5EF4-FFF2-40B4-BE49-F238E27FC236}">
                  <a16:creationId xmlns:a16="http://schemas.microsoft.com/office/drawing/2014/main" id="{F4D16004-CB33-4EFE-57D5-43FF68BD958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3928CB">
        <w:rPr>
          <w:rFonts w:ascii="Times New Roman" w:eastAsia="Times New Roman" w:hAnsi="Times New Roman" w:cs="Times New Roman"/>
          <w:noProof/>
          <w:sz w:val="24"/>
          <w:szCs w:val="24"/>
        </w:rPr>
        <w:drawing>
          <wp:inline distT="0" distB="0" distL="0" distR="0" wp14:anchorId="7B76B1CC" wp14:editId="138FCB29">
            <wp:extent cx="2771775" cy="2971800"/>
            <wp:effectExtent l="0" t="0" r="9525" b="0"/>
            <wp:docPr id="542093326" name="Chart 1">
              <a:extLst xmlns:a="http://schemas.openxmlformats.org/drawingml/2006/main">
                <a:ext uri="{FF2B5EF4-FFF2-40B4-BE49-F238E27FC236}">
                  <a16:creationId xmlns:a16="http://schemas.microsoft.com/office/drawing/2014/main" id="{3D70E592-B848-37FD-2702-57D0AA10D3B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95439A5" w14:textId="7C331C61" w:rsidR="005F4445" w:rsidRPr="003928CB" w:rsidRDefault="005F4445" w:rsidP="003D4B80">
      <w:pPr>
        <w:spacing w:after="0" w:line="240" w:lineRule="auto"/>
        <w:jc w:val="both"/>
        <w:rPr>
          <w:rFonts w:ascii="Times New Roman" w:eastAsia="Times New Roman" w:hAnsi="Times New Roman" w:cs="Times New Roman"/>
          <w:sz w:val="24"/>
          <w:szCs w:val="24"/>
        </w:rPr>
      </w:pPr>
      <w:r w:rsidRPr="003928CB">
        <w:rPr>
          <w:rFonts w:ascii="Times New Roman" w:eastAsia="Times New Roman" w:hAnsi="Times New Roman" w:cs="Times New Roman"/>
          <w:sz w:val="24"/>
          <w:szCs w:val="24"/>
        </w:rPr>
        <w:t xml:space="preserve">                              (</w:t>
      </w:r>
      <w:r w:rsidR="006D1785" w:rsidRPr="003928CB">
        <w:rPr>
          <w:rFonts w:ascii="Times New Roman" w:eastAsia="Times New Roman" w:hAnsi="Times New Roman" w:cs="Times New Roman"/>
          <w:sz w:val="24"/>
          <w:szCs w:val="24"/>
        </w:rPr>
        <w:t>2</w:t>
      </w:r>
      <w:r w:rsidR="00B758F3" w:rsidRPr="003928CB">
        <w:rPr>
          <w:rFonts w:ascii="Times New Roman" w:eastAsia="Times New Roman" w:hAnsi="Times New Roman" w:cs="Times New Roman"/>
          <w:sz w:val="24"/>
          <w:szCs w:val="24"/>
        </w:rPr>
        <w:t xml:space="preserve">A)  </w:t>
      </w:r>
      <w:r w:rsidRPr="003928CB">
        <w:rPr>
          <w:rFonts w:ascii="Times New Roman" w:eastAsia="Times New Roman" w:hAnsi="Times New Roman" w:cs="Times New Roman"/>
          <w:sz w:val="24"/>
          <w:szCs w:val="24"/>
        </w:rPr>
        <w:t>                                                                                  (</w:t>
      </w:r>
      <w:r w:rsidR="006D1785" w:rsidRPr="003928CB">
        <w:rPr>
          <w:rFonts w:ascii="Times New Roman" w:eastAsia="Times New Roman" w:hAnsi="Times New Roman" w:cs="Times New Roman"/>
          <w:sz w:val="24"/>
          <w:szCs w:val="24"/>
        </w:rPr>
        <w:t>2</w:t>
      </w:r>
      <w:r w:rsidRPr="003928CB">
        <w:rPr>
          <w:rFonts w:ascii="Times New Roman" w:eastAsia="Times New Roman" w:hAnsi="Times New Roman" w:cs="Times New Roman"/>
          <w:sz w:val="24"/>
          <w:szCs w:val="24"/>
        </w:rPr>
        <w:t>B)</w:t>
      </w:r>
    </w:p>
    <w:p w14:paraId="5221261D" w14:textId="321E0DD3" w:rsidR="005F4445" w:rsidRPr="003928CB" w:rsidRDefault="00643D7E" w:rsidP="003D4B80">
      <w:pPr>
        <w:spacing w:after="0" w:line="240" w:lineRule="auto"/>
        <w:jc w:val="both"/>
        <w:rPr>
          <w:rFonts w:ascii="Times New Roman" w:eastAsia="Times New Roman" w:hAnsi="Times New Roman" w:cs="Times New Roman"/>
          <w:sz w:val="24"/>
          <w:szCs w:val="24"/>
        </w:rPr>
      </w:pPr>
      <w:r w:rsidRPr="003928CB">
        <w:rPr>
          <w:rFonts w:ascii="Times New Roman" w:eastAsia="Times New Roman" w:hAnsi="Times New Roman" w:cs="Times New Roman"/>
          <w:sz w:val="24"/>
          <w:szCs w:val="24"/>
        </w:rPr>
        <w:t xml:space="preserve">                              </w:t>
      </w:r>
      <w:r w:rsidR="005F4445" w:rsidRPr="003928CB">
        <w:rPr>
          <w:rFonts w:ascii="Times New Roman" w:eastAsia="Times New Roman" w:hAnsi="Times New Roman" w:cs="Times New Roman"/>
          <w:sz w:val="24"/>
          <w:szCs w:val="24"/>
        </w:rPr>
        <w:t xml:space="preserve"> </w:t>
      </w:r>
    </w:p>
    <w:p w14:paraId="1685C409" w14:textId="77777777" w:rsidR="00B758F3" w:rsidRPr="003928CB" w:rsidRDefault="00B758F3" w:rsidP="00B758F3">
      <w:pPr>
        <w:spacing w:after="0" w:line="480" w:lineRule="auto"/>
        <w:jc w:val="both"/>
        <w:rPr>
          <w:rFonts w:ascii="Times New Roman" w:eastAsia="Times New Roman" w:hAnsi="Times New Roman" w:cs="Times New Roman"/>
          <w:sz w:val="24"/>
          <w:szCs w:val="24"/>
        </w:rPr>
      </w:pPr>
      <w:r w:rsidRPr="003928CB">
        <w:rPr>
          <w:rFonts w:ascii="Times New Roman" w:eastAsia="Times New Roman" w:hAnsi="Times New Roman" w:cs="Times New Roman"/>
          <w:sz w:val="24"/>
          <w:szCs w:val="24"/>
        </w:rPr>
        <w:t>PPR antibodies were detected in both groups, except in one 3-month-old kid from Group II. Additionally, PPR antibodies were found in some 3–4-month-old lambs, which had not been vaccinated, possibly due to recent exposure to the PPR virus. PPRV antigen was detected in 7 out of 16 animals tested from the affected flock, whereas it was absent in the control flock.</w:t>
      </w:r>
    </w:p>
    <w:p w14:paraId="45B00CCD" w14:textId="6DDF1993" w:rsidR="00CE3AE8" w:rsidRPr="003928CB" w:rsidRDefault="00CE3AE8" w:rsidP="003031AC">
      <w:pPr>
        <w:spacing w:after="0" w:line="480" w:lineRule="auto"/>
        <w:jc w:val="both"/>
        <w:rPr>
          <w:rFonts w:ascii="Times New Roman" w:eastAsia="Times New Roman" w:hAnsi="Times New Roman" w:cs="Times New Roman"/>
          <w:sz w:val="24"/>
          <w:szCs w:val="24"/>
        </w:rPr>
      </w:pPr>
      <w:r w:rsidRPr="003928CB">
        <w:rPr>
          <w:rFonts w:ascii="Times New Roman" w:eastAsia="Times New Roman" w:hAnsi="Times New Roman" w:cs="Times New Roman"/>
          <w:sz w:val="24"/>
          <w:szCs w:val="24"/>
        </w:rPr>
        <w:t xml:space="preserve">Statistical analysis of the data revealed a significant negative correlation (r = -0.479, </w:t>
      </w:r>
      <w:r w:rsidR="00160564" w:rsidRPr="003928CB">
        <w:rPr>
          <w:rFonts w:ascii="Times New Roman" w:eastAsia="Times New Roman" w:hAnsi="Times New Roman" w:cs="Times New Roman"/>
          <w:sz w:val="24"/>
          <w:szCs w:val="24"/>
        </w:rPr>
        <w:t>P</w:t>
      </w:r>
      <w:r w:rsidRPr="003928CB">
        <w:rPr>
          <w:rFonts w:ascii="Times New Roman" w:eastAsia="Times New Roman" w:hAnsi="Times New Roman" w:cs="Times New Roman"/>
          <w:sz w:val="24"/>
          <w:szCs w:val="24"/>
        </w:rPr>
        <w:t xml:space="preserve"> ≤ 0.01) between parasitic infestation and the health condition of animals. In comparison, an even stronger negative correlation (r = -0.624, </w:t>
      </w:r>
      <w:r w:rsidR="00160564" w:rsidRPr="003928CB">
        <w:rPr>
          <w:rFonts w:ascii="Times New Roman" w:eastAsia="Times New Roman" w:hAnsi="Times New Roman" w:cs="Times New Roman"/>
          <w:sz w:val="24"/>
          <w:szCs w:val="24"/>
        </w:rPr>
        <w:t>P</w:t>
      </w:r>
      <w:r w:rsidRPr="003928CB">
        <w:rPr>
          <w:rFonts w:ascii="Times New Roman" w:eastAsia="Times New Roman" w:hAnsi="Times New Roman" w:cs="Times New Roman"/>
          <w:sz w:val="24"/>
          <w:szCs w:val="24"/>
        </w:rPr>
        <w:t xml:space="preserve"> ≤ 0.05) was observed between co-infection (presence of both parasites and PPR virus) and the health condition of animals. However, no significant correlation (r = 0.042) was found between the presence of the PPRV alone and the health condition of animals The results of statistical analysis are detailed in table 2 &amp;3.</w:t>
      </w:r>
    </w:p>
    <w:p w14:paraId="4CDBC7E4" w14:textId="77777777" w:rsidR="003D4B80" w:rsidRPr="003928CB" w:rsidRDefault="003D4B80" w:rsidP="00643D7E">
      <w:pPr>
        <w:spacing w:after="0" w:line="240" w:lineRule="auto"/>
        <w:jc w:val="both"/>
        <w:rPr>
          <w:rFonts w:ascii="Times New Roman" w:eastAsia="Times New Roman" w:hAnsi="Times New Roman" w:cs="Times New Roman"/>
          <w:b/>
          <w:bCs/>
          <w:sz w:val="24"/>
          <w:szCs w:val="24"/>
        </w:rPr>
      </w:pPr>
    </w:p>
    <w:p w14:paraId="55132D98" w14:textId="46051AA3" w:rsidR="00643D7E" w:rsidRPr="003928CB" w:rsidRDefault="00643D7E" w:rsidP="00643D7E">
      <w:pPr>
        <w:spacing w:after="0" w:line="240" w:lineRule="auto"/>
        <w:jc w:val="both"/>
        <w:rPr>
          <w:rFonts w:ascii="Times New Roman" w:eastAsia="Times New Roman" w:hAnsi="Times New Roman" w:cs="Times New Roman"/>
          <w:sz w:val="24"/>
          <w:szCs w:val="24"/>
        </w:rPr>
      </w:pPr>
      <w:r w:rsidRPr="003928CB">
        <w:rPr>
          <w:rFonts w:ascii="Times New Roman" w:eastAsia="Times New Roman" w:hAnsi="Times New Roman" w:cs="Times New Roman"/>
          <w:b/>
          <w:bCs/>
          <w:sz w:val="24"/>
          <w:szCs w:val="24"/>
        </w:rPr>
        <w:t>Table 2:</w:t>
      </w:r>
      <w:r w:rsidRPr="003928CB">
        <w:rPr>
          <w:rFonts w:ascii="Times New Roman" w:eastAsia="Times New Roman" w:hAnsi="Times New Roman" w:cs="Times New Roman"/>
          <w:sz w:val="24"/>
          <w:szCs w:val="24"/>
        </w:rPr>
        <w:t xml:space="preserve"> Correlation analysis between presence /absence of PPR virus, parasitic infestation and </w:t>
      </w:r>
    </w:p>
    <w:p w14:paraId="00D34FFB" w14:textId="5BC9096B" w:rsidR="00CE3AE8" w:rsidRPr="003928CB" w:rsidRDefault="00643D7E" w:rsidP="00643D7E">
      <w:pPr>
        <w:spacing w:after="0" w:line="240" w:lineRule="auto"/>
        <w:jc w:val="both"/>
        <w:rPr>
          <w:rFonts w:ascii="Times New Roman" w:eastAsia="Times New Roman" w:hAnsi="Times New Roman" w:cs="Times New Roman"/>
          <w:sz w:val="24"/>
          <w:szCs w:val="24"/>
        </w:rPr>
      </w:pPr>
      <w:r w:rsidRPr="003928CB">
        <w:rPr>
          <w:rFonts w:ascii="Times New Roman" w:eastAsia="Times New Roman" w:hAnsi="Times New Roman" w:cs="Times New Roman"/>
          <w:sz w:val="24"/>
          <w:szCs w:val="24"/>
        </w:rPr>
        <w:lastRenderedPageBreak/>
        <w:t>               health Condition considering animals of all three groups.</w:t>
      </w:r>
    </w:p>
    <w:p w14:paraId="74075670" w14:textId="77777777" w:rsidR="00643D7E" w:rsidRPr="003928CB" w:rsidRDefault="00643D7E" w:rsidP="00643D7E">
      <w:pPr>
        <w:spacing w:after="0" w:line="240" w:lineRule="auto"/>
        <w:jc w:val="both"/>
        <w:rPr>
          <w:rFonts w:ascii="Times New Roman" w:eastAsia="Times New Roman" w:hAnsi="Times New Roman" w:cs="Times New Roman"/>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3130"/>
        <w:gridCol w:w="1823"/>
        <w:gridCol w:w="2083"/>
        <w:gridCol w:w="2176"/>
      </w:tblGrid>
      <w:tr w:rsidR="003928CB" w:rsidRPr="003928CB" w14:paraId="4157F337" w14:textId="77777777" w:rsidTr="00A071FD">
        <w:trPr>
          <w:trHeight w:val="93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2B7A87" w14:textId="77777777" w:rsidR="00A071FD" w:rsidRPr="003928CB" w:rsidRDefault="00A071FD" w:rsidP="003031AC">
            <w:pPr>
              <w:spacing w:after="0" w:line="480" w:lineRule="auto"/>
              <w:jc w:val="both"/>
              <w:rPr>
                <w:rFonts w:ascii="Times New Roman" w:eastAsia="Times New Roman" w:hAnsi="Times New Roman" w:cs="Times New Roman"/>
                <w:sz w:val="24"/>
                <w:szCs w:val="24"/>
              </w:rPr>
            </w:pPr>
            <w:r w:rsidRPr="003928CB">
              <w:rPr>
                <w:rFonts w:ascii="Times New Roman" w:eastAsia="Times New Roman" w:hAnsi="Times New Roman" w:cs="Times New Roman"/>
                <w:sz w:val="24"/>
                <w:szCs w:val="24"/>
              </w:rPr>
              <w:t>N=25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08397A" w14:textId="77777777" w:rsidR="00A071FD" w:rsidRPr="003928CB" w:rsidRDefault="00A071FD" w:rsidP="003031AC">
            <w:pPr>
              <w:spacing w:after="0" w:line="480" w:lineRule="auto"/>
              <w:jc w:val="both"/>
              <w:rPr>
                <w:rFonts w:ascii="Times New Roman" w:eastAsia="Times New Roman" w:hAnsi="Times New Roman" w:cs="Times New Roman"/>
                <w:sz w:val="24"/>
                <w:szCs w:val="24"/>
              </w:rPr>
            </w:pPr>
            <w:r w:rsidRPr="003928CB">
              <w:rPr>
                <w:rFonts w:ascii="Times New Roman" w:eastAsia="Times New Roman" w:hAnsi="Times New Roman" w:cs="Times New Roman"/>
                <w:sz w:val="24"/>
                <w:szCs w:val="24"/>
              </w:rPr>
              <w:t>Health condition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91CC24" w14:textId="77777777" w:rsidR="00A071FD" w:rsidRPr="003928CB" w:rsidRDefault="00A071FD" w:rsidP="003031AC">
            <w:pPr>
              <w:spacing w:after="0" w:line="480" w:lineRule="auto"/>
              <w:rPr>
                <w:rFonts w:ascii="Times New Roman" w:eastAsia="Times New Roman" w:hAnsi="Times New Roman" w:cs="Times New Roman"/>
                <w:sz w:val="24"/>
                <w:szCs w:val="24"/>
              </w:rPr>
            </w:pPr>
            <w:r w:rsidRPr="003928CB">
              <w:rPr>
                <w:rFonts w:ascii="Times New Roman" w:eastAsia="Times New Roman" w:hAnsi="Times New Roman" w:cs="Times New Roman"/>
                <w:sz w:val="24"/>
                <w:szCs w:val="24"/>
              </w:rPr>
              <w:t>PPR virus presence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518494" w14:textId="77777777" w:rsidR="00A071FD" w:rsidRPr="003928CB" w:rsidRDefault="00A071FD" w:rsidP="003031AC">
            <w:pPr>
              <w:spacing w:after="0" w:line="480" w:lineRule="auto"/>
              <w:jc w:val="both"/>
              <w:rPr>
                <w:rFonts w:ascii="Times New Roman" w:eastAsia="Times New Roman" w:hAnsi="Times New Roman" w:cs="Times New Roman"/>
                <w:sz w:val="24"/>
                <w:szCs w:val="24"/>
              </w:rPr>
            </w:pPr>
            <w:r w:rsidRPr="003928CB">
              <w:rPr>
                <w:rFonts w:ascii="Times New Roman" w:eastAsia="Times New Roman" w:hAnsi="Times New Roman" w:cs="Times New Roman"/>
                <w:sz w:val="24"/>
                <w:szCs w:val="24"/>
              </w:rPr>
              <w:t>Parasitic infestation </w:t>
            </w:r>
          </w:p>
        </w:tc>
      </w:tr>
      <w:tr w:rsidR="003928CB" w:rsidRPr="003928CB" w14:paraId="2A3271FB" w14:textId="77777777" w:rsidTr="00A071FD">
        <w:trPr>
          <w:trHeight w:val="39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1A4977" w14:textId="77777777" w:rsidR="00A071FD" w:rsidRPr="003928CB" w:rsidRDefault="00A071FD" w:rsidP="003031AC">
            <w:pPr>
              <w:spacing w:after="0" w:line="480" w:lineRule="auto"/>
              <w:jc w:val="both"/>
              <w:rPr>
                <w:rFonts w:ascii="Times New Roman" w:eastAsia="Times New Roman" w:hAnsi="Times New Roman" w:cs="Times New Roman"/>
                <w:sz w:val="24"/>
                <w:szCs w:val="24"/>
              </w:rPr>
            </w:pPr>
            <w:r w:rsidRPr="003928CB">
              <w:rPr>
                <w:rFonts w:ascii="Times New Roman" w:eastAsia="Times New Roman" w:hAnsi="Times New Roman" w:cs="Times New Roman"/>
                <w:sz w:val="24"/>
                <w:szCs w:val="24"/>
              </w:rPr>
              <w:t>Health condition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8134D2" w14:textId="77777777" w:rsidR="00A071FD" w:rsidRPr="003928CB" w:rsidRDefault="00A071FD" w:rsidP="003031AC">
            <w:pPr>
              <w:spacing w:after="0" w:line="480" w:lineRule="auto"/>
              <w:jc w:val="both"/>
              <w:rPr>
                <w:rFonts w:ascii="Times New Roman" w:eastAsia="Times New Roman" w:hAnsi="Times New Roman" w:cs="Times New Roman"/>
                <w:sz w:val="24"/>
                <w:szCs w:val="24"/>
              </w:rPr>
            </w:pPr>
            <w:r w:rsidRPr="003928CB">
              <w:rPr>
                <w:rFonts w:ascii="Times New Roman" w:eastAsia="Times New Roman" w:hAnsi="Times New Roman" w:cs="Times New Roman"/>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D426EC" w14:textId="77777777" w:rsidR="00A071FD" w:rsidRPr="003928CB" w:rsidRDefault="00A071FD" w:rsidP="003031AC">
            <w:pPr>
              <w:spacing w:after="0" w:line="480" w:lineRule="auto"/>
              <w:jc w:val="both"/>
              <w:rPr>
                <w:rFonts w:ascii="Times New Roman" w:eastAsia="Times New Roman" w:hAnsi="Times New Roman" w:cs="Times New Roman"/>
                <w:sz w:val="24"/>
                <w:szCs w:val="24"/>
              </w:rPr>
            </w:pPr>
            <w:r w:rsidRPr="003928CB">
              <w:rPr>
                <w:rFonts w:ascii="Times New Roman" w:eastAsia="Times New Roman" w:hAnsi="Times New Roman" w:cs="Times New Roman"/>
                <w:sz w:val="24"/>
                <w:szCs w:val="24"/>
              </w:rPr>
              <w:t>0.042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E5DBEA" w14:textId="77777777" w:rsidR="00A071FD" w:rsidRPr="003928CB" w:rsidRDefault="00A071FD" w:rsidP="003031AC">
            <w:pPr>
              <w:spacing w:after="0" w:line="480" w:lineRule="auto"/>
              <w:jc w:val="both"/>
              <w:rPr>
                <w:rFonts w:ascii="Times New Roman" w:eastAsia="Times New Roman" w:hAnsi="Times New Roman" w:cs="Times New Roman"/>
                <w:sz w:val="24"/>
                <w:szCs w:val="24"/>
              </w:rPr>
            </w:pPr>
            <w:r w:rsidRPr="003928CB">
              <w:rPr>
                <w:rFonts w:ascii="Times New Roman" w:eastAsia="Times New Roman" w:hAnsi="Times New Roman" w:cs="Times New Roman"/>
                <w:sz w:val="24"/>
                <w:szCs w:val="24"/>
              </w:rPr>
              <w:t>-0.479</w:t>
            </w:r>
            <w:r w:rsidRPr="003928CB">
              <w:rPr>
                <w:rFonts w:ascii="Times New Roman" w:eastAsia="Times New Roman" w:hAnsi="Times New Roman" w:cs="Times New Roman"/>
                <w:sz w:val="24"/>
                <w:szCs w:val="24"/>
                <w:vertAlign w:val="superscript"/>
              </w:rPr>
              <w:t>*</w:t>
            </w:r>
          </w:p>
        </w:tc>
      </w:tr>
      <w:tr w:rsidR="003928CB" w:rsidRPr="003928CB" w14:paraId="381EADB9" w14:textId="77777777" w:rsidTr="00A071FD">
        <w:trPr>
          <w:trHeight w:val="39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4B7915" w14:textId="77777777" w:rsidR="00A071FD" w:rsidRPr="003928CB" w:rsidRDefault="00A071FD" w:rsidP="003031AC">
            <w:pPr>
              <w:spacing w:after="0" w:line="480" w:lineRule="auto"/>
              <w:rPr>
                <w:rFonts w:ascii="Times New Roman" w:eastAsia="Times New Roman" w:hAnsi="Times New Roman" w:cs="Times New Roman"/>
                <w:sz w:val="24"/>
                <w:szCs w:val="24"/>
              </w:rPr>
            </w:pPr>
            <w:r w:rsidRPr="003928CB">
              <w:rPr>
                <w:rFonts w:ascii="Times New Roman" w:eastAsia="Times New Roman" w:hAnsi="Times New Roman" w:cs="Times New Roman"/>
                <w:sz w:val="24"/>
                <w:szCs w:val="24"/>
              </w:rPr>
              <w:t>PPR antigen (PPRV) presence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70FEBC" w14:textId="77777777" w:rsidR="00A071FD" w:rsidRPr="003928CB" w:rsidRDefault="00A071FD" w:rsidP="003031AC">
            <w:pPr>
              <w:spacing w:after="0" w:line="48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E93F8C" w14:textId="77777777" w:rsidR="00A071FD" w:rsidRPr="003928CB" w:rsidRDefault="00A071FD" w:rsidP="003031AC">
            <w:pPr>
              <w:spacing w:after="0" w:line="480" w:lineRule="auto"/>
              <w:jc w:val="both"/>
              <w:rPr>
                <w:rFonts w:ascii="Times New Roman" w:eastAsia="Times New Roman" w:hAnsi="Times New Roman" w:cs="Times New Roman"/>
                <w:sz w:val="24"/>
                <w:szCs w:val="24"/>
              </w:rPr>
            </w:pPr>
            <w:r w:rsidRPr="003928CB">
              <w:rPr>
                <w:rFonts w:ascii="Times New Roman" w:eastAsia="Times New Roman" w:hAnsi="Times New Roman" w:cs="Times New Roman"/>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37C21D" w14:textId="77777777" w:rsidR="00A071FD" w:rsidRPr="003928CB" w:rsidRDefault="00A071FD" w:rsidP="003031AC">
            <w:pPr>
              <w:spacing w:after="0" w:line="480" w:lineRule="auto"/>
              <w:jc w:val="both"/>
              <w:rPr>
                <w:rFonts w:ascii="Times New Roman" w:eastAsia="Times New Roman" w:hAnsi="Times New Roman" w:cs="Times New Roman"/>
                <w:sz w:val="24"/>
                <w:szCs w:val="24"/>
              </w:rPr>
            </w:pPr>
            <w:r w:rsidRPr="003928CB">
              <w:rPr>
                <w:rFonts w:ascii="Times New Roman" w:eastAsia="Times New Roman" w:hAnsi="Times New Roman" w:cs="Times New Roman"/>
                <w:sz w:val="24"/>
                <w:szCs w:val="24"/>
              </w:rPr>
              <w:t>-0.215</w:t>
            </w:r>
          </w:p>
        </w:tc>
      </w:tr>
      <w:tr w:rsidR="003928CB" w:rsidRPr="003928CB" w14:paraId="78C8BE31" w14:textId="77777777" w:rsidTr="00A071FD">
        <w:trPr>
          <w:trHeight w:val="39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FB6E39" w14:textId="77777777" w:rsidR="00A071FD" w:rsidRPr="003928CB" w:rsidRDefault="00A071FD" w:rsidP="003031AC">
            <w:pPr>
              <w:spacing w:after="0" w:line="480" w:lineRule="auto"/>
              <w:jc w:val="both"/>
              <w:rPr>
                <w:rFonts w:ascii="Times New Roman" w:eastAsia="Times New Roman" w:hAnsi="Times New Roman" w:cs="Times New Roman"/>
                <w:sz w:val="24"/>
                <w:szCs w:val="24"/>
              </w:rPr>
            </w:pPr>
            <w:r w:rsidRPr="003928CB">
              <w:rPr>
                <w:rFonts w:ascii="Times New Roman" w:eastAsia="Times New Roman" w:hAnsi="Times New Roman" w:cs="Times New Roman"/>
                <w:sz w:val="24"/>
                <w:szCs w:val="24"/>
              </w:rPr>
              <w:t>Worm burden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C03648" w14:textId="77777777" w:rsidR="00A071FD" w:rsidRPr="003928CB" w:rsidRDefault="00A071FD" w:rsidP="003031AC">
            <w:pPr>
              <w:spacing w:after="0" w:line="48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EF3D20" w14:textId="77777777" w:rsidR="00A071FD" w:rsidRPr="003928CB" w:rsidRDefault="00A071FD" w:rsidP="003031AC">
            <w:pPr>
              <w:spacing w:after="0" w:line="48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08CDB6" w14:textId="77777777" w:rsidR="00A071FD" w:rsidRPr="003928CB" w:rsidRDefault="00A071FD" w:rsidP="003031AC">
            <w:pPr>
              <w:spacing w:after="0" w:line="480" w:lineRule="auto"/>
              <w:jc w:val="both"/>
              <w:rPr>
                <w:rFonts w:ascii="Times New Roman" w:eastAsia="Times New Roman" w:hAnsi="Times New Roman" w:cs="Times New Roman"/>
                <w:sz w:val="24"/>
                <w:szCs w:val="24"/>
              </w:rPr>
            </w:pPr>
            <w:r w:rsidRPr="003928CB">
              <w:rPr>
                <w:rFonts w:ascii="Times New Roman" w:eastAsia="Times New Roman" w:hAnsi="Times New Roman" w:cs="Times New Roman"/>
                <w:sz w:val="24"/>
                <w:szCs w:val="24"/>
              </w:rPr>
              <w:t>1</w:t>
            </w:r>
          </w:p>
        </w:tc>
      </w:tr>
    </w:tbl>
    <w:p w14:paraId="48356067" w14:textId="77777777" w:rsidR="00A071FD" w:rsidRPr="003928CB" w:rsidRDefault="00A071FD" w:rsidP="003031AC">
      <w:pPr>
        <w:spacing w:after="0" w:line="480" w:lineRule="auto"/>
        <w:jc w:val="both"/>
        <w:rPr>
          <w:rFonts w:ascii="Times New Roman" w:eastAsia="Times New Roman" w:hAnsi="Times New Roman" w:cs="Times New Roman"/>
          <w:sz w:val="24"/>
          <w:szCs w:val="24"/>
        </w:rPr>
      </w:pPr>
      <w:r w:rsidRPr="003928CB">
        <w:rPr>
          <w:rFonts w:ascii="Times New Roman" w:eastAsia="Times New Roman" w:hAnsi="Times New Roman" w:cs="Times New Roman"/>
          <w:sz w:val="24"/>
          <w:szCs w:val="24"/>
        </w:rPr>
        <w:t>* Indicates correlation is significant at P≤ 0.01</w:t>
      </w:r>
    </w:p>
    <w:p w14:paraId="168C6605" w14:textId="77777777" w:rsidR="00643D7E" w:rsidRPr="003928CB" w:rsidRDefault="00643D7E" w:rsidP="003031AC">
      <w:pPr>
        <w:spacing w:after="0" w:line="480" w:lineRule="auto"/>
        <w:jc w:val="both"/>
        <w:rPr>
          <w:rFonts w:ascii="Times New Roman" w:eastAsia="Times New Roman" w:hAnsi="Times New Roman" w:cs="Times New Roman"/>
          <w:sz w:val="24"/>
          <w:szCs w:val="24"/>
        </w:rPr>
      </w:pPr>
    </w:p>
    <w:p w14:paraId="11854BD3" w14:textId="77777777" w:rsidR="00643D7E" w:rsidRPr="003928CB" w:rsidRDefault="00643D7E" w:rsidP="00643D7E">
      <w:pPr>
        <w:spacing w:after="0" w:line="240" w:lineRule="auto"/>
        <w:jc w:val="both"/>
        <w:rPr>
          <w:rFonts w:ascii="Times New Roman" w:eastAsia="Times New Roman" w:hAnsi="Times New Roman" w:cs="Times New Roman"/>
          <w:sz w:val="24"/>
          <w:szCs w:val="24"/>
        </w:rPr>
      </w:pPr>
      <w:r w:rsidRPr="003928CB">
        <w:rPr>
          <w:rFonts w:ascii="Times New Roman" w:eastAsia="Times New Roman" w:hAnsi="Times New Roman" w:cs="Times New Roman"/>
          <w:b/>
          <w:bCs/>
          <w:sz w:val="24"/>
          <w:szCs w:val="24"/>
        </w:rPr>
        <w:t>Table 3:</w:t>
      </w:r>
      <w:r w:rsidRPr="003928CB">
        <w:rPr>
          <w:rFonts w:ascii="Times New Roman" w:eastAsia="Times New Roman" w:hAnsi="Times New Roman" w:cs="Times New Roman"/>
          <w:sz w:val="24"/>
          <w:szCs w:val="24"/>
        </w:rPr>
        <w:t xml:space="preserve"> Correlation analysis between co infection of PPR virus, worm burden and health  </w:t>
      </w:r>
    </w:p>
    <w:p w14:paraId="41BAA8F5" w14:textId="77777777" w:rsidR="00643D7E" w:rsidRPr="003928CB" w:rsidRDefault="00643D7E" w:rsidP="00643D7E">
      <w:pPr>
        <w:spacing w:after="0" w:line="240" w:lineRule="auto"/>
        <w:jc w:val="both"/>
        <w:rPr>
          <w:rFonts w:ascii="Times New Roman" w:eastAsia="Times New Roman" w:hAnsi="Times New Roman" w:cs="Times New Roman"/>
          <w:sz w:val="24"/>
          <w:szCs w:val="24"/>
        </w:rPr>
      </w:pPr>
      <w:r w:rsidRPr="003928CB">
        <w:rPr>
          <w:rFonts w:ascii="Times New Roman" w:eastAsia="Times New Roman" w:hAnsi="Times New Roman" w:cs="Times New Roman"/>
          <w:sz w:val="24"/>
          <w:szCs w:val="24"/>
        </w:rPr>
        <w:t>              condition </w:t>
      </w:r>
    </w:p>
    <w:tbl>
      <w:tblPr>
        <w:tblW w:w="0" w:type="auto"/>
        <w:jc w:val="center"/>
        <w:tblCellMar>
          <w:top w:w="15" w:type="dxa"/>
          <w:left w:w="15" w:type="dxa"/>
          <w:bottom w:w="15" w:type="dxa"/>
          <w:right w:w="15" w:type="dxa"/>
        </w:tblCellMar>
        <w:tblLook w:val="04A0" w:firstRow="1" w:lastRow="0" w:firstColumn="1" w:lastColumn="0" w:noHBand="0" w:noVBand="1"/>
      </w:tblPr>
      <w:tblGrid>
        <w:gridCol w:w="3210"/>
        <w:gridCol w:w="4762"/>
      </w:tblGrid>
      <w:tr w:rsidR="003928CB" w:rsidRPr="003928CB" w14:paraId="44DD902F" w14:textId="77777777" w:rsidTr="00743CA7">
        <w:trPr>
          <w:trHeight w:val="512"/>
          <w:jc w:val="center"/>
        </w:trPr>
        <w:tc>
          <w:tcPr>
            <w:tcW w:w="3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E3EC4F" w14:textId="77777777" w:rsidR="00A071FD" w:rsidRPr="003928CB" w:rsidRDefault="00A071FD" w:rsidP="003031AC">
            <w:pPr>
              <w:spacing w:after="0" w:line="480" w:lineRule="auto"/>
              <w:jc w:val="both"/>
              <w:rPr>
                <w:rFonts w:ascii="Times New Roman" w:eastAsia="Times New Roman" w:hAnsi="Times New Roman" w:cs="Times New Roman"/>
                <w:sz w:val="24"/>
                <w:szCs w:val="24"/>
              </w:rPr>
            </w:pPr>
            <w:r w:rsidRPr="003928CB">
              <w:rPr>
                <w:rFonts w:ascii="Times New Roman" w:eastAsia="Times New Roman" w:hAnsi="Times New Roman" w:cs="Times New Roman"/>
                <w:sz w:val="24"/>
                <w:szCs w:val="24"/>
              </w:rPr>
              <w:t>N=11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ED4E31" w14:textId="77777777" w:rsidR="00A071FD" w:rsidRPr="003928CB" w:rsidRDefault="00A071FD" w:rsidP="003031AC">
            <w:pPr>
              <w:spacing w:after="0" w:line="480" w:lineRule="auto"/>
              <w:rPr>
                <w:rFonts w:ascii="Times New Roman" w:eastAsia="Times New Roman" w:hAnsi="Times New Roman" w:cs="Times New Roman"/>
                <w:sz w:val="24"/>
                <w:szCs w:val="24"/>
              </w:rPr>
            </w:pPr>
            <w:r w:rsidRPr="003928CB">
              <w:rPr>
                <w:rFonts w:ascii="Times New Roman" w:eastAsia="Times New Roman" w:hAnsi="Times New Roman" w:cs="Times New Roman"/>
                <w:sz w:val="24"/>
                <w:szCs w:val="24"/>
              </w:rPr>
              <w:t>Co -infection of PPRV and parasitic infestation</w:t>
            </w:r>
          </w:p>
        </w:tc>
      </w:tr>
      <w:tr w:rsidR="003928CB" w:rsidRPr="003928CB" w14:paraId="64861B55" w14:textId="77777777" w:rsidTr="00743CA7">
        <w:trPr>
          <w:trHeight w:val="717"/>
          <w:jc w:val="center"/>
        </w:trPr>
        <w:tc>
          <w:tcPr>
            <w:tcW w:w="3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F12183" w14:textId="77777777" w:rsidR="00A071FD" w:rsidRPr="003928CB" w:rsidRDefault="00A071FD" w:rsidP="003031AC">
            <w:pPr>
              <w:spacing w:after="0" w:line="480" w:lineRule="auto"/>
              <w:rPr>
                <w:rFonts w:ascii="Times New Roman" w:eastAsia="Times New Roman" w:hAnsi="Times New Roman" w:cs="Times New Roman"/>
                <w:sz w:val="24"/>
                <w:szCs w:val="24"/>
              </w:rPr>
            </w:pPr>
          </w:p>
          <w:p w14:paraId="779F482C" w14:textId="77777777" w:rsidR="00A071FD" w:rsidRPr="003928CB" w:rsidRDefault="00A071FD" w:rsidP="003031AC">
            <w:pPr>
              <w:spacing w:after="0" w:line="480" w:lineRule="auto"/>
              <w:jc w:val="both"/>
              <w:rPr>
                <w:rFonts w:ascii="Times New Roman" w:eastAsia="Times New Roman" w:hAnsi="Times New Roman" w:cs="Times New Roman"/>
                <w:sz w:val="24"/>
                <w:szCs w:val="24"/>
              </w:rPr>
            </w:pPr>
            <w:r w:rsidRPr="003928CB">
              <w:rPr>
                <w:rFonts w:ascii="Times New Roman" w:eastAsia="Times New Roman" w:hAnsi="Times New Roman" w:cs="Times New Roman"/>
                <w:sz w:val="24"/>
                <w:szCs w:val="24"/>
              </w:rPr>
              <w:t>Health condition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A0B8EC" w14:textId="77777777" w:rsidR="00A071FD" w:rsidRPr="003928CB" w:rsidRDefault="00A071FD" w:rsidP="003031AC">
            <w:pPr>
              <w:spacing w:after="0" w:line="480" w:lineRule="auto"/>
              <w:rPr>
                <w:rFonts w:ascii="Times New Roman" w:eastAsia="Times New Roman" w:hAnsi="Times New Roman" w:cs="Times New Roman"/>
                <w:sz w:val="24"/>
                <w:szCs w:val="24"/>
              </w:rPr>
            </w:pPr>
          </w:p>
          <w:p w14:paraId="14E306BC" w14:textId="77777777" w:rsidR="00A071FD" w:rsidRPr="003928CB" w:rsidRDefault="00A071FD" w:rsidP="003031AC">
            <w:pPr>
              <w:spacing w:after="0" w:line="480" w:lineRule="auto"/>
              <w:ind w:left="1080"/>
              <w:jc w:val="both"/>
              <w:rPr>
                <w:rFonts w:ascii="Times New Roman" w:eastAsia="Times New Roman" w:hAnsi="Times New Roman" w:cs="Times New Roman"/>
                <w:sz w:val="24"/>
                <w:szCs w:val="24"/>
              </w:rPr>
            </w:pPr>
            <w:r w:rsidRPr="003928CB">
              <w:rPr>
                <w:rFonts w:ascii="Times New Roman" w:eastAsia="Times New Roman" w:hAnsi="Times New Roman" w:cs="Times New Roman"/>
                <w:sz w:val="24"/>
                <w:szCs w:val="24"/>
              </w:rPr>
              <w:t>-0.624</w:t>
            </w:r>
            <w:r w:rsidRPr="003928CB">
              <w:rPr>
                <w:rFonts w:ascii="Times New Roman" w:eastAsia="Times New Roman" w:hAnsi="Times New Roman" w:cs="Times New Roman"/>
                <w:sz w:val="24"/>
                <w:szCs w:val="24"/>
                <w:vertAlign w:val="superscript"/>
              </w:rPr>
              <w:t>**</w:t>
            </w:r>
          </w:p>
        </w:tc>
      </w:tr>
    </w:tbl>
    <w:p w14:paraId="07D37F33" w14:textId="77777777" w:rsidR="00A071FD" w:rsidRPr="003928CB" w:rsidRDefault="009D003D" w:rsidP="003031AC">
      <w:pPr>
        <w:spacing w:after="0" w:line="480" w:lineRule="auto"/>
        <w:jc w:val="both"/>
        <w:rPr>
          <w:rFonts w:ascii="Times New Roman" w:eastAsia="Times New Roman" w:hAnsi="Times New Roman" w:cs="Times New Roman"/>
          <w:sz w:val="24"/>
          <w:szCs w:val="24"/>
        </w:rPr>
      </w:pPr>
      <w:r w:rsidRPr="003928CB">
        <w:rPr>
          <w:rFonts w:ascii="Times New Roman" w:eastAsia="Times New Roman" w:hAnsi="Times New Roman" w:cs="Times New Roman"/>
          <w:sz w:val="24"/>
          <w:szCs w:val="24"/>
        </w:rPr>
        <w:t xml:space="preserve">          </w:t>
      </w:r>
      <w:r w:rsidR="00A071FD" w:rsidRPr="003928CB">
        <w:rPr>
          <w:rFonts w:ascii="Times New Roman" w:eastAsia="Times New Roman" w:hAnsi="Times New Roman" w:cs="Times New Roman"/>
          <w:sz w:val="24"/>
          <w:szCs w:val="24"/>
        </w:rPr>
        <w:t>**Indicates correlation is significant at P≤ 0.05</w:t>
      </w:r>
    </w:p>
    <w:p w14:paraId="32756B60" w14:textId="22E50E72" w:rsidR="00EF61A0" w:rsidRPr="003928CB" w:rsidRDefault="00EF61A0" w:rsidP="003031AC">
      <w:pPr>
        <w:spacing w:before="280" w:after="280" w:line="480" w:lineRule="auto"/>
        <w:jc w:val="both"/>
        <w:rPr>
          <w:rFonts w:ascii="Times New Roman" w:eastAsia="Times New Roman" w:hAnsi="Times New Roman" w:cs="Times New Roman"/>
          <w:sz w:val="24"/>
          <w:szCs w:val="24"/>
          <w:lang w:val="en-IN"/>
        </w:rPr>
      </w:pPr>
      <w:r w:rsidRPr="003928CB">
        <w:rPr>
          <w:rFonts w:ascii="Times New Roman" w:eastAsia="Times New Roman" w:hAnsi="Times New Roman" w:cs="Times New Roman"/>
          <w:sz w:val="24"/>
          <w:szCs w:val="24"/>
          <w:lang w:val="en-IN"/>
        </w:rPr>
        <w:t>PPR vaccination significantly reduces mortality in sheep and goats. Similar findings have been reported in several previous studies on the effectiveness of PPR vaccination in controlling morbidity and mortality in these animals. Nuvey et al. (2022) observed mean protection rates of 94% against PPRV infection and 100% against PPR-associated mortality in goats under controlled experimental conditions (</w:t>
      </w:r>
      <w:r w:rsidR="00B758F3" w:rsidRPr="003928CB">
        <w:rPr>
          <w:rFonts w:ascii="Times New Roman" w:eastAsia="Times New Roman" w:hAnsi="Times New Roman" w:cs="Times New Roman"/>
          <w:sz w:val="24"/>
          <w:szCs w:val="24"/>
          <w:lang w:val="en-IN"/>
        </w:rPr>
        <w:t xml:space="preserve">under </w:t>
      </w:r>
      <w:r w:rsidRPr="003928CB">
        <w:rPr>
          <w:rFonts w:ascii="Times New Roman" w:eastAsia="Times New Roman" w:hAnsi="Times New Roman" w:cs="Times New Roman"/>
          <w:sz w:val="24"/>
          <w:szCs w:val="24"/>
          <w:lang w:val="en-IN"/>
        </w:rPr>
        <w:t>clinical</w:t>
      </w:r>
      <w:r w:rsidR="00B758F3" w:rsidRPr="003928CB">
        <w:rPr>
          <w:rFonts w:ascii="Times New Roman" w:eastAsia="Times New Roman" w:hAnsi="Times New Roman" w:cs="Times New Roman"/>
          <w:sz w:val="24"/>
          <w:szCs w:val="24"/>
          <w:lang w:val="en-IN"/>
        </w:rPr>
        <w:t xml:space="preserve"> </w:t>
      </w:r>
      <w:r w:rsidRPr="003928CB">
        <w:rPr>
          <w:rFonts w:ascii="Times New Roman" w:eastAsia="Times New Roman" w:hAnsi="Times New Roman" w:cs="Times New Roman"/>
          <w:sz w:val="24"/>
          <w:szCs w:val="24"/>
          <w:lang w:val="en-IN"/>
        </w:rPr>
        <w:t>trials). In natural settings, the observed protection rates were 91% against PPRV infection and 31% against PPR-related mortality in both sheep and goats (Catley et al. 2009). In natural environments, animal health is likely to be negatively impacted by multiple factors such as high gastrointestinal helminth infestations, concurrent viral and bacterial infections, malnutrition, and various environmental stressors.</w:t>
      </w:r>
    </w:p>
    <w:p w14:paraId="6C7A3793" w14:textId="00B13BF7" w:rsidR="00CE3AE8" w:rsidRPr="003928CB" w:rsidRDefault="00CE3AE8" w:rsidP="003031AC">
      <w:pPr>
        <w:spacing w:before="280" w:after="280" w:line="480" w:lineRule="auto"/>
        <w:jc w:val="both"/>
        <w:rPr>
          <w:rFonts w:ascii="Times New Roman" w:eastAsia="Times New Roman" w:hAnsi="Times New Roman" w:cs="Times New Roman"/>
          <w:sz w:val="24"/>
          <w:szCs w:val="24"/>
        </w:rPr>
      </w:pPr>
      <w:r w:rsidRPr="003928CB">
        <w:rPr>
          <w:rFonts w:ascii="Times New Roman" w:eastAsia="Times New Roman" w:hAnsi="Times New Roman" w:cs="Times New Roman"/>
          <w:sz w:val="24"/>
          <w:szCs w:val="24"/>
        </w:rPr>
        <w:lastRenderedPageBreak/>
        <w:t>This study suggests that the presence of PPR virus, gastrointestinal helminths, and secondary bacterial infections contributed to mortality in the affected flock. Gastrointestinal parasites such as strongyles and amphistomes impair nutrient absorption, potentially leading to anemia and hypoproteinemia (Coop et al. 1996</w:t>
      </w:r>
      <w:r w:rsidR="00160564" w:rsidRPr="003928CB">
        <w:rPr>
          <w:rFonts w:ascii="Times New Roman" w:eastAsia="Times New Roman" w:hAnsi="Times New Roman" w:cs="Times New Roman"/>
          <w:sz w:val="24"/>
          <w:szCs w:val="24"/>
        </w:rPr>
        <w:t xml:space="preserve"> and </w:t>
      </w:r>
      <w:r w:rsidRPr="003928CB">
        <w:rPr>
          <w:rFonts w:ascii="Times New Roman" w:eastAsia="Times New Roman" w:hAnsi="Times New Roman" w:cs="Times New Roman"/>
          <w:sz w:val="24"/>
          <w:szCs w:val="24"/>
        </w:rPr>
        <w:t xml:space="preserve"> Harvatine et al. 2023). Furthermore, animals in the affected group tested positive for PPR virus and secondary bacterial infections, including </w:t>
      </w:r>
      <w:r w:rsidRPr="003928CB">
        <w:rPr>
          <w:rFonts w:ascii="Times New Roman" w:eastAsia="Times New Roman" w:hAnsi="Times New Roman" w:cs="Times New Roman"/>
          <w:i/>
          <w:iCs/>
          <w:sz w:val="24"/>
          <w:szCs w:val="24"/>
        </w:rPr>
        <w:t>Salmonella</w:t>
      </w:r>
      <w:r w:rsidRPr="003928CB">
        <w:rPr>
          <w:rFonts w:ascii="Times New Roman" w:eastAsia="Times New Roman" w:hAnsi="Times New Roman" w:cs="Times New Roman"/>
          <w:sz w:val="24"/>
          <w:szCs w:val="24"/>
        </w:rPr>
        <w:t xml:space="preserve"> and </w:t>
      </w:r>
      <w:r w:rsidRPr="003928CB">
        <w:rPr>
          <w:rFonts w:ascii="Times New Roman" w:eastAsia="Times New Roman" w:hAnsi="Times New Roman" w:cs="Times New Roman"/>
          <w:i/>
          <w:iCs/>
          <w:sz w:val="24"/>
          <w:szCs w:val="24"/>
        </w:rPr>
        <w:t>Staphylococcus aureus</w:t>
      </w:r>
      <w:r w:rsidRPr="003928CB">
        <w:rPr>
          <w:rFonts w:ascii="Times New Roman" w:eastAsia="Times New Roman" w:hAnsi="Times New Roman" w:cs="Times New Roman"/>
          <w:sz w:val="24"/>
          <w:szCs w:val="24"/>
        </w:rPr>
        <w:t>, which may have resulted in increased lymphocyte and leukocyte counts.</w:t>
      </w:r>
    </w:p>
    <w:p w14:paraId="27B2EF6D" w14:textId="469A0A34" w:rsidR="00CE3AE8" w:rsidRPr="003928CB" w:rsidRDefault="00CE3AE8" w:rsidP="003031AC">
      <w:pPr>
        <w:spacing w:before="280" w:after="280" w:line="480" w:lineRule="auto"/>
        <w:jc w:val="both"/>
        <w:rPr>
          <w:rFonts w:ascii="Times New Roman" w:eastAsia="Times New Roman" w:hAnsi="Times New Roman" w:cs="Times New Roman"/>
          <w:sz w:val="24"/>
          <w:szCs w:val="24"/>
        </w:rPr>
      </w:pPr>
      <w:r w:rsidRPr="003928CB">
        <w:rPr>
          <w:rFonts w:ascii="Times New Roman" w:eastAsia="Times New Roman" w:hAnsi="Times New Roman" w:cs="Times New Roman"/>
          <w:sz w:val="24"/>
          <w:szCs w:val="24"/>
        </w:rPr>
        <w:t>The mortality observed in vaccinated animals could be attributed to immunosuppression induced by parasitic infestations, making them more susceptible to PPRV infection and secondary bacterial complications. As reported by Desal et al. (2021), enteric helminth co-infection can exacerbate viral infections by enhancing their transmission and severity. Severe parasitic infestations may also induce physiological stress, triggering the release of cortisol, a glucocorticoid hormone that negatively impacts immune function (Fleming</w:t>
      </w:r>
      <w:r w:rsidR="00160564" w:rsidRPr="003928CB">
        <w:rPr>
          <w:rFonts w:ascii="Times New Roman" w:eastAsia="Times New Roman" w:hAnsi="Times New Roman" w:cs="Times New Roman"/>
          <w:sz w:val="24"/>
          <w:szCs w:val="24"/>
        </w:rPr>
        <w:t>.</w:t>
      </w:r>
      <w:r w:rsidRPr="003928CB">
        <w:rPr>
          <w:rFonts w:ascii="Times New Roman" w:eastAsia="Times New Roman" w:hAnsi="Times New Roman" w:cs="Times New Roman"/>
          <w:sz w:val="24"/>
          <w:szCs w:val="24"/>
        </w:rPr>
        <w:t xml:space="preserve"> 1997). However, the presence of PPR antibodies in all animals within the flock suggests an adequate vaccine response, indicating that clinical illness and mortality were unlikely due to inadequate or improper vaccination</w:t>
      </w:r>
    </w:p>
    <w:p w14:paraId="7F9E9C7B" w14:textId="7B8AA9DF" w:rsidR="009E11B3" w:rsidRPr="003928CB" w:rsidRDefault="009E11B3" w:rsidP="003031AC">
      <w:pPr>
        <w:pStyle w:val="NormalWeb"/>
        <w:spacing w:line="480" w:lineRule="auto"/>
        <w:jc w:val="both"/>
      </w:pPr>
      <w:r w:rsidRPr="003928CB">
        <w:t xml:space="preserve">Although PPRV antigen was detected in most affected animals, the clinical signs observed were not typical of classical PPR. </w:t>
      </w:r>
      <w:r w:rsidR="006A449C" w:rsidRPr="003928CB">
        <w:t>R</w:t>
      </w:r>
      <w:r w:rsidRPr="003928CB">
        <w:t xml:space="preserve">espiratory signs were </w:t>
      </w:r>
      <w:r w:rsidR="006A449C" w:rsidRPr="003928CB">
        <w:t xml:space="preserve">not </w:t>
      </w:r>
      <w:r w:rsidRPr="003928CB">
        <w:t xml:space="preserve">present in the flock. Instead, the only symptoms noted were pyrexia, weakness, hair loss, </w:t>
      </w:r>
      <w:r w:rsidR="006A449C" w:rsidRPr="003928CB">
        <w:t xml:space="preserve">and occasionally diarrhoea, </w:t>
      </w:r>
      <w:r w:rsidRPr="003928CB">
        <w:t xml:space="preserve">suggesting a possible shift in the disease pattern. </w:t>
      </w:r>
      <w:r w:rsidR="00F80CC9" w:rsidRPr="003928CB">
        <w:rPr>
          <w:lang w:val="en-US"/>
        </w:rPr>
        <w:t>In Andhra Pradesh, annual PPR vaccinations have been conducted for several years as part of the PPR Control Program (PPRCP). In 2023, the PPR Eradication Program (PPREP) was initiated, during which a baseline survey before actual vaccination was conducted to assess herd immunity levels. The survey determined that the pre-</w:t>
      </w:r>
      <w:r w:rsidR="00F80CC9" w:rsidRPr="003928CB">
        <w:rPr>
          <w:lang w:val="en-US"/>
        </w:rPr>
        <w:lastRenderedPageBreak/>
        <w:t>vaccination herd immunity in Andhra Pradesh was 63% (Unpublished data).</w:t>
      </w:r>
      <w:r w:rsidRPr="003928CB">
        <w:t xml:space="preserve"> This widespread vaccination coverage may have mitigated the severity of clinical manifestations, altering the typical presentation of PPR and preventing the occurrence of severe respiratory and gastrointestinal signs commonly associated with the disease. Vaccination strategies implemented in </w:t>
      </w:r>
      <w:r w:rsidR="00DB364C" w:rsidRPr="003928CB">
        <w:t>particular</w:t>
      </w:r>
      <w:r w:rsidRPr="003928CB">
        <w:t xml:space="preserve"> geographical locations can influence PPR epidemiology in general, and particularly the disease severity pattern. This is evident from the changing severity of gross lesions and clinical signs observed in </w:t>
      </w:r>
      <w:r w:rsidR="00DB364C" w:rsidRPr="003928CB">
        <w:t xml:space="preserve">Karnataka </w:t>
      </w:r>
      <w:r w:rsidR="004A2589" w:rsidRPr="003928CB">
        <w:t>state,</w:t>
      </w:r>
      <w:r w:rsidRPr="003928CB">
        <w:t xml:space="preserve"> where vaccination is regularly carried out (Gomes et al. 2016</w:t>
      </w:r>
      <w:r w:rsidR="00160564" w:rsidRPr="003928CB">
        <w:t xml:space="preserve"> and</w:t>
      </w:r>
      <w:r w:rsidRPr="003928CB">
        <w:t xml:space="preserve"> Balamurugan et al. 2019).</w:t>
      </w:r>
      <w:r w:rsidR="00DA5CBA" w:rsidRPr="003928CB">
        <w:t xml:space="preserve"> </w:t>
      </w:r>
      <w:r w:rsidRPr="003928CB">
        <w:t>The affected flock (Group I) exhibited a mortality rate of 12.5% (20/250 animals). The observed morbidity and mortality in the affected flock may be attributed to immune suppression caused by co-infection with PPRV and parasites, which likely increased susceptibility to secondary bacterial infections, ultimately leading to fatal outcomes. The absence of PPRV infections in the control flock, despite its proximity to the affected flock, suggests that parasitic infestations play a crucial role in disease susceptibility and progression.</w:t>
      </w:r>
    </w:p>
    <w:p w14:paraId="3B76809C" w14:textId="15FFA7C9" w:rsidR="00866AC2" w:rsidRPr="003928CB" w:rsidRDefault="00866AC2" w:rsidP="003031AC">
      <w:pPr>
        <w:spacing w:before="280" w:after="280" w:line="480" w:lineRule="auto"/>
        <w:jc w:val="both"/>
        <w:rPr>
          <w:rFonts w:ascii="Times New Roman" w:eastAsia="Times New Roman" w:hAnsi="Times New Roman" w:cs="Times New Roman"/>
          <w:sz w:val="24"/>
          <w:szCs w:val="24"/>
          <w:lang w:val="en-IN"/>
        </w:rPr>
      </w:pPr>
      <w:r w:rsidRPr="003928CB">
        <w:rPr>
          <w:rFonts w:ascii="Times New Roman" w:eastAsia="Times New Roman" w:hAnsi="Times New Roman" w:cs="Times New Roman"/>
          <w:sz w:val="24"/>
          <w:szCs w:val="24"/>
          <w:lang w:val="en-IN"/>
        </w:rPr>
        <w:t>Although all adult animals in the flock were vaccinated, lambs and kids below four months of age were not covered at the time of vaccination, as they were born during a fresh lambing season. Consequently, no antibody response was detected in a three-month-old lamb, though a few unvaccinated lambs aged 3</w:t>
      </w:r>
      <w:r w:rsidR="003E7C97" w:rsidRPr="003928CB">
        <w:rPr>
          <w:rFonts w:ascii="Times New Roman" w:eastAsia="Times New Roman" w:hAnsi="Times New Roman" w:cs="Times New Roman"/>
          <w:sz w:val="24"/>
          <w:szCs w:val="24"/>
          <w:lang w:val="en-IN"/>
        </w:rPr>
        <w:t xml:space="preserve"> to </w:t>
      </w:r>
      <w:r w:rsidRPr="003928CB">
        <w:rPr>
          <w:rFonts w:ascii="Times New Roman" w:eastAsia="Times New Roman" w:hAnsi="Times New Roman" w:cs="Times New Roman"/>
          <w:sz w:val="24"/>
          <w:szCs w:val="24"/>
          <w:lang w:val="en-IN"/>
        </w:rPr>
        <w:t>4 months showed an antibody response, possibly due to viral circulation in the flock. The mortality observed in 4</w:t>
      </w:r>
      <w:r w:rsidR="003E7C97" w:rsidRPr="003928CB">
        <w:rPr>
          <w:rFonts w:ascii="Times New Roman" w:eastAsia="Times New Roman" w:hAnsi="Times New Roman" w:cs="Times New Roman"/>
          <w:sz w:val="24"/>
          <w:szCs w:val="24"/>
          <w:lang w:val="en-IN"/>
        </w:rPr>
        <w:t xml:space="preserve"> to </w:t>
      </w:r>
      <w:r w:rsidRPr="003928CB">
        <w:rPr>
          <w:rFonts w:ascii="Times New Roman" w:eastAsia="Times New Roman" w:hAnsi="Times New Roman" w:cs="Times New Roman"/>
          <w:sz w:val="24"/>
          <w:szCs w:val="24"/>
          <w:lang w:val="en-IN"/>
        </w:rPr>
        <w:t>8-month</w:t>
      </w:r>
      <w:r w:rsidR="003E7C97" w:rsidRPr="003928CB">
        <w:rPr>
          <w:rFonts w:ascii="Times New Roman" w:eastAsia="Times New Roman" w:hAnsi="Times New Roman" w:cs="Times New Roman"/>
          <w:sz w:val="24"/>
          <w:szCs w:val="24"/>
          <w:lang w:val="en-IN"/>
        </w:rPr>
        <w:t xml:space="preserve"> </w:t>
      </w:r>
      <w:r w:rsidRPr="003928CB">
        <w:rPr>
          <w:rFonts w:ascii="Times New Roman" w:eastAsia="Times New Roman" w:hAnsi="Times New Roman" w:cs="Times New Roman"/>
          <w:sz w:val="24"/>
          <w:szCs w:val="24"/>
          <w:lang w:val="en-IN"/>
        </w:rPr>
        <w:t>old lambs may be attributed to co-infection with PPRV and parasitic infestations.</w:t>
      </w:r>
    </w:p>
    <w:p w14:paraId="4C30A887" w14:textId="7701DCA8" w:rsidR="00866AC2" w:rsidRPr="003928CB" w:rsidRDefault="00866AC2" w:rsidP="003031AC">
      <w:pPr>
        <w:spacing w:before="280" w:after="280" w:line="480" w:lineRule="auto"/>
        <w:jc w:val="both"/>
        <w:rPr>
          <w:rFonts w:ascii="Times New Roman" w:eastAsia="Times New Roman" w:hAnsi="Times New Roman" w:cs="Times New Roman"/>
          <w:sz w:val="24"/>
          <w:szCs w:val="24"/>
          <w:lang w:val="en-IN"/>
        </w:rPr>
      </w:pPr>
      <w:r w:rsidRPr="003928CB">
        <w:rPr>
          <w:rFonts w:ascii="Times New Roman" w:eastAsia="Times New Roman" w:hAnsi="Times New Roman" w:cs="Times New Roman"/>
          <w:sz w:val="24"/>
          <w:szCs w:val="24"/>
          <w:lang w:val="en-IN"/>
        </w:rPr>
        <w:t xml:space="preserve">Correlation analysis between animal health, PPRV </w:t>
      </w:r>
      <w:r w:rsidR="003E7C97" w:rsidRPr="003928CB">
        <w:rPr>
          <w:rFonts w:ascii="Times New Roman" w:eastAsia="Times New Roman" w:hAnsi="Times New Roman" w:cs="Times New Roman"/>
          <w:sz w:val="24"/>
          <w:szCs w:val="24"/>
          <w:lang w:val="en-IN"/>
        </w:rPr>
        <w:t>presence</w:t>
      </w:r>
      <w:r w:rsidRPr="003928CB">
        <w:rPr>
          <w:rFonts w:ascii="Times New Roman" w:eastAsia="Times New Roman" w:hAnsi="Times New Roman" w:cs="Times New Roman"/>
          <w:sz w:val="24"/>
          <w:szCs w:val="24"/>
          <w:lang w:val="en-IN"/>
        </w:rPr>
        <w:t xml:space="preserve">, and parasitic infestations reveals critical interrelationships among these factors. A weak positive correlation (r = 0.042) between animal health condition and PPR virus status suggests that the presence of the PPR virus alone has </w:t>
      </w:r>
      <w:r w:rsidRPr="003928CB">
        <w:rPr>
          <w:rFonts w:ascii="Times New Roman" w:eastAsia="Times New Roman" w:hAnsi="Times New Roman" w:cs="Times New Roman"/>
          <w:sz w:val="24"/>
          <w:szCs w:val="24"/>
          <w:lang w:val="en-IN"/>
        </w:rPr>
        <w:lastRenderedPageBreak/>
        <w:t>a limited direct impact on health. However, a significant (P ≤ 0.01) negative correlation (r = -0.479) was observed between animal health and parasitic infestations, indicating that parasitic infestations are more likely to be associated with poor health. A stronger significant (P ≤ 0.05) negative correlation (r = -0.624) was found between co-infection with PPRV and parasites and overall health condition. These findings highlight the complex interplay between PPRV status, parasitic infestations, and animal health.</w:t>
      </w:r>
    </w:p>
    <w:p w14:paraId="01BE244E" w14:textId="77777777" w:rsidR="00866AC2" w:rsidRPr="003928CB" w:rsidRDefault="00866AC2" w:rsidP="003031AC">
      <w:pPr>
        <w:spacing w:before="280" w:after="280" w:line="480" w:lineRule="auto"/>
        <w:jc w:val="both"/>
        <w:rPr>
          <w:rFonts w:ascii="Times New Roman" w:eastAsia="Times New Roman" w:hAnsi="Times New Roman" w:cs="Times New Roman"/>
          <w:sz w:val="24"/>
          <w:szCs w:val="24"/>
          <w:lang w:val="en-IN"/>
        </w:rPr>
      </w:pPr>
      <w:r w:rsidRPr="003928CB">
        <w:rPr>
          <w:rFonts w:ascii="Times New Roman" w:eastAsia="Times New Roman" w:hAnsi="Times New Roman" w:cs="Times New Roman"/>
          <w:sz w:val="24"/>
          <w:szCs w:val="24"/>
          <w:lang w:val="en-IN"/>
        </w:rPr>
        <w:t>This study underscores the importance of deworming, in controlling mortality in sheep and goats affected with viral infections such as PPR and emphasizes the role of animal health in vaccine efficacy. Awa et al. (2000) reported similar findings in North Cameroon, identifying Peste des Petits Ruminants and gastrointestinal helminthosis as major causes of production losses in small ruminants. Their study suggested that annual PPR vaccination, combined with a strategic anthelmintic program, increased farmers' profit margins by 2–3 times in goats and 3–4 times in sheep. They recommended a national or regional campaign for PPR vaccination in small ruminants, coupled with strategic anthelmintic treatment, for effective disease control. Accordingly, incorporating deworming practices in sheep and goats prior to PPR vaccination could mitigate such issues in affected flocks.</w:t>
      </w:r>
    </w:p>
    <w:p w14:paraId="76836EF8" w14:textId="7DECB6B3" w:rsidR="00866AC2" w:rsidRPr="003928CB" w:rsidRDefault="00866AC2" w:rsidP="003031AC">
      <w:pPr>
        <w:spacing w:before="280" w:after="280" w:line="480" w:lineRule="auto"/>
        <w:jc w:val="both"/>
        <w:rPr>
          <w:rFonts w:ascii="Times New Roman" w:eastAsia="Times New Roman" w:hAnsi="Times New Roman" w:cs="Times New Roman"/>
          <w:sz w:val="24"/>
          <w:szCs w:val="24"/>
        </w:rPr>
      </w:pPr>
      <w:r w:rsidRPr="003928CB">
        <w:rPr>
          <w:rFonts w:ascii="Times New Roman" w:eastAsia="Times New Roman" w:hAnsi="Times New Roman" w:cs="Times New Roman"/>
          <w:sz w:val="24"/>
          <w:szCs w:val="24"/>
          <w:lang w:val="en-IN"/>
        </w:rPr>
        <w:t xml:space="preserve">In this study, despite administering anthelmintics, parasitic infestations were still observed. Since the anthelmintic treatment was given six months earlier, its efficacy may have diminished. Given the increasing prevalence of anthelmintic resistance, evaluating animals for sensitivity to anthelmintic drugs in the area may yield </w:t>
      </w:r>
      <w:r w:rsidR="00B758F3" w:rsidRPr="003928CB">
        <w:rPr>
          <w:rFonts w:ascii="Times New Roman" w:eastAsia="Times New Roman" w:hAnsi="Times New Roman" w:cs="Times New Roman"/>
          <w:sz w:val="24"/>
          <w:szCs w:val="24"/>
          <w:lang w:val="en-IN"/>
        </w:rPr>
        <w:t>favourable</w:t>
      </w:r>
      <w:r w:rsidR="00CE3AE8" w:rsidRPr="003928CB">
        <w:rPr>
          <w:rFonts w:ascii="Times New Roman" w:eastAsia="Times New Roman" w:hAnsi="Times New Roman" w:cs="Times New Roman"/>
          <w:sz w:val="24"/>
          <w:szCs w:val="24"/>
          <w:lang w:val="en-IN"/>
        </w:rPr>
        <w:t xml:space="preserve"> </w:t>
      </w:r>
      <w:r w:rsidRPr="003928CB">
        <w:rPr>
          <w:rFonts w:ascii="Times New Roman" w:eastAsia="Times New Roman" w:hAnsi="Times New Roman" w:cs="Times New Roman"/>
          <w:sz w:val="24"/>
          <w:szCs w:val="24"/>
          <w:lang w:val="en-IN"/>
        </w:rPr>
        <w:t>outcomes.</w:t>
      </w:r>
    </w:p>
    <w:p w14:paraId="2B450780" w14:textId="496665B7" w:rsidR="00A071FD" w:rsidRDefault="00866AC2" w:rsidP="003031AC">
      <w:pPr>
        <w:spacing w:before="280" w:after="280" w:line="480" w:lineRule="auto"/>
        <w:jc w:val="both"/>
        <w:rPr>
          <w:rFonts w:ascii="Times New Roman" w:eastAsia="Times New Roman" w:hAnsi="Times New Roman" w:cs="Times New Roman"/>
          <w:sz w:val="24"/>
          <w:szCs w:val="24"/>
          <w:lang w:val="en-IN"/>
        </w:rPr>
      </w:pPr>
      <w:r w:rsidRPr="003928CB">
        <w:rPr>
          <w:rFonts w:ascii="Times New Roman" w:eastAsia="Times New Roman" w:hAnsi="Times New Roman" w:cs="Times New Roman"/>
          <w:sz w:val="24"/>
          <w:szCs w:val="24"/>
          <w:lang w:val="en-IN"/>
        </w:rPr>
        <w:lastRenderedPageBreak/>
        <w:t>Furthermore, mortality was predominantly observed in 4</w:t>
      </w:r>
      <w:r w:rsidR="003E7C97" w:rsidRPr="003928CB">
        <w:rPr>
          <w:rFonts w:ascii="Times New Roman" w:eastAsia="Times New Roman" w:hAnsi="Times New Roman" w:cs="Times New Roman"/>
          <w:sz w:val="24"/>
          <w:szCs w:val="24"/>
          <w:lang w:val="en-IN"/>
        </w:rPr>
        <w:t xml:space="preserve"> to </w:t>
      </w:r>
      <w:r w:rsidRPr="003928CB">
        <w:rPr>
          <w:rFonts w:ascii="Times New Roman" w:eastAsia="Times New Roman" w:hAnsi="Times New Roman" w:cs="Times New Roman"/>
          <w:sz w:val="24"/>
          <w:szCs w:val="24"/>
          <w:lang w:val="en-IN"/>
        </w:rPr>
        <w:t>8</w:t>
      </w:r>
      <w:r w:rsidR="003E7C97" w:rsidRPr="003928CB">
        <w:rPr>
          <w:rFonts w:ascii="Times New Roman" w:eastAsia="Times New Roman" w:hAnsi="Times New Roman" w:cs="Times New Roman"/>
          <w:sz w:val="24"/>
          <w:szCs w:val="24"/>
          <w:lang w:val="en-IN"/>
        </w:rPr>
        <w:t xml:space="preserve"> </w:t>
      </w:r>
      <w:r w:rsidRPr="003928CB">
        <w:rPr>
          <w:rFonts w:ascii="Times New Roman" w:eastAsia="Times New Roman" w:hAnsi="Times New Roman" w:cs="Times New Roman"/>
          <w:sz w:val="24"/>
          <w:szCs w:val="24"/>
          <w:lang w:val="en-IN"/>
        </w:rPr>
        <w:t>month</w:t>
      </w:r>
      <w:r w:rsidR="003E7C97" w:rsidRPr="003928CB">
        <w:rPr>
          <w:rFonts w:ascii="Times New Roman" w:eastAsia="Times New Roman" w:hAnsi="Times New Roman" w:cs="Times New Roman"/>
          <w:sz w:val="24"/>
          <w:szCs w:val="24"/>
          <w:lang w:val="en-IN"/>
        </w:rPr>
        <w:t xml:space="preserve"> </w:t>
      </w:r>
      <w:r w:rsidRPr="003928CB">
        <w:rPr>
          <w:rFonts w:ascii="Times New Roman" w:eastAsia="Times New Roman" w:hAnsi="Times New Roman" w:cs="Times New Roman"/>
          <w:sz w:val="24"/>
          <w:szCs w:val="24"/>
          <w:lang w:val="en-IN"/>
        </w:rPr>
        <w:t>old lambs. Currently, under the PPR Eradication Programme (PPREP) in India, PPR vaccination is administered annually to all susceptible sheep and goats above three months of age. However, lambs and kids under three months, newly introduced into the flock during subsequent lambing seasons, remain unprotected until the next annual vaccination. This may explain the observed mortality in 4</w:t>
      </w:r>
      <w:r w:rsidR="003E7C97" w:rsidRPr="003928CB">
        <w:rPr>
          <w:rFonts w:ascii="Times New Roman" w:eastAsia="Times New Roman" w:hAnsi="Times New Roman" w:cs="Times New Roman"/>
          <w:sz w:val="24"/>
          <w:szCs w:val="24"/>
          <w:lang w:val="en-IN"/>
        </w:rPr>
        <w:t xml:space="preserve"> to </w:t>
      </w:r>
      <w:r w:rsidRPr="003928CB">
        <w:rPr>
          <w:rFonts w:ascii="Times New Roman" w:eastAsia="Times New Roman" w:hAnsi="Times New Roman" w:cs="Times New Roman"/>
          <w:sz w:val="24"/>
          <w:szCs w:val="24"/>
          <w:lang w:val="en-IN"/>
        </w:rPr>
        <w:t>8</w:t>
      </w:r>
      <w:r w:rsidR="003E7C97" w:rsidRPr="003928CB">
        <w:rPr>
          <w:rFonts w:ascii="Times New Roman" w:eastAsia="Times New Roman" w:hAnsi="Times New Roman" w:cs="Times New Roman"/>
          <w:sz w:val="24"/>
          <w:szCs w:val="24"/>
          <w:lang w:val="en-IN"/>
        </w:rPr>
        <w:t xml:space="preserve"> </w:t>
      </w:r>
      <w:r w:rsidRPr="003928CB">
        <w:rPr>
          <w:rFonts w:ascii="Times New Roman" w:eastAsia="Times New Roman" w:hAnsi="Times New Roman" w:cs="Times New Roman"/>
          <w:sz w:val="24"/>
          <w:szCs w:val="24"/>
          <w:lang w:val="en-IN"/>
        </w:rPr>
        <w:t>month</w:t>
      </w:r>
      <w:r w:rsidR="003E7C97" w:rsidRPr="003928CB">
        <w:rPr>
          <w:rFonts w:ascii="Times New Roman" w:eastAsia="Times New Roman" w:hAnsi="Times New Roman" w:cs="Times New Roman"/>
          <w:sz w:val="24"/>
          <w:szCs w:val="24"/>
          <w:lang w:val="en-IN"/>
        </w:rPr>
        <w:t xml:space="preserve"> </w:t>
      </w:r>
      <w:r w:rsidRPr="003928CB">
        <w:rPr>
          <w:rFonts w:ascii="Times New Roman" w:eastAsia="Times New Roman" w:hAnsi="Times New Roman" w:cs="Times New Roman"/>
          <w:sz w:val="24"/>
          <w:szCs w:val="24"/>
          <w:lang w:val="en-IN"/>
        </w:rPr>
        <w:t>old lambs. Maintaining adequate reserves of the PPR vaccine at district</w:t>
      </w:r>
      <w:r w:rsidR="003E7C97" w:rsidRPr="003928CB">
        <w:rPr>
          <w:rFonts w:ascii="Times New Roman" w:eastAsia="Times New Roman" w:hAnsi="Times New Roman" w:cs="Times New Roman"/>
          <w:sz w:val="24"/>
          <w:szCs w:val="24"/>
          <w:lang w:val="en-IN"/>
        </w:rPr>
        <w:t xml:space="preserve"> </w:t>
      </w:r>
      <w:r w:rsidRPr="003928CB">
        <w:rPr>
          <w:rFonts w:ascii="Times New Roman" w:eastAsia="Times New Roman" w:hAnsi="Times New Roman" w:cs="Times New Roman"/>
          <w:sz w:val="24"/>
          <w:szCs w:val="24"/>
          <w:lang w:val="en-IN"/>
        </w:rPr>
        <w:t>level facilities or field veterinary institutions to vaccinate all new lambs and kids upon reaching four months of age would ensure proper vaccine coverage and better disease control.</w:t>
      </w:r>
    </w:p>
    <w:p w14:paraId="166AB585" w14:textId="1C2950CD" w:rsidR="00C11013" w:rsidRPr="00C11013" w:rsidRDefault="00C11013" w:rsidP="003031AC">
      <w:pPr>
        <w:spacing w:before="280" w:after="280" w:line="480" w:lineRule="auto"/>
        <w:jc w:val="both"/>
        <w:rPr>
          <w:rFonts w:ascii="Times New Roman" w:eastAsia="Times New Roman" w:hAnsi="Times New Roman" w:cs="Times New Roman"/>
          <w:b/>
          <w:bCs/>
          <w:sz w:val="24"/>
          <w:szCs w:val="24"/>
        </w:rPr>
      </w:pPr>
      <w:r w:rsidRPr="00C11013">
        <w:rPr>
          <w:rFonts w:ascii="Times New Roman" w:eastAsia="Times New Roman" w:hAnsi="Times New Roman" w:cs="Times New Roman"/>
          <w:b/>
          <w:bCs/>
          <w:sz w:val="24"/>
          <w:szCs w:val="24"/>
          <w:lang w:val="en-IN"/>
        </w:rPr>
        <w:t>Conclusion</w:t>
      </w:r>
    </w:p>
    <w:p w14:paraId="5B1172E7" w14:textId="212E443D" w:rsidR="00866AC2" w:rsidRPr="003928CB" w:rsidRDefault="009119B7" w:rsidP="003031AC">
      <w:pPr>
        <w:spacing w:before="280" w:after="280" w:line="480" w:lineRule="auto"/>
        <w:jc w:val="both"/>
        <w:rPr>
          <w:rFonts w:ascii="Times New Roman" w:eastAsia="Times New Roman" w:hAnsi="Times New Roman" w:cs="Times New Roman"/>
          <w:sz w:val="24"/>
          <w:szCs w:val="24"/>
          <w:lang w:val="en-IN"/>
        </w:rPr>
      </w:pPr>
      <w:r w:rsidRPr="003928CB">
        <w:rPr>
          <w:rFonts w:ascii="Times New Roman" w:eastAsia="Times New Roman" w:hAnsi="Times New Roman" w:cs="Times New Roman"/>
          <w:sz w:val="24"/>
          <w:szCs w:val="24"/>
          <w:lang w:val="en-IN"/>
        </w:rPr>
        <w:t xml:space="preserve">In </w:t>
      </w:r>
      <w:r w:rsidR="00984FE6" w:rsidRPr="003928CB">
        <w:rPr>
          <w:rFonts w:ascii="Times New Roman" w:eastAsia="Times New Roman" w:hAnsi="Times New Roman" w:cs="Times New Roman"/>
          <w:sz w:val="24"/>
          <w:szCs w:val="24"/>
          <w:lang w:val="en-IN"/>
        </w:rPr>
        <w:t>co</w:t>
      </w:r>
      <w:r w:rsidR="00B445FD">
        <w:rPr>
          <w:rFonts w:ascii="Times New Roman" w:eastAsia="Times New Roman" w:hAnsi="Times New Roman" w:cs="Times New Roman"/>
          <w:sz w:val="24"/>
          <w:szCs w:val="24"/>
          <w:lang w:val="en-IN"/>
        </w:rPr>
        <w:t>n</w:t>
      </w:r>
      <w:r w:rsidR="00984FE6" w:rsidRPr="003928CB">
        <w:rPr>
          <w:rFonts w:ascii="Times New Roman" w:eastAsia="Times New Roman" w:hAnsi="Times New Roman" w:cs="Times New Roman"/>
          <w:sz w:val="24"/>
          <w:szCs w:val="24"/>
          <w:lang w:val="en-IN"/>
        </w:rPr>
        <w:t>clusion</w:t>
      </w:r>
      <w:r w:rsidRPr="003928CB">
        <w:rPr>
          <w:rFonts w:ascii="Times New Roman" w:eastAsia="Times New Roman" w:hAnsi="Times New Roman" w:cs="Times New Roman"/>
          <w:sz w:val="24"/>
          <w:szCs w:val="24"/>
          <w:lang w:val="en-IN"/>
        </w:rPr>
        <w:t>, t</w:t>
      </w:r>
      <w:r w:rsidR="00866AC2" w:rsidRPr="003928CB">
        <w:rPr>
          <w:rFonts w:ascii="Times New Roman" w:eastAsia="Times New Roman" w:hAnsi="Times New Roman" w:cs="Times New Roman"/>
          <w:sz w:val="24"/>
          <w:szCs w:val="24"/>
          <w:lang w:val="en-IN"/>
        </w:rPr>
        <w:t>his study highlights the significant impact of PPR</w:t>
      </w:r>
      <w:r w:rsidR="00FF23CC" w:rsidRPr="003928CB">
        <w:rPr>
          <w:rFonts w:ascii="Times New Roman" w:eastAsia="Times New Roman" w:hAnsi="Times New Roman" w:cs="Times New Roman"/>
          <w:sz w:val="24"/>
          <w:szCs w:val="24"/>
          <w:lang w:val="en-IN"/>
        </w:rPr>
        <w:t>V</w:t>
      </w:r>
      <w:r w:rsidR="00866AC2" w:rsidRPr="003928CB">
        <w:rPr>
          <w:rFonts w:ascii="Times New Roman" w:eastAsia="Times New Roman" w:hAnsi="Times New Roman" w:cs="Times New Roman"/>
          <w:sz w:val="24"/>
          <w:szCs w:val="24"/>
          <w:lang w:val="en-IN"/>
        </w:rPr>
        <w:t xml:space="preserve"> infection and gastrointestinal helminth infestations on animal health and mortality. The co-occurrence of PPRV and high parasitic infestation consistently results in compromised health and mortality, even in vaccinated flocks. The findings suggest the need for deworming with effective drugs prior to vaccination. Furthermore, this study emphasizes the importance of vaccinating lambs between annual vaccination rounds. The study’s results are limited by the sample size and the fact that it was conducted in a single flock, which may affect the generalizability of the findings.</w:t>
      </w:r>
    </w:p>
    <w:p w14:paraId="4897FD21" w14:textId="09D6C551" w:rsidR="00120852" w:rsidRDefault="00120852" w:rsidP="009119B7">
      <w:pPr>
        <w:spacing w:before="280" w:after="280" w:line="480" w:lineRule="auto"/>
        <w:jc w:val="center"/>
        <w:rPr>
          <w:rFonts w:ascii="Times New Roman" w:eastAsia="Times New Roman" w:hAnsi="Times New Roman" w:cs="Times New Roman"/>
          <w:b/>
          <w:bCs/>
          <w:sz w:val="24"/>
          <w:szCs w:val="24"/>
        </w:rPr>
      </w:pPr>
    </w:p>
    <w:p w14:paraId="0F5C5E3D" w14:textId="65980B45" w:rsidR="00120852" w:rsidRDefault="00120852" w:rsidP="009119B7">
      <w:pPr>
        <w:spacing w:before="280" w:after="280" w:line="480" w:lineRule="auto"/>
        <w:jc w:val="center"/>
        <w:rPr>
          <w:rFonts w:ascii="Times New Roman" w:eastAsia="Times New Roman" w:hAnsi="Times New Roman" w:cs="Times New Roman"/>
          <w:b/>
          <w:bCs/>
          <w:sz w:val="24"/>
          <w:szCs w:val="24"/>
        </w:rPr>
      </w:pPr>
    </w:p>
    <w:p w14:paraId="14F5505A" w14:textId="221850F5" w:rsidR="00120852" w:rsidRDefault="00120852" w:rsidP="009119B7">
      <w:pPr>
        <w:spacing w:before="280" w:after="280" w:line="480" w:lineRule="auto"/>
        <w:jc w:val="center"/>
        <w:rPr>
          <w:rFonts w:ascii="Times New Roman" w:eastAsia="Times New Roman" w:hAnsi="Times New Roman" w:cs="Times New Roman"/>
          <w:b/>
          <w:bCs/>
          <w:sz w:val="24"/>
          <w:szCs w:val="24"/>
        </w:rPr>
      </w:pPr>
    </w:p>
    <w:p w14:paraId="19E68CB1" w14:textId="77777777" w:rsidR="00120852" w:rsidRDefault="00120852" w:rsidP="009119B7">
      <w:pPr>
        <w:spacing w:before="280" w:after="280" w:line="480" w:lineRule="auto"/>
        <w:jc w:val="center"/>
        <w:rPr>
          <w:rFonts w:ascii="Times New Roman" w:eastAsia="Times New Roman" w:hAnsi="Times New Roman" w:cs="Times New Roman"/>
          <w:b/>
          <w:bCs/>
          <w:sz w:val="24"/>
          <w:szCs w:val="24"/>
        </w:rPr>
      </w:pPr>
      <w:bookmarkStart w:id="0" w:name="_GoBack"/>
      <w:bookmarkEnd w:id="0"/>
    </w:p>
    <w:p w14:paraId="4771F04B" w14:textId="66904AF1" w:rsidR="00A071FD" w:rsidRPr="003928CB" w:rsidRDefault="00A071FD" w:rsidP="009119B7">
      <w:pPr>
        <w:spacing w:before="280" w:after="280" w:line="480" w:lineRule="auto"/>
        <w:jc w:val="center"/>
        <w:rPr>
          <w:rFonts w:ascii="Times New Roman" w:eastAsia="Times New Roman" w:hAnsi="Times New Roman" w:cs="Times New Roman"/>
          <w:sz w:val="24"/>
          <w:szCs w:val="24"/>
        </w:rPr>
      </w:pPr>
      <w:r w:rsidRPr="003928CB">
        <w:rPr>
          <w:rFonts w:ascii="Times New Roman" w:eastAsia="Times New Roman" w:hAnsi="Times New Roman" w:cs="Times New Roman"/>
          <w:b/>
          <w:bCs/>
          <w:sz w:val="24"/>
          <w:szCs w:val="24"/>
        </w:rPr>
        <w:lastRenderedPageBreak/>
        <w:t>R</w:t>
      </w:r>
      <w:r w:rsidR="009119B7" w:rsidRPr="003928CB">
        <w:rPr>
          <w:rFonts w:ascii="Times New Roman" w:eastAsia="Times New Roman" w:hAnsi="Times New Roman" w:cs="Times New Roman"/>
          <w:b/>
          <w:bCs/>
          <w:sz w:val="24"/>
          <w:szCs w:val="24"/>
        </w:rPr>
        <w:t>EFERENCES</w:t>
      </w:r>
    </w:p>
    <w:p w14:paraId="305D2CDE" w14:textId="77777777" w:rsidR="00FA3C64" w:rsidRDefault="00FA3C64" w:rsidP="00FA3C64">
      <w:pPr>
        <w:rPr>
          <w:rFonts w:ascii="Arial" w:eastAsia="Times New Roman" w:hAnsi="Arial" w:cs="Arial"/>
          <w:sz w:val="18"/>
          <w:szCs w:val="18"/>
        </w:rPr>
      </w:pPr>
      <w:r w:rsidRPr="009E648E">
        <w:rPr>
          <w:rFonts w:ascii="Arial" w:eastAsia="Times New Roman" w:hAnsi="Arial" w:cs="Arial"/>
          <w:sz w:val="18"/>
          <w:szCs w:val="18"/>
          <w:lang w:val="pt-BR"/>
        </w:rPr>
        <w:t xml:space="preserve">Awa, D. N., Njoya, A., &amp; Ngo Tama, A. C. (2000). </w:t>
      </w:r>
      <w:r>
        <w:rPr>
          <w:rFonts w:ascii="Arial" w:eastAsia="Times New Roman" w:hAnsi="Arial" w:cs="Arial"/>
          <w:sz w:val="18"/>
          <w:szCs w:val="18"/>
        </w:rPr>
        <w:t xml:space="preserve">Economics of prophylaxis against </w:t>
      </w:r>
      <w:proofErr w:type="spellStart"/>
      <w:r>
        <w:rPr>
          <w:rFonts w:ascii="Arial" w:eastAsia="Times New Roman" w:hAnsi="Arial" w:cs="Arial"/>
          <w:sz w:val="18"/>
          <w:szCs w:val="18"/>
        </w:rPr>
        <w:t>peste</w:t>
      </w:r>
      <w:proofErr w:type="spellEnd"/>
      <w:r>
        <w:rPr>
          <w:rFonts w:ascii="Arial" w:eastAsia="Times New Roman" w:hAnsi="Arial" w:cs="Arial"/>
          <w:sz w:val="18"/>
          <w:szCs w:val="18"/>
        </w:rPr>
        <w:t xml:space="preserve"> des petits ruminants and gastrointestinal </w:t>
      </w:r>
      <w:proofErr w:type="spellStart"/>
      <w:r>
        <w:rPr>
          <w:rFonts w:ascii="Arial" w:eastAsia="Times New Roman" w:hAnsi="Arial" w:cs="Arial"/>
          <w:sz w:val="18"/>
          <w:szCs w:val="18"/>
        </w:rPr>
        <w:t>helminthosis</w:t>
      </w:r>
      <w:proofErr w:type="spellEnd"/>
      <w:r>
        <w:rPr>
          <w:rFonts w:ascii="Arial" w:eastAsia="Times New Roman" w:hAnsi="Arial" w:cs="Arial"/>
          <w:sz w:val="18"/>
          <w:szCs w:val="18"/>
        </w:rPr>
        <w:t xml:space="preserve"> in small ruminants in north Cameroon. Tropical Animal Health and Production, 32(6), 391–403. https://doi.org/10.1023/a:1005233703331</w:t>
      </w:r>
    </w:p>
    <w:p w14:paraId="1408DBFE" w14:textId="77777777" w:rsidR="00FA3C64" w:rsidRDefault="00FA3C64" w:rsidP="00FA3C64">
      <w:pPr>
        <w:jc w:val="both"/>
        <w:rPr>
          <w:rFonts w:ascii="Arial" w:eastAsia="Times New Roman" w:hAnsi="Arial" w:cs="Arial"/>
          <w:sz w:val="18"/>
          <w:szCs w:val="18"/>
        </w:rPr>
      </w:pPr>
      <w:r>
        <w:rPr>
          <w:rFonts w:ascii="Arial" w:eastAsia="Times New Roman" w:hAnsi="Arial" w:cs="Arial"/>
          <w:sz w:val="18"/>
          <w:szCs w:val="18"/>
        </w:rPr>
        <w:t xml:space="preserve">Balamurugan, V., </w:t>
      </w:r>
      <w:proofErr w:type="spellStart"/>
      <w:r>
        <w:rPr>
          <w:rFonts w:ascii="Arial" w:eastAsia="Times New Roman" w:hAnsi="Arial" w:cs="Arial"/>
          <w:sz w:val="18"/>
          <w:szCs w:val="18"/>
        </w:rPr>
        <w:t>Govindaraj</w:t>
      </w:r>
      <w:proofErr w:type="spellEnd"/>
      <w:r>
        <w:rPr>
          <w:rFonts w:ascii="Arial" w:eastAsia="Times New Roman" w:hAnsi="Arial" w:cs="Arial"/>
          <w:sz w:val="18"/>
          <w:szCs w:val="18"/>
        </w:rPr>
        <w:t xml:space="preserve">, G., </w:t>
      </w:r>
      <w:proofErr w:type="spellStart"/>
      <w:r>
        <w:rPr>
          <w:rFonts w:ascii="Arial" w:eastAsia="Times New Roman" w:hAnsi="Arial" w:cs="Arial"/>
          <w:sz w:val="18"/>
          <w:szCs w:val="18"/>
        </w:rPr>
        <w:t>SowjanyaKumari</w:t>
      </w:r>
      <w:proofErr w:type="spellEnd"/>
      <w:r>
        <w:rPr>
          <w:rFonts w:ascii="Arial" w:eastAsia="Times New Roman" w:hAnsi="Arial" w:cs="Arial"/>
          <w:sz w:val="18"/>
          <w:szCs w:val="18"/>
        </w:rPr>
        <w:t xml:space="preserve">, S., </w:t>
      </w:r>
      <w:proofErr w:type="spellStart"/>
      <w:r>
        <w:rPr>
          <w:rFonts w:ascii="Arial" w:eastAsia="Times New Roman" w:hAnsi="Arial" w:cs="Arial"/>
          <w:sz w:val="18"/>
          <w:szCs w:val="18"/>
        </w:rPr>
        <w:t>Nagalingam</w:t>
      </w:r>
      <w:proofErr w:type="spellEnd"/>
      <w:r>
        <w:rPr>
          <w:rFonts w:ascii="Arial" w:eastAsia="Times New Roman" w:hAnsi="Arial" w:cs="Arial"/>
          <w:sz w:val="18"/>
          <w:szCs w:val="18"/>
        </w:rPr>
        <w:t xml:space="preserve">, M., </w:t>
      </w:r>
      <w:proofErr w:type="spellStart"/>
      <w:r>
        <w:rPr>
          <w:rFonts w:ascii="Arial" w:eastAsia="Times New Roman" w:hAnsi="Arial" w:cs="Arial"/>
          <w:sz w:val="18"/>
          <w:szCs w:val="18"/>
        </w:rPr>
        <w:t>Tapase</w:t>
      </w:r>
      <w:proofErr w:type="spellEnd"/>
      <w:r>
        <w:rPr>
          <w:rFonts w:ascii="Arial" w:eastAsia="Times New Roman" w:hAnsi="Arial" w:cs="Arial"/>
          <w:sz w:val="18"/>
          <w:szCs w:val="18"/>
        </w:rPr>
        <w:t xml:space="preserve">, J., </w:t>
      </w:r>
      <w:proofErr w:type="spellStart"/>
      <w:r>
        <w:rPr>
          <w:rFonts w:ascii="Arial" w:eastAsia="Times New Roman" w:hAnsi="Arial" w:cs="Arial"/>
          <w:sz w:val="18"/>
          <w:szCs w:val="18"/>
        </w:rPr>
        <w:t>Manjunathareddy</w:t>
      </w:r>
      <w:proofErr w:type="spellEnd"/>
      <w:r>
        <w:rPr>
          <w:rFonts w:ascii="Arial" w:eastAsia="Times New Roman" w:hAnsi="Arial" w:cs="Arial"/>
          <w:sz w:val="18"/>
          <w:szCs w:val="18"/>
        </w:rPr>
        <w:t xml:space="preserve">, G. B., &amp; Rahman, H. (2019). Scorecard method for assessing the severity of </w:t>
      </w:r>
      <w:proofErr w:type="spellStart"/>
      <w:r>
        <w:rPr>
          <w:rFonts w:ascii="Arial" w:eastAsia="Times New Roman" w:hAnsi="Arial" w:cs="Arial"/>
          <w:sz w:val="18"/>
          <w:szCs w:val="18"/>
        </w:rPr>
        <w:t>peste</w:t>
      </w:r>
      <w:proofErr w:type="spellEnd"/>
      <w:r>
        <w:rPr>
          <w:rFonts w:ascii="Arial" w:eastAsia="Times New Roman" w:hAnsi="Arial" w:cs="Arial"/>
          <w:sz w:val="18"/>
          <w:szCs w:val="18"/>
        </w:rPr>
        <w:t xml:space="preserve"> des petits ruminants in sheep and goats. </w:t>
      </w:r>
      <w:proofErr w:type="spellStart"/>
      <w:r>
        <w:rPr>
          <w:rFonts w:ascii="Arial" w:eastAsia="Times New Roman" w:hAnsi="Arial" w:cs="Arial"/>
          <w:sz w:val="18"/>
          <w:szCs w:val="18"/>
        </w:rPr>
        <w:t>Virusdisease</w:t>
      </w:r>
      <w:proofErr w:type="spellEnd"/>
      <w:r>
        <w:rPr>
          <w:rFonts w:ascii="Arial" w:eastAsia="Times New Roman" w:hAnsi="Arial" w:cs="Arial"/>
          <w:sz w:val="18"/>
          <w:szCs w:val="18"/>
        </w:rPr>
        <w:t>, 30(4), 574-578. https://doi.org/10.1007/s13337-019-00550-5</w:t>
      </w:r>
    </w:p>
    <w:p w14:paraId="52EC504B" w14:textId="77777777" w:rsidR="00FA3C64" w:rsidRDefault="00FA3C64" w:rsidP="00FA3C64">
      <w:pPr>
        <w:jc w:val="both"/>
        <w:rPr>
          <w:rFonts w:ascii="Arial" w:eastAsia="Times New Roman" w:hAnsi="Arial" w:cs="Arial"/>
          <w:sz w:val="18"/>
          <w:szCs w:val="18"/>
        </w:rPr>
      </w:pPr>
      <w:proofErr w:type="spellStart"/>
      <w:r>
        <w:rPr>
          <w:rFonts w:ascii="Arial" w:eastAsia="Times New Roman" w:hAnsi="Arial" w:cs="Arial"/>
          <w:sz w:val="18"/>
          <w:szCs w:val="18"/>
        </w:rPr>
        <w:t>Banyard</w:t>
      </w:r>
      <w:proofErr w:type="spellEnd"/>
      <w:r>
        <w:rPr>
          <w:rFonts w:ascii="Arial" w:eastAsia="Times New Roman" w:hAnsi="Arial" w:cs="Arial"/>
          <w:sz w:val="18"/>
          <w:szCs w:val="18"/>
        </w:rPr>
        <w:t xml:space="preserve">, A. C., </w:t>
      </w:r>
      <w:proofErr w:type="spellStart"/>
      <w:r>
        <w:rPr>
          <w:rFonts w:ascii="Arial" w:eastAsia="Times New Roman" w:hAnsi="Arial" w:cs="Arial"/>
          <w:sz w:val="18"/>
          <w:szCs w:val="18"/>
        </w:rPr>
        <w:t>Parida</w:t>
      </w:r>
      <w:proofErr w:type="spellEnd"/>
      <w:r>
        <w:rPr>
          <w:rFonts w:ascii="Arial" w:eastAsia="Times New Roman" w:hAnsi="Arial" w:cs="Arial"/>
          <w:sz w:val="18"/>
          <w:szCs w:val="18"/>
        </w:rPr>
        <w:t xml:space="preserve">, S., Batten, C., </w:t>
      </w:r>
      <w:proofErr w:type="spellStart"/>
      <w:r>
        <w:rPr>
          <w:rFonts w:ascii="Arial" w:eastAsia="Times New Roman" w:hAnsi="Arial" w:cs="Arial"/>
          <w:sz w:val="18"/>
          <w:szCs w:val="18"/>
        </w:rPr>
        <w:t>Oura</w:t>
      </w:r>
      <w:proofErr w:type="spellEnd"/>
      <w:r>
        <w:rPr>
          <w:rFonts w:ascii="Arial" w:eastAsia="Times New Roman" w:hAnsi="Arial" w:cs="Arial"/>
          <w:sz w:val="18"/>
          <w:szCs w:val="18"/>
        </w:rPr>
        <w:t xml:space="preserve">, C., </w:t>
      </w:r>
      <w:proofErr w:type="spellStart"/>
      <w:r>
        <w:rPr>
          <w:rFonts w:ascii="Arial" w:eastAsia="Times New Roman" w:hAnsi="Arial" w:cs="Arial"/>
          <w:sz w:val="18"/>
          <w:szCs w:val="18"/>
        </w:rPr>
        <w:t>Kwiatek</w:t>
      </w:r>
      <w:proofErr w:type="spellEnd"/>
      <w:r>
        <w:rPr>
          <w:rFonts w:ascii="Arial" w:eastAsia="Times New Roman" w:hAnsi="Arial" w:cs="Arial"/>
          <w:sz w:val="18"/>
          <w:szCs w:val="18"/>
        </w:rPr>
        <w:t xml:space="preserve">, O., &amp; </w:t>
      </w:r>
      <w:proofErr w:type="spellStart"/>
      <w:r>
        <w:rPr>
          <w:rFonts w:ascii="Arial" w:eastAsia="Times New Roman" w:hAnsi="Arial" w:cs="Arial"/>
          <w:sz w:val="18"/>
          <w:szCs w:val="18"/>
        </w:rPr>
        <w:t>Libeau</w:t>
      </w:r>
      <w:proofErr w:type="spellEnd"/>
      <w:r>
        <w:rPr>
          <w:rFonts w:ascii="Arial" w:eastAsia="Times New Roman" w:hAnsi="Arial" w:cs="Arial"/>
          <w:sz w:val="18"/>
          <w:szCs w:val="18"/>
        </w:rPr>
        <w:t xml:space="preserve">, G. (2010). Global distribution of </w:t>
      </w:r>
      <w:proofErr w:type="spellStart"/>
      <w:r>
        <w:rPr>
          <w:rFonts w:ascii="Arial" w:eastAsia="Times New Roman" w:hAnsi="Arial" w:cs="Arial"/>
          <w:sz w:val="18"/>
          <w:szCs w:val="18"/>
        </w:rPr>
        <w:t>peste</w:t>
      </w:r>
      <w:proofErr w:type="spellEnd"/>
      <w:r>
        <w:rPr>
          <w:rFonts w:ascii="Arial" w:eastAsia="Times New Roman" w:hAnsi="Arial" w:cs="Arial"/>
          <w:sz w:val="18"/>
          <w:szCs w:val="18"/>
        </w:rPr>
        <w:t xml:space="preserve"> des petits </w:t>
      </w:r>
      <w:proofErr w:type="gramStart"/>
      <w:r>
        <w:rPr>
          <w:rFonts w:ascii="Arial" w:eastAsia="Times New Roman" w:hAnsi="Arial" w:cs="Arial"/>
          <w:sz w:val="18"/>
          <w:szCs w:val="18"/>
        </w:rPr>
        <w:t>ruminants</w:t>
      </w:r>
      <w:proofErr w:type="gramEnd"/>
      <w:r>
        <w:rPr>
          <w:rFonts w:ascii="Arial" w:eastAsia="Times New Roman" w:hAnsi="Arial" w:cs="Arial"/>
          <w:sz w:val="18"/>
          <w:szCs w:val="18"/>
        </w:rPr>
        <w:t xml:space="preserve"> virus and prospects for improved diagnosis and control. Journal of General Virology, 91(12), 2885-2897. https://doi.org/10.1099/vir.0.025841-0</w:t>
      </w:r>
    </w:p>
    <w:p w14:paraId="3E212607" w14:textId="77777777" w:rsidR="00FA3C64" w:rsidRDefault="00FA3C64" w:rsidP="00FA3C64">
      <w:pPr>
        <w:jc w:val="both"/>
        <w:rPr>
          <w:rFonts w:ascii="Arial" w:eastAsia="Times New Roman" w:hAnsi="Arial" w:cs="Arial"/>
          <w:sz w:val="18"/>
          <w:szCs w:val="18"/>
        </w:rPr>
      </w:pPr>
      <w:proofErr w:type="spellStart"/>
      <w:r>
        <w:rPr>
          <w:rFonts w:ascii="Arial" w:eastAsia="Times New Roman" w:hAnsi="Arial" w:cs="Arial"/>
          <w:sz w:val="18"/>
          <w:szCs w:val="18"/>
        </w:rPr>
        <w:t>Catley</w:t>
      </w:r>
      <w:proofErr w:type="spellEnd"/>
      <w:r>
        <w:rPr>
          <w:rFonts w:ascii="Arial" w:eastAsia="Times New Roman" w:hAnsi="Arial" w:cs="Arial"/>
          <w:sz w:val="18"/>
          <w:szCs w:val="18"/>
        </w:rPr>
        <w:t xml:space="preserve">, A., Abebe, D., </w:t>
      </w:r>
      <w:proofErr w:type="spellStart"/>
      <w:r>
        <w:rPr>
          <w:rFonts w:ascii="Arial" w:eastAsia="Times New Roman" w:hAnsi="Arial" w:cs="Arial"/>
          <w:sz w:val="18"/>
          <w:szCs w:val="18"/>
        </w:rPr>
        <w:t>Admassu</w:t>
      </w:r>
      <w:proofErr w:type="spellEnd"/>
      <w:r>
        <w:rPr>
          <w:rFonts w:ascii="Arial" w:eastAsia="Times New Roman" w:hAnsi="Arial" w:cs="Arial"/>
          <w:sz w:val="18"/>
          <w:szCs w:val="18"/>
        </w:rPr>
        <w:t xml:space="preserve">, B., Bekele, G., </w:t>
      </w:r>
      <w:proofErr w:type="spellStart"/>
      <w:r>
        <w:rPr>
          <w:rFonts w:ascii="Arial" w:eastAsia="Times New Roman" w:hAnsi="Arial" w:cs="Arial"/>
          <w:sz w:val="18"/>
          <w:szCs w:val="18"/>
        </w:rPr>
        <w:t>Abera</w:t>
      </w:r>
      <w:proofErr w:type="spellEnd"/>
      <w:r>
        <w:rPr>
          <w:rFonts w:ascii="Arial" w:eastAsia="Times New Roman" w:hAnsi="Arial" w:cs="Arial"/>
          <w:sz w:val="18"/>
          <w:szCs w:val="18"/>
        </w:rPr>
        <w:t xml:space="preserve">, B., Eshete, G., </w:t>
      </w:r>
      <w:proofErr w:type="spellStart"/>
      <w:r>
        <w:rPr>
          <w:rFonts w:ascii="Arial" w:eastAsia="Times New Roman" w:hAnsi="Arial" w:cs="Arial"/>
          <w:sz w:val="18"/>
          <w:szCs w:val="18"/>
        </w:rPr>
        <w:t>Rufael</w:t>
      </w:r>
      <w:proofErr w:type="spellEnd"/>
      <w:r>
        <w:rPr>
          <w:rFonts w:ascii="Arial" w:eastAsia="Times New Roman" w:hAnsi="Arial" w:cs="Arial"/>
          <w:sz w:val="18"/>
          <w:szCs w:val="18"/>
        </w:rPr>
        <w:t>, T., &amp; Haile, T. (2009). Impact of drought-related vaccination on livestock mortality in pastoralist areas of Ethiopia. Disasters, 33(4), 665–85. https://doi.org/10.1111/j.1467-7717.2009.01103.x</w:t>
      </w:r>
    </w:p>
    <w:p w14:paraId="032CC071" w14:textId="77777777" w:rsidR="00FA3C64" w:rsidRDefault="00FA3C64" w:rsidP="00FA3C64">
      <w:pPr>
        <w:jc w:val="both"/>
        <w:rPr>
          <w:rFonts w:ascii="Arial" w:eastAsia="Times New Roman" w:hAnsi="Arial" w:cs="Arial"/>
          <w:sz w:val="18"/>
          <w:szCs w:val="18"/>
        </w:rPr>
      </w:pPr>
      <w:r>
        <w:rPr>
          <w:rFonts w:ascii="Arial" w:eastAsia="Times New Roman" w:hAnsi="Arial" w:cs="Arial"/>
          <w:sz w:val="18"/>
          <w:szCs w:val="18"/>
        </w:rPr>
        <w:t xml:space="preserve">Coop, R. L., &amp; </w:t>
      </w:r>
      <w:proofErr w:type="spellStart"/>
      <w:r>
        <w:rPr>
          <w:rFonts w:ascii="Arial" w:eastAsia="Times New Roman" w:hAnsi="Arial" w:cs="Arial"/>
          <w:sz w:val="18"/>
          <w:szCs w:val="18"/>
        </w:rPr>
        <w:t>Kyriazakis</w:t>
      </w:r>
      <w:proofErr w:type="spellEnd"/>
      <w:r>
        <w:rPr>
          <w:rFonts w:ascii="Arial" w:eastAsia="Times New Roman" w:hAnsi="Arial" w:cs="Arial"/>
          <w:sz w:val="18"/>
          <w:szCs w:val="18"/>
        </w:rPr>
        <w:t>, I. (2001). Influence of host nutrition on the development and consequences of nematode parasitism in ruminants. Trends in Parasitology. https://doi.org/10.1016/s1471-4922(01)01900-6</w:t>
      </w:r>
    </w:p>
    <w:p w14:paraId="64E49B52" w14:textId="77777777" w:rsidR="00FA3C64" w:rsidRDefault="00FA3C64" w:rsidP="00FA3C64">
      <w:pPr>
        <w:jc w:val="both"/>
        <w:rPr>
          <w:rFonts w:ascii="Arial" w:eastAsia="Times New Roman" w:hAnsi="Arial" w:cs="Arial"/>
          <w:sz w:val="18"/>
          <w:szCs w:val="18"/>
        </w:rPr>
      </w:pPr>
      <w:r>
        <w:rPr>
          <w:rFonts w:ascii="Arial" w:eastAsia="Times New Roman" w:hAnsi="Arial" w:cs="Arial"/>
          <w:sz w:val="18"/>
          <w:szCs w:val="18"/>
        </w:rPr>
        <w:t>Coop, R. L., &amp; Holmes, P. H. (1996). Nutrition and parasite interaction. International Journal of Parasitology, 26(8-9), 951-962. https://doi.org/10.1016/s0020-7519(96)80070-1</w:t>
      </w:r>
    </w:p>
    <w:p w14:paraId="31271BFC" w14:textId="77777777" w:rsidR="00FA3C64" w:rsidRDefault="00FA3C64" w:rsidP="00FA3C64">
      <w:pPr>
        <w:jc w:val="both"/>
        <w:rPr>
          <w:rFonts w:ascii="Arial" w:eastAsia="Times New Roman" w:hAnsi="Arial" w:cs="Arial"/>
          <w:sz w:val="18"/>
          <w:szCs w:val="18"/>
        </w:rPr>
      </w:pPr>
      <w:r w:rsidRPr="006D6F91">
        <w:rPr>
          <w:rFonts w:ascii="Arial" w:eastAsia="Times New Roman" w:hAnsi="Arial" w:cs="Arial"/>
          <w:sz w:val="18"/>
          <w:szCs w:val="18"/>
          <w:lang w:val="fr-FR"/>
        </w:rPr>
        <w:t xml:space="preserve">Diallo, A., Minet, C., Le Goff, C., </w:t>
      </w:r>
      <w:proofErr w:type="spellStart"/>
      <w:r w:rsidRPr="006D6F91">
        <w:rPr>
          <w:rFonts w:ascii="Arial" w:eastAsia="Times New Roman" w:hAnsi="Arial" w:cs="Arial"/>
          <w:sz w:val="18"/>
          <w:szCs w:val="18"/>
          <w:lang w:val="fr-FR"/>
        </w:rPr>
        <w:t>Berhe</w:t>
      </w:r>
      <w:proofErr w:type="spellEnd"/>
      <w:r w:rsidRPr="006D6F91">
        <w:rPr>
          <w:rFonts w:ascii="Arial" w:eastAsia="Times New Roman" w:hAnsi="Arial" w:cs="Arial"/>
          <w:sz w:val="18"/>
          <w:szCs w:val="18"/>
          <w:lang w:val="fr-FR"/>
        </w:rPr>
        <w:t xml:space="preserve">, G., Albina, E., </w:t>
      </w:r>
      <w:proofErr w:type="spellStart"/>
      <w:r w:rsidRPr="006D6F91">
        <w:rPr>
          <w:rFonts w:ascii="Arial" w:eastAsia="Times New Roman" w:hAnsi="Arial" w:cs="Arial"/>
          <w:sz w:val="18"/>
          <w:szCs w:val="18"/>
          <w:lang w:val="fr-FR"/>
        </w:rPr>
        <w:t>Libeau</w:t>
      </w:r>
      <w:proofErr w:type="spellEnd"/>
      <w:r w:rsidRPr="006D6F91">
        <w:rPr>
          <w:rFonts w:ascii="Arial" w:eastAsia="Times New Roman" w:hAnsi="Arial" w:cs="Arial"/>
          <w:sz w:val="18"/>
          <w:szCs w:val="18"/>
          <w:lang w:val="fr-FR"/>
        </w:rPr>
        <w:t xml:space="preserve">, G., &amp; Barrett, T. (2007). </w:t>
      </w:r>
      <w:r>
        <w:rPr>
          <w:rFonts w:ascii="Arial" w:eastAsia="Times New Roman" w:hAnsi="Arial" w:cs="Arial"/>
          <w:sz w:val="18"/>
          <w:szCs w:val="18"/>
        </w:rPr>
        <w:t xml:space="preserve">The threat of </w:t>
      </w:r>
      <w:proofErr w:type="spellStart"/>
      <w:r>
        <w:rPr>
          <w:rFonts w:ascii="Arial" w:eastAsia="Times New Roman" w:hAnsi="Arial" w:cs="Arial"/>
          <w:sz w:val="18"/>
          <w:szCs w:val="18"/>
        </w:rPr>
        <w:t>peste</w:t>
      </w:r>
      <w:proofErr w:type="spellEnd"/>
      <w:r>
        <w:rPr>
          <w:rFonts w:ascii="Arial" w:eastAsia="Times New Roman" w:hAnsi="Arial" w:cs="Arial"/>
          <w:sz w:val="18"/>
          <w:szCs w:val="18"/>
        </w:rPr>
        <w:t xml:space="preserve"> des petits ruminants: progress in vaccine development for disease control. Vaccine, 25(30), 5591-5597. https://doi.org/10.1016/j.vaccine.2007.02.013</w:t>
      </w:r>
    </w:p>
    <w:p w14:paraId="2EE91C8C" w14:textId="3FF8F47C" w:rsidR="00FA3C64" w:rsidRDefault="00297748" w:rsidP="00FA3C64">
      <w:pPr>
        <w:jc w:val="both"/>
        <w:rPr>
          <w:rFonts w:ascii="Arial" w:eastAsia="Times New Roman" w:hAnsi="Arial" w:cs="Arial"/>
          <w:sz w:val="18"/>
          <w:szCs w:val="18"/>
        </w:rPr>
      </w:pPr>
      <w:r w:rsidRPr="003928CB">
        <w:rPr>
          <w:rFonts w:ascii="Times New Roman" w:eastAsia="Times New Roman" w:hAnsi="Times New Roman" w:cs="Times New Roman"/>
          <w:sz w:val="24"/>
          <w:szCs w:val="24"/>
        </w:rPr>
        <w:fldChar w:fldCharType="begin"/>
      </w:r>
      <w:r w:rsidRPr="007C01C1">
        <w:rPr>
          <w:rFonts w:ascii="Times New Roman" w:eastAsia="Times New Roman" w:hAnsi="Times New Roman" w:cs="Times New Roman"/>
          <w:sz w:val="24"/>
          <w:szCs w:val="24"/>
        </w:rPr>
        <w:instrText xml:space="preserve"> ADDIN ZOTERO_BIBL {"uncited":[],"omitted":[],"custom":[]} CSL_BIBLIOGRAPHY </w:instrText>
      </w:r>
      <w:r w:rsidRPr="003928CB">
        <w:rPr>
          <w:rFonts w:ascii="Times New Roman" w:eastAsia="Times New Roman" w:hAnsi="Times New Roman" w:cs="Times New Roman"/>
          <w:sz w:val="24"/>
          <w:szCs w:val="24"/>
        </w:rPr>
        <w:fldChar w:fldCharType="separate"/>
      </w:r>
      <w:r w:rsidR="00FA3C64">
        <w:rPr>
          <w:rFonts w:ascii="Arial" w:eastAsia="Times New Roman" w:hAnsi="Arial" w:cs="Arial"/>
          <w:sz w:val="18"/>
          <w:szCs w:val="18"/>
        </w:rPr>
        <w:t>Desai, P., Diamond, M. S., &amp; Thackray, L. B. (2021). Helminth–virus interactions: determinants of coinfection outcomes. Gut Microbes, 13(1), 196-202. https://doi.org/10.1080/19490976.2021.1961202</w:t>
      </w:r>
    </w:p>
    <w:p w14:paraId="582FA25B" w14:textId="6876A13C" w:rsidR="00A071FD" w:rsidRPr="007C01C1" w:rsidRDefault="00297748" w:rsidP="00FA3C64">
      <w:pPr>
        <w:spacing w:after="0" w:line="480" w:lineRule="auto"/>
        <w:ind w:left="360"/>
        <w:jc w:val="both"/>
        <w:textAlignment w:val="baseline"/>
        <w:rPr>
          <w:rFonts w:eastAsia="Times New Roman"/>
        </w:rPr>
      </w:pPr>
      <w:r w:rsidRPr="003928CB">
        <w:rPr>
          <w:rFonts w:eastAsia="Times New Roman"/>
        </w:rPr>
        <w:fldChar w:fldCharType="end"/>
      </w:r>
      <w:r w:rsidR="00A071FD" w:rsidRPr="003928CB">
        <w:rPr>
          <w:rFonts w:eastAsia="Times New Roman"/>
        </w:rPr>
        <w:t xml:space="preserve">Gibbs E P J, Anderson T C </w:t>
      </w:r>
      <w:r w:rsidR="00CF3735" w:rsidRPr="003928CB">
        <w:rPr>
          <w:rFonts w:eastAsia="Times New Roman"/>
        </w:rPr>
        <w:t>and</w:t>
      </w:r>
      <w:r w:rsidR="00A071FD" w:rsidRPr="003928CB">
        <w:rPr>
          <w:rFonts w:eastAsia="Times New Roman"/>
        </w:rPr>
        <w:t xml:space="preserve"> Brown C</w:t>
      </w:r>
      <w:r w:rsidR="00CF3735" w:rsidRPr="003928CB">
        <w:rPr>
          <w:rFonts w:eastAsia="Times New Roman"/>
        </w:rPr>
        <w:t xml:space="preserve"> </w:t>
      </w:r>
      <w:r w:rsidR="00A071FD" w:rsidRPr="003928CB">
        <w:rPr>
          <w:rFonts w:eastAsia="Times New Roman"/>
        </w:rPr>
        <w:t xml:space="preserve">C. 2019. Emerging animal viruses: real threats to human </w:t>
      </w:r>
      <w:r w:rsidR="00A071FD" w:rsidRPr="007C01C1">
        <w:rPr>
          <w:rFonts w:ascii="Times New Roman" w:eastAsia="Times New Roman" w:hAnsi="Times New Roman" w:cs="Times New Roman"/>
          <w:sz w:val="24"/>
          <w:szCs w:val="24"/>
        </w:rPr>
        <w:t xml:space="preserve">and animal health. </w:t>
      </w:r>
      <w:r w:rsidR="00A071FD" w:rsidRPr="007C01C1">
        <w:rPr>
          <w:rFonts w:ascii="Times New Roman" w:eastAsia="Times New Roman" w:hAnsi="Times New Roman" w:cs="Times New Roman"/>
          <w:i/>
          <w:iCs/>
          <w:sz w:val="24"/>
          <w:szCs w:val="24"/>
        </w:rPr>
        <w:t>The Veterinary Journal</w:t>
      </w:r>
      <w:r w:rsidR="00A071FD" w:rsidRPr="007C01C1">
        <w:rPr>
          <w:rFonts w:ascii="Times New Roman" w:eastAsia="Times New Roman" w:hAnsi="Times New Roman" w:cs="Times New Roman"/>
          <w:sz w:val="24"/>
          <w:szCs w:val="24"/>
        </w:rPr>
        <w:t xml:space="preserve"> </w:t>
      </w:r>
      <w:r w:rsidR="00146D84" w:rsidRPr="007C01C1">
        <w:rPr>
          <w:rFonts w:ascii="Times New Roman" w:eastAsia="Times New Roman" w:hAnsi="Times New Roman" w:cs="Times New Roman"/>
          <w:sz w:val="24"/>
          <w:szCs w:val="24"/>
        </w:rPr>
        <w:t>.</w:t>
      </w:r>
      <w:r w:rsidR="00A071FD" w:rsidRPr="007C01C1">
        <w:rPr>
          <w:rFonts w:ascii="Times New Roman" w:eastAsia="Times New Roman" w:hAnsi="Times New Roman" w:cs="Times New Roman"/>
          <w:b/>
          <w:bCs/>
          <w:sz w:val="24"/>
          <w:szCs w:val="24"/>
        </w:rPr>
        <w:t>244</w:t>
      </w:r>
      <w:r w:rsidR="00146D84" w:rsidRPr="007C01C1">
        <w:rPr>
          <w:rFonts w:ascii="Times New Roman" w:eastAsia="Times New Roman" w:hAnsi="Times New Roman" w:cs="Times New Roman"/>
          <w:sz w:val="24"/>
          <w:szCs w:val="24"/>
        </w:rPr>
        <w:t>:</w:t>
      </w:r>
      <w:r w:rsidR="00A071FD" w:rsidRPr="007C01C1">
        <w:rPr>
          <w:rFonts w:ascii="Times New Roman" w:eastAsia="Times New Roman" w:hAnsi="Times New Roman" w:cs="Times New Roman"/>
          <w:sz w:val="24"/>
          <w:szCs w:val="24"/>
        </w:rPr>
        <w:t xml:space="preserve"> 1-10.</w:t>
      </w:r>
    </w:p>
    <w:p w14:paraId="1F9A67E4" w14:textId="77777777" w:rsidR="00FA3C64" w:rsidRDefault="00FA3C64" w:rsidP="00FA3C64">
      <w:pPr>
        <w:jc w:val="both"/>
        <w:rPr>
          <w:rFonts w:ascii="Arial" w:eastAsia="Times New Roman" w:hAnsi="Arial" w:cs="Arial"/>
          <w:sz w:val="18"/>
          <w:szCs w:val="18"/>
        </w:rPr>
      </w:pPr>
      <w:r w:rsidRPr="00FA3C64">
        <w:rPr>
          <w:rFonts w:ascii="Arial" w:eastAsia="Times New Roman" w:hAnsi="Arial" w:cs="Arial"/>
          <w:sz w:val="18"/>
          <w:szCs w:val="18"/>
        </w:rPr>
        <w:t xml:space="preserve">Gomes, A. R., </w:t>
      </w:r>
      <w:proofErr w:type="spellStart"/>
      <w:r w:rsidRPr="00FA3C64">
        <w:rPr>
          <w:rFonts w:ascii="Arial" w:eastAsia="Times New Roman" w:hAnsi="Arial" w:cs="Arial"/>
          <w:sz w:val="18"/>
          <w:szCs w:val="18"/>
        </w:rPr>
        <w:t>Byregowda</w:t>
      </w:r>
      <w:proofErr w:type="spellEnd"/>
      <w:r w:rsidRPr="00FA3C64">
        <w:rPr>
          <w:rFonts w:ascii="Arial" w:eastAsia="Times New Roman" w:hAnsi="Arial" w:cs="Arial"/>
          <w:sz w:val="18"/>
          <w:szCs w:val="18"/>
        </w:rPr>
        <w:t xml:space="preserve">, S. M., </w:t>
      </w:r>
      <w:proofErr w:type="spellStart"/>
      <w:r w:rsidRPr="00FA3C64">
        <w:rPr>
          <w:rFonts w:ascii="Arial" w:eastAsia="Times New Roman" w:hAnsi="Arial" w:cs="Arial"/>
          <w:sz w:val="18"/>
          <w:szCs w:val="18"/>
        </w:rPr>
        <w:t>Veeregowda</w:t>
      </w:r>
      <w:proofErr w:type="spellEnd"/>
      <w:r w:rsidRPr="00FA3C64">
        <w:rPr>
          <w:rFonts w:ascii="Arial" w:eastAsia="Times New Roman" w:hAnsi="Arial" w:cs="Arial"/>
          <w:sz w:val="18"/>
          <w:szCs w:val="18"/>
        </w:rPr>
        <w:t xml:space="preserve">, B. M., </w:t>
      </w:r>
      <w:proofErr w:type="spellStart"/>
      <w:r w:rsidRPr="00FA3C64">
        <w:rPr>
          <w:rFonts w:ascii="Arial" w:eastAsia="Times New Roman" w:hAnsi="Arial" w:cs="Arial"/>
          <w:sz w:val="18"/>
          <w:szCs w:val="18"/>
        </w:rPr>
        <w:t>Rathnamma</w:t>
      </w:r>
      <w:proofErr w:type="spellEnd"/>
      <w:r w:rsidRPr="00FA3C64">
        <w:rPr>
          <w:rFonts w:ascii="Arial" w:eastAsia="Times New Roman" w:hAnsi="Arial" w:cs="Arial"/>
          <w:sz w:val="18"/>
          <w:szCs w:val="18"/>
        </w:rPr>
        <w:t xml:space="preserve">, D., </w:t>
      </w:r>
      <w:proofErr w:type="spellStart"/>
      <w:r w:rsidRPr="00FA3C64">
        <w:rPr>
          <w:rFonts w:ascii="Arial" w:eastAsia="Times New Roman" w:hAnsi="Arial" w:cs="Arial"/>
          <w:sz w:val="18"/>
          <w:szCs w:val="18"/>
        </w:rPr>
        <w:t>Chandranaik</w:t>
      </w:r>
      <w:proofErr w:type="spellEnd"/>
      <w:r w:rsidRPr="00FA3C64">
        <w:rPr>
          <w:rFonts w:ascii="Arial" w:eastAsia="Times New Roman" w:hAnsi="Arial" w:cs="Arial"/>
          <w:sz w:val="18"/>
          <w:szCs w:val="18"/>
        </w:rPr>
        <w:t xml:space="preserve">, B. M., </w:t>
      </w:r>
      <w:proofErr w:type="spellStart"/>
      <w:r w:rsidRPr="00FA3C64">
        <w:rPr>
          <w:rFonts w:ascii="Arial" w:eastAsia="Times New Roman" w:hAnsi="Arial" w:cs="Arial"/>
          <w:sz w:val="18"/>
          <w:szCs w:val="18"/>
        </w:rPr>
        <w:t>Shivashankar</w:t>
      </w:r>
      <w:proofErr w:type="spellEnd"/>
      <w:r w:rsidRPr="00FA3C64">
        <w:rPr>
          <w:rFonts w:ascii="Arial" w:eastAsia="Times New Roman" w:hAnsi="Arial" w:cs="Arial"/>
          <w:sz w:val="18"/>
          <w:szCs w:val="18"/>
        </w:rPr>
        <w:t xml:space="preserve">, B. P., </w:t>
      </w:r>
      <w:proofErr w:type="spellStart"/>
      <w:r w:rsidRPr="00FA3C64">
        <w:rPr>
          <w:rFonts w:ascii="Arial" w:eastAsia="Times New Roman" w:hAnsi="Arial" w:cs="Arial"/>
          <w:sz w:val="18"/>
          <w:szCs w:val="18"/>
        </w:rPr>
        <w:t>Mallinath</w:t>
      </w:r>
      <w:proofErr w:type="spellEnd"/>
      <w:r w:rsidRPr="00FA3C64">
        <w:rPr>
          <w:rFonts w:ascii="Arial" w:eastAsia="Times New Roman" w:hAnsi="Arial" w:cs="Arial"/>
          <w:sz w:val="18"/>
          <w:szCs w:val="18"/>
        </w:rPr>
        <w:t xml:space="preserve">, K. C., &amp; Balamurugan, V. (2016). </w:t>
      </w:r>
      <w:r>
        <w:rPr>
          <w:rFonts w:ascii="Arial" w:eastAsia="Times New Roman" w:hAnsi="Arial" w:cs="Arial"/>
          <w:sz w:val="18"/>
          <w:szCs w:val="18"/>
        </w:rPr>
        <w:t xml:space="preserve">Epidemiological investigation of the </w:t>
      </w:r>
      <w:proofErr w:type="spellStart"/>
      <w:r>
        <w:rPr>
          <w:rFonts w:ascii="Arial" w:eastAsia="Times New Roman" w:hAnsi="Arial" w:cs="Arial"/>
          <w:sz w:val="18"/>
          <w:szCs w:val="18"/>
        </w:rPr>
        <w:t>Peste</w:t>
      </w:r>
      <w:proofErr w:type="spellEnd"/>
      <w:r>
        <w:rPr>
          <w:rFonts w:ascii="Arial" w:eastAsia="Times New Roman" w:hAnsi="Arial" w:cs="Arial"/>
          <w:sz w:val="18"/>
          <w:szCs w:val="18"/>
        </w:rPr>
        <w:t xml:space="preserve"> des Petits Ruminants outbreaks in Karnataka, India. Advances in Animal and Veterinary Sciences, 4(2s), 27–33. https://doi.org/10.14737/journal.aavs/2016/4.2s.27.33</w:t>
      </w:r>
    </w:p>
    <w:p w14:paraId="050F016F" w14:textId="77777777" w:rsidR="00FA3C64" w:rsidRDefault="00FA3C64" w:rsidP="00FA3C64">
      <w:pPr>
        <w:jc w:val="both"/>
        <w:rPr>
          <w:rFonts w:ascii="Arial" w:eastAsia="Times New Roman" w:hAnsi="Arial" w:cs="Arial"/>
          <w:sz w:val="18"/>
          <w:szCs w:val="18"/>
        </w:rPr>
      </w:pPr>
      <w:r>
        <w:rPr>
          <w:rFonts w:ascii="Arial" w:eastAsia="Times New Roman" w:hAnsi="Arial" w:cs="Arial"/>
          <w:sz w:val="18"/>
          <w:szCs w:val="18"/>
        </w:rPr>
        <w:t xml:space="preserve">Fleming, M. W. (1997). Cortisol as an indicator of severity of parasitic infections of </w:t>
      </w:r>
      <w:proofErr w:type="spellStart"/>
      <w:r>
        <w:rPr>
          <w:rFonts w:ascii="Arial" w:eastAsia="Times New Roman" w:hAnsi="Arial" w:cs="Arial"/>
          <w:sz w:val="18"/>
          <w:szCs w:val="18"/>
        </w:rPr>
        <w:t>Haemonchus</w:t>
      </w:r>
      <w:proofErr w:type="spellEnd"/>
      <w:r>
        <w:rPr>
          <w:rFonts w:ascii="Arial" w:eastAsia="Times New Roman" w:hAnsi="Arial" w:cs="Arial"/>
          <w:sz w:val="18"/>
          <w:szCs w:val="18"/>
        </w:rPr>
        <w:t xml:space="preserve"> </w:t>
      </w:r>
      <w:proofErr w:type="spellStart"/>
      <w:r>
        <w:rPr>
          <w:rFonts w:ascii="Arial" w:eastAsia="Times New Roman" w:hAnsi="Arial" w:cs="Arial"/>
          <w:sz w:val="18"/>
          <w:szCs w:val="18"/>
        </w:rPr>
        <w:t>contortus</w:t>
      </w:r>
      <w:proofErr w:type="spellEnd"/>
      <w:r>
        <w:rPr>
          <w:rFonts w:ascii="Arial" w:eastAsia="Times New Roman" w:hAnsi="Arial" w:cs="Arial"/>
          <w:sz w:val="18"/>
          <w:szCs w:val="18"/>
        </w:rPr>
        <w:t xml:space="preserve"> in lambs (</w:t>
      </w:r>
      <w:proofErr w:type="spellStart"/>
      <w:r>
        <w:rPr>
          <w:rFonts w:ascii="Arial" w:eastAsia="Times New Roman" w:hAnsi="Arial" w:cs="Arial"/>
          <w:sz w:val="18"/>
          <w:szCs w:val="18"/>
        </w:rPr>
        <w:t>Ovis</w:t>
      </w:r>
      <w:proofErr w:type="spellEnd"/>
      <w:r>
        <w:rPr>
          <w:rFonts w:ascii="Arial" w:eastAsia="Times New Roman" w:hAnsi="Arial" w:cs="Arial"/>
          <w:sz w:val="18"/>
          <w:szCs w:val="18"/>
        </w:rPr>
        <w:t xml:space="preserve"> </w:t>
      </w:r>
      <w:proofErr w:type="spellStart"/>
      <w:r>
        <w:rPr>
          <w:rFonts w:ascii="Arial" w:eastAsia="Times New Roman" w:hAnsi="Arial" w:cs="Arial"/>
          <w:sz w:val="18"/>
          <w:szCs w:val="18"/>
        </w:rPr>
        <w:t>aries</w:t>
      </w:r>
      <w:proofErr w:type="spellEnd"/>
      <w:r>
        <w:rPr>
          <w:rFonts w:ascii="Arial" w:eastAsia="Times New Roman" w:hAnsi="Arial" w:cs="Arial"/>
          <w:sz w:val="18"/>
          <w:szCs w:val="18"/>
        </w:rPr>
        <w:t>). Comparative Biochemistry and Physiology Part B: Biochemistry and Molecular Biology, 116(1), 41-44. https://doi.org/10.1016/s0305-0491(96)00157-5</w:t>
      </w:r>
    </w:p>
    <w:p w14:paraId="12A9E09F" w14:textId="77777777" w:rsidR="00FA3C64" w:rsidRDefault="00FA3C64" w:rsidP="00FA3C64">
      <w:pPr>
        <w:jc w:val="both"/>
        <w:rPr>
          <w:rFonts w:ascii="Arial" w:eastAsia="Times New Roman" w:hAnsi="Arial" w:cs="Arial"/>
          <w:sz w:val="18"/>
          <w:szCs w:val="18"/>
        </w:rPr>
      </w:pPr>
      <w:proofErr w:type="spellStart"/>
      <w:r>
        <w:rPr>
          <w:rFonts w:ascii="Arial" w:eastAsia="Times New Roman" w:hAnsi="Arial" w:cs="Arial"/>
          <w:sz w:val="18"/>
          <w:szCs w:val="18"/>
        </w:rPr>
        <w:t>Milovanović</w:t>
      </w:r>
      <w:proofErr w:type="spellEnd"/>
      <w:r>
        <w:rPr>
          <w:rFonts w:ascii="Arial" w:eastAsia="Times New Roman" w:hAnsi="Arial" w:cs="Arial"/>
          <w:sz w:val="18"/>
          <w:szCs w:val="18"/>
        </w:rPr>
        <w:t xml:space="preserve">, M., </w:t>
      </w:r>
      <w:proofErr w:type="spellStart"/>
      <w:r>
        <w:rPr>
          <w:rFonts w:ascii="Arial" w:eastAsia="Times New Roman" w:hAnsi="Arial" w:cs="Arial"/>
          <w:sz w:val="18"/>
          <w:szCs w:val="18"/>
        </w:rPr>
        <w:t>Dietze</w:t>
      </w:r>
      <w:proofErr w:type="spellEnd"/>
      <w:r>
        <w:rPr>
          <w:rFonts w:ascii="Arial" w:eastAsia="Times New Roman" w:hAnsi="Arial" w:cs="Arial"/>
          <w:sz w:val="18"/>
          <w:szCs w:val="18"/>
        </w:rPr>
        <w:t xml:space="preserve">, K., </w:t>
      </w:r>
      <w:proofErr w:type="spellStart"/>
      <w:r>
        <w:rPr>
          <w:rFonts w:ascii="Arial" w:eastAsia="Times New Roman" w:hAnsi="Arial" w:cs="Arial"/>
          <w:sz w:val="18"/>
          <w:szCs w:val="18"/>
        </w:rPr>
        <w:t>Wernery</w:t>
      </w:r>
      <w:proofErr w:type="spellEnd"/>
      <w:r>
        <w:rPr>
          <w:rFonts w:ascii="Arial" w:eastAsia="Times New Roman" w:hAnsi="Arial" w:cs="Arial"/>
          <w:sz w:val="18"/>
          <w:szCs w:val="18"/>
        </w:rPr>
        <w:t xml:space="preserve">, U., &amp; Hoffmann, B. (2023). Investigation of Potency and Safety of Live-Attenuated </w:t>
      </w:r>
      <w:proofErr w:type="spellStart"/>
      <w:r>
        <w:rPr>
          <w:rFonts w:ascii="Arial" w:eastAsia="Times New Roman" w:hAnsi="Arial" w:cs="Arial"/>
          <w:sz w:val="18"/>
          <w:szCs w:val="18"/>
        </w:rPr>
        <w:t>Peste</w:t>
      </w:r>
      <w:proofErr w:type="spellEnd"/>
      <w:r>
        <w:rPr>
          <w:rFonts w:ascii="Arial" w:eastAsia="Times New Roman" w:hAnsi="Arial" w:cs="Arial"/>
          <w:sz w:val="18"/>
          <w:szCs w:val="18"/>
        </w:rPr>
        <w:t xml:space="preserve"> des Petits Ruminant Virus Vaccine in Goats by Detection of Cellular and Humoral Immune Response. Viruses, 15(6), 1325. https://doi.org/10.3390/v15061325</w:t>
      </w:r>
    </w:p>
    <w:p w14:paraId="0D4074CA" w14:textId="454D2132" w:rsidR="00A071FD" w:rsidRPr="007C01C1" w:rsidRDefault="00A071FD" w:rsidP="007C01C1">
      <w:pPr>
        <w:spacing w:after="0" w:line="480" w:lineRule="auto"/>
        <w:ind w:left="360"/>
        <w:jc w:val="both"/>
        <w:textAlignment w:val="baseline"/>
        <w:rPr>
          <w:rFonts w:ascii="Times New Roman" w:eastAsia="Times New Roman" w:hAnsi="Times New Roman" w:cs="Times New Roman"/>
          <w:i/>
          <w:iCs/>
          <w:sz w:val="24"/>
          <w:szCs w:val="24"/>
          <w:shd w:val="clear" w:color="auto" w:fill="FFFFFF"/>
        </w:rPr>
      </w:pPr>
      <w:proofErr w:type="spellStart"/>
      <w:proofErr w:type="gramStart"/>
      <w:r w:rsidRPr="007C01C1">
        <w:rPr>
          <w:rFonts w:ascii="Times New Roman" w:eastAsia="Times New Roman" w:hAnsi="Times New Roman" w:cs="Times New Roman"/>
          <w:sz w:val="24"/>
          <w:szCs w:val="24"/>
          <w:shd w:val="clear" w:color="auto" w:fill="FFFFFF"/>
        </w:rPr>
        <w:lastRenderedPageBreak/>
        <w:t>Nussenzweig</w:t>
      </w:r>
      <w:proofErr w:type="spellEnd"/>
      <w:r w:rsidR="0099628F" w:rsidRPr="007C01C1">
        <w:rPr>
          <w:rFonts w:ascii="Times New Roman" w:eastAsia="Times New Roman" w:hAnsi="Times New Roman" w:cs="Times New Roman"/>
          <w:sz w:val="24"/>
          <w:szCs w:val="24"/>
          <w:shd w:val="clear" w:color="auto" w:fill="FFFFFF"/>
        </w:rPr>
        <w:t xml:space="preserve"> </w:t>
      </w:r>
      <w:r w:rsidRPr="007C01C1">
        <w:rPr>
          <w:rFonts w:ascii="Times New Roman" w:eastAsia="Times New Roman" w:hAnsi="Times New Roman" w:cs="Times New Roman"/>
          <w:sz w:val="24"/>
          <w:szCs w:val="24"/>
          <w:shd w:val="clear" w:color="auto" w:fill="FFFFFF"/>
        </w:rPr>
        <w:t xml:space="preserve"> R</w:t>
      </w:r>
      <w:proofErr w:type="gramEnd"/>
      <w:r w:rsidRPr="007C01C1">
        <w:rPr>
          <w:rFonts w:ascii="Times New Roman" w:eastAsia="Times New Roman" w:hAnsi="Times New Roman" w:cs="Times New Roman"/>
          <w:sz w:val="24"/>
          <w:szCs w:val="24"/>
          <w:shd w:val="clear" w:color="auto" w:fill="FFFFFF"/>
        </w:rPr>
        <w:t xml:space="preserve"> S 1982. Parasitic Disease as a Cause of Immunosuppression. </w:t>
      </w:r>
      <w:r w:rsidRPr="007C01C1">
        <w:rPr>
          <w:rFonts w:ascii="Times New Roman" w:eastAsia="Times New Roman" w:hAnsi="Times New Roman" w:cs="Times New Roman"/>
          <w:i/>
          <w:iCs/>
          <w:sz w:val="24"/>
          <w:szCs w:val="24"/>
          <w:shd w:val="clear" w:color="auto" w:fill="FFFFFF"/>
        </w:rPr>
        <w:t>New England</w:t>
      </w:r>
      <w:r w:rsidR="007C01C1" w:rsidRPr="007C01C1">
        <w:rPr>
          <w:rFonts w:ascii="Times New Roman" w:eastAsia="Times New Roman" w:hAnsi="Times New Roman" w:cs="Times New Roman"/>
          <w:i/>
          <w:iCs/>
          <w:sz w:val="24"/>
          <w:szCs w:val="24"/>
          <w:shd w:val="clear" w:color="auto" w:fill="FFFFFF"/>
        </w:rPr>
        <w:t xml:space="preserve"> </w:t>
      </w:r>
      <w:r w:rsidRPr="007C01C1">
        <w:rPr>
          <w:rFonts w:ascii="Times New Roman" w:eastAsia="Times New Roman" w:hAnsi="Times New Roman" w:cs="Times New Roman"/>
          <w:i/>
          <w:iCs/>
          <w:sz w:val="24"/>
          <w:szCs w:val="24"/>
          <w:shd w:val="clear" w:color="auto" w:fill="FFFFFF"/>
        </w:rPr>
        <w:t>Journal of Medicine</w:t>
      </w:r>
      <w:r w:rsidR="0099628F" w:rsidRPr="007C01C1">
        <w:rPr>
          <w:rFonts w:ascii="Times New Roman" w:eastAsia="Times New Roman" w:hAnsi="Times New Roman" w:cs="Times New Roman"/>
          <w:sz w:val="24"/>
          <w:szCs w:val="24"/>
          <w:shd w:val="clear" w:color="auto" w:fill="FFFFFF"/>
        </w:rPr>
        <w:t>.</w:t>
      </w:r>
      <w:r w:rsidRPr="007C01C1">
        <w:rPr>
          <w:rFonts w:ascii="Times New Roman" w:eastAsia="Times New Roman" w:hAnsi="Times New Roman" w:cs="Times New Roman"/>
          <w:sz w:val="24"/>
          <w:szCs w:val="24"/>
          <w:shd w:val="clear" w:color="auto" w:fill="FFFFFF"/>
        </w:rPr>
        <w:t xml:space="preserve"> </w:t>
      </w:r>
      <w:r w:rsidRPr="007C01C1">
        <w:rPr>
          <w:rFonts w:ascii="Times New Roman" w:eastAsia="Times New Roman" w:hAnsi="Times New Roman" w:cs="Times New Roman"/>
          <w:b/>
          <w:bCs/>
          <w:sz w:val="24"/>
          <w:szCs w:val="24"/>
          <w:shd w:val="clear" w:color="auto" w:fill="FFFFFF"/>
        </w:rPr>
        <w:t>306</w:t>
      </w:r>
      <w:r w:rsidRPr="007C01C1">
        <w:rPr>
          <w:rFonts w:ascii="Times New Roman" w:eastAsia="Times New Roman" w:hAnsi="Times New Roman" w:cs="Times New Roman"/>
          <w:sz w:val="24"/>
          <w:szCs w:val="24"/>
          <w:shd w:val="clear" w:color="auto" w:fill="FFFFFF"/>
        </w:rPr>
        <w:t>(7)</w:t>
      </w:r>
      <w:r w:rsidR="0099628F" w:rsidRPr="007C01C1">
        <w:rPr>
          <w:rFonts w:ascii="Times New Roman" w:eastAsia="Times New Roman" w:hAnsi="Times New Roman" w:cs="Times New Roman"/>
          <w:sz w:val="24"/>
          <w:szCs w:val="24"/>
          <w:shd w:val="clear" w:color="auto" w:fill="FFFFFF"/>
        </w:rPr>
        <w:t xml:space="preserve">: </w:t>
      </w:r>
      <w:r w:rsidRPr="007C01C1">
        <w:rPr>
          <w:rFonts w:ascii="Times New Roman" w:eastAsia="Times New Roman" w:hAnsi="Times New Roman" w:cs="Times New Roman"/>
          <w:sz w:val="24"/>
          <w:szCs w:val="24"/>
          <w:shd w:val="clear" w:color="auto" w:fill="FFFFFF"/>
        </w:rPr>
        <w:t>423–424. </w:t>
      </w:r>
      <w:hyperlink r:id="rId11" w:history="1">
        <w:r w:rsidR="00FA3C64" w:rsidRPr="00132695">
          <w:rPr>
            <w:rStyle w:val="Hyperlink"/>
            <w:rFonts w:ascii="Times New Roman" w:eastAsia="Times New Roman" w:hAnsi="Times New Roman" w:cs="Times New Roman"/>
            <w:sz w:val="24"/>
            <w:szCs w:val="24"/>
            <w:shd w:val="clear" w:color="auto" w:fill="FFFFFF"/>
          </w:rPr>
          <w:t>https://www.nejm.org/doi/abs/10.1056/NEJM198202183060711</w:t>
        </w:r>
      </w:hyperlink>
      <w:r w:rsidR="00FA3C64">
        <w:rPr>
          <w:rFonts w:ascii="Times New Roman" w:eastAsia="Times New Roman" w:hAnsi="Times New Roman" w:cs="Times New Roman"/>
          <w:sz w:val="24"/>
          <w:szCs w:val="24"/>
          <w:shd w:val="clear" w:color="auto" w:fill="FFFFFF"/>
        </w:rPr>
        <w:t xml:space="preserve"> </w:t>
      </w:r>
    </w:p>
    <w:p w14:paraId="1FCF6A2B" w14:textId="77777777" w:rsidR="00FA3C64" w:rsidRDefault="00FA3C64" w:rsidP="00FA3C64">
      <w:pPr>
        <w:rPr>
          <w:rFonts w:ascii="Arial" w:eastAsia="Times New Roman" w:hAnsi="Arial" w:cs="Arial"/>
          <w:sz w:val="18"/>
          <w:szCs w:val="18"/>
        </w:rPr>
      </w:pPr>
      <w:proofErr w:type="spellStart"/>
      <w:r>
        <w:rPr>
          <w:rFonts w:ascii="Arial" w:eastAsia="Times New Roman" w:hAnsi="Arial" w:cs="Arial"/>
          <w:sz w:val="18"/>
          <w:szCs w:val="18"/>
        </w:rPr>
        <w:t>Nuvey</w:t>
      </w:r>
      <w:proofErr w:type="spellEnd"/>
      <w:r>
        <w:rPr>
          <w:rFonts w:ascii="Arial" w:eastAsia="Times New Roman" w:hAnsi="Arial" w:cs="Arial"/>
          <w:sz w:val="18"/>
          <w:szCs w:val="18"/>
        </w:rPr>
        <w:t xml:space="preserve">, F. S., </w:t>
      </w:r>
      <w:proofErr w:type="spellStart"/>
      <w:r>
        <w:rPr>
          <w:rFonts w:ascii="Arial" w:eastAsia="Times New Roman" w:hAnsi="Arial" w:cs="Arial"/>
          <w:sz w:val="18"/>
          <w:szCs w:val="18"/>
        </w:rPr>
        <w:t>Arkoazi</w:t>
      </w:r>
      <w:proofErr w:type="spellEnd"/>
      <w:r>
        <w:rPr>
          <w:rFonts w:ascii="Arial" w:eastAsia="Times New Roman" w:hAnsi="Arial" w:cs="Arial"/>
          <w:sz w:val="18"/>
          <w:szCs w:val="18"/>
        </w:rPr>
        <w:t xml:space="preserve">, J., </w:t>
      </w:r>
      <w:proofErr w:type="spellStart"/>
      <w:r>
        <w:rPr>
          <w:rFonts w:ascii="Arial" w:eastAsia="Times New Roman" w:hAnsi="Arial" w:cs="Arial"/>
          <w:sz w:val="18"/>
          <w:szCs w:val="18"/>
        </w:rPr>
        <w:t>Hattendorf</w:t>
      </w:r>
      <w:proofErr w:type="spellEnd"/>
      <w:r>
        <w:rPr>
          <w:rFonts w:ascii="Arial" w:eastAsia="Times New Roman" w:hAnsi="Arial" w:cs="Arial"/>
          <w:sz w:val="18"/>
          <w:szCs w:val="18"/>
        </w:rPr>
        <w:t xml:space="preserve">, J., Mensah, G. I., Addo, K. K., Fink, G., </w:t>
      </w:r>
      <w:proofErr w:type="spellStart"/>
      <w:r>
        <w:rPr>
          <w:rFonts w:ascii="Arial" w:eastAsia="Times New Roman" w:hAnsi="Arial" w:cs="Arial"/>
          <w:sz w:val="18"/>
          <w:szCs w:val="18"/>
        </w:rPr>
        <w:t>Zinsstag</w:t>
      </w:r>
      <w:proofErr w:type="spellEnd"/>
      <w:r>
        <w:rPr>
          <w:rFonts w:ascii="Arial" w:eastAsia="Times New Roman" w:hAnsi="Arial" w:cs="Arial"/>
          <w:sz w:val="18"/>
          <w:szCs w:val="18"/>
        </w:rPr>
        <w:t xml:space="preserve">, J., &amp; </w:t>
      </w:r>
      <w:proofErr w:type="spellStart"/>
      <w:r>
        <w:rPr>
          <w:rFonts w:ascii="Arial" w:eastAsia="Times New Roman" w:hAnsi="Arial" w:cs="Arial"/>
          <w:sz w:val="18"/>
          <w:szCs w:val="18"/>
        </w:rPr>
        <w:t>Bonfoh</w:t>
      </w:r>
      <w:proofErr w:type="spellEnd"/>
      <w:r>
        <w:rPr>
          <w:rFonts w:ascii="Arial" w:eastAsia="Times New Roman" w:hAnsi="Arial" w:cs="Arial"/>
          <w:sz w:val="18"/>
          <w:szCs w:val="18"/>
        </w:rPr>
        <w:t>, B. (2022). Effectiveness and profitability of preventive veterinary interventions in controlling infectious diseases of ruminant livestock in sub-Saharan Africa: a scoping review. BMC Veterinary Research, 18(1), 332. https://doi.org/10.1186/s12917-022-03428-9</w:t>
      </w:r>
    </w:p>
    <w:p w14:paraId="0AFFB82C" w14:textId="77777777" w:rsidR="00FA3C64" w:rsidRDefault="00FA3C64" w:rsidP="00FA3C64">
      <w:pPr>
        <w:rPr>
          <w:rFonts w:ascii="Arial" w:eastAsia="Times New Roman" w:hAnsi="Arial" w:cs="Arial"/>
          <w:sz w:val="18"/>
          <w:szCs w:val="18"/>
        </w:rPr>
      </w:pPr>
      <w:proofErr w:type="spellStart"/>
      <w:r>
        <w:rPr>
          <w:rFonts w:ascii="Arial" w:eastAsia="Times New Roman" w:hAnsi="Arial" w:cs="Arial"/>
          <w:sz w:val="18"/>
          <w:szCs w:val="18"/>
        </w:rPr>
        <w:t>Pambudi</w:t>
      </w:r>
      <w:proofErr w:type="spellEnd"/>
      <w:r>
        <w:rPr>
          <w:rFonts w:ascii="Arial" w:eastAsia="Times New Roman" w:hAnsi="Arial" w:cs="Arial"/>
          <w:sz w:val="18"/>
          <w:szCs w:val="18"/>
        </w:rPr>
        <w:t xml:space="preserve">, N. A., </w:t>
      </w:r>
      <w:proofErr w:type="spellStart"/>
      <w:r>
        <w:rPr>
          <w:rFonts w:ascii="Arial" w:eastAsia="Times New Roman" w:hAnsi="Arial" w:cs="Arial"/>
          <w:sz w:val="18"/>
          <w:szCs w:val="18"/>
        </w:rPr>
        <w:t>Sarifudin</w:t>
      </w:r>
      <w:proofErr w:type="spellEnd"/>
      <w:r>
        <w:rPr>
          <w:rFonts w:ascii="Arial" w:eastAsia="Times New Roman" w:hAnsi="Arial" w:cs="Arial"/>
          <w:sz w:val="18"/>
          <w:szCs w:val="18"/>
        </w:rPr>
        <w:t xml:space="preserve">, A., </w:t>
      </w:r>
      <w:proofErr w:type="spellStart"/>
      <w:r>
        <w:rPr>
          <w:rFonts w:ascii="Arial" w:eastAsia="Times New Roman" w:hAnsi="Arial" w:cs="Arial"/>
          <w:sz w:val="18"/>
          <w:szCs w:val="18"/>
        </w:rPr>
        <w:t>Gandidi</w:t>
      </w:r>
      <w:proofErr w:type="spellEnd"/>
      <w:r>
        <w:rPr>
          <w:rFonts w:ascii="Arial" w:eastAsia="Times New Roman" w:hAnsi="Arial" w:cs="Arial"/>
          <w:sz w:val="18"/>
          <w:szCs w:val="18"/>
        </w:rPr>
        <w:t xml:space="preserve">, I. M., &amp; </w:t>
      </w:r>
      <w:proofErr w:type="spellStart"/>
      <w:r>
        <w:rPr>
          <w:rFonts w:ascii="Arial" w:eastAsia="Times New Roman" w:hAnsi="Arial" w:cs="Arial"/>
          <w:sz w:val="18"/>
          <w:szCs w:val="18"/>
        </w:rPr>
        <w:t>Romadhon</w:t>
      </w:r>
      <w:proofErr w:type="spellEnd"/>
      <w:r>
        <w:rPr>
          <w:rFonts w:ascii="Arial" w:eastAsia="Times New Roman" w:hAnsi="Arial" w:cs="Arial"/>
          <w:sz w:val="18"/>
          <w:szCs w:val="18"/>
        </w:rPr>
        <w:t>, R. (2022). Vaccine cold chain management and cold storage technology to address the challenges of vaccination programs. Energy Reports. https://doi.org/10.1016/j.egyr.2021.12.039</w:t>
      </w:r>
    </w:p>
    <w:p w14:paraId="61CE8934" w14:textId="3A222889" w:rsidR="005E2523" w:rsidRPr="007C01C1" w:rsidRDefault="00EA146F" w:rsidP="007C01C1">
      <w:pPr>
        <w:spacing w:after="0" w:line="480" w:lineRule="auto"/>
        <w:ind w:left="360"/>
        <w:textAlignment w:val="baseline"/>
        <w:rPr>
          <w:rFonts w:ascii="Times New Roman" w:eastAsia="Times New Roman" w:hAnsi="Times New Roman" w:cs="Times New Roman"/>
          <w:sz w:val="24"/>
          <w:szCs w:val="24"/>
        </w:rPr>
      </w:pPr>
      <w:r w:rsidRPr="007C01C1">
        <w:rPr>
          <w:rFonts w:ascii="Times New Roman" w:eastAsia="Times New Roman" w:hAnsi="Times New Roman" w:cs="Times New Roman"/>
          <w:sz w:val="24"/>
          <w:szCs w:val="24"/>
        </w:rPr>
        <w:t>WOAH</w:t>
      </w:r>
      <w:r w:rsidR="0099628F" w:rsidRPr="007C01C1">
        <w:rPr>
          <w:rFonts w:ascii="Times New Roman" w:eastAsia="Times New Roman" w:hAnsi="Times New Roman" w:cs="Times New Roman"/>
          <w:sz w:val="24"/>
          <w:szCs w:val="24"/>
        </w:rPr>
        <w:t xml:space="preserve"> (World Organization for Animal Health)</w:t>
      </w:r>
      <w:r w:rsidRPr="007C01C1">
        <w:rPr>
          <w:rFonts w:ascii="Times New Roman" w:eastAsia="Times New Roman" w:hAnsi="Times New Roman" w:cs="Times New Roman"/>
          <w:sz w:val="24"/>
          <w:szCs w:val="24"/>
        </w:rPr>
        <w:t xml:space="preserve"> Terrestrial manual </w:t>
      </w:r>
      <w:proofErr w:type="gramStart"/>
      <w:r w:rsidRPr="007C01C1">
        <w:rPr>
          <w:rFonts w:ascii="Times New Roman" w:eastAsia="Times New Roman" w:hAnsi="Times New Roman" w:cs="Times New Roman"/>
          <w:sz w:val="24"/>
          <w:szCs w:val="24"/>
        </w:rPr>
        <w:t>2022</w:t>
      </w:r>
      <w:r w:rsidR="00DA7010" w:rsidRPr="007C01C1">
        <w:rPr>
          <w:rFonts w:ascii="Times New Roman" w:eastAsia="Times New Roman" w:hAnsi="Times New Roman" w:cs="Times New Roman"/>
          <w:sz w:val="24"/>
          <w:szCs w:val="24"/>
        </w:rPr>
        <w:t xml:space="preserve"> </w:t>
      </w:r>
      <w:r w:rsidRPr="007C01C1">
        <w:rPr>
          <w:rFonts w:ascii="Times New Roman" w:eastAsia="Times New Roman" w:hAnsi="Times New Roman" w:cs="Times New Roman"/>
          <w:sz w:val="24"/>
          <w:szCs w:val="24"/>
        </w:rPr>
        <w:t>,</w:t>
      </w:r>
      <w:proofErr w:type="gramEnd"/>
      <w:r w:rsidR="0099628F" w:rsidRPr="007C01C1">
        <w:rPr>
          <w:rFonts w:ascii="Times New Roman" w:eastAsia="Times New Roman" w:hAnsi="Times New Roman" w:cs="Times New Roman"/>
          <w:sz w:val="24"/>
          <w:szCs w:val="24"/>
        </w:rPr>
        <w:t xml:space="preserve"> </w:t>
      </w:r>
      <w:r w:rsidRPr="007C01C1">
        <w:rPr>
          <w:rFonts w:ascii="Times New Roman" w:eastAsia="Times New Roman" w:hAnsi="Times New Roman" w:cs="Times New Roman"/>
          <w:sz w:val="24"/>
          <w:szCs w:val="24"/>
        </w:rPr>
        <w:t xml:space="preserve">chapter 3. 8. 8. </w:t>
      </w:r>
      <w:proofErr w:type="spellStart"/>
      <w:r w:rsidRPr="007C01C1">
        <w:rPr>
          <w:rFonts w:ascii="Times New Roman" w:eastAsia="Times New Roman" w:hAnsi="Times New Roman" w:cs="Times New Roman"/>
          <w:sz w:val="24"/>
          <w:szCs w:val="24"/>
        </w:rPr>
        <w:t>Peste</w:t>
      </w:r>
      <w:proofErr w:type="spellEnd"/>
      <w:r w:rsidRPr="007C01C1">
        <w:rPr>
          <w:rFonts w:ascii="Times New Roman" w:eastAsia="Times New Roman" w:hAnsi="Times New Roman" w:cs="Times New Roman"/>
          <w:sz w:val="24"/>
          <w:szCs w:val="24"/>
        </w:rPr>
        <w:t xml:space="preserve"> des Petits Ruminants pages1-17</w:t>
      </w:r>
      <w:r w:rsidR="00915376" w:rsidRPr="007C01C1">
        <w:rPr>
          <w:rFonts w:ascii="Times New Roman" w:eastAsia="Times New Roman" w:hAnsi="Times New Roman" w:cs="Times New Roman"/>
          <w:sz w:val="24"/>
          <w:szCs w:val="24"/>
        </w:rPr>
        <w:t>.</w:t>
      </w:r>
    </w:p>
    <w:p w14:paraId="5AC8CE4A" w14:textId="77777777" w:rsidR="00AD3313" w:rsidRPr="003928CB" w:rsidRDefault="00AD3313" w:rsidP="005C2CD3">
      <w:pPr>
        <w:spacing w:after="0" w:line="480" w:lineRule="auto"/>
        <w:textAlignment w:val="baseline"/>
        <w:rPr>
          <w:rStyle w:val="HTMLCite"/>
          <w:rFonts w:ascii="Times New Roman" w:hAnsi="Times New Roman" w:cs="Times New Roman"/>
          <w:sz w:val="24"/>
          <w:szCs w:val="24"/>
        </w:rPr>
      </w:pPr>
    </w:p>
    <w:p w14:paraId="3F4FD7C9" w14:textId="77777777" w:rsidR="00F64FC0" w:rsidRPr="003928CB" w:rsidRDefault="00F64FC0" w:rsidP="00F64FC0">
      <w:pPr>
        <w:rPr>
          <w:rFonts w:ascii="Times New Roman" w:hAnsi="Times New Roman" w:cs="Times New Roman"/>
          <w:sz w:val="24"/>
          <w:szCs w:val="24"/>
        </w:rPr>
      </w:pPr>
    </w:p>
    <w:p w14:paraId="6B46CD9E" w14:textId="77777777" w:rsidR="00F64FC0" w:rsidRPr="003928CB" w:rsidRDefault="00F64FC0" w:rsidP="00F64FC0">
      <w:pPr>
        <w:rPr>
          <w:rStyle w:val="HTMLCite"/>
          <w:rFonts w:ascii="Times New Roman" w:hAnsi="Times New Roman" w:cs="Times New Roman"/>
          <w:sz w:val="24"/>
          <w:szCs w:val="24"/>
        </w:rPr>
      </w:pPr>
    </w:p>
    <w:p w14:paraId="59519381" w14:textId="7C5055F5" w:rsidR="00F64FC0" w:rsidRPr="003928CB" w:rsidRDefault="00F64FC0" w:rsidP="00F64FC0">
      <w:pPr>
        <w:jc w:val="center"/>
        <w:rPr>
          <w:rFonts w:ascii="Times New Roman" w:hAnsi="Times New Roman" w:cs="Times New Roman"/>
          <w:sz w:val="24"/>
          <w:szCs w:val="24"/>
        </w:rPr>
      </w:pPr>
      <w:r w:rsidRPr="003928CB">
        <w:rPr>
          <w:rFonts w:ascii="Times New Roman" w:hAnsi="Times New Roman" w:cs="Times New Roman"/>
          <w:sz w:val="24"/>
          <w:szCs w:val="24"/>
        </w:rPr>
        <w:t>****</w:t>
      </w:r>
    </w:p>
    <w:sectPr w:rsidR="00F64FC0" w:rsidRPr="003928CB" w:rsidSect="00F64FC0">
      <w:headerReference w:type="even" r:id="rId12"/>
      <w:headerReference w:type="default" r:id="rId13"/>
      <w:footerReference w:type="even" r:id="rId14"/>
      <w:footerReference w:type="default" r:id="rId15"/>
      <w:headerReference w:type="first" r:id="rId16"/>
      <w:footerReference w:type="first" r:id="rId17"/>
      <w:pgSz w:w="12240" w:h="15840"/>
      <w:pgMar w:top="1872"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DDC1BE" w14:textId="77777777" w:rsidR="0098297C" w:rsidRDefault="0098297C" w:rsidP="001D5F3C">
      <w:pPr>
        <w:spacing w:after="0" w:line="240" w:lineRule="auto"/>
      </w:pPr>
      <w:r>
        <w:separator/>
      </w:r>
    </w:p>
  </w:endnote>
  <w:endnote w:type="continuationSeparator" w:id="0">
    <w:p w14:paraId="525D9E41" w14:textId="77777777" w:rsidR="0098297C" w:rsidRDefault="0098297C" w:rsidP="001D5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253CA" w14:textId="77777777" w:rsidR="00120852" w:rsidRDefault="001208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6B4BA" w14:textId="77777777" w:rsidR="00120852" w:rsidRDefault="001208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7C234" w14:textId="77777777" w:rsidR="00AE4A47" w:rsidRDefault="00AE4A47" w:rsidP="00AE4A47">
    <w:pPr>
      <w:pStyle w:val="NoSpacing"/>
      <w:spacing w:line="276" w:lineRule="auto"/>
      <w:ind w:left="90" w:right="-187"/>
      <w:rPr>
        <w:rFonts w:ascii="Times New Roman" w:hAnsi="Times New Roman" w:cs="Times New Roman"/>
        <w:color w:val="000000" w:themeColor="text1"/>
      </w:rPr>
    </w:pPr>
  </w:p>
  <w:p w14:paraId="513FB871" w14:textId="77777777" w:rsidR="004652FC" w:rsidRDefault="004652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E212C3" w14:textId="77777777" w:rsidR="0098297C" w:rsidRDefault="0098297C" w:rsidP="001D5F3C">
      <w:pPr>
        <w:spacing w:after="0" w:line="240" w:lineRule="auto"/>
      </w:pPr>
      <w:r>
        <w:separator/>
      </w:r>
    </w:p>
  </w:footnote>
  <w:footnote w:type="continuationSeparator" w:id="0">
    <w:p w14:paraId="47396FAA" w14:textId="77777777" w:rsidR="0098297C" w:rsidRDefault="0098297C" w:rsidP="001D5F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309E1" w14:textId="30E154D2" w:rsidR="00120852" w:rsidRDefault="00120852">
    <w:pPr>
      <w:pStyle w:val="Header"/>
    </w:pPr>
    <w:r>
      <w:rPr>
        <w:noProof/>
      </w:rPr>
      <w:pict w14:anchorId="63578D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33492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238C8" w14:textId="44050340" w:rsidR="00120852" w:rsidRDefault="00120852">
    <w:pPr>
      <w:pStyle w:val="Header"/>
    </w:pPr>
    <w:r>
      <w:rPr>
        <w:noProof/>
      </w:rPr>
      <w:pict w14:anchorId="0CEB90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33492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A2EAC" w14:textId="1E8F7210" w:rsidR="00120852" w:rsidRDefault="00120852">
    <w:pPr>
      <w:pStyle w:val="Header"/>
    </w:pPr>
    <w:r>
      <w:rPr>
        <w:noProof/>
      </w:rPr>
      <w:pict w14:anchorId="2813E6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33492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DF10B0"/>
    <w:multiLevelType w:val="hybridMultilevel"/>
    <w:tmpl w:val="DDFCC48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B8F651E"/>
    <w:multiLevelType w:val="multilevel"/>
    <w:tmpl w:val="078032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1FD"/>
    <w:rsid w:val="000238D6"/>
    <w:rsid w:val="000266C1"/>
    <w:rsid w:val="00045FCF"/>
    <w:rsid w:val="00093DE2"/>
    <w:rsid w:val="000959B7"/>
    <w:rsid w:val="000A75F3"/>
    <w:rsid w:val="000C3860"/>
    <w:rsid w:val="000C550C"/>
    <w:rsid w:val="000D04D1"/>
    <w:rsid w:val="000D3357"/>
    <w:rsid w:val="000E6C80"/>
    <w:rsid w:val="000F2579"/>
    <w:rsid w:val="000F7DDB"/>
    <w:rsid w:val="00120852"/>
    <w:rsid w:val="00126743"/>
    <w:rsid w:val="00146D84"/>
    <w:rsid w:val="001509FD"/>
    <w:rsid w:val="00160564"/>
    <w:rsid w:val="001623CE"/>
    <w:rsid w:val="00166479"/>
    <w:rsid w:val="0017178F"/>
    <w:rsid w:val="00191F76"/>
    <w:rsid w:val="001D5149"/>
    <w:rsid w:val="001D5F3C"/>
    <w:rsid w:val="001E3733"/>
    <w:rsid w:val="001E49BD"/>
    <w:rsid w:val="001E64D1"/>
    <w:rsid w:val="00231EC7"/>
    <w:rsid w:val="002420F1"/>
    <w:rsid w:val="0024301C"/>
    <w:rsid w:val="00243253"/>
    <w:rsid w:val="0024631B"/>
    <w:rsid w:val="00256F21"/>
    <w:rsid w:val="00272F3E"/>
    <w:rsid w:val="002864F1"/>
    <w:rsid w:val="00297748"/>
    <w:rsid w:val="002A0D5C"/>
    <w:rsid w:val="002B6BAB"/>
    <w:rsid w:val="002B7A34"/>
    <w:rsid w:val="0030118E"/>
    <w:rsid w:val="003031AC"/>
    <w:rsid w:val="003136E5"/>
    <w:rsid w:val="00341E43"/>
    <w:rsid w:val="0034250C"/>
    <w:rsid w:val="00350810"/>
    <w:rsid w:val="003676BE"/>
    <w:rsid w:val="0038178E"/>
    <w:rsid w:val="003928CB"/>
    <w:rsid w:val="003B5786"/>
    <w:rsid w:val="003C0B6A"/>
    <w:rsid w:val="003C46F8"/>
    <w:rsid w:val="003D255D"/>
    <w:rsid w:val="003D4B80"/>
    <w:rsid w:val="003E7C97"/>
    <w:rsid w:val="004258FD"/>
    <w:rsid w:val="00427F07"/>
    <w:rsid w:val="004319DB"/>
    <w:rsid w:val="004362B8"/>
    <w:rsid w:val="004442BC"/>
    <w:rsid w:val="004445BF"/>
    <w:rsid w:val="00452C20"/>
    <w:rsid w:val="00453A92"/>
    <w:rsid w:val="00457F0C"/>
    <w:rsid w:val="004641FC"/>
    <w:rsid w:val="004652FC"/>
    <w:rsid w:val="00474C8A"/>
    <w:rsid w:val="004761A1"/>
    <w:rsid w:val="004803AB"/>
    <w:rsid w:val="004876D8"/>
    <w:rsid w:val="00494A65"/>
    <w:rsid w:val="004A2589"/>
    <w:rsid w:val="004B377D"/>
    <w:rsid w:val="004C6C74"/>
    <w:rsid w:val="004E183F"/>
    <w:rsid w:val="0050787B"/>
    <w:rsid w:val="00510446"/>
    <w:rsid w:val="005271CE"/>
    <w:rsid w:val="005276C9"/>
    <w:rsid w:val="005321CF"/>
    <w:rsid w:val="0053556C"/>
    <w:rsid w:val="00591A48"/>
    <w:rsid w:val="005C2CD3"/>
    <w:rsid w:val="005C5E85"/>
    <w:rsid w:val="005E2523"/>
    <w:rsid w:val="005F4445"/>
    <w:rsid w:val="005F763D"/>
    <w:rsid w:val="00643D7E"/>
    <w:rsid w:val="00644FF2"/>
    <w:rsid w:val="0064620B"/>
    <w:rsid w:val="00654C49"/>
    <w:rsid w:val="00672D97"/>
    <w:rsid w:val="0068567C"/>
    <w:rsid w:val="006A449C"/>
    <w:rsid w:val="006B6AFD"/>
    <w:rsid w:val="006D1785"/>
    <w:rsid w:val="006D6505"/>
    <w:rsid w:val="006E2130"/>
    <w:rsid w:val="006E50CD"/>
    <w:rsid w:val="006F1A34"/>
    <w:rsid w:val="006F7A37"/>
    <w:rsid w:val="00720EB5"/>
    <w:rsid w:val="007261EB"/>
    <w:rsid w:val="007279FA"/>
    <w:rsid w:val="00743CA7"/>
    <w:rsid w:val="0074521E"/>
    <w:rsid w:val="0074711D"/>
    <w:rsid w:val="007538D9"/>
    <w:rsid w:val="007760FD"/>
    <w:rsid w:val="007C01C1"/>
    <w:rsid w:val="007C315B"/>
    <w:rsid w:val="007C432E"/>
    <w:rsid w:val="007D3B25"/>
    <w:rsid w:val="007E5793"/>
    <w:rsid w:val="008055D8"/>
    <w:rsid w:val="00806483"/>
    <w:rsid w:val="008430E4"/>
    <w:rsid w:val="00847FD2"/>
    <w:rsid w:val="00851847"/>
    <w:rsid w:val="00860795"/>
    <w:rsid w:val="00866AC2"/>
    <w:rsid w:val="008A4431"/>
    <w:rsid w:val="008A71FA"/>
    <w:rsid w:val="008B6E62"/>
    <w:rsid w:val="008D1348"/>
    <w:rsid w:val="008D41D2"/>
    <w:rsid w:val="008D5CFA"/>
    <w:rsid w:val="009119B7"/>
    <w:rsid w:val="00912021"/>
    <w:rsid w:val="009126DD"/>
    <w:rsid w:val="00915376"/>
    <w:rsid w:val="00932765"/>
    <w:rsid w:val="0094294E"/>
    <w:rsid w:val="00942A23"/>
    <w:rsid w:val="00951447"/>
    <w:rsid w:val="0095427A"/>
    <w:rsid w:val="00954EB2"/>
    <w:rsid w:val="009656E5"/>
    <w:rsid w:val="00966321"/>
    <w:rsid w:val="0098017A"/>
    <w:rsid w:val="0098297C"/>
    <w:rsid w:val="00984FE6"/>
    <w:rsid w:val="009854D5"/>
    <w:rsid w:val="009927F4"/>
    <w:rsid w:val="0099628F"/>
    <w:rsid w:val="009A6E30"/>
    <w:rsid w:val="009B701D"/>
    <w:rsid w:val="009C1579"/>
    <w:rsid w:val="009C7262"/>
    <w:rsid w:val="009D003D"/>
    <w:rsid w:val="009D5910"/>
    <w:rsid w:val="009E11B3"/>
    <w:rsid w:val="00A071FD"/>
    <w:rsid w:val="00A22EEB"/>
    <w:rsid w:val="00A42FCE"/>
    <w:rsid w:val="00A431A7"/>
    <w:rsid w:val="00A721BC"/>
    <w:rsid w:val="00A75385"/>
    <w:rsid w:val="00A90B14"/>
    <w:rsid w:val="00AD3313"/>
    <w:rsid w:val="00AD6C71"/>
    <w:rsid w:val="00AE4A47"/>
    <w:rsid w:val="00AE55E4"/>
    <w:rsid w:val="00B0069B"/>
    <w:rsid w:val="00B14324"/>
    <w:rsid w:val="00B344DC"/>
    <w:rsid w:val="00B445FD"/>
    <w:rsid w:val="00B45474"/>
    <w:rsid w:val="00B5512D"/>
    <w:rsid w:val="00B5557D"/>
    <w:rsid w:val="00B758F3"/>
    <w:rsid w:val="00B80CDC"/>
    <w:rsid w:val="00BB5C9E"/>
    <w:rsid w:val="00BC09DD"/>
    <w:rsid w:val="00BE5D17"/>
    <w:rsid w:val="00BE664D"/>
    <w:rsid w:val="00BE7C7B"/>
    <w:rsid w:val="00BF13BE"/>
    <w:rsid w:val="00C11013"/>
    <w:rsid w:val="00C62BF1"/>
    <w:rsid w:val="00C654FF"/>
    <w:rsid w:val="00C8227A"/>
    <w:rsid w:val="00C9155E"/>
    <w:rsid w:val="00CA395C"/>
    <w:rsid w:val="00CB7234"/>
    <w:rsid w:val="00CE3AE8"/>
    <w:rsid w:val="00CE4B66"/>
    <w:rsid w:val="00CF3735"/>
    <w:rsid w:val="00CF4EAD"/>
    <w:rsid w:val="00D04089"/>
    <w:rsid w:val="00D14386"/>
    <w:rsid w:val="00D21708"/>
    <w:rsid w:val="00D534D5"/>
    <w:rsid w:val="00D54B74"/>
    <w:rsid w:val="00D5606B"/>
    <w:rsid w:val="00D75B2F"/>
    <w:rsid w:val="00DA343F"/>
    <w:rsid w:val="00DA5CBA"/>
    <w:rsid w:val="00DA7010"/>
    <w:rsid w:val="00DB364C"/>
    <w:rsid w:val="00DC7FAD"/>
    <w:rsid w:val="00DD166F"/>
    <w:rsid w:val="00DD4392"/>
    <w:rsid w:val="00DE33B5"/>
    <w:rsid w:val="00DF43ED"/>
    <w:rsid w:val="00DF62FC"/>
    <w:rsid w:val="00E12836"/>
    <w:rsid w:val="00E13383"/>
    <w:rsid w:val="00E2613D"/>
    <w:rsid w:val="00E467DB"/>
    <w:rsid w:val="00E91D80"/>
    <w:rsid w:val="00EA146F"/>
    <w:rsid w:val="00EB7438"/>
    <w:rsid w:val="00EE1779"/>
    <w:rsid w:val="00EF3B83"/>
    <w:rsid w:val="00EF61A0"/>
    <w:rsid w:val="00F12F5B"/>
    <w:rsid w:val="00F172DA"/>
    <w:rsid w:val="00F27C65"/>
    <w:rsid w:val="00F431FB"/>
    <w:rsid w:val="00F64FC0"/>
    <w:rsid w:val="00F6617E"/>
    <w:rsid w:val="00F7642C"/>
    <w:rsid w:val="00F80CC9"/>
    <w:rsid w:val="00FA3C64"/>
    <w:rsid w:val="00FB1FF7"/>
    <w:rsid w:val="00FB2383"/>
    <w:rsid w:val="00FD79D5"/>
    <w:rsid w:val="00FE7144"/>
    <w:rsid w:val="00FF23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98F82BA"/>
  <w15:docId w15:val="{2476890D-4F6B-47A8-B7C4-86753BF3B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6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71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71FD"/>
    <w:rPr>
      <w:rFonts w:ascii="Tahoma" w:hAnsi="Tahoma" w:cs="Tahoma"/>
      <w:sz w:val="16"/>
      <w:szCs w:val="16"/>
    </w:rPr>
  </w:style>
  <w:style w:type="paragraph" w:styleId="NoSpacing">
    <w:name w:val="No Spacing"/>
    <w:uiPriority w:val="1"/>
    <w:qFormat/>
    <w:rsid w:val="00806483"/>
    <w:pPr>
      <w:spacing w:after="0" w:line="240" w:lineRule="auto"/>
    </w:pPr>
    <w:rPr>
      <w:lang w:val="en-IN" w:eastAsia="en-IN"/>
    </w:rPr>
  </w:style>
  <w:style w:type="character" w:styleId="Hyperlink">
    <w:name w:val="Hyperlink"/>
    <w:basedOn w:val="DefaultParagraphFont"/>
    <w:uiPriority w:val="99"/>
    <w:unhideWhenUsed/>
    <w:rsid w:val="00806483"/>
    <w:rPr>
      <w:color w:val="0000FF" w:themeColor="hyperlink"/>
      <w:u w:val="single"/>
    </w:rPr>
  </w:style>
  <w:style w:type="character" w:customStyle="1" w:styleId="t">
    <w:name w:val="t"/>
    <w:basedOn w:val="DefaultParagraphFont"/>
    <w:rsid w:val="00B5512D"/>
  </w:style>
  <w:style w:type="paragraph" w:styleId="Header">
    <w:name w:val="header"/>
    <w:basedOn w:val="Normal"/>
    <w:link w:val="HeaderChar"/>
    <w:uiPriority w:val="99"/>
    <w:unhideWhenUsed/>
    <w:rsid w:val="001D5F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5F3C"/>
  </w:style>
  <w:style w:type="paragraph" w:styleId="Footer">
    <w:name w:val="footer"/>
    <w:basedOn w:val="Normal"/>
    <w:link w:val="FooterChar"/>
    <w:uiPriority w:val="99"/>
    <w:unhideWhenUsed/>
    <w:rsid w:val="001D5F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5F3C"/>
  </w:style>
  <w:style w:type="paragraph" w:styleId="Bibliography">
    <w:name w:val="Bibliography"/>
    <w:basedOn w:val="Normal"/>
    <w:next w:val="Normal"/>
    <w:uiPriority w:val="37"/>
    <w:unhideWhenUsed/>
    <w:rsid w:val="00297748"/>
    <w:pPr>
      <w:spacing w:after="0" w:line="480" w:lineRule="auto"/>
      <w:ind w:left="720" w:hanging="720"/>
    </w:pPr>
  </w:style>
  <w:style w:type="character" w:customStyle="1" w:styleId="label">
    <w:name w:val="label"/>
    <w:basedOn w:val="DefaultParagraphFont"/>
    <w:rsid w:val="007261EB"/>
  </w:style>
  <w:style w:type="character" w:styleId="HTMLCite">
    <w:name w:val="HTML Cite"/>
    <w:basedOn w:val="DefaultParagraphFont"/>
    <w:uiPriority w:val="99"/>
    <w:semiHidden/>
    <w:unhideWhenUsed/>
    <w:rsid w:val="007261EB"/>
    <w:rPr>
      <w:i/>
      <w:iCs/>
    </w:rPr>
  </w:style>
  <w:style w:type="paragraph" w:styleId="NormalWeb">
    <w:name w:val="Normal (Web)"/>
    <w:basedOn w:val="Normal"/>
    <w:uiPriority w:val="99"/>
    <w:semiHidden/>
    <w:unhideWhenUsed/>
    <w:rsid w:val="009E11B3"/>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ListParagraph">
    <w:name w:val="List Paragraph"/>
    <w:basedOn w:val="Normal"/>
    <w:uiPriority w:val="34"/>
    <w:qFormat/>
    <w:rsid w:val="005321CF"/>
    <w:pPr>
      <w:ind w:left="720"/>
      <w:contextualSpacing/>
    </w:pPr>
  </w:style>
  <w:style w:type="character" w:styleId="UnresolvedMention">
    <w:name w:val="Unresolved Mention"/>
    <w:basedOn w:val="DefaultParagraphFont"/>
    <w:uiPriority w:val="99"/>
    <w:semiHidden/>
    <w:unhideWhenUsed/>
    <w:rsid w:val="00D040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88985">
      <w:bodyDiv w:val="1"/>
      <w:marLeft w:val="0"/>
      <w:marRight w:val="0"/>
      <w:marTop w:val="0"/>
      <w:marBottom w:val="0"/>
      <w:divBdr>
        <w:top w:val="none" w:sz="0" w:space="0" w:color="auto"/>
        <w:left w:val="none" w:sz="0" w:space="0" w:color="auto"/>
        <w:bottom w:val="none" w:sz="0" w:space="0" w:color="auto"/>
        <w:right w:val="none" w:sz="0" w:space="0" w:color="auto"/>
      </w:divBdr>
    </w:div>
    <w:div w:id="78866835">
      <w:bodyDiv w:val="1"/>
      <w:marLeft w:val="0"/>
      <w:marRight w:val="0"/>
      <w:marTop w:val="0"/>
      <w:marBottom w:val="0"/>
      <w:divBdr>
        <w:top w:val="none" w:sz="0" w:space="0" w:color="auto"/>
        <w:left w:val="none" w:sz="0" w:space="0" w:color="auto"/>
        <w:bottom w:val="none" w:sz="0" w:space="0" w:color="auto"/>
        <w:right w:val="none" w:sz="0" w:space="0" w:color="auto"/>
      </w:divBdr>
    </w:div>
    <w:div w:id="99882190">
      <w:bodyDiv w:val="1"/>
      <w:marLeft w:val="0"/>
      <w:marRight w:val="0"/>
      <w:marTop w:val="0"/>
      <w:marBottom w:val="0"/>
      <w:divBdr>
        <w:top w:val="none" w:sz="0" w:space="0" w:color="auto"/>
        <w:left w:val="none" w:sz="0" w:space="0" w:color="auto"/>
        <w:bottom w:val="none" w:sz="0" w:space="0" w:color="auto"/>
        <w:right w:val="none" w:sz="0" w:space="0" w:color="auto"/>
      </w:divBdr>
    </w:div>
    <w:div w:id="155610318">
      <w:bodyDiv w:val="1"/>
      <w:marLeft w:val="0"/>
      <w:marRight w:val="0"/>
      <w:marTop w:val="0"/>
      <w:marBottom w:val="0"/>
      <w:divBdr>
        <w:top w:val="none" w:sz="0" w:space="0" w:color="auto"/>
        <w:left w:val="none" w:sz="0" w:space="0" w:color="auto"/>
        <w:bottom w:val="none" w:sz="0" w:space="0" w:color="auto"/>
        <w:right w:val="none" w:sz="0" w:space="0" w:color="auto"/>
      </w:divBdr>
    </w:div>
    <w:div w:id="266499955">
      <w:bodyDiv w:val="1"/>
      <w:marLeft w:val="0"/>
      <w:marRight w:val="0"/>
      <w:marTop w:val="0"/>
      <w:marBottom w:val="0"/>
      <w:divBdr>
        <w:top w:val="none" w:sz="0" w:space="0" w:color="auto"/>
        <w:left w:val="none" w:sz="0" w:space="0" w:color="auto"/>
        <w:bottom w:val="none" w:sz="0" w:space="0" w:color="auto"/>
        <w:right w:val="none" w:sz="0" w:space="0" w:color="auto"/>
      </w:divBdr>
    </w:div>
    <w:div w:id="277757832">
      <w:bodyDiv w:val="1"/>
      <w:marLeft w:val="0"/>
      <w:marRight w:val="0"/>
      <w:marTop w:val="0"/>
      <w:marBottom w:val="0"/>
      <w:divBdr>
        <w:top w:val="none" w:sz="0" w:space="0" w:color="auto"/>
        <w:left w:val="none" w:sz="0" w:space="0" w:color="auto"/>
        <w:bottom w:val="none" w:sz="0" w:space="0" w:color="auto"/>
        <w:right w:val="none" w:sz="0" w:space="0" w:color="auto"/>
      </w:divBdr>
    </w:div>
    <w:div w:id="367995851">
      <w:bodyDiv w:val="1"/>
      <w:marLeft w:val="0"/>
      <w:marRight w:val="0"/>
      <w:marTop w:val="0"/>
      <w:marBottom w:val="0"/>
      <w:divBdr>
        <w:top w:val="none" w:sz="0" w:space="0" w:color="auto"/>
        <w:left w:val="none" w:sz="0" w:space="0" w:color="auto"/>
        <w:bottom w:val="none" w:sz="0" w:space="0" w:color="auto"/>
        <w:right w:val="none" w:sz="0" w:space="0" w:color="auto"/>
      </w:divBdr>
    </w:div>
    <w:div w:id="449937092">
      <w:bodyDiv w:val="1"/>
      <w:marLeft w:val="0"/>
      <w:marRight w:val="0"/>
      <w:marTop w:val="0"/>
      <w:marBottom w:val="0"/>
      <w:divBdr>
        <w:top w:val="none" w:sz="0" w:space="0" w:color="auto"/>
        <w:left w:val="none" w:sz="0" w:space="0" w:color="auto"/>
        <w:bottom w:val="none" w:sz="0" w:space="0" w:color="auto"/>
        <w:right w:val="none" w:sz="0" w:space="0" w:color="auto"/>
      </w:divBdr>
    </w:div>
    <w:div w:id="600995527">
      <w:bodyDiv w:val="1"/>
      <w:marLeft w:val="0"/>
      <w:marRight w:val="0"/>
      <w:marTop w:val="0"/>
      <w:marBottom w:val="0"/>
      <w:divBdr>
        <w:top w:val="none" w:sz="0" w:space="0" w:color="auto"/>
        <w:left w:val="none" w:sz="0" w:space="0" w:color="auto"/>
        <w:bottom w:val="none" w:sz="0" w:space="0" w:color="auto"/>
        <w:right w:val="none" w:sz="0" w:space="0" w:color="auto"/>
      </w:divBdr>
    </w:div>
    <w:div w:id="851336215">
      <w:bodyDiv w:val="1"/>
      <w:marLeft w:val="0"/>
      <w:marRight w:val="0"/>
      <w:marTop w:val="0"/>
      <w:marBottom w:val="0"/>
      <w:divBdr>
        <w:top w:val="none" w:sz="0" w:space="0" w:color="auto"/>
        <w:left w:val="none" w:sz="0" w:space="0" w:color="auto"/>
        <w:bottom w:val="none" w:sz="0" w:space="0" w:color="auto"/>
        <w:right w:val="none" w:sz="0" w:space="0" w:color="auto"/>
      </w:divBdr>
    </w:div>
    <w:div w:id="1015886753">
      <w:bodyDiv w:val="1"/>
      <w:marLeft w:val="0"/>
      <w:marRight w:val="0"/>
      <w:marTop w:val="0"/>
      <w:marBottom w:val="0"/>
      <w:divBdr>
        <w:top w:val="none" w:sz="0" w:space="0" w:color="auto"/>
        <w:left w:val="none" w:sz="0" w:space="0" w:color="auto"/>
        <w:bottom w:val="none" w:sz="0" w:space="0" w:color="auto"/>
        <w:right w:val="none" w:sz="0" w:space="0" w:color="auto"/>
      </w:divBdr>
      <w:divsChild>
        <w:div w:id="1512717136">
          <w:marLeft w:val="0"/>
          <w:marRight w:val="0"/>
          <w:marTop w:val="0"/>
          <w:marBottom w:val="0"/>
          <w:divBdr>
            <w:top w:val="single" w:sz="2" w:space="0" w:color="E3E3E3"/>
            <w:left w:val="single" w:sz="2" w:space="0" w:color="E3E3E3"/>
            <w:bottom w:val="single" w:sz="2" w:space="0" w:color="E3E3E3"/>
            <w:right w:val="single" w:sz="2" w:space="0" w:color="E3E3E3"/>
          </w:divBdr>
        </w:div>
        <w:div w:id="343938997">
          <w:marLeft w:val="0"/>
          <w:marRight w:val="0"/>
          <w:marTop w:val="0"/>
          <w:marBottom w:val="0"/>
          <w:divBdr>
            <w:top w:val="single" w:sz="2" w:space="0" w:color="E3E3E3"/>
            <w:left w:val="single" w:sz="2" w:space="0" w:color="E3E3E3"/>
            <w:bottom w:val="single" w:sz="2" w:space="0" w:color="E3E3E3"/>
            <w:right w:val="single" w:sz="2" w:space="0" w:color="E3E3E3"/>
          </w:divBdr>
          <w:divsChild>
            <w:div w:id="778641177">
              <w:marLeft w:val="0"/>
              <w:marRight w:val="0"/>
              <w:marTop w:val="0"/>
              <w:marBottom w:val="0"/>
              <w:divBdr>
                <w:top w:val="single" w:sz="2" w:space="0" w:color="E3E3E3"/>
                <w:left w:val="single" w:sz="2" w:space="0" w:color="E3E3E3"/>
                <w:bottom w:val="single" w:sz="2" w:space="0" w:color="E3E3E3"/>
                <w:right w:val="single" w:sz="2" w:space="0" w:color="E3E3E3"/>
              </w:divBdr>
              <w:divsChild>
                <w:div w:id="1176992821">
                  <w:marLeft w:val="0"/>
                  <w:marRight w:val="0"/>
                  <w:marTop w:val="0"/>
                  <w:marBottom w:val="0"/>
                  <w:divBdr>
                    <w:top w:val="single" w:sz="2" w:space="0" w:color="E3E3E3"/>
                    <w:left w:val="single" w:sz="2" w:space="0" w:color="E3E3E3"/>
                    <w:bottom w:val="single" w:sz="2" w:space="0" w:color="E3E3E3"/>
                    <w:right w:val="single" w:sz="2" w:space="0" w:color="E3E3E3"/>
                  </w:divBdr>
                  <w:divsChild>
                    <w:div w:id="1277835593">
                      <w:marLeft w:val="0"/>
                      <w:marRight w:val="0"/>
                      <w:marTop w:val="0"/>
                      <w:marBottom w:val="0"/>
                      <w:divBdr>
                        <w:top w:val="single" w:sz="2" w:space="0" w:color="E3E3E3"/>
                        <w:left w:val="single" w:sz="2" w:space="0" w:color="E3E3E3"/>
                        <w:bottom w:val="single" w:sz="2" w:space="0" w:color="E3E3E3"/>
                        <w:right w:val="single" w:sz="2" w:space="0" w:color="E3E3E3"/>
                      </w:divBdr>
                      <w:divsChild>
                        <w:div w:id="1440088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80113361">
          <w:marLeft w:val="0"/>
          <w:marRight w:val="0"/>
          <w:marTop w:val="0"/>
          <w:marBottom w:val="0"/>
          <w:divBdr>
            <w:top w:val="single" w:sz="2" w:space="0" w:color="E3E3E3"/>
            <w:left w:val="single" w:sz="2" w:space="0" w:color="E3E3E3"/>
            <w:bottom w:val="single" w:sz="2" w:space="0" w:color="E3E3E3"/>
            <w:right w:val="single" w:sz="2" w:space="0" w:color="E3E3E3"/>
          </w:divBdr>
          <w:divsChild>
            <w:div w:id="1880043262">
              <w:marLeft w:val="0"/>
              <w:marRight w:val="0"/>
              <w:marTop w:val="0"/>
              <w:marBottom w:val="0"/>
              <w:divBdr>
                <w:top w:val="single" w:sz="2" w:space="0" w:color="E3E3E3"/>
                <w:left w:val="single" w:sz="2" w:space="0" w:color="E3E3E3"/>
                <w:bottom w:val="single" w:sz="2" w:space="0" w:color="E3E3E3"/>
                <w:right w:val="single" w:sz="2" w:space="0" w:color="E3E3E3"/>
              </w:divBdr>
              <w:divsChild>
                <w:div w:id="1204369652">
                  <w:marLeft w:val="0"/>
                  <w:marRight w:val="0"/>
                  <w:marTop w:val="0"/>
                  <w:marBottom w:val="0"/>
                  <w:divBdr>
                    <w:top w:val="single" w:sz="2" w:space="0" w:color="E3E3E3"/>
                    <w:left w:val="single" w:sz="2" w:space="0" w:color="E3E3E3"/>
                    <w:bottom w:val="single" w:sz="2" w:space="0" w:color="E3E3E3"/>
                    <w:right w:val="single" w:sz="2" w:space="0" w:color="E3E3E3"/>
                  </w:divBdr>
                  <w:divsChild>
                    <w:div w:id="268241789">
                      <w:marLeft w:val="0"/>
                      <w:marRight w:val="0"/>
                      <w:marTop w:val="0"/>
                      <w:marBottom w:val="0"/>
                      <w:divBdr>
                        <w:top w:val="single" w:sz="2" w:space="0" w:color="E3E3E3"/>
                        <w:left w:val="single" w:sz="2" w:space="0" w:color="E3E3E3"/>
                        <w:bottom w:val="single" w:sz="2" w:space="0" w:color="E3E3E3"/>
                        <w:right w:val="single" w:sz="2" w:space="0" w:color="E3E3E3"/>
                      </w:divBdr>
                      <w:divsChild>
                        <w:div w:id="136264845">
                          <w:marLeft w:val="540"/>
                          <w:marRight w:val="540"/>
                          <w:marTop w:val="0"/>
                          <w:marBottom w:val="0"/>
                          <w:divBdr>
                            <w:top w:val="single" w:sz="2" w:space="31" w:color="E3E3E3"/>
                            <w:left w:val="single" w:sz="2" w:space="0" w:color="E3E3E3"/>
                            <w:bottom w:val="single" w:sz="2" w:space="0" w:color="E3E3E3"/>
                            <w:right w:val="single" w:sz="2" w:space="0" w:color="E3E3E3"/>
                          </w:divBdr>
                          <w:divsChild>
                            <w:div w:id="1896891327">
                              <w:marLeft w:val="0"/>
                              <w:marRight w:val="0"/>
                              <w:marTop w:val="0"/>
                              <w:marBottom w:val="0"/>
                              <w:divBdr>
                                <w:top w:val="single" w:sz="2" w:space="0" w:color="E3E3E3"/>
                                <w:left w:val="single" w:sz="2" w:space="0" w:color="E3E3E3"/>
                                <w:bottom w:val="single" w:sz="2" w:space="0" w:color="E3E3E3"/>
                                <w:right w:val="single" w:sz="2" w:space="0" w:color="E3E3E3"/>
                              </w:divBdr>
                              <w:divsChild>
                                <w:div w:id="2137525302">
                                  <w:marLeft w:val="0"/>
                                  <w:marRight w:val="0"/>
                                  <w:marTop w:val="0"/>
                                  <w:marBottom w:val="0"/>
                                  <w:divBdr>
                                    <w:top w:val="single" w:sz="2" w:space="0" w:color="E3E3E3"/>
                                    <w:left w:val="single" w:sz="2" w:space="0" w:color="E3E3E3"/>
                                    <w:bottom w:val="single" w:sz="2" w:space="0" w:color="E3E3E3"/>
                                    <w:right w:val="single" w:sz="2" w:space="0" w:color="E3E3E3"/>
                                  </w:divBdr>
                                  <w:divsChild>
                                    <w:div w:id="1924265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091393407">
      <w:bodyDiv w:val="1"/>
      <w:marLeft w:val="0"/>
      <w:marRight w:val="0"/>
      <w:marTop w:val="0"/>
      <w:marBottom w:val="0"/>
      <w:divBdr>
        <w:top w:val="none" w:sz="0" w:space="0" w:color="auto"/>
        <w:left w:val="none" w:sz="0" w:space="0" w:color="auto"/>
        <w:bottom w:val="none" w:sz="0" w:space="0" w:color="auto"/>
        <w:right w:val="none" w:sz="0" w:space="0" w:color="auto"/>
      </w:divBdr>
    </w:div>
    <w:div w:id="1185752724">
      <w:bodyDiv w:val="1"/>
      <w:marLeft w:val="0"/>
      <w:marRight w:val="0"/>
      <w:marTop w:val="0"/>
      <w:marBottom w:val="0"/>
      <w:divBdr>
        <w:top w:val="none" w:sz="0" w:space="0" w:color="auto"/>
        <w:left w:val="none" w:sz="0" w:space="0" w:color="auto"/>
        <w:bottom w:val="none" w:sz="0" w:space="0" w:color="auto"/>
        <w:right w:val="none" w:sz="0" w:space="0" w:color="auto"/>
      </w:divBdr>
    </w:div>
    <w:div w:id="1308821374">
      <w:bodyDiv w:val="1"/>
      <w:marLeft w:val="0"/>
      <w:marRight w:val="0"/>
      <w:marTop w:val="0"/>
      <w:marBottom w:val="0"/>
      <w:divBdr>
        <w:top w:val="none" w:sz="0" w:space="0" w:color="auto"/>
        <w:left w:val="none" w:sz="0" w:space="0" w:color="auto"/>
        <w:bottom w:val="none" w:sz="0" w:space="0" w:color="auto"/>
        <w:right w:val="none" w:sz="0" w:space="0" w:color="auto"/>
      </w:divBdr>
    </w:div>
    <w:div w:id="1351175343">
      <w:bodyDiv w:val="1"/>
      <w:marLeft w:val="0"/>
      <w:marRight w:val="0"/>
      <w:marTop w:val="0"/>
      <w:marBottom w:val="0"/>
      <w:divBdr>
        <w:top w:val="none" w:sz="0" w:space="0" w:color="auto"/>
        <w:left w:val="none" w:sz="0" w:space="0" w:color="auto"/>
        <w:bottom w:val="none" w:sz="0" w:space="0" w:color="auto"/>
        <w:right w:val="none" w:sz="0" w:space="0" w:color="auto"/>
      </w:divBdr>
    </w:div>
    <w:div w:id="1422144013">
      <w:bodyDiv w:val="1"/>
      <w:marLeft w:val="0"/>
      <w:marRight w:val="0"/>
      <w:marTop w:val="0"/>
      <w:marBottom w:val="0"/>
      <w:divBdr>
        <w:top w:val="none" w:sz="0" w:space="0" w:color="auto"/>
        <w:left w:val="none" w:sz="0" w:space="0" w:color="auto"/>
        <w:bottom w:val="none" w:sz="0" w:space="0" w:color="auto"/>
        <w:right w:val="none" w:sz="0" w:space="0" w:color="auto"/>
      </w:divBdr>
    </w:div>
    <w:div w:id="1649286791">
      <w:bodyDiv w:val="1"/>
      <w:marLeft w:val="0"/>
      <w:marRight w:val="0"/>
      <w:marTop w:val="0"/>
      <w:marBottom w:val="0"/>
      <w:divBdr>
        <w:top w:val="none" w:sz="0" w:space="0" w:color="auto"/>
        <w:left w:val="none" w:sz="0" w:space="0" w:color="auto"/>
        <w:bottom w:val="none" w:sz="0" w:space="0" w:color="auto"/>
        <w:right w:val="none" w:sz="0" w:space="0" w:color="auto"/>
      </w:divBdr>
    </w:div>
    <w:div w:id="1672639961">
      <w:bodyDiv w:val="1"/>
      <w:marLeft w:val="0"/>
      <w:marRight w:val="0"/>
      <w:marTop w:val="0"/>
      <w:marBottom w:val="0"/>
      <w:divBdr>
        <w:top w:val="none" w:sz="0" w:space="0" w:color="auto"/>
        <w:left w:val="none" w:sz="0" w:space="0" w:color="auto"/>
        <w:bottom w:val="none" w:sz="0" w:space="0" w:color="auto"/>
        <w:right w:val="none" w:sz="0" w:space="0" w:color="auto"/>
      </w:divBdr>
    </w:div>
    <w:div w:id="1712147540">
      <w:bodyDiv w:val="1"/>
      <w:marLeft w:val="0"/>
      <w:marRight w:val="0"/>
      <w:marTop w:val="0"/>
      <w:marBottom w:val="0"/>
      <w:divBdr>
        <w:top w:val="none" w:sz="0" w:space="0" w:color="auto"/>
        <w:left w:val="none" w:sz="0" w:space="0" w:color="auto"/>
        <w:bottom w:val="none" w:sz="0" w:space="0" w:color="auto"/>
        <w:right w:val="none" w:sz="0" w:space="0" w:color="auto"/>
      </w:divBdr>
    </w:div>
    <w:div w:id="1852984238">
      <w:bodyDiv w:val="1"/>
      <w:marLeft w:val="0"/>
      <w:marRight w:val="0"/>
      <w:marTop w:val="0"/>
      <w:marBottom w:val="0"/>
      <w:divBdr>
        <w:top w:val="none" w:sz="0" w:space="0" w:color="auto"/>
        <w:left w:val="none" w:sz="0" w:space="0" w:color="auto"/>
        <w:bottom w:val="none" w:sz="0" w:space="0" w:color="auto"/>
        <w:right w:val="none" w:sz="0" w:space="0" w:color="auto"/>
      </w:divBdr>
      <w:divsChild>
        <w:div w:id="1493063818">
          <w:marLeft w:val="0"/>
          <w:marRight w:val="0"/>
          <w:marTop w:val="0"/>
          <w:marBottom w:val="0"/>
          <w:divBdr>
            <w:top w:val="single" w:sz="2" w:space="0" w:color="E3E3E3"/>
            <w:left w:val="single" w:sz="2" w:space="0" w:color="E3E3E3"/>
            <w:bottom w:val="single" w:sz="2" w:space="0" w:color="E3E3E3"/>
            <w:right w:val="single" w:sz="2" w:space="0" w:color="E3E3E3"/>
          </w:divBdr>
        </w:div>
        <w:div w:id="1874609999">
          <w:marLeft w:val="0"/>
          <w:marRight w:val="0"/>
          <w:marTop w:val="0"/>
          <w:marBottom w:val="0"/>
          <w:divBdr>
            <w:top w:val="single" w:sz="2" w:space="0" w:color="E3E3E3"/>
            <w:left w:val="single" w:sz="2" w:space="0" w:color="E3E3E3"/>
            <w:bottom w:val="single" w:sz="2" w:space="0" w:color="E3E3E3"/>
            <w:right w:val="single" w:sz="2" w:space="0" w:color="E3E3E3"/>
          </w:divBdr>
          <w:divsChild>
            <w:div w:id="1679842974">
              <w:marLeft w:val="0"/>
              <w:marRight w:val="0"/>
              <w:marTop w:val="0"/>
              <w:marBottom w:val="0"/>
              <w:divBdr>
                <w:top w:val="single" w:sz="2" w:space="0" w:color="E3E3E3"/>
                <w:left w:val="single" w:sz="2" w:space="0" w:color="E3E3E3"/>
                <w:bottom w:val="single" w:sz="2" w:space="0" w:color="E3E3E3"/>
                <w:right w:val="single" w:sz="2" w:space="0" w:color="E3E3E3"/>
              </w:divBdr>
              <w:divsChild>
                <w:div w:id="1489860622">
                  <w:marLeft w:val="0"/>
                  <w:marRight w:val="0"/>
                  <w:marTop w:val="0"/>
                  <w:marBottom w:val="0"/>
                  <w:divBdr>
                    <w:top w:val="single" w:sz="2" w:space="0" w:color="E3E3E3"/>
                    <w:left w:val="single" w:sz="2" w:space="0" w:color="E3E3E3"/>
                    <w:bottom w:val="single" w:sz="2" w:space="0" w:color="E3E3E3"/>
                    <w:right w:val="single" w:sz="2" w:space="0" w:color="E3E3E3"/>
                  </w:divBdr>
                  <w:divsChild>
                    <w:div w:id="1751192393">
                      <w:marLeft w:val="0"/>
                      <w:marRight w:val="0"/>
                      <w:marTop w:val="0"/>
                      <w:marBottom w:val="0"/>
                      <w:divBdr>
                        <w:top w:val="single" w:sz="2" w:space="0" w:color="E3E3E3"/>
                        <w:left w:val="single" w:sz="2" w:space="0" w:color="E3E3E3"/>
                        <w:bottom w:val="single" w:sz="2" w:space="0" w:color="E3E3E3"/>
                        <w:right w:val="single" w:sz="2" w:space="0" w:color="E3E3E3"/>
                      </w:divBdr>
                      <w:divsChild>
                        <w:div w:id="13701072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97466868">
          <w:marLeft w:val="0"/>
          <w:marRight w:val="0"/>
          <w:marTop w:val="0"/>
          <w:marBottom w:val="0"/>
          <w:divBdr>
            <w:top w:val="single" w:sz="2" w:space="0" w:color="E3E3E3"/>
            <w:left w:val="single" w:sz="2" w:space="0" w:color="E3E3E3"/>
            <w:bottom w:val="single" w:sz="2" w:space="0" w:color="E3E3E3"/>
            <w:right w:val="single" w:sz="2" w:space="0" w:color="E3E3E3"/>
          </w:divBdr>
          <w:divsChild>
            <w:div w:id="488718341">
              <w:marLeft w:val="0"/>
              <w:marRight w:val="0"/>
              <w:marTop w:val="0"/>
              <w:marBottom w:val="0"/>
              <w:divBdr>
                <w:top w:val="single" w:sz="2" w:space="0" w:color="E3E3E3"/>
                <w:left w:val="single" w:sz="2" w:space="0" w:color="E3E3E3"/>
                <w:bottom w:val="single" w:sz="2" w:space="0" w:color="E3E3E3"/>
                <w:right w:val="single" w:sz="2" w:space="0" w:color="E3E3E3"/>
              </w:divBdr>
              <w:divsChild>
                <w:div w:id="1236473368">
                  <w:marLeft w:val="0"/>
                  <w:marRight w:val="0"/>
                  <w:marTop w:val="0"/>
                  <w:marBottom w:val="0"/>
                  <w:divBdr>
                    <w:top w:val="single" w:sz="2" w:space="0" w:color="E3E3E3"/>
                    <w:left w:val="single" w:sz="2" w:space="0" w:color="E3E3E3"/>
                    <w:bottom w:val="single" w:sz="2" w:space="0" w:color="E3E3E3"/>
                    <w:right w:val="single" w:sz="2" w:space="0" w:color="E3E3E3"/>
                  </w:divBdr>
                  <w:divsChild>
                    <w:div w:id="950356722">
                      <w:marLeft w:val="0"/>
                      <w:marRight w:val="0"/>
                      <w:marTop w:val="0"/>
                      <w:marBottom w:val="0"/>
                      <w:divBdr>
                        <w:top w:val="single" w:sz="2" w:space="0" w:color="E3E3E3"/>
                        <w:left w:val="single" w:sz="2" w:space="0" w:color="E3E3E3"/>
                        <w:bottom w:val="single" w:sz="2" w:space="0" w:color="E3E3E3"/>
                        <w:right w:val="single" w:sz="2" w:space="0" w:color="E3E3E3"/>
                      </w:divBdr>
                      <w:divsChild>
                        <w:div w:id="1327897717">
                          <w:marLeft w:val="540"/>
                          <w:marRight w:val="540"/>
                          <w:marTop w:val="0"/>
                          <w:marBottom w:val="0"/>
                          <w:divBdr>
                            <w:top w:val="single" w:sz="2" w:space="31" w:color="E3E3E3"/>
                            <w:left w:val="single" w:sz="2" w:space="0" w:color="E3E3E3"/>
                            <w:bottom w:val="single" w:sz="2" w:space="0" w:color="E3E3E3"/>
                            <w:right w:val="single" w:sz="2" w:space="0" w:color="E3E3E3"/>
                          </w:divBdr>
                          <w:divsChild>
                            <w:div w:id="693118337">
                              <w:marLeft w:val="0"/>
                              <w:marRight w:val="0"/>
                              <w:marTop w:val="0"/>
                              <w:marBottom w:val="0"/>
                              <w:divBdr>
                                <w:top w:val="single" w:sz="2" w:space="0" w:color="E3E3E3"/>
                                <w:left w:val="single" w:sz="2" w:space="0" w:color="E3E3E3"/>
                                <w:bottom w:val="single" w:sz="2" w:space="0" w:color="E3E3E3"/>
                                <w:right w:val="single" w:sz="2" w:space="0" w:color="E3E3E3"/>
                              </w:divBdr>
                              <w:divsChild>
                                <w:div w:id="76634846">
                                  <w:marLeft w:val="0"/>
                                  <w:marRight w:val="0"/>
                                  <w:marTop w:val="0"/>
                                  <w:marBottom w:val="0"/>
                                  <w:divBdr>
                                    <w:top w:val="single" w:sz="2" w:space="0" w:color="E3E3E3"/>
                                    <w:left w:val="single" w:sz="2" w:space="0" w:color="E3E3E3"/>
                                    <w:bottom w:val="single" w:sz="2" w:space="0" w:color="E3E3E3"/>
                                    <w:right w:val="single" w:sz="2" w:space="0" w:color="E3E3E3"/>
                                  </w:divBdr>
                                  <w:divsChild>
                                    <w:div w:id="93074244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853372609">
      <w:bodyDiv w:val="1"/>
      <w:marLeft w:val="0"/>
      <w:marRight w:val="0"/>
      <w:marTop w:val="0"/>
      <w:marBottom w:val="0"/>
      <w:divBdr>
        <w:top w:val="none" w:sz="0" w:space="0" w:color="auto"/>
        <w:left w:val="none" w:sz="0" w:space="0" w:color="auto"/>
        <w:bottom w:val="none" w:sz="0" w:space="0" w:color="auto"/>
        <w:right w:val="none" w:sz="0" w:space="0" w:color="auto"/>
      </w:divBdr>
    </w:div>
    <w:div w:id="1950701086">
      <w:bodyDiv w:val="1"/>
      <w:marLeft w:val="0"/>
      <w:marRight w:val="0"/>
      <w:marTop w:val="0"/>
      <w:marBottom w:val="0"/>
      <w:divBdr>
        <w:top w:val="none" w:sz="0" w:space="0" w:color="auto"/>
        <w:left w:val="none" w:sz="0" w:space="0" w:color="auto"/>
        <w:bottom w:val="none" w:sz="0" w:space="0" w:color="auto"/>
        <w:right w:val="none" w:sz="0" w:space="0" w:color="auto"/>
      </w:divBdr>
    </w:div>
    <w:div w:id="2115397278">
      <w:bodyDiv w:val="1"/>
      <w:marLeft w:val="0"/>
      <w:marRight w:val="0"/>
      <w:marTop w:val="0"/>
      <w:marBottom w:val="0"/>
      <w:divBdr>
        <w:top w:val="none" w:sz="0" w:space="0" w:color="auto"/>
        <w:left w:val="none" w:sz="0" w:space="0" w:color="auto"/>
        <w:bottom w:val="none" w:sz="0" w:space="0" w:color="auto"/>
        <w:right w:val="none" w:sz="0" w:space="0" w:color="auto"/>
      </w:divBdr>
    </w:div>
    <w:div w:id="2131901457">
      <w:bodyDiv w:val="1"/>
      <w:marLeft w:val="0"/>
      <w:marRight w:val="0"/>
      <w:marTop w:val="0"/>
      <w:marBottom w:val="0"/>
      <w:divBdr>
        <w:top w:val="none" w:sz="0" w:space="0" w:color="auto"/>
        <w:left w:val="none" w:sz="0" w:space="0" w:color="auto"/>
        <w:bottom w:val="none" w:sz="0" w:space="0" w:color="auto"/>
        <w:right w:val="none" w:sz="0" w:space="0" w:color="auto"/>
      </w:divBdr>
    </w:div>
    <w:div w:id="214626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ejm.org/doi/abs/10.1056/NEJM198202183060711"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ownloads\PPR%20dat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ownloads\PPR%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Affected group  </a:t>
            </a:r>
          </a:p>
        </c:rich>
      </c:tx>
      <c:overlay val="0"/>
      <c:spPr>
        <a:noFill/>
        <a:ln>
          <a:noFill/>
        </a:ln>
        <a:effectLst/>
      </c:spPr>
    </c:title>
    <c:autoTitleDeleted val="0"/>
    <c:plotArea>
      <c:layout>
        <c:manualLayout>
          <c:layoutTarget val="inner"/>
          <c:xMode val="edge"/>
          <c:yMode val="edge"/>
          <c:x val="0.12952136191309419"/>
          <c:y val="0.14309921962095878"/>
          <c:w val="0.8149230825313506"/>
          <c:h val="0.54572283815693612"/>
        </c:manualLayout>
      </c:layout>
      <c:barChart>
        <c:barDir val="col"/>
        <c:grouping val="stacked"/>
        <c:varyColors val="0"/>
        <c:ser>
          <c:idx val="0"/>
          <c:order val="0"/>
          <c:tx>
            <c:strRef>
              <c:f>Sheet7!$A$2</c:f>
              <c:strCache>
                <c:ptCount val="1"/>
                <c:pt idx="0">
                  <c:v>affected </c:v>
                </c:pt>
              </c:strCache>
            </c:strRef>
          </c:tx>
          <c:spPr>
            <a:solidFill>
              <a:schemeClr val="accent1"/>
            </a:solidFill>
            <a:ln>
              <a:noFill/>
            </a:ln>
            <a:effectLst/>
          </c:spPr>
          <c:invertIfNegative val="0"/>
          <c:cat>
            <c:strRef>
              <c:f>Sheet7!$B$1:$E$1</c:f>
              <c:strCache>
                <c:ptCount val="4"/>
                <c:pt idx="0">
                  <c:v>Total no. of animals</c:v>
                </c:pt>
                <c:pt idx="1">
                  <c:v>No.of  weak animals</c:v>
                </c:pt>
                <c:pt idx="2">
                  <c:v>No. of animals with parasitic infestation</c:v>
                </c:pt>
                <c:pt idx="3">
                  <c:v> No. of animals with PPR Ag </c:v>
                </c:pt>
              </c:strCache>
            </c:strRef>
          </c:cat>
          <c:val>
            <c:numRef>
              <c:f>Sheet7!$B$2:$E$2</c:f>
              <c:numCache>
                <c:formatCode>General</c:formatCode>
                <c:ptCount val="4"/>
                <c:pt idx="0">
                  <c:v>16</c:v>
                </c:pt>
                <c:pt idx="1">
                  <c:v>8</c:v>
                </c:pt>
                <c:pt idx="2">
                  <c:v>9</c:v>
                </c:pt>
                <c:pt idx="3">
                  <c:v>7</c:v>
                </c:pt>
              </c:numCache>
            </c:numRef>
          </c:val>
          <c:extLst>
            <c:ext xmlns:c16="http://schemas.microsoft.com/office/drawing/2014/chart" uri="{C3380CC4-5D6E-409C-BE32-E72D297353CC}">
              <c16:uniqueId val="{00000000-9A19-492B-A4A4-EFAD50600B01}"/>
            </c:ext>
          </c:extLst>
        </c:ser>
        <c:dLbls>
          <c:showLegendKey val="0"/>
          <c:showVal val="0"/>
          <c:showCatName val="0"/>
          <c:showSerName val="0"/>
          <c:showPercent val="0"/>
          <c:showBubbleSize val="0"/>
        </c:dLbls>
        <c:gapWidth val="182"/>
        <c:overlap val="100"/>
        <c:axId val="109109632"/>
        <c:axId val="109111168"/>
      </c:barChart>
      <c:catAx>
        <c:axId val="109109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09111168"/>
        <c:crosses val="autoZero"/>
        <c:auto val="1"/>
        <c:lblAlgn val="ctr"/>
        <c:lblOffset val="100"/>
        <c:noMultiLvlLbl val="0"/>
      </c:catAx>
      <c:valAx>
        <c:axId val="1091111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91096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Control group</a:t>
            </a:r>
          </a:p>
        </c:rich>
      </c:tx>
      <c:overlay val="0"/>
      <c:spPr>
        <a:noFill/>
        <a:ln>
          <a:noFill/>
        </a:ln>
        <a:effectLst/>
      </c:spPr>
    </c:title>
    <c:autoTitleDeleted val="0"/>
    <c:plotArea>
      <c:layout>
        <c:manualLayout>
          <c:layoutTarget val="inner"/>
          <c:xMode val="edge"/>
          <c:yMode val="edge"/>
          <c:x val="0.13476842632025091"/>
          <c:y val="0.11140195890147878"/>
          <c:w val="0.79259862945147463"/>
          <c:h val="0.57276934895333198"/>
        </c:manualLayout>
      </c:layout>
      <c:barChart>
        <c:barDir val="col"/>
        <c:grouping val="stacked"/>
        <c:varyColors val="0"/>
        <c:ser>
          <c:idx val="0"/>
          <c:order val="0"/>
          <c:tx>
            <c:strRef>
              <c:f>Sheet7!$A$4</c:f>
              <c:strCache>
                <c:ptCount val="1"/>
                <c:pt idx="0">
                  <c:v>control</c:v>
                </c:pt>
              </c:strCache>
            </c:strRef>
          </c:tx>
          <c:spPr>
            <a:solidFill>
              <a:schemeClr val="accent1"/>
            </a:solidFill>
            <a:ln>
              <a:noFill/>
            </a:ln>
            <a:effectLst/>
          </c:spPr>
          <c:invertIfNegative val="0"/>
          <c:cat>
            <c:strRef>
              <c:f>Sheet7!$B$3:$E$3</c:f>
              <c:strCache>
                <c:ptCount val="4"/>
                <c:pt idx="0">
                  <c:v>Total no. of animals</c:v>
                </c:pt>
                <c:pt idx="1">
                  <c:v>No.of  weak animals</c:v>
                </c:pt>
                <c:pt idx="2">
                  <c:v>No. of animals with parasitic infestation</c:v>
                </c:pt>
                <c:pt idx="3">
                  <c:v> No. of animals with PPR Ag </c:v>
                </c:pt>
              </c:strCache>
            </c:strRef>
          </c:cat>
          <c:val>
            <c:numRef>
              <c:f>Sheet7!$B$4:$E$4</c:f>
              <c:numCache>
                <c:formatCode>General</c:formatCode>
                <c:ptCount val="4"/>
                <c:pt idx="0">
                  <c:v>9</c:v>
                </c:pt>
                <c:pt idx="1">
                  <c:v>0</c:v>
                </c:pt>
                <c:pt idx="2">
                  <c:v>0</c:v>
                </c:pt>
                <c:pt idx="3">
                  <c:v>2</c:v>
                </c:pt>
              </c:numCache>
            </c:numRef>
          </c:val>
          <c:extLst>
            <c:ext xmlns:c16="http://schemas.microsoft.com/office/drawing/2014/chart" uri="{C3380CC4-5D6E-409C-BE32-E72D297353CC}">
              <c16:uniqueId val="{00000000-7E29-4DF1-B28F-DA9CFE34DD14}"/>
            </c:ext>
          </c:extLst>
        </c:ser>
        <c:dLbls>
          <c:showLegendKey val="0"/>
          <c:showVal val="0"/>
          <c:showCatName val="0"/>
          <c:showSerName val="0"/>
          <c:showPercent val="0"/>
          <c:showBubbleSize val="0"/>
        </c:dLbls>
        <c:gapWidth val="182"/>
        <c:overlap val="100"/>
        <c:axId val="126094720"/>
        <c:axId val="126121856"/>
      </c:barChart>
      <c:catAx>
        <c:axId val="1260947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26121856"/>
        <c:crosses val="autoZero"/>
        <c:auto val="1"/>
        <c:lblAlgn val="ctr"/>
        <c:lblOffset val="100"/>
        <c:noMultiLvlLbl val="0"/>
      </c:catAx>
      <c:valAx>
        <c:axId val="126121856"/>
        <c:scaling>
          <c:orientation val="minMax"/>
          <c:max val="2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60947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17</Pages>
  <Words>3992</Words>
  <Characters>22759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10</cp:revision>
  <dcterms:created xsi:type="dcterms:W3CDTF">2026-01-02T16:03:00Z</dcterms:created>
  <dcterms:modified xsi:type="dcterms:W3CDTF">2026-01-03T09:18:00Z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zotero-version="7.0.13"&gt;&lt;session id="GxsXPM7g"/&gt;&lt;style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y fmtid="{D5CDD505-2E9C-101B-9397-08002B2CF9AE}" pid="4" name="GrammarlyDocumentId">
    <vt:lpwstr>b36a84fcd78094db1a2f79b2a2cf9f9c3f9fcdd541ef25b0b4ffc0fa2ac086e8</vt:lpwstr>
  </property>
</Properties>
</file>