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BF07B" w14:textId="77777777" w:rsidR="005F0A18" w:rsidRDefault="00FB030D">
      <w:pPr>
        <w:spacing w:line="360" w:lineRule="auto"/>
        <w:rPr>
          <w:rFonts w:ascii="Times New Roman Regular" w:hAnsi="Times New Roman Regular" w:cs="Times New Roman Regular"/>
          <w:b/>
          <w:bCs/>
          <w:sz w:val="32"/>
          <w:szCs w:val="32"/>
        </w:rPr>
      </w:pPr>
      <w:r>
        <w:rPr>
          <w:rFonts w:ascii="Times New Roman Regular" w:hAnsi="Times New Roman Regular" w:cs="Times New Roman Regular"/>
          <w:b/>
          <w:bCs/>
          <w:sz w:val="32"/>
          <w:szCs w:val="32"/>
        </w:rPr>
        <w:t xml:space="preserve">Distinct Airway Microbiome States in </w:t>
      </w:r>
      <w:r>
        <w:rPr>
          <w:rFonts w:ascii="Times New Roman Regular" w:hAnsi="Times New Roman Regular" w:cs="Times New Roman Regular"/>
          <w:b/>
          <w:bCs/>
          <w:i/>
          <w:iCs/>
          <w:sz w:val="32"/>
          <w:szCs w:val="32"/>
        </w:rPr>
        <w:t>Mycoplasma pneumoniae</w:t>
      </w:r>
      <w:r>
        <w:rPr>
          <w:rFonts w:ascii="Times New Roman Regular" w:hAnsi="Times New Roman Regular" w:cs="Times New Roman Regular"/>
          <w:b/>
          <w:bCs/>
          <w:sz w:val="32"/>
          <w:szCs w:val="32"/>
        </w:rPr>
        <w:t>–Positive and –Negative COPD Exacerbations in Elderly Patients</w:t>
      </w:r>
    </w:p>
    <w:p w14:paraId="3352DD37" w14:textId="77777777" w:rsidR="00D71538" w:rsidRDefault="00D71538">
      <w:pPr>
        <w:spacing w:line="360" w:lineRule="auto"/>
        <w:rPr>
          <w:rFonts w:ascii="Times New Roman Regular" w:hAnsi="Times New Roman Regular" w:cs="Times New Roman Regular"/>
          <w:b/>
          <w:bCs/>
          <w:sz w:val="28"/>
          <w:szCs w:val="28"/>
        </w:rPr>
      </w:pPr>
    </w:p>
    <w:p w14:paraId="1FE33724" w14:textId="492BE090" w:rsidR="005F0A18" w:rsidRDefault="00FB030D">
      <w:pPr>
        <w:spacing w:line="360" w:lineRule="auto"/>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t>Abstract</w:t>
      </w:r>
    </w:p>
    <w:p w14:paraId="6AC714FA"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Background: Chronic obstructive pulmonary disease (COPD) is frequently complicated by infection-associated exacerbations, but how Mycoplasma pneumoniae (MP) shapes airway microbial ecology in this setting is unclear.</w:t>
      </w:r>
    </w:p>
    <w:p w14:paraId="727C9DCC" w14:textId="77777777" w:rsidR="005F0A18" w:rsidRDefault="005F0A18">
      <w:pPr>
        <w:spacing w:line="360" w:lineRule="auto"/>
        <w:rPr>
          <w:rFonts w:ascii="Times New Roman Regular" w:hAnsi="Times New Roman Regular" w:cs="Times New Roman Regular"/>
        </w:rPr>
      </w:pPr>
    </w:p>
    <w:p w14:paraId="31BE995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Methods: In a single-center cross-sectional study, we enrolled 58 elderly participants from southwestern China: healthy controls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stable COPD with negative MP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acute exacerbation without MP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and acute exacerbation with MP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Sputum underwent 16S rRNA (V3–V4) sequencing with DADA2-based amplicon sequence variant inference. Using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microeco</w:t>
      </w:r>
      <w:proofErr w:type="spellEnd"/>
      <w:r>
        <w:rPr>
          <w:rFonts w:ascii="Times New Roman Regular" w:hAnsi="Times New Roman Regular" w:cs="Times New Roman Regular"/>
        </w:rPr>
        <w:t xml:space="preserve"> and DESeq2, we assessed alpha/beta diversity, taxonomic composition, differentially abundant genera and FAPROTAX-predicted functions.</w:t>
      </w:r>
    </w:p>
    <w:p w14:paraId="780E612B" w14:textId="77777777" w:rsidR="005F0A18" w:rsidRDefault="005F0A18">
      <w:pPr>
        <w:spacing w:line="360" w:lineRule="auto"/>
        <w:rPr>
          <w:rFonts w:ascii="Times New Roman Regular" w:hAnsi="Times New Roman Regular" w:cs="Times New Roman Regular"/>
        </w:rPr>
      </w:pPr>
    </w:p>
    <w:p w14:paraId="5AB2AD66"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Results: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all COPD groups showed reduced Chao1 richness and Shannon diversity, with the lowest diversity and greatest within-group Bray–Curtis dissimilarity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indicating progressive “microbial simplification” and destabilization.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sputum was dominated by oral commensals (Streptococcus,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retained this oral-like architecture but with enrichment of Corynebacterium and depletion of Moraxella.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exhibited the most pronounced dysbiosis, with broad depletion of health-associated genera and enrichment of </w:t>
      </w:r>
      <w:proofErr w:type="spellStart"/>
      <w:r>
        <w:rPr>
          <w:rFonts w:ascii="Times New Roman Regular" w:hAnsi="Times New Roman Regular" w:cs="Times New Roman Regular"/>
        </w:rPr>
        <w:t>Limosilactobacillus</w:t>
      </w:r>
      <w:proofErr w:type="spellEnd"/>
      <w:r>
        <w:rPr>
          <w:rFonts w:ascii="Times New Roman Regular" w:hAnsi="Times New Roman Regular" w:cs="Times New Roman Regular"/>
        </w:rPr>
        <w:t xml:space="preserve">, consistent with collapse of a commensal network rather than overgrowth of a single pathogen.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showed a narrower pattern, mainly decreased Moraxella and </w:t>
      </w:r>
      <w:proofErr w:type="spellStart"/>
      <w:r>
        <w:rPr>
          <w:rFonts w:ascii="Times New Roman Regular" w:hAnsi="Times New Roman Regular" w:cs="Times New Roman Regular"/>
        </w:rPr>
        <w:t>Pseudarcobacter</w:t>
      </w:r>
      <w:proofErr w:type="spellEnd"/>
      <w:r>
        <w:rPr>
          <w:rFonts w:ascii="Times New Roman Regular" w:hAnsi="Times New Roman Regular" w:cs="Times New Roman Regular"/>
        </w:rPr>
        <w:t xml:space="preserve">. FAPROTAX predictions revealed higher contributions of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fermentation and “gut-like” functions (</w:t>
      </w:r>
      <w:proofErr w:type="spellStart"/>
      <w:r>
        <w:rPr>
          <w:rFonts w:ascii="Times New Roman Regular" w:hAnsi="Times New Roman Regular" w:cs="Times New Roman Regular"/>
        </w:rPr>
        <w:t>human_gut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mammal_gut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human_pathogens_gastroenteritis</w:t>
      </w:r>
      <w:proofErr w:type="spellEnd"/>
      <w:r>
        <w:rPr>
          <w:rFonts w:ascii="Times New Roman Regular" w:hAnsi="Times New Roman Regular" w:cs="Times New Roman Regular"/>
        </w:rPr>
        <w:t xml:space="preserve">), particularly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w:t>
      </w:r>
    </w:p>
    <w:p w14:paraId="13B308C9" w14:textId="77777777" w:rsidR="005F0A18" w:rsidRDefault="005F0A18">
      <w:pPr>
        <w:spacing w:line="360" w:lineRule="auto"/>
        <w:rPr>
          <w:rFonts w:ascii="Times New Roman Regular" w:hAnsi="Times New Roman Regular" w:cs="Times New Roman Regular"/>
        </w:rPr>
      </w:pPr>
    </w:p>
    <w:p w14:paraId="5664BB9E"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Conclusions: In elderly COPD patients, airway dysbiosis is characterized by loss of diversity, disruption of an oral-like community and emergence of gut-like, pathogen-enriched profiles. MP-negative exacerbations display the most extensive commensal loss and functional reprogramming, whereas MP-positive episodes show a distinct but more restricted perturbation, underscoring the ecological heterogeneity of COPD exacerbations.</w:t>
      </w:r>
    </w:p>
    <w:p w14:paraId="717E89DE" w14:textId="77777777" w:rsidR="005F0A18" w:rsidRDefault="005F0A18">
      <w:pPr>
        <w:spacing w:line="360" w:lineRule="auto"/>
        <w:rPr>
          <w:rFonts w:ascii="Times New Roman Regular" w:hAnsi="Times New Roman Regular" w:cs="Times New Roman Regular"/>
          <w:b/>
          <w:bCs/>
        </w:rPr>
        <w:sectPr w:rsidR="005F0A18">
          <w:pgSz w:w="11906" w:h="16838"/>
          <w:pgMar w:top="1440" w:right="1800" w:bottom="1440" w:left="1800" w:header="720" w:footer="720" w:gutter="0"/>
          <w:cols w:space="720"/>
          <w:docGrid w:linePitch="360"/>
        </w:sectPr>
      </w:pPr>
    </w:p>
    <w:p w14:paraId="1E7BF1F3" w14:textId="77777777" w:rsidR="005F0A18" w:rsidRDefault="00FB030D">
      <w:pPr>
        <w:spacing w:line="360" w:lineRule="auto"/>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lastRenderedPageBreak/>
        <w:t>Introduction</w:t>
      </w:r>
    </w:p>
    <w:p w14:paraId="13FDCB20"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Chronic obstructive pulmonary disease (COPD) is a major cause of morbidity and mortality worldwide and is characterized by persistent airflow limitation, chronic airway inflammation and frequent acute exacerbations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{"citationID":"o0YaJ2YP","properties":{"formattedCitation":"(Agust\\uc0\\u237{} et al., 2023b, 2023a; Singh et al., 2019)","plainCitation":"(Agustí et al., 2023b, 2023a; Singh et al., 2019)","noteIndex":0},"citationItems":[{"id":3,"uris":["http://zotero.org/users/local/37x8FyPE/items/ZNNLTVF8"],"itemData":{"id":3,"type":"article-journal","abstract":"Executive summary of the Global Strategy for Prevention, Diagnosis and Management of COPD 2023: the latest evidence-based strategy document from the Global Initiative for Chronic Obstructive Lung Disease (GOLD) https://bit.ly/3KCaTGe","container-title":"The European Respiratory Journal","DOI":"10.1183/13993003.00239-2023","ISSN":"1399-3003","issue":"4","journalAbbreviation":"Eur Respir J","language":"eng","note":"PMID: 36858443\nPMCID: PMC10066569","page":"2300239","source":"PubMed","title":"Global Initiative for Chronic Obstructive Lung Disease 2023 Report: GOLD Executive Summary","title-short":"Global Initiative for Chronic Obstructive Lung Disease 2023 Report","volume":"61","author":[{"family":"Agustí","given":"Alvar"},{"family":"Celli","given":"Bartolome R."},{"family":"Criner","given":"Gerard J."},{"family":"Halpin","given":"David"},{"family":"Anzueto","given":"Antonio"},{"family":"Barnes","given":"Peter"},{"family":"Bourbeau","given":"Jean"},{"family":"Han","given":"MeiLan K."},{"family":"Martinez","given":"Fernando J."},{"family":"Montes de Oca","given":"Maria"},{"family":"Mortimer","given":"Kevin"},{"family":"Papi","given":"Alberto"},{"family":"Pavord","given":"Ian"},{"family":"Roche","given":"Nicolas"},{"family":"Salvi","given":"Sundeep"},{"family":"Sin","given":"Don D."},{"family":"Singh","given":"Dave"},{"family":"Stockley","given":"Robert"},{"family":"López Varela","given":"M. Victorina"},{"family":"Wedzicha","given":"Jadwiga A."},{"family":"Vogelmeier","given":"Claus F."}],"issued":{"date-parts":[["2023",4]]}}},{"id":7,"uris":["http://zotero.org/users/local/37x8FyPE/items/WILWBSVR"],"itemData":{"id":7,"type":"article-journal","container-title":"Respirology (Carlton, Vic.)","DOI":"10.1111/resp.14486","ISSN":"1440-1843","issue":"4","journalAbbreviation":"Respirology","language":"eng","note":"PMID: 36856440","page":"316-338","source":"PubMed","title":"Global Initiative for Chronic Obstructive Lung Disease 2023 Report: GOLD Executive Summary","title-short":"Global Initiative for Chronic Obstructive Lung Disease 2023 Report","volume":"28","author":[{"family":"Agustí","given":"Alvar"},{"family":"Celli","given":"Bartolome R."},{"family":"Criner","given":"Gerard J."},{"family":"Halpin","given":"David"},{"family":"Anzueto","given":"Antonio"},{"family":"Barnes","given":"Peter"},{"family":"Bourbeau","given":"Jean"},{"family":"Han","given":"MeiLan K."},{"family":"Martinez","given":"Fernando J."},{"family":"Oca","given":"Maria Montes","non-dropping-particle":"de"},{"family":"Mortimer","given":"Kevin"},{"family":"Papi","given":"Alberto"},{"family":"Pavord","given":"Ian"},{"family":"Roche","given":"Nicolas"},{"family":"Salvi","given":"Sundeep"},{"family":"Sin","given":"Don D."},{"family":"Singh","given":"Dave"},{"family":"Stockley","given":"Robert"},{"family":"Varela","given":"M. Victorina López"},{"family":"Wedzicha","given":"Jadwiga A."},{"family":"Vogelmeier","given":"Claus F."}],"issued":{"date-parts":[["2023",4]]}}},{"id":1,"uris":["http://zotero.org/users/local/37x8FyPE/items/AAKUD7XX"],"itemData":{"id":1,"type":"article-journal","abstract":"Precision medicine is a patient-specific approach that integrates all relevant clinical, genetic and biological information in order to optimise the therapeutic benefit relative to the possibility of side-effects for each individual. Recent clinical trials have shown that higher blood eosinophil counts are associated with a greater efficacy of inhaled corticosteroids (ICSs) in chronic obstructive pulmonary disease (COPD) patients. Blood eosinophil counts are a biomarker with potential to be used in clinical practice, to help target ICS treatment with more precision in COPD patients with a history of exacerbations despite appropriate bronchodilator treatment.The Global Initiative for Chronic Obstructive Lung Disease (GOLD) 2017 pharmacological treatment algorithms, based on the ABCD assessment, can be applied relatively easily to treatment-naive individuals at initial presentation. However, their use is more problematic during follow-up in patients who are already on maintenance treatment. There is a need for a different system to guide COPD pharmacological management during follow-up.Recent large randomised controlled trials have provided important new information concerning the therapeutic effects of ICSs and long-acting bronchodilators on exacerbations. The new evidence regarding blood eosinophils and inhaled treatments, and the need to distinguish between initial and follow-up pharmacological management, led to changes in the GOLD pharmacological treatment recommendations. This article explains the evidence and rationale for the GOLD 2019 pharmacological treatment recommendations.","container-title":"The European Respiratory Journal","DOI":"10.1183/13993003.00164-2019","ISSN":"1399-3003","issue":"5","journalAbbreviation":"Eur Respir J","language":"eng","note":"PMID: 30846476","page":"1900164","source":"PubMed","title":"Global Strategy for the Diagnosis, Management, and Prevention of Chronic Obstructive Lung Disease: the GOLD science committee report 2019","title-short":"Global Strategy for the Diagnosis, Management, and Prevention of Chronic Obstructive Lung Disease","volume":"53","author":[{"family":"Singh","given":"Dave"},{"family":"Agusti","given":"Alvar"},{"family":"Anzueto","given":"Antonio"},{"family":"Barnes","given":"Peter J."},{"family":"Bourbeau","given":"Jean"},{"family":"Celli","given":"Bartolome R."},{"family":"Criner","given":"Gerard J."},{"family":"Frith","given":"Peter"},{"family":"Halpin","given":"David M. G."},{"family":"Han","given":"Meilan"},{"family":"López Varela","given":"M. Victorina"},{"family":"Martinez","given":"Fernando"},{"family":"Montes de Oca","given":"Maria"},{"family":"Papi","given":"Alberto"},{"family":"Pavord","given":"Ian D."},{"family":"Roche","given":"Nicolas"},{"family":"Sin","given":"Donald D."},{"family":"Stockley","given":"Robert"},{"family":"Vestbo","given":"Jørgen"},{"family":"Wedzicha","given":"Jadwiga A."},{"family":"Vogelmeier","given":"Claus"}],"issued":{"date-parts":[["2019",5]]}}}],"schema":"https://github.com/citation-style-language/schema/raw/master/csl-citation.json"} </w:instrText>
      </w:r>
      <w:r>
        <w:rPr>
          <w:rFonts w:ascii="Times New Roman Regular" w:hAnsi="Times New Roman Regular" w:cs="Times New Roman Regular"/>
        </w:rPr>
        <w:fldChar w:fldCharType="separate"/>
      </w:r>
      <w:r>
        <w:rPr>
          <w:rFonts w:ascii="Times New Roman Regular" w:eastAsia="SimSun" w:hAnsi="Times New Roman Regular" w:cs="Times New Roman Regular"/>
          <w:szCs w:val="24"/>
        </w:rPr>
        <w:t>(Agustí et al., 2023b, 2023a; Singh et al., 2019)</w:t>
      </w:r>
      <w:r>
        <w:rPr>
          <w:rFonts w:ascii="Times New Roman Regular" w:hAnsi="Times New Roman Regular" w:cs="Times New Roman Regular"/>
        </w:rPr>
        <w:fldChar w:fldCharType="end"/>
      </w:r>
      <w:r>
        <w:rPr>
          <w:rFonts w:ascii="Times New Roman Regular" w:hAnsi="Times New Roman Regular" w:cs="Times New Roman Regular"/>
        </w:rPr>
        <w:t>. In clinical practice, a substantial proportion of COPD patients experience acute exacerbations triggered by respiratory infections, which markedly accelerate lung function decline, impair quality of life and increase the risk of hospitalization and death</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{"citationID":"NLCNch0C","properties":{"formattedCitation":"(Abi Abdallah et al., 2024; F et al., 2024; Lippi et al., 2022; van der Bie et al., 2024)","plainCitation":"(Abi Abdallah et al., 2024; F et al., 2024; Lippi et al., 2022; van der Bie et al., 2024)","noteIndex":0},"citationItems":[{"id":18,"uris":["http://zotero.org/users/local/37x8FyPE/items/E32TYX4V"],"itemData":{"id":18,"type":"article-journal","abstract":"BACKGROUND: Data are scarce on respiratory infections during severe acute exacerbation of chronic obstructive pulmonary disease (COPD). This study aimed to investigate respiratory infection patterns in the intensive care unit (ICU) and identify variables associated with infection type and patient outcome.\nMETHODS: A retrospective, single-centre cohort study. All patients admitted (2015-2021) to our ICU for severe acute exacerbation of COPD were included. Logistic multivariable regression analysis was performed to predict factors associated with infection and assess the association between infection and outcome.\nRESULTS: We included 473 patients: 288 (60.9%) had respiratory infection and 139 (29.4%) required invasive mechanical ventilation. Eighty-nine (30.9%) had viral, 81 (28.1%) bacterial, 34 (11.8%) mixed, and 84 (29.2%) undocumented infections. Forty-seven (9.9%) patients died in the ICU and 67 (14.2%) in hospital. Factors associated with respiratory infection were temperature (odds ratio [+1°C]=1.43, P=0.008) and blood neutrophils (1.07, P=0.002). Male sex (2.21, P=0.02) and blood neutrophils were associated with bacterial infection (1.06, P=0.04). In a multivariable analysis, pneumonia (cause-specific hazard=1.75, P=0.005), respiratory rate (1.17, P=0.04), arterial partial pressure of carbon-dioxide (1.08, P=0.04), and lactate (1.14, P=0.02) were associated with the need for invasive MV. Age (1.03, P=0.03), immunodeficiency (1.96, P=0.02), and altered performance status (1.78, P=0.002) were associated with hospital mortality.\nCONCLUSIONS: Respiratory infections, 39.9% of which were bacterial, were the main cause of severe acute exacerbation of COPD. Body temperature and blood neutrophils were single markers of infection. Pneumonia was associated with the need for invasive mechanical ventilation but not with hospital mortality, as opposed to age, immunodeficiency, and altered performance status.","container-title":"International Journal of Chronic Obstructive Pulmonary Disease","DOI":"10.2147/COPD.S447162","ISSN":"1178-2005","journalAbbreviation":"Int J Chron Obstruct Pulmon Dis","language":"eng","note":"PMID: 38440747\nPMCID: PMC10909653","page":"555-565","source":"PubMed","title":"Respiratory Infection Triggering Severe Acute Exacerbations of Chronic Obstructive Pulmonary Disease","volume":"19","author":[{"family":"Abi Abdallah","given":"Georges"},{"family":"Diop","given":"Sylvain"},{"family":"Jamme","given":"Matthieu"},{"family":"Legriel","given":"Stéphane"},{"family":"Ferré","given":"Alexis"}],"issued":{"date-parts":[["2024"]]}}},{"id":15,"uris":["http://zotero.org/users/local/37x8FyPE/items/LBB352EC"],"itemData":{"id":15,"type":"article-journal","abstract":"Macrophages in the innate immune system play a vital role in various lung diseases such as asthma, chronic obstructive pulmonary disease (COPD), acute lung injury and pulmonary fibrosis. Macrophages involved in the process of immunity need to go through a process of activation, including changes in …","container-title":"Frontiers in immunology","DOI":"10.3389/fimmu.2024.1445372","ISSN":"1664-3224","language":"en","note":"publisher: Front Immunol\nPMID: 39206196","source":"pubmed.ncbi.nlm.nih.gov","title":"Epigenetic regulation of macrophage activation in chronic obstructive pulmonary disease","URL":"https://pubmed.ncbi.nlm.nih.gov/39206196/","volume":"15","author":[{"family":"F","given":"Zhang"},{"family":"Y","given":"Cui"},{"family":"T","given":"Zhang"},{"family":"W","given":"Yin"}],"accessed":{"date-parts":[["2025",12,19]]},"issued":{"date-parts":[["2024",8,14]]}}},{"id":12,"uris":["http://zotero.org/users/local/37x8FyPE/items/BCDDXQZW"],"itemData":{"id":12,"type":"article-journal","abstract":"Chronic obstructive pulmonary disease (COPD) is a burdensome condition affecting a growing number of people worldwide, frequently related to major comorbidities and functional impairment. In these patients, several factors might have a role in promoting both bone and muscle loss, including systemic inflammation, corticosteroid therapies, sedentary behaviours, deconditioning, malnutrition, smoking habits, and alcohol consumption. On the other hand, bone and muscle tissues share several linkages from functional, embryological, and biochemical points of view. Osteosarcopenia has been recently defined by the coexistence of osteoporosis and sarcopenia, but the precise mechanisms underpinning osteosarcopenia in patients with COPD are still unknown. In this scenario, a deeper understanding of the molecular basis of osteosarcopenia might guide clinicians in a personalized approach integrating skeletal muscle health with the pulmonary rehabilitation framework in COPD. Taken together, our results summarized the currently available evidence about the multilevel interactions between osteosarcopenia and COPD to pave the way for a comprehensive approach targeting the most common risk factors of these pathological conditions. Further studies are needed to clarify the role of modern clinical strategies and telemedicine solutions to optimize healthcare delivery in patients with COPD, including osteopenia, osteoporosis, and sarcopenia screening in these subjects.","container-title":"International Journal of Environmental Research and Public Health","DOI":"10.3390/ijerph192114314","ISSN":"1660-4601","issue":"21","journalAbbreviation":"Int J Environ Res Public Health","language":"eng","note":"PMID: 36361194\nPMCID: PMC9657186","page":"14314","source":"PubMed","title":"Osteosarcopenia in Patients with Chronic Obstructive Pulmonary Diseases: Which Pathophysiologic Implications for Rehabilitation?","title-short":"Osteosarcopenia in Patients with Chronic Obstructive Pulmonary Diseases","volume":"19","author":[{"family":"Lippi","given":"Lorenzo"},{"family":"Folli","given":"Arianna"},{"family":"Curci","given":"Claudio"},{"family":"D'Abrosca","given":"Francesco"},{"family":"Moalli","given":"Stefano"},{"family":"Mezian","given":"Kamal"},{"family":"Sire","given":"Alessandro","non-dropping-particle":"de"},{"family":"Invernizzi","given":"Marco"}],"issued":{"date-parts":[["2022",11,2]]}}},{"id":9,"uris":["http://zotero.org/users/local/37x8FyPE/items/GEJFH5FF"],"itemData":{"id":9,"type":"article-journal","abstract":"Background: Chronic obstructive pulmonary disease (COPD) is a major health concern. Acute exacerbations (AECOPD) may require intensive care unit (ICU) admission and mechanical ventilation. Acute infections and chronic colonization of the respiratory system are known to precipitate AECOPD. Detailed knowledge of the respiratory microbiome could lead to effective treatment and prevention of exacerbations. Objective: The aim of this review is to summarize the available evidence on the respiratory microbiome of patients with a severe AECOPD requiring mechanical ventilation and intensive care admission. Methods: A systematic literature search was conducted to identify the published papers until January 2023. The collected data were then subjected to qualitative analysis. After the first analysis, a secondary focused review of the most recent publications studying the relationship between microbiome and mortality in AECOPD was performed. Results: Out of 120 screened articles six articles were included in this review. Potentially pathogenic microorganisms (PPMs) were identified in 30% to 72% of the patients with community-acquired bacteria, gram-negative enteric bacilli, Stenotrophomonas and Pseudomonas being the most frequently isolated. During hospitalization, 21% of patients experienced colonization by PPMs. Adequate antimicrobial therapy resulted in the eradication of 77% of the identified PPMs. However, 24% of the bacteria displayed multi-drug resistance leading to prolonged or failure of eradication. Conclusion: PPMs are prevalent in a significant proportion of patients experiencing an AECOPD. The most identified PPMs include community-acquired pathogens and gram-negative enteric bacilli. Notably, no differences in mortality or duration of ventilation were observed between patients with and without isolated PPMs. However, the included studies did not investigate the virome of the patients, which may influence the microbiome and the outcome of infection. Therefore, further research is essential to comprehensively investigate the complete microbial and viral composition of the lower respiratory system in COPD patients admitted to the ICU.","container-title":"Journal of Clinical Medicine","DOI":"10.3390/jcm13020472","ISSN":"2077-0383","issue":"2","journalAbbreviation":"J Clin Med","language":"eng","note":"PMID: 38256606\nPMCID: PMC10816170","page":"472","source":"PubMed","title":"A Systematic Review of the Pulmonary Microbiome in Patients with Acute Exacerbation COPD Requiring ICU Admission","volume":"13","author":[{"family":"Bie","given":"Sjoerd","non-dropping-particle":"van der"},{"family":"Haaksma","given":"Mark E."},{"family":"Vermin","given":"Ben"},{"family":"Assema","given":"Hidde","non-dropping-particle":"van"},{"family":"Gorp","given":"Eric C. M.","non-dropping-particle":"van"},{"family":"Langerak","given":"Thomas"},{"family":"Endeman","given":"Henrik"},{"family":"Snijders","given":"Dominic"},{"family":"Akker","given":"Johannes P. C.","non-dropping-particle":"van den"},{"family":"Houten","given":"Marlies A.","non-dropping-particle":"van"},{"family":"Lelyveld","given":"Steven F. L.","non-dropping-particle":"van"},{"family":"Goeijenbier","given":"Marco"}],"issued":{"date-parts":[["2024",1,15]]}}}],"schema":"https://github.com/citation-style-language/schema/raw/master/csl-citation.json"}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(Abi Abdallah et al., 2024; F et al., 2024; Lippi et al., 2022; van der Bie et al., 2024)</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Among the infectious triggers, Mycoplasma pneumoniae (MP) has attracted increasing attention, especially in older adults and patients with pre-existing chronic lung diseases, but its impact on airway microbial ecology in COPD remains poorly understood</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{"citationID":"FxEAXQTY","properties":{"formattedCitation":"(Georgakopoulou et al., 2024; Guo et al., 2024a)","plainCitation":"(Georgakopoulou et al., 2024; Guo et al., 2024a)","noteIndex":0},"citationItems":[{"id":23,"uris":["http://zotero.org/users/local/37x8FyPE/items/Q2NPAT2W"],"itemData":{"id":23,"type":"article-journal","abstract":"Atypical pneumonia encompasses diverse pathogens, such as Chlamydia pneumoniae, Mycoplasma pneumoniae and Legionella species, which differ from typical bacterial pneumonia in their extrapulmonary manifestations. Clinical differentiation relies on systemic involvement rather than on standalone symptoms. Despite challenges in distinct diagnosis, syndromic approaches and weighted point systems aid in accurate presumptive diagnoses. Antibiotic treatment, often non-β-lactams due to the unique cell structures of atypical pathogens, targets intracellular processes. Macrolides, tetracyclines, quinolones and ketolides are effective due to their intracellular penetration, crucial for combating these intracellular pathogens. The prevalence of atypical pneumonia varies globally, with Europe, Asia/Africa and Latin America reporting detection rates between 20-28%. Streptococcus pneumoniae remains a primary cause of pneumonia; however, atypical pathogens contribute significantly to this disease, being more prevalent in outpatient settings and among young adults. Legionella stands out in severe hospitalized cases and is associated with higher mortality rates. Diagnosis proves challenging due to overlapping symptoms with other respiratory infections. Differentiation among pathogens, such as Chlamydia pneumoniae, Mycoplasma pneumoniae and Legionella relies on subtle clinical variations and imaging findings. Diagnostic methods include serological studies, cultures and polymerase chain reaction, each with limitations in sensitivity or specificity. Prognosis varies widely. Atypical pneumonia can progress to severe forms with fatal outcomes, causing multi-organ damage. Complications extend beyond the respiratory system, affecting the cardiovascular system, exacerbating conditions such as chronic obstructive pulmonary disease and asthma, and potentially linking to conditions such as lung cancer. Increasing antibiotic resistance poses a significant challenge, influencing treatment outcomes and prolonging illness duration.","container-title":"Experimental and Therapeutic Medicine","DOI":"10.3892/etm.2024.12713","ISSN":"1792-1015","issue":"5","journalAbbreviation":"Exp Ther Med","language":"eng","note":"PMID: 39301259\nPMCID: PMC11412103","page":"424","source":"PubMed","title":"Atypical pneumonia (Review)","volume":"28","author":[{"family":"Georgakopoulou","given":"Vasiliki Epameinondas"},{"family":"Lempesis","given":"Ioannis G."},{"family":"Tarantinos","given":"Kyriakos"},{"family":"Sklapani","given":"Pagona"},{"family":"Trakas","given":"Nikolaos"},{"family":"Spandidos","given":"Demetrios A."}],"issued":{"date-parts":[["2024",11]]}}},{"id":21,"uris":["http://zotero.org/users/local/37x8FyPE/items/LXJRV737"],"itemData":{"id":21,"type":"article-journal","abstract":"This review summarizes the research progress over the past 30 years on the relationship between Mycoplasma pneumoniae infection and chronic respiratory diseases such as asthma, chronic obstructive pulmonary disease (COPD), and bronchiectasis. Mycoplasma pneumoniae is a common cause of community-acquired pneumonia, particularly in children and young adults. Key findings from recent studies indicate that M. pneumoniae infection is associated with a higher risk of asthma exacerbations and may contribute to the development of bronchiectasis in susceptible individuals. Additionally, emerging evidence suggests that M. pneumoniae-induced immune dysregulation plays a crucial role in the pathogenesis of chronic lung diseases. This review aims to summarize the current understanding of the potential links between M. pneumoniae pneumonia and various chronic respiratory conditions, including asthma, chronic obstructive pulmonary disease (COPD), and bronchiectasis. We discuss the epidemiological data, pathogenic mechanisms, clinical manifestations, and long-term consequences of M. pneumoniae-related respiratory illnesses. Additionally, we highlight the challenges in diagnosis and treatment, as well as future research directions in this field.","container-title":"Frontiers in Medicine","DOI":"10.3389/fmed.2024.1437731","ISSN":"2296-858X","journalAbbreviation":"Front Med (Lausanne)","language":"eng","note":"PMID: 39386750\nPMCID: PMC11461384","page":"1437731","source":"PubMed","title":"A comprehensive review of Mycoplasma pneumoniae infection in chronic lung diseases: recent advances in understanding asthma, COPD, and bronchiectasis","title-short":"A comprehensive review of Mycoplasma pneumoniae infection in chronic lung diseases","volume":"11","author":[{"family":"Guo","given":"Zai-Qiang"},{"family":"Gu","given":"Shun-Yi"},{"family":"Tian","given":"Zhi-Hua"},{"family":"Du","given":"Bo-Ying"}],"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(Georgakopoulou et al., 2024; Guo et al., 2024a)</w:t>
      </w:r>
      <w:r>
        <w:rPr>
          <w:rFonts w:ascii="Times New Roman Regular" w:hAnsi="Times New Roman Regular" w:cs="Times New Roman Regular"/>
        </w:rPr>
        <w:fldChar w:fldCharType="end"/>
      </w:r>
      <w:r>
        <w:rPr>
          <w:rFonts w:ascii="Times New Roman Regular" w:hAnsi="Times New Roman Regular" w:cs="Times New Roman Regular" w:hint="eastAsia"/>
        </w:rPr>
        <w:t>.</w:t>
      </w:r>
    </w:p>
    <w:p w14:paraId="0A6647EC" w14:textId="77777777" w:rsidR="005F0A18" w:rsidRDefault="005F0A18">
      <w:pPr>
        <w:spacing w:line="360" w:lineRule="auto"/>
        <w:rPr>
          <w:rFonts w:ascii="Times New Roman Regular" w:hAnsi="Times New Roman Regular" w:cs="Times New Roman Regular"/>
        </w:rPr>
      </w:pPr>
    </w:p>
    <w:p w14:paraId="10E1CC2E"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With the rapid development of high-throughput sequencing, accumulating evidence indicates that the lower respiratory tract is not sterile, and that perturbations of the airway microbiome are closely linked to COPD onset, progression and exacerbation</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{"citationID":"y9m36unC","properties":{"formattedCitation":"(Faner et al., 2017; Luo et al., 2024a; Wang et al., 2024)","plainCitation":"(Faner et al., 2017; Luo et al., 2024a; Wang et al., 2024)","noteIndex":0},"citationItems":[{"id":28,"uris":["http://zotero.org/users/local/37x8FyPE/items/FTX8LGWS"],"itemData":{"id":28,"type":"article-journal","abstract":"The healthy lung has previously been considered to be a sterile organ because standard microbiological culture techniques consistently yield negative results. However, culture-independent techniques report that large numbers of microorganisms coexist in the lung. There are many unknown aspects in the field, but available reports show that the lower respiratory tract microbiota: 1) is similar in healthy subjects to the oropharyngeal microbiota and dominated by members of the Firmicutes, Bacteroidetes and Proteobacteria phyla; 2) shows changes in smokers and well-defined differences in chronic respiratory diseases, although the temporal and spatial kinetics of these changes are only partially known; and 3) shows relatively abundant non-cultivable bacteria in chronic obstructive pulmonary disease, idiopathic pulmonary fibrosis, cystic fibrosis and bronchiectasis, with specific patterns for each disease. In all of these diseases, a loss of diversity, paralleled by an over-representation of Proteobacteria (dysbiosis), has been related to disease severity and exacerbations. However, it is unknown whether dysbiosis is a cause or a consequence of the damage to bronchoalveolar surfaces.Finally, little is known about bacterial functionality and the interactions between viruses, fungi and bacteria. It is expected that future research in bacterial gene expressions, metagenomics longitudinal analysis and host-microbiome animal models will help to move towards targeted microbiome interventions in respiratory diseases.","container-title":"The European Respiratory Journal","DOI":"10.1183/13993003.02086-2016","ISSN":"1399-3003","issue":"4","journalAbbreviation":"Eur Respir J","language":"eng","note":"PMID: 28404649","page":"1602086","source":"PubMed","title":"The microbiome in respiratory medicine: current challenges and future perspectives","title-short":"The microbiome in respiratory medicine","volume":"49","author":[{"family":"Faner","given":"Rosa"},{"family":"Sibila","given":"Oriol"},{"family":"Agustí","given":"Alvar"},{"family":"Bernasconi","given":"Eric"},{"family":"Chalmers","given":"James D."},{"family":"Huffnagle","given":"Gary B."},{"family":"Manichanh","given":"Chaysavanh"},{"family":"Molyneaux","given":"Philip L."},{"family":"Paredes","given":"Roger"},{"family":"Pérez Brocal","given":"Vicente"},{"family":"Ponomarenko","given":"Julia"},{"family":"Sethi","given":"Sanjay"},{"family":"Dorca","given":"Jordi"},{"family":"Monsó","given":"Eduard"}],"issued":{"date-parts":[["2017",4]]}}},{"id":30,"uris":["http://zotero.org/users/local/37x8FyPE/items/37TMY3XY"],"itemData":{"id":30,"type":"article-journal","abstract":"Chronic obstructive pulmonary disease (COPD) is a complex heterogeneous disease characterized by progressive airflow limitation and chronic inflammation. The progressive development and long-term repeated acute exacerbation of COPD make many patients still unable to control the deterioration of the disease after active treatment, and even eventually lead to death. An increasing number of studies have shown that the occurrence and development of COPD are closely related to the composition and changes of airway microbiome. This article reviews the interaction between COPD and airway microbiome, the potential mechanisms of interaction, and the treatment methods related to microbiome. We elaborated the internal correlation between airway microbiome and different stages of COPD, inflammatory endotypes, glucocorticoid and antibiotic treatment, analyze the pathophysiological mechanisms such as the \"vicious cycle\" hypothesis, abnormal inflammation-immune response of the host and the \"natural selection\" of COPD to airway microbiome, introduce the treatment of COPD related to microbiome and emphasize the predictive value of airway microbiome for the progression, exacerbation and prognosis of COPD, as well as the guiding role for clinical management of patients, in order to provide a new perspective for exploring the pathogenesis of COPD, and also provide clues and guidance for finding new treatment targets.","container-title":"Respiratory Medicine","DOI":"10.1016/j.rmed.2024.107586","ISSN":"1532-3064","journalAbbreviation":"Respir Med","language":"eng","note":"PMID: 38460708","page":"107586","source":"PubMed","title":"Chronic obstructive pulmonary disease and the airway microbiome: A review for clinicians","title-short":"Chronic obstructive pulmonary disease and the airway microbiome","volume":"225","author":[{"family":"Luo","given":"Lingxin"},{"family":"Tang","given":"Junli"},{"family":"Du","given":"Xianzhi"},{"family":"Li","given":"Na"}],"issued":{"date-parts":[["2024"]]}}},{"id":25,"uris":["http://zotero.org/users/local/37x8FyPE/items/IUGRTM2F"],"itemData":{"id":25,"type":"article-journal","abstract":"BACKGROUND: Community-acquired pneumonia (CAP) patients with chronic obstructive pulmonary disease (COPD) have higher disease severity and mortality compared to those without COPD. However, deep investigation into microbiome distribution of lower respiratory tract of CAP with or without COPD was unknown.\nMETHODS: So we used metagenomic next generation sequencing (mNGS) to explore the microbiome differences between the two groups.\nRESULTS: Thirty-six CAP without COPD and 11 CAP with COPD cases were retrieved. Bronchoalveolar lavage fluid (BALF) was collected and analyzed using untargeted mNGS and bioinformatic analysis. mNGS revealed that CAP with COPD group was abundant with Streptococcus, Prevotella, Bordetella at genus level and Cutibacterium acnes, Rothia mucilaginosa, Bordetella genomosp. 6 at species level. While CAP without COPD group was abundant with Ralstonia, Prevotella, Streptococcus at genus level and Ralstonia pickettii, Rothia mucilaginosa, Prevotella melaninogenica at species level. Meanwhile, both alpha and beta microbiome diversity was similar between groups. Linear discriminant analysis found that pa-raburkholderia, corynebacterium tuberculostearicum and staphylococcus hominis were more enriched in CAP without COPD group while the abundance of streptococcus intermedius, streptococcus constellatus, streptococcus milleri, fusarium was higher in CAP with COPD group.\nCONCLUSIONS: These findings revealed that concomitant COPD have an mild impact on lower airway microbiome of CAP patients.","container-title":"BMC pulmonary medicine","DOI":"10.1186/s12890-024-03087-6","ISSN":"1471-2466","issue":"1","journalAbbreviation":"BMC Pulm Med","language":"eng","note":"PMID: 38867204\nPMCID: PMC11167785","page":"278","source":"PubMed","title":"Exploring the microbiota difference of bronchoalveolar lavage fluid between community-acquired pneumonia with or without COPD based on metagenomic sequencing: a retrospective study","title-short":"Exploring the microbiota difference of bronchoalveolar lavage fluid between community-acquired pneumonia with or without COPD based on metagenomic sequencing","volume":"24","author":[{"family":"Wang","given":"Bingbing"},{"family":"Tan","given":"Min"},{"family":"Li","given":"Wei"},{"family":"Xu","given":"Qinghua"},{"family":"Jin","given":"Lianfeng"},{"family":"Xie","given":"Shuanshuan"},{"family":"Wang","given":"Changhui"}],"issued":{"date-parts":[["2024",6,12]]}}}],"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(Faner et al., 2017; Luo et al., 2024a; Wang et al., 2024)</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Prior studies have mainly compared healthy controls with stable COPD, or contrasted stable versus exacerbation states, showing a shift towards Proteobacteria-enriched,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communities during exacerbations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{"citationID":"dJG1mzZN","properties":{"formattedCitation":"(Dicker et al., 2021a; Huang et al., 2014a; Wang et al., 2016)","plainCitation":"(Dicker et al., 2021a; Huang et al., 2014a; Wang et al., 2016)","noteIndex":0},"citationItems":[{"id":35,"uris":["http://zotero.org/users/local/37x8FyPE/items/2HAY6FFZ"],"itemData":{"id":35,"type":"article-journal","abstract":"BACKGROUND: The sputum microbiome has a potential role in disease phenotyping and risk stratification in chronic obstructive pulmonary disease (COPD), but few large longitudinal cohort studies exist.\nOBJECTIVE: Our aim was to investigate the COPD sputum microbiome and its association with inflammatory phenotypes and mortality.\nMETHODS: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data.\nRESULTS: Proteobacteria dominance and lower diversity was associated with more severe COPD according to the Global Initiative for Chronic Obstructive Lung Disease classification system (P = .0015), more frequent exacerbations (P = .0042), blood eosinophil level less than or equal to 100 cells/μL (P &lt; .0001), and lower FEV1 (P =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 .0017 and hazard ratio = 7.47; 95% CI = 1.02-54.86; P = .048, respectively). Integrated omics analysis showed significant associations between Proteobacteria dominance and the neutrophil activation pathway in sputum.\nCONCLUSION: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mortality.","container-title":"The Journal of Allergy and Clinical Immunology","DOI":"10.1016/j.jaci.2020.02.040","ISSN":"1097-6825","issue":"1","journalAbbreviation":"J Allergy Clin Immunol","language":"eng","note":"PMID: 32353489","page":"158-167","source":"PubMed","title":"The sputum microbiome, airway inflammation, and mortality in chronic obstructive pulmonary disease","volume":"147","author":[{"family":"Dicker","given":"Alison J."},{"family":"Huang","given":"Jeffrey T. J."},{"family":"Lonergan","given":"Mike"},{"family":"Keir","given":"Holly R."},{"family":"Fong","given":"Christopher J."},{"family":"Tan","given":"Brandon"},{"family":"Cassidy","given":"Andrew J."},{"family":"Finch","given":"Simon"},{"family":"Mullerova","given":"Hana"},{"family":"Miller","given":"Bruce E."},{"family":"Tal-Singer","given":"Ruth"},{"family":"Chalmers","given":"James D."}],"issued":{"date-parts":[["2021",1]]}}},{"id":32,"uris":["http://zotero.org/users/local/37x8FyPE/items/4BKK9S2H"],"itemData":{"id":32,"type":"article-journal","abstract":"Specific bacterial species are implicated in the pathogenesis of exacerbations of chronic obstructive pulmonary disease (COPD). However, recent studies of clinically stable COPD patients have demonstrated a greater diversity of airway microbiota, whose role in acute exacerbations is unclear. In this study, temporal changes in the airway microbiome before, at the onset of, and after an acute exacerbation were examined in 60 sputum samples collected from subjects enrolled in a longi</w:instrText>
      </w:r>
      <w:r>
        <w:rPr>
          <w:rFonts w:ascii="Times New Roman Regular" w:hAnsi="Times New Roman Regular" w:cs="Times New Roman Regular" w:hint="eastAsia"/>
        </w:rPr>
        <w:instrText>tudinal study of bacterial infection in COPD. Microbiome composition and predicted functions were examined using 16S rRNA-based culture-independent profiling methods. Shifts in the abundance (</w:instrText>
      </w:r>
      <w:r>
        <w:rPr>
          <w:rFonts w:ascii="Times New Roman Regular" w:hAnsi="Times New Roman Regular" w:cs="Times New Roman Regular" w:hint="eastAsia"/>
        </w:rPr>
        <w:instrText>≥</w:instrText>
      </w:r>
      <w:r>
        <w:rPr>
          <w:rFonts w:ascii="Times New Roman Regular" w:hAnsi="Times New Roman Regular" w:cs="Times New Roman Regular" w:hint="eastAsia"/>
        </w:rPr>
        <w:instrText xml:space="preserve"> 2-fold, P &lt; 0.05) of many taxa at exacerbation and after trea</w:instrText>
      </w:r>
      <w:r>
        <w:rPr>
          <w:rFonts w:ascii="Times New Roman Regular" w:hAnsi="Times New Roman Regular" w:cs="Times New Roman Regular"/>
        </w:rPr>
        <w:instrText xml:space="preserve">tment were observed. Microbiota members that were increased at exacerbation were primarily of the Proteobacteria phylum, including nontypical COPD pathogens. Changes in the bacterial composition after treatment for an exacerbation differed significantly among the therapy regimens clinically prescribed (antibiotics only, oral corticosteroids only, or both). Treatment with antibiotics alone primarily decreased the abundance of Proteobacteria, with the prolonged suppression of some microbiota members being observed. In contrast, treatment with corticosteroids alone led to enrichment for Proteobacteria and members of other phyla. Predicted metagenomes of particular microbiota members involved in these compositional shifts indicated exacerbation-associated loss of functions involved in the synthesis of antimicrobial and anti-inflammatory products, alongside enrichment in functions related to pathogen-elicited inflammation. These trends reversed upon clinical recovery. Further larger studies will be necessary to determine whether specific compositional or functional changes detected in the airway microbiome could be useful indicators of exacerbation development or outcome.","container-title":"Journal of Clinical Microbiology","DOI":"10.1128/JCM.00035-14","ISSN":"1098-660X","issue":"8","journalAbbreviation":"J Clin Microbiol","language":"eng","note":"PMID: 24850358\nPMCID: PMC4136157","page":"2813-2823","source":"PubMed","title":"Airway microbiome dynamics in exacerbations of chronic obstructive pulmonary disease","volume":"52","author":[{"family":"Huang","given":"Yvonne J."},{"family":"Sethi","given":"Sanjay"},{"family":"Murphy","given":"Timothy"},{"family":"Nariya","given":"Snehal"},{"family":"Boushey","given":"Homer A."},{"family":"Lynch","given":"Susan V."}],"issued":{"date-parts":[["2014",8]]}}},{"id":38,"uris":["http://zotero.org/users/local/37x8FyPE/items/PY7TZ8FF"],"itemData":{"id":38,"type":"article-journal","abstract":"Increasing evidence suggests that the lung microbiome plays an important role in chronic obstructive pulmonary disease (COPD) severity. However, the dynamics of the lung microbiome during COPD exacerbations and its potential role in disease aetiology remain poorly understood.We completed a longitudinal 16S ribosomal RNA survey of the lung microbiome on 476 sputum samples collected from 87 subjects with COPD at four visits defined as stable state, exacerbation, 2 weeks post-therapy and 6 weeks recovery.Our analysis revealed a dynamic lung microbiota where changes appeared to be associated with exacerbation events and indicative of specific exacerbation phenotypes. Antibiotic and steroid treatments appear to have differential effects on the lung microbiome. We depict a microbial interaction network for the lung microbiome and suggest that perturbation of a few bacterial operational taxonomic units, in particular Haemophilus spp., could greatly impact the overall microbial community structure. Furthermore, several serum and sputum biomarkers, in particular sputum interleukin-8, appear to be highly correlated with the structure and diversity of the microbiome.Our study furthers the understanding of lung microbiome dynamics in COPD patients and highlights its potential as a biomarker, and possibly a target, for future respiratory therapeutics.","container-title":"The European Respiratory Journal","DOI":"10.1183/13993003.01406-2015","ISSN":"1399-3003","issue":"4","journalAbbreviation":"Eur Respir J","language":"eng","note":"PMID: 26917613","page":"1082-1092","source":"PubMed","title":"Lung microbiome dynamics in COPD exacerbations","volume":"47","author":[{"family":"Wang","given":"Zhang"},{"family":"Bafadhel","given":"Mona"},{"family":"Haldar","given":"Koirobi"},{"family":"Spivak","given":"Aaron"},{"family":"Mayhew","given":"David"},{"family":"Miller","given":"Bruce E."},{"family":"Tal-Singer","given":"Ruth"},{"family":"Johnston","given":"Sebastian L."},{"family":"Ramsheh","given":"Mohammadali Yavari"},{"family":"Barer","given":"Michael R."},{"family":"Brightling","given":"Christopher E."},{"family":"Brown","given":"James R."}],"issued":{"date-parts":[["2016",4]]}}}],"schema":"https://github.com/citation-style-language/schema/raw/master/csl-citation.json"}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(Dicker et al., 2021a; Huang et al., 2014a; Wang et al., 2016)</w:t>
      </w:r>
      <w:r>
        <w:rPr>
          <w:rFonts w:ascii="Times New Roman Regular" w:hAnsi="Times New Roman Regular" w:cs="Times New Roman Regular"/>
        </w:rPr>
        <w:fldChar w:fldCharType="end"/>
      </w:r>
      <w:r>
        <w:rPr>
          <w:rFonts w:ascii="Times New Roman Regular" w:hAnsi="Times New Roman Regular" w:cs="Times New Roman Regular"/>
        </w:rPr>
        <w:t>. However, few studies have simultaneously considered (</w:t>
      </w:r>
      <w:proofErr w:type="spellStart"/>
      <w:r>
        <w:rPr>
          <w:rFonts w:ascii="Times New Roman Regular" w:hAnsi="Times New Roman Regular" w:cs="Times New Roman Regular"/>
        </w:rPr>
        <w:t>i</w:t>
      </w:r>
      <w:proofErr w:type="spellEnd"/>
      <w:r>
        <w:rPr>
          <w:rFonts w:ascii="Times New Roman Regular" w:hAnsi="Times New Roman Regular" w:cs="Times New Roman Regular"/>
        </w:rPr>
        <w:t>) the baseline difference between healthy individuals and COPD patients, (ii) the transition from stable COPD to acute exacerbation, and (iii) the additional effect of specific pathogens such as MP on top of COPD-related dysbiosis. In particular, it is largely unknown whether MP-positive acute exacerbations represent a distinct airway microbial pattern compared with MP-negative episodes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{"citationID":"xLSQPoAJ","properties":{"formattedCitation":"(Guo et al., 2024b; Lv and Xiong, 2024; Wang et al., 2023)","plainCitation":"(Guo et al., 2024b; Lv and Xiong, 2024; Wang et al., 2023)","noteIndex":0},"citationItems":[{"id":42,"uris":["http://zotero.org/users/local/37x8FyPE/items/U97YVKG2"],"itemData":{"id":42,"type":"article-journal","abstract":"This review summarizes the research progress over the past 30 years on the relationship between Mycoplasma pneumoniae infection and chronic respiratory diseases such as asthma, chronic obstructive pulmonary disease (COPD), and bronchiectasis. Mycoplasma pneumoniae is a common cause of community-acquired pneumonia, particularly in children and young adults. Key findings from recent studies indicate that M. pneumoniae infection is associated with a higher risk of asthma exacerbations and may contribute to the development of bronchiectasis in susceptible individuals. Additionally, emerging evidence suggests that M. pneumoniae-induced immune dysregulation plays a crucial role in the pathogenesis of chronic lung diseases. This review aims to summarize the current understanding of the potential links between M. pneumoniae pneumonia and various chronic respiratory conditions, including asthma, chronic obstructive pulmonary disease (COPD), and bronchiectasis. We discuss the epidemiological data, pathogenic mechanisms, clinical manifestations, and long-term consequences of M. pneumoniae-related respiratory illnesses. Additionally, we highlight the challenges in diagnosis and treatment, as well as future research directions in this field.","container-title":"Frontiers in Medicine","DOI":"10.3389/fmed.2024.1437731","ISSN":"2296-858X","journalAbbreviation":"Front Med (Lausanne)","language":"eng","note":"PMID: 39386750\nPMCID: PMC11461384","page":"1437731","source":"PubMed","title":"A comprehensive review of Mycoplasma pneumoniae infection in chronic lung diseases: recent advances in understanding asthma, COPD, and bronchiectasis","title-short":"A comprehensive review of Mycoplasma pneumoniae infection in chronic lung diseases","volume":"11","author":[{"family":"Guo","given":"Zai-Qiang"},{"family":"Gu","given":"Shun-Yi"},{"family":"Tian","given":"Zhi-Hua"},{"family":"Du","given":"Bo-Ying"}],"issued":{"date-parts":[["2024"]]}}},{"id":47,"uris":["http://zotero.org/users/local/37x8FyPE/items/HC2MN6B4"],"itemData":{"id":47,"type":"article-journal","abstract":"Respiratory diseases, including chronic obstructive pulmonary disease (COPD), asthma, lung cancer, and coronavirus pneumonia, present a major global health challenge. Current diagnostic and therapeutic options for these diseases are limited, necessitating the urgent development of novel biomarkers and therapeutic strategies. In recent years, microRNAs (miRNAs) within extracellular vesicles (EVs) have received considerable attention due to their crucial role in intercellular communication and disease progression. EVs are membrane-bound structures released by cells into the extracellular environment, encapsulating a variety of biomolecules such as DNA, RNA, lipids, and proteins. Specifically, miRNAs within EVs, known as EV-miRNAs, facilitate intercellular communication by regulating gene expression. The expression levels of these miRNAs can reflect distinct disease states and significantly influence immune cell function, chronic airway inflammation, airway remodeling, cell proliferation, angiogenesis, epithelial-mesenchymal transition, and other pathological processes. Consequently, EV-miRNAs have a profound impact on the onset, progression, and therapeutic responses of respiratory diseases, with great potential for disease management. Synthesizing the current understanding of EV-miRNAs in respiratory diseases such as COPD, asthma, lung cancer, and novel coronavirus pneumonia, this review aims to explore the potential of EV-miRNAs as biomarkers and therapeutic targets and examine their prospects in the diagnosis and treatment of these respiratory diseases.","container-title":"International Journal of Molecular Sciences","DOI":"10.3390/ijms25179147","ISSN":"1422-0067","issue":"17","journalAbbreviation":"Int J Mol Sci","language":"eng","note":"PMID: 39273095\nPMCID: PMC11395461","page":"9147","source":"PubMed","title":"Extracellular Vesicle microRNA: A Promising Biomarker and Therapeutic Target for Respiratory Diseases","title-short":"Extracellular Vesicle microRNA","volume":"25","author":[{"family":"Lv","given":"Jiaxi"},{"family":"Xiong","given":"Xianzhi"}],"issued":{"date-parts":[["2024",8,23]]}}},{"id":44,"uris":["http://zotero.org/users/local/37x8FyPE/items/EK7UM9X4"],"itemData":{"id":44,"type":"article-journal","abstract":"Respiratory diseases represent a significant economic and health burden worldwide, affecting millions of individuals each year in both human and animal populations. MicroRNAs (miRNAs) play crucial roles in gene expression regulation and are involved in various physiological and pathological processes. Exosomal miRNAs and cellular miRNAs have been identified as key regulators of several immune respiratory diseases, such as chronic respiratory diseases (CRD) caused by Mycoplasma gallisepticum (MG), Mycoplasma pneumoniae pneumonia (MMP) caused by the bacterium Mycoplasma pneumoniae, coronavirus disease 2019 (COVID-19), chronic obstructive pulmonary disease (COPD), asthma, and acute lung injury/acute respiratory distress syndrome (ALI/ARDS). Consequently, miRNAs seem to have the potential to serve as diagnostic biomarkers and therapeutic targets in respiratory diseases. In this review, we summarize the current understanding of the functional roles of miRNAs in the above several respiratory diseases and discuss the potential use of miRNAs as stable diagnostic biomarkers and therapeutic targets for several immune respiratory diseases, focusing on the identification of differentially expressed miRNAs and their targeting of various signaling pathways implicated in disease pathogenesis. Despite the progress made, unanswered questions and future research directions are discussed to facilitate personalized and targeted therapies for patients with these debilitating conditions.","container-title":"Cells","DOI":"10.3390/cells12192421","ISSN":"2073-4409","issue":"19","journalAbbreviation":"Cells","language":"eng","note":"PMID: 37830635\nPMCID: PMC10571955","page":"2421","source":"PubMed","title":"Exosomal microRNA/miRNA Dysregulation in Respiratory Diseases: From Mycoplasma-Induced Respiratory Disease to COVID-19 and Beyond","title-short":"Exosomal microRNA/miRNA Dysregulation in Respiratory Diseases","volume":"12","author":[{"family":"Wang","given":"Yingjie"},{"family":"Zou","given":"Mengyun"},{"family":"Zhao","given":"Yabo"},{"family":"Kabir","given":"Md Ahsanul"},{"family":"Peng","given":"Xiuli"}],"issued":{"date-parts":[["2023",10,9]]}}}],"schema":"https://github.com/citation-style-language/schema/raw/master/csl-citation.json"}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(Guo et al., 2024b; Lv and Xiong, 2024; Wang et al., 2023)</w:t>
      </w:r>
      <w:r>
        <w:rPr>
          <w:rFonts w:ascii="Times New Roman Regular" w:hAnsi="Times New Roman Regular" w:cs="Times New Roman Regular"/>
        </w:rPr>
        <w:fldChar w:fldCharType="end"/>
      </w:r>
      <w:r>
        <w:rPr>
          <w:rFonts w:ascii="Times New Roman Regular" w:hAnsi="Times New Roman Regular" w:cs="Times New Roman Regular" w:hint="eastAsia"/>
        </w:rPr>
        <w:t>.</w:t>
      </w:r>
    </w:p>
    <w:p w14:paraId="4162B0F7" w14:textId="77777777" w:rsidR="005F0A18" w:rsidRDefault="005F0A18">
      <w:pPr>
        <w:spacing w:line="360" w:lineRule="auto"/>
        <w:rPr>
          <w:rFonts w:ascii="Times New Roman Regular" w:hAnsi="Times New Roman Regular" w:cs="Times New Roman Regular"/>
        </w:rPr>
      </w:pPr>
    </w:p>
    <w:p w14:paraId="022BCCA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Mycoplasma pneumoniae lacks a cell wall and exhibits unique biological features, including close adherence to airway epithelium and immune-modulatory properties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{"citationID":"Q6mEhxPB","properties":{"formattedCitation":"(He et al., 2016; Hu et al., 2022; Sharplin and Goyal, 2025)","plainCitation":"(He et al., 2016; Hu et al., 2022; Sharplin and Goyal, 2025)","noteIndex":0},"citationItems":[{"id":52,"uris":["http://zotero.org/users/local/37x8FyPE/items/L6IMA98I"],"itemData":{"id":52,"type":"article-journal","abstract":"Mycoplasma are the smallest prokaryotic microbes present in nature. These wall‑less, malleable organisms can pass through cell filters, and grow and propagate under cell‑free conditions in vitro. Of the pathogenic Mycoplasma Mycoplasma pneumoniae has been examined the most. In addition to primary atypical pneumonia and community‑acquired pneumonia with predominantly respiratory symptoms, M. pneumoniae can also induce autoimmune hemolytic anemia and other diseases in the blood, cardiovascular system, gastrointestinal tract and skin, and can induce pericarditis, myocarditis, nephritis and meningitis. The pathogenesis of M. pneumoniae infection is complex and remains to be fully elucidated. The present review aimed to summarize several direct damage mechanisms, including adhesion damage, destruction of membrane fusion, nutrition depletion, invasive damage, toxic damage, inflammatory damage and immune damage. Further investigations are required for determining the detailed pathogenesis of M. pneumoniae.","container-title":"Molecular Medicine Reports","DOI":"10.3892/mmr.2016.5765","ISSN":"1791-3004","issue":"5","journalAbbreviation":"Mol Med Rep","language":"eng","note":"PMID: 27667580\nPMCID: PMC5101875","page":"4030-4036","source":"PubMed","title":"Insights into the pathogenesis of Mycoplasma pneumoniae (Review)","volume":"14","author":[{"family":"He","given":"Jun"},{"family":"Liu","given":"Mihua"},{"family":"Ye","given":"Zhufeng"},{"family":"Tan","given":"Tianping"},{"family":"Liu","given":"Xinghui"},{"family":"You","given":"Xiaoxing"},{"family":"Zeng","given":"Yanhua"},{"family":"Wu","given":"Yimou"}],"issued":{"date-parts":[["2016",11]]}}},{"id":50,"uris":["http://zotero.org/users/local/37x8FyPE/items/K25IQSIW"],"itemData":{"id":50,"type":"article-journal","abstract":"Mycoplasma pneumoniae, an obligate parasitic pathogen without cell wall, can cause severe upper and lower respiratory tract symptoms. It is the pathogen of human bronchitis and walking pneumonia, and named community-acquired pneumonia. In addition to severe respiratory symptoms, there are clinical extrapulmonary manifestations in the skin, brain, kidney, musculoskeletal, digestive system, and even blood system after M. pneumoniae infection. Hereby, we comprehensively summarized and reviewed the intrapulmonary and extrapulmonary pathogenesis of M. pneumoniae infection. The pathogenesis of related respiratory symptoms caused by M. pneumoniae is mainly adhesion damage, direct damage including nutrient predation, invasion and toxin, cytokine induced inflammation damage and immune evasion effect. The pathogenesis of extrapulmonary manifestations includes direct damage mediated by invasion and inflammatory factors, indirect damage caused by host immune response, and vascular occlusion. The intrapulmonary and extrapulmonary pathogenic mechanisms of M. pneumoniae infection are independent and interrelated, and have certain commonalities. In fact, the pathogenic mechanisms of M. pneumoniae are complicated, and the specific content is still not completely clear, further researches are necessary for determining the detailed pathogenesis of M. pneumoniae. This review can provide certain guidance for the effective prevention and treatment of M. pneumoniae infection.","container-title":"Current Microbiology","DOI":"10.1007/s00284-022-03103-0","ISSN":"1432-0991","issue":"1","journalAbbreviation":"Curr Microbiol","language":"eng","note":"PMID: 36459213\nPMCID: PMC9716528","page":"14","source":"PubMed","title":"Insight into the Pathogenic Mechanism of Mycoplasma pneumoniae","volume":"80","author":[{"family":"Hu","given":"Jie"},{"family":"Ye","given":"Youyuan"},{"family":"Chen","given":"Xinxin"},{"family":"Xiong","given":"Lu"},{"family":"Xie","given":"Weimin"},{"family":"Liu","given":"Peng"}],"issued":{"date-parts":[["2022",12,2]]}}},{"id":54,"uris":["http://zotero.org/users/local/37x8FyPE/items/FUJTV88F"],"itemData":{"id":54,"type":"article-journal","abstract":"Mycoplasma pneumoniae is a frequent cause of respiratory tract infections in both children and adults, responsible for up to 30% of community-acquired pneumonia cases in children. While many infected individuals remain asymptomatic, common symptoms include fever - which is typically short-lived - and a persistent cough, sometimes lasting weeks. Early identification of M. pneumoniae is crucial for effective management. However, distinguishing it from other viral or bacterial lower respiratory tract infections based on symptoms alone is unreliable due to the nonspecific clinical presentation. Currently, the most accurate method for diagnosing M. pneumoniae is PCR testing, as traditional culture methods are slow and technically challenging. Paired serology testing is also used for diagnosis. It is important to evaluate locally available diagnostic resources. First-line treatment typically involves macrolide antibiotics, despite lack of robust data for their use. However, widespread use has contributed to increasing macrolide resistance, especially in Asia, prompting consideration of alternatives like fluoroquinolones and tetracyclines. In severe or treatment-resistant cases, additional therapies such as prednisolone, intravenous immunoglobulin or bronchoscopy may be used, although evidence supporting their routine application is limited. Overall, clinical decisions should be individualised, guided by local transmission patterns, available diagnostics and emerging antibiotic resistance patterns.","container-title":"Breathe (Sheffield, England)","DOI":"10.1183/20734735.0046-2025","ISSN":"1810-6838","issue":"4","journalAbbreviation":"Breathe (Sheff)","language":"eng","note":"PMID: 41098325\nPMCID: PMC12519950","page":"250046","source":"PubMed","title":"Mycoplasma pneumoniae respiratory tract infections in children: when and how to diagnose and treat","title-short":"Mycoplasma pneumoniae respiratory tract infections in children","volume":"21","author":[{"family":"Sharplin","given":"Lara"},{"family":"Goyal","given":"Vikas"}],"issued":{"date-parts":[["2025",10]]}}}],"schema":"https://github.com/citation-style-language/schema/raw/master/csl-citation.json"}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(He et al., 2016; Hu et al., 2022; Sharplin and Goyal, 2025)</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In COPD patients, MP infection may further disturb the fragile ecological balance of the airway microbiome, favoring enrichment of potentially pathogenic genera and loss of beneficial commensals, thereby amplifying airway inflammation and tissue damage</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{"citationID":"Yz2BaB5u","properties":{"formattedCitation":"(Ar et al., 2018; Guo et al., 2024c; Yang et al., 2024)","plainCitation":"(Ar et al., 2018; Guo et al., 2024c; Yang et al., 2024)","noteIndex":0},"citationItems":[{"id":60,"uris":["http://zotero.org/users/local/37x8FyPE/items/96UH4JY4"],"itemData":{"id":60,"type":"article-journal","abstract":"Prevalence of Mycoplasma Pneumoniae Infection in Patients with COPD Exacerbation; a Letter to the Editor","container-title":"Emergency (Tehran, Iran)","ISSN":"2345-4563","issue":"1","language":"en","note":"publisher: Emerg (Tehran)\nPMID: 30009220","source":"pubmed.ncbi.nlm.nih.gov","title":"Prevalence of Mycoplasma Pneumoniae Infection in Patients with COPD Exacerbation; a Letter to the Editor","URL":"https://pubmed.ncbi.nlm.nih.gov/30009220/","volume":"6","author":[{"family":"Ar","given":"Amiri"},{"family":"K","given":"Ghazvini"},{"family":"H","given":"Zamani Moghadam"}],"accessed":{"date-parts":[["2025",12,19]]},"issued":{"date-parts":[["2018"]]}}},{"id":58,"uris":["http://zotero.org/users/local/37x8FyPE/items/8IV5QRMG"],"itemData":{"id":58,"type":"article-journal","abstract":"This review summarizes the research progress over the past 30 years on the relationship between Mycoplasma pneumoniae infection and chronic respiratory diseases such as asthma, chronic obstructive pulmonary disease (COPD), and bronchiectasis. Mycoplasma pneumoniae is a common cause of community-acquired pneumonia, particularly in children and young adults. Key findings from recent studies indicate that M. pneumoniae infection is associated with a higher risk of asthma exacerbations and may contribute to the development of bronchiectasis in susceptible individuals. Additionally, emerging evidence suggests that M. pneumoniae-induced immune dysregulation plays a crucial role in the pathogenesis of chronic lung diseases. This review aims to summarize the current understanding of the potential links between M. pneumoniae pneumonia and various chronic respiratory conditions, including asthma, chronic obstructive pulmonary disease (COPD), and bronchiectasis. We discuss the epidemiological data, pathogenic mechanisms, clinical manifestations, and long-term consequences of M. pneumoniae-related respiratory illnesses. Additionally, we highlight the challenges in diagnosis and treatment, as well as future research directions in this field.","container-title":"Frontiers in Medicine","DOI":"10.3389/fmed.2024.1437731","ISSN":"2296-858X","journalAbbreviation":"Front Med (Lausanne)","language":"eng","note":"PMID: 39386750\nPMCID: PMC11461384","page":"1437731","source":"PubMed","title":"A comprehensive review of Mycoplasma pneumoniae infection in chronic lung diseases: recent advances in understanding asthma, COPD, and bronchiectasis","title-short":"A comprehensive review of Mycoplasma pneumoniae infection in chronic lung diseases","volume":"11","author":[{"family":"Guo","given":"Zai-Qiang"},{"family":"Gu","given":"Shun-Yi"},{"family":"Tian","given":"Zhi-Hua"},{"family":"Du","given":"Bo-Ying"}],"issued":{"date-parts":[["2024"]]}}},{"id":56,"uris":["http://zotero.org/users/local/37x8FyPE/items/24IPIUI2"],"itemData":{"id":56,"type":"article-journal","abstract":"Mycoplasma pneumoniae causes respiratory tract infections, affecting both children and adults, with varying degrees of severity ranging from mild to life-threatening. In recent years, a new class of regulatory RNAs called long non-coding RNAs (lncRNAs) has been discovered to play crucial roles in regulating gene expression in the host. Research on lncRNAs has greatly expanded our understanding of cellular functions involving RNAs, and it has significantly increased the range of functions of lncRNAs. In lung cancer, transcripts associated with lncRNAs have been identified as regulators of airway and lung inflammation in a process involving protein complexes. An excessive immune response and antibacterial immunity are closely linked to the pathogenesis of M. pneumoniae. The relationship between lncRNAs and M. pneumoniae infection largely involves lncRNAs that participate in antibacterial immunity. This comprehensive review aimed to examine the dysregulation of lncRNAs during M. pneumoniae infection, highlighting the latest advancements in our understanding of the biological functions and molecular mechanisms of lncRNAs in the context of M. pneumoniae infection and indicating avenues for investigating lncRNAs-related therapeutic targets.","container-title":"Frontiers in Microbiology","DOI":"10.3389/fmicb.2024.1330660","ISSN":"1664-302X","journalAbbreviation":"Front Microbiol","language":"eng","note":"PMID: 38585701\nPMCID: PMC10995346","page":"1330660","source":"PubMed","title":"Insights into the defensive roles of lncRNAs during Mycoplasma pneumoniae infection","volume":"15","author":[{"family":"Yang","given":"Zhujun"},{"family":"Zhou","given":"Junjun"},{"family":"Su","given":"Nana"},{"family":"Zhang","given":"Zifan"},{"family":"Chen","given":"Jiaxin"},{"family":"Liu","given":"Peng"},{"family":"Ling","given":"Peng"}],"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(Ar et al., 2018; Guo et al., 2024c; Yang et al., 2024)</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Clarifying how MP-positive and MP-negative COPD patients differ in their airway microbial structure and predicted functions may help to refine clinical phenotypes of exacerbations and provide a microbiome-based rationale for prevention and treatment strategies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{"citationID":"NX58UcSp","properties":{"formattedCitation":"(Bastani and Jalilian, 2024; Li et al., 2025)","plainCitation":"(Bastani and Jalilian, 2024; Li et al., 2025)","noteIndex":0},"citationItems":[{"id":66,"uris":["http://zotero.org/users/local/37x8FyPE/items/A6QBFDWC"],"itemData":{"id":66,"type":"article-journal","abstract":"BACKGROUND: Severe cases of COVID-19 often lead to the development of acute respiratory syndrome, a critical condition believed to be caused by the harmful effects of SARS-CoV-2 on type II alveolar cells. These cells play a crucial role in producing pulmonary surfactants, which are essential for proper lung function. Specifically focusing on surfactant proteins, including Surfactant protein A (SP-A), Surfactant protein B, Surfactant protein C, and Surfactant protein D (SP-D), changes in the levels of pulmonary surfactants may be a significant factor in the pathological changes seen in COVID-19 infection.\nOBJECTIVE: This study aims to gain insights into surfactants, particularly their impacts and changes during COVID-19 infection, through a comprehensive review of current literature. The study focuses on the function of surfactants as prognostic markers, diagnostic factors, and essential components in the management and treatment of COVID-19.\nFINDING: In general, pulmonary surfactants serve to reduce the surface tension at the gas-liquid interface, thereby significantly contributing to the regulation of respiratory mechanics. Additionally, these surfactants play a crucial role in the innate immune system within the pulmonary microenvironment. Within the spectrum of COVID-19 infections, a compelling association is observed, characterized by elevated levels of SP-D and SP-A across a range of manifestations from mild to severe pneumonia. The sudden decline in respiratory function observed in COVID-19 patients may be attributed to the decreased synthesis of surfactants by type II alveolar cells.\nCONCLUSION: Collectin proteins such as SP-A and SP-D show promise as biomarkers, offering potential avenues for predicting and monitoring pulmonary alveolar injury in the context of COVID-19. This clarification enhances our understanding of the molecular complexities contributing to respiratory complications in severe COVID-19 cases, providing a foundation for targeted therapeutic approaches using surfactants and refined clinical management strategies.","container-title":"Immunity, Inflammation and Disease","DOI":"10.1002/iid3.1302","ISSN":"2050-4527","issue":"6","journalAbbreviation":"Immun Inflamm Dis","language":"eng","note":"PMID: 38860749\nPMCID: PMC11165688","page":"e1302","source":"PubMed","title":"Unraveling the enigma: The emerging significance of pulmonary surfactant proteins in predicting, diagnosing, and managing COVID-19","title-short":"Unraveling the enigma","volume":"12","author":[{"family":"Bastani","given":"Mohammad Navid"},{"family":"Jalilian","given":"Shahram"}],"issued":{"date-parts":[["2024",6]]}}},{"id":63,"uris":["http://zotero.org/users/local/37x8FyPE/items/4NXZJV3F"],"itemData":{"id":63,"type":"article-journal","abstract":"Mycoplasma pneumoniae is a prevalent respiratory microbe that causes acute inflammation in the respiratory system. Surfactant proteins (SP), particularly SP-A and SP-D, are essential for the immunological protection against M. pneumoniae infection. Variant SP-A2 may lead to immune reactions, which could account for the variability in clinical manifestations among individuals. Mechanistically, these surfactant proteins may act as candidate receptors, facilitating both the adhesion of M. pneumoniae and internalization of community-acquired respiratory distress syndrome toxin. They also exhibit a high affinity for lipid ligands on the surface of M. pneumoniae membranes via their carbohydrate recognition domains, which aid in the direct clearing of the bacteria. In addition, SP-A and SP-D demonstrated synergistic effects in augmenting the intake and elimination of M. pneumoniae by alveolar macrophages. Furthermore, these surfactant proteins negatively regulate pulmonary inflammation by influencing lymphocyte and dendritic cell activities, reducing airway eosinophilic infiltration, and managing asthma-related inflammatory responses. A thorough understanding of the immunomodulatory roles of surfactant proteins in M. pneumoniae infection will shed light on how homeostasis is preserved during mycoplasma pneumonia and may guide the development of novel therapeutic strategies against this organism.","container-title":"Journal of Inflammation Research","DOI":"10.2147/JIR.S507526","ISSN":"1178-7031","journalAbbreviation":"J Inflamm Res","language":"eng","note":"PMID: 40034686\nPMCID: PMC11873027","page":"2909-2922","source":"PubMed","title":"The Immune Modulatory Role of Surfactants in Mycoplasma pneumoniae Infection","volume":"18","author":[{"family":"Li","given":"Xinru"},{"family":"Zeng","given":"Qianrui"},{"family":"Liu","given":"Chang"},{"family":"Yi","given":"Xinchao"},{"family":"Luo","given":"Haodang"},{"family":"Tong","given":"Qin"},{"family":"Chen","given":"Hongliang"},{"family":"You","given":"Xiaoxing"}],"issued":{"date-parts":[["2025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(Bastani and Jalilian, 2024; Li et al., 2025)</w:t>
      </w:r>
      <w:r>
        <w:rPr>
          <w:rFonts w:ascii="Times New Roman Regular" w:hAnsi="Times New Roman Regular" w:cs="Times New Roman Regular"/>
        </w:rPr>
        <w:fldChar w:fldCharType="end"/>
      </w:r>
      <w:r>
        <w:rPr>
          <w:rFonts w:ascii="Times New Roman Regular" w:hAnsi="Times New Roman Regular" w:cs="Times New Roman Regular" w:hint="eastAsia"/>
        </w:rPr>
        <w:t>.</w:t>
      </w:r>
    </w:p>
    <w:p w14:paraId="6557AD43" w14:textId="77777777" w:rsidR="005F0A18" w:rsidRDefault="005F0A18">
      <w:pPr>
        <w:spacing w:line="360" w:lineRule="auto"/>
        <w:rPr>
          <w:rFonts w:ascii="Times New Roman Regular" w:hAnsi="Times New Roman Regular" w:cs="Times New Roman Regular"/>
        </w:rPr>
      </w:pPr>
    </w:p>
    <w:p w14:paraId="6F9EC7D2"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In this study, we performed 16S rRNA gene sequencing of lower respiratory tract samples from four well-defined groups: healthy controls (HC), patients with stable COPD and negative MP detection (stable COPD, MP−; SC-COPD_MP−), patients with acute exacerbation of COPD but negative for MP (acute exacerbation, MP−; AE-COPD_MP−), and patients with acute exacerbation of COPD who were MP-positive (acute exacerbation, MP+; AE-COPD_MP+). By integrating alpha and beta diversity analyses, genus-level taxonomic profiling, differential abundance testing and FAPROTAX-based functional prediction, we aimed to: (</w:t>
      </w:r>
      <w:proofErr w:type="spellStart"/>
      <w:r>
        <w:rPr>
          <w:rFonts w:ascii="Times New Roman Regular" w:hAnsi="Times New Roman Regular" w:cs="Times New Roman Regular"/>
        </w:rPr>
        <w:t>i</w:t>
      </w:r>
      <w:proofErr w:type="spellEnd"/>
      <w:r>
        <w:rPr>
          <w:rFonts w:ascii="Times New Roman Regular" w:hAnsi="Times New Roman Regular" w:cs="Times New Roman Regular"/>
        </w:rPr>
        <w:t xml:space="preserve">) delineate the stepwise changes of airway microbiota from health </w:t>
      </w:r>
      <w:r>
        <w:rPr>
          <w:rFonts w:ascii="Times New Roman Regular" w:hAnsi="Times New Roman Regular" w:cs="Times New Roman Regular"/>
        </w:rPr>
        <w:lastRenderedPageBreak/>
        <w:t>to stable COPD and further to acute exacerbation; (ii) distinguish the microbial signatures of MP-positive versus MP-negative exacerbations; and (iii) explore potential functional shifts associated with MP infection on the COPD background. These data are expected to provide a preliminary microbial framework for understanding MP-related COPD exacerbations and to generate hypotheses for future mechanistic and interventional studies.</w:t>
      </w:r>
    </w:p>
    <w:p w14:paraId="3964A406" w14:textId="77777777" w:rsidR="005F0A18" w:rsidRDefault="005F0A18">
      <w:pPr>
        <w:spacing w:line="360" w:lineRule="auto"/>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64F540D6" w14:textId="77777777" w:rsidR="005F0A18" w:rsidRDefault="00FB030D">
      <w:pPr>
        <w:spacing w:line="360" w:lineRule="auto"/>
        <w:rPr>
          <w:rFonts w:ascii="Times New Roman Regular" w:hAnsi="Times New Roman Regular" w:cs="Times New Roman Regular"/>
          <w:b/>
          <w:bCs/>
          <w:sz w:val="28"/>
          <w:szCs w:val="28"/>
        </w:rPr>
      </w:pPr>
      <w:r>
        <w:rPr>
          <w:rFonts w:ascii="Times New Roman Regular" w:hAnsi="Times New Roman Regular" w:cs="Times New Roman Regular"/>
          <w:b/>
          <w:bCs/>
          <w:sz w:val="28"/>
          <w:szCs w:val="28"/>
        </w:rPr>
        <w:lastRenderedPageBreak/>
        <w:t>Method</w:t>
      </w:r>
    </w:p>
    <w:p w14:paraId="2FC53699"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b/>
          <w:bCs/>
        </w:rPr>
        <w:t>Study design and participants</w:t>
      </w:r>
    </w:p>
    <w:p w14:paraId="3BCC51CA"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This was a single-center, cross-sectional study conducted at </w:t>
      </w:r>
      <w:proofErr w:type="spellStart"/>
      <w:r>
        <w:rPr>
          <w:rFonts w:ascii="Times New Roman Regular" w:hAnsi="Times New Roman Regular" w:cs="Times New Roman Regular"/>
        </w:rPr>
        <w:t>Pu’er</w:t>
      </w:r>
      <w:proofErr w:type="spellEnd"/>
      <w:r>
        <w:rPr>
          <w:rFonts w:ascii="Times New Roman Regular" w:hAnsi="Times New Roman Regular" w:cs="Times New Roman Regular"/>
        </w:rPr>
        <w:t xml:space="preserve"> Municipal Traditional Chinese Medicine Hospital from January 2025 to September 2025. Patients with a clinical diagnosis of chronic obstructive pulmonary disease (COPD) and healthy volunteers undergoing routine health check-ups were consecutively enrolled. According to acute exacerbation status and Mycoplasma pneumoniae (MP) infection, subjects were categorized into four groups along a disease continuum:</w:t>
      </w:r>
    </w:p>
    <w:p w14:paraId="286A93CB" w14:textId="77777777" w:rsidR="005F0A18" w:rsidRDefault="005F0A18">
      <w:pPr>
        <w:spacing w:line="360" w:lineRule="auto"/>
        <w:rPr>
          <w:rFonts w:ascii="Times New Roman Regular" w:hAnsi="Times New Roman Regular" w:cs="Times New Roman Regular"/>
        </w:rPr>
      </w:pPr>
    </w:p>
    <w:p w14:paraId="1BB48B52"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(1)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individuals without a history of COPD and without any symptoms or signs of acute respiratory infection at the time of health check-up (enrollment).</w:t>
      </w:r>
    </w:p>
    <w:p w14:paraId="78518195"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(2)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patients with a confirmed diagnosis of COPD according to GOLD criteria who were in a stable condition at the time of enrollment (no acute exacerbation during the preceding 4 weeks), and who tested negative for Mycoplasma pneumoniae (MP) by serology and/or PCR.</w:t>
      </w:r>
    </w:p>
    <w:p w14:paraId="69E52531"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(3)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patients admitted with an acute exacerbation of COPD at the time of hospital admission (enrollment), who tested negative for MP by serology and/or PCR.</w:t>
      </w:r>
    </w:p>
    <w:p w14:paraId="16D0B094"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(4)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patients admitted with an acute exacerbation of COPD at the time of hospital admission (enrollment), with concomitant MP infection confirmed by serology and/or PCR.</w:t>
      </w:r>
    </w:p>
    <w:p w14:paraId="5F12E732" w14:textId="77777777" w:rsidR="005F0A18" w:rsidRDefault="005F0A18">
      <w:pPr>
        <w:spacing w:line="360" w:lineRule="auto"/>
        <w:rPr>
          <w:rFonts w:ascii="Times New Roman Regular" w:hAnsi="Times New Roman Regular" w:cs="Times New Roman Regular"/>
        </w:rPr>
      </w:pPr>
    </w:p>
    <w:p w14:paraId="733C434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Inclusion criteria were: age ≥ 18 years; ability to provide informed consent (or consent from a legal guardian); and willingness to undergo clinical and laboratory assessments. Exclusion criteria included: active pulmonary tuberculosis, lung cancer or overt bronchiectasis; known primary or secondary immunodeficiency or use of systemic immunosuppressive therapy within the previous 3 months; receipt of systemic antibiotics within the previous 4 weeks that could markedly alter the respiratory microbiota; and any other condition judged by the investigators to interfere with study participation. The study protocol was approved by the Ethics Committee of </w:t>
      </w:r>
      <w:proofErr w:type="spellStart"/>
      <w:r>
        <w:rPr>
          <w:rFonts w:ascii="Times New Roman Regular" w:hAnsi="Times New Roman Regular" w:cs="Times New Roman Regular"/>
        </w:rPr>
        <w:t>Pu’er</w:t>
      </w:r>
      <w:proofErr w:type="spellEnd"/>
      <w:r>
        <w:rPr>
          <w:rFonts w:ascii="Times New Roman Regular" w:hAnsi="Times New Roman Regular" w:cs="Times New Roman Regular"/>
        </w:rPr>
        <w:t xml:space="preserve"> Municipal Traditional Chinese Medicine Hospital (</w:t>
      </w:r>
      <w:r>
        <w:rPr>
          <w:rFonts w:ascii="Times New Roman Regular" w:hAnsi="Times New Roman Regular" w:cs="Times New Roman Regular" w:hint="eastAsia"/>
        </w:rPr>
        <w:t>A</w:t>
      </w:r>
      <w:r>
        <w:rPr>
          <w:rFonts w:ascii="Times New Roman Regular" w:hAnsi="Times New Roman Regular" w:cs="Times New Roman Regular"/>
        </w:rPr>
        <w:t xml:space="preserve">pproval number: </w:t>
      </w:r>
      <w:r>
        <w:rPr>
          <w:rFonts w:ascii="Times New Roman Regular" w:hAnsi="Times New Roman Regular" w:cs="Times New Roman Regular" w:hint="eastAsia"/>
        </w:rPr>
        <w:t>202509</w:t>
      </w:r>
      <w:r>
        <w:rPr>
          <w:rFonts w:ascii="Times New Roman Regular" w:hAnsi="Times New Roman Regular" w:cs="Times New Roman Regular"/>
        </w:rPr>
        <w:t>), and written informed consent was obtained from all participants.</w:t>
      </w:r>
    </w:p>
    <w:p w14:paraId="69EECE84" w14:textId="77777777" w:rsidR="005F0A18" w:rsidRDefault="005F0A18">
      <w:pPr>
        <w:spacing w:line="360" w:lineRule="auto"/>
        <w:rPr>
          <w:rFonts w:ascii="Times New Roman Regular" w:hAnsi="Times New Roman Regular" w:cs="Times New Roman Regular"/>
        </w:rPr>
      </w:pPr>
    </w:p>
    <w:p w14:paraId="09758D60"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Clinical data and laboratory measurements</w:t>
      </w:r>
    </w:p>
    <w:p w14:paraId="7DBD532B"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Demographic and clinical data, including age, sex, smoking history, comorbidities and details related to COPD acute exacerbation, were collected at enrollment using a standardized case report form. Within 24 hours of inclusion, peripheral venous blood samples were drawn and processed in the hospital central laboratory according to routine procedures.</w:t>
      </w:r>
    </w:p>
    <w:p w14:paraId="632C9AC5" w14:textId="77777777" w:rsidR="005F0A18" w:rsidRDefault="005F0A18">
      <w:pPr>
        <w:spacing w:line="360" w:lineRule="auto"/>
        <w:rPr>
          <w:rFonts w:ascii="Times New Roman Regular" w:hAnsi="Times New Roman Regular" w:cs="Times New Roman Regular"/>
        </w:rPr>
      </w:pPr>
    </w:p>
    <w:p w14:paraId="413A6509"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Serum immunoglobulin levels (IgM, IgG and IgA) and complement components (C3, C4) were measured by immunoturbidimetry on an automated biochemistry platform (Roche </w:t>
      </w:r>
      <w:proofErr w:type="spellStart"/>
      <w:r>
        <w:rPr>
          <w:rFonts w:ascii="Times New Roman Regular" w:hAnsi="Times New Roman Regular" w:cs="Times New Roman Regular"/>
        </w:rPr>
        <w:t>cobas</w:t>
      </w:r>
      <w:proofErr w:type="spellEnd"/>
      <w:r>
        <w:rPr>
          <w:rFonts w:ascii="Times New Roman Regular" w:hAnsi="Times New Roman Regular" w:cs="Times New Roman Regular"/>
        </w:rPr>
        <w:t xml:space="preserve"> 702 system, Roche Diagnostics). C-reactive protein (CRP) was quantified by immunoturbidimetric assay on the same analyzer. Complete blood counts, including absolute and relative eosinophil counts, were obtained using a fully automated hematology analyzer, and eosinophil (Eosinophil) indices were extracted for analysis.</w:t>
      </w:r>
    </w:p>
    <w:p w14:paraId="7842F291" w14:textId="77777777" w:rsidR="005F0A18" w:rsidRDefault="005F0A18">
      <w:pPr>
        <w:spacing w:line="360" w:lineRule="auto"/>
        <w:rPr>
          <w:rFonts w:ascii="Times New Roman Regular" w:hAnsi="Times New Roman Regular" w:cs="Times New Roman Regular"/>
        </w:rPr>
      </w:pPr>
    </w:p>
    <w:p w14:paraId="3B609EE2"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Circulating infection and cardiac injury biomarkers, including procalcitonin (PCT), B-type natriuretic peptide or its N-terminal pro-peptide (BNP/NT-</w:t>
      </w:r>
      <w:proofErr w:type="spellStart"/>
      <w:r>
        <w:rPr>
          <w:rFonts w:ascii="Times New Roman Regular" w:hAnsi="Times New Roman Regular" w:cs="Times New Roman Regular"/>
        </w:rPr>
        <w:t>proBNP</w:t>
      </w:r>
      <w:proofErr w:type="spellEnd"/>
      <w:r>
        <w:rPr>
          <w:rFonts w:ascii="Times New Roman Regular" w:hAnsi="Times New Roman Regular" w:cs="Times New Roman Regular"/>
        </w:rPr>
        <w:t>), and high-sensitivity cardiac troponin I (</w:t>
      </w:r>
      <w:proofErr w:type="spellStart"/>
      <w:r>
        <w:rPr>
          <w:rFonts w:ascii="Times New Roman Regular" w:hAnsi="Times New Roman Regular" w:cs="Times New Roman Regular"/>
        </w:rPr>
        <w:t>hs-cTnI</w:t>
      </w:r>
      <w:proofErr w:type="spellEnd"/>
      <w:r>
        <w:rPr>
          <w:rFonts w:ascii="Times New Roman Regular" w:hAnsi="Times New Roman Regular" w:cs="Times New Roman Regular"/>
        </w:rPr>
        <w:t>), were determined by chemiluminescent immunoassay using the MAGICL 6000 automated analyzer (New Industries Biomedical, or equivalent platform), following the manufacturer’s instructions and internal quality-control procedures.</w:t>
      </w:r>
    </w:p>
    <w:p w14:paraId="04BC27D6" w14:textId="77777777" w:rsidR="005F0A18" w:rsidRDefault="005F0A18">
      <w:pPr>
        <w:spacing w:line="360" w:lineRule="auto"/>
        <w:rPr>
          <w:rFonts w:ascii="Times New Roman Regular" w:hAnsi="Times New Roman Regular" w:cs="Times New Roman Regular"/>
        </w:rPr>
      </w:pPr>
    </w:p>
    <w:p w14:paraId="4150E727"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Inflammatory cytokines, including interferon-γ (IFN-γ), tumor necrosis factor-α (TNF-α) and interleukin-6 (IL-6), were also measured in serum using an electrochemiluminescence or chemiluminescent immunoassay on the Roche </w:t>
      </w:r>
      <w:proofErr w:type="spellStart"/>
      <w:r>
        <w:rPr>
          <w:rFonts w:ascii="Times New Roman Regular" w:hAnsi="Times New Roman Regular" w:cs="Times New Roman Regular"/>
        </w:rPr>
        <w:t>cobas</w:t>
      </w:r>
      <w:proofErr w:type="spellEnd"/>
      <w:r>
        <w:rPr>
          <w:rFonts w:ascii="Times New Roman Regular" w:hAnsi="Times New Roman Regular" w:cs="Times New Roman Regular"/>
        </w:rPr>
        <w:t xml:space="preserve"> 702 system, and reported in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w:t>
      </w:r>
      <w:proofErr w:type="spellStart"/>
      <w:r>
        <w:rPr>
          <w:rFonts w:ascii="Times New Roman Regular" w:hAnsi="Times New Roman Regular" w:cs="Times New Roman Regular"/>
        </w:rPr>
        <w:t>mL.</w:t>
      </w:r>
      <w:proofErr w:type="spellEnd"/>
      <w:r>
        <w:rPr>
          <w:rFonts w:ascii="Times New Roman Regular" w:hAnsi="Times New Roman Regular" w:cs="Times New Roman Regular"/>
        </w:rPr>
        <w:t xml:space="preserve"> All assays were performed in the same laboratory, with regular internal and external quality assessment to ensure result reliability.</w:t>
      </w:r>
    </w:p>
    <w:p w14:paraId="57C095AA" w14:textId="77777777" w:rsidR="005F0A18" w:rsidRDefault="005F0A18">
      <w:pPr>
        <w:spacing w:line="360" w:lineRule="auto"/>
        <w:rPr>
          <w:rFonts w:ascii="Times New Roman Regular" w:hAnsi="Times New Roman Regular" w:cs="Times New Roman Regular"/>
        </w:rPr>
      </w:pPr>
    </w:p>
    <w:p w14:paraId="123A7413"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Radiological evaluation and clinical manifestations</w:t>
      </w:r>
    </w:p>
    <w:p w14:paraId="6783C428"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At baseline, all patients with COPD underwent chest X-ray examination. Two board-certified radiologists, blinded to group allocation, independently reviewed the images and categorized findings as unilateral pneumonia, bilateral pneumonia, or predominantly increased pulmonary markings/reticular changes. In the event of discrepant readings, a senior radiologist provided the final adjudication.</w:t>
      </w:r>
    </w:p>
    <w:p w14:paraId="450928C5"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Clinical symptoms and signs were assessed on the day of enrollment by trained physicians using a structured checklist. Recorded manifestations included the presence or absence of fever (body temperature ≥ 38 °C), cough and sputum production, wheezing or dyspnea, chest pain, sore throat, and lung crackles or other abnormal auscultatory findings. These variables were encoded as binary indicators (present/absent) for subsequent analysis and correlation with laboratory and microbiota data.</w:t>
      </w:r>
    </w:p>
    <w:p w14:paraId="0B6DD92C" w14:textId="77777777" w:rsidR="005F0A18" w:rsidRDefault="005F0A18">
      <w:pPr>
        <w:spacing w:line="360" w:lineRule="auto"/>
        <w:rPr>
          <w:rFonts w:ascii="Times New Roman Regular" w:hAnsi="Times New Roman Regular" w:cs="Times New Roman Regular"/>
        </w:rPr>
      </w:pPr>
    </w:p>
    <w:p w14:paraId="10312B07"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Respiratory sample collection and 16S rRNA sequencing</w:t>
      </w:r>
    </w:p>
    <w:p w14:paraId="494C6E4E"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Before initiation of antibiotic treatment whenever possible, respiratory specimens (expectorated sputum or airway secretions, according to departmental standard operating procedures) were collected into sterile tubes. Samples were promptly transported at 4 °C to the laboratory, aliquoted, and stored at –80 °C until DNA extraction.</w:t>
      </w:r>
    </w:p>
    <w:p w14:paraId="14307A1C" w14:textId="77777777" w:rsidR="005F0A18" w:rsidRDefault="005F0A18">
      <w:pPr>
        <w:spacing w:line="360" w:lineRule="auto"/>
        <w:rPr>
          <w:rFonts w:ascii="Times New Roman Regular" w:hAnsi="Times New Roman Regular" w:cs="Times New Roman Regular"/>
        </w:rPr>
      </w:pPr>
    </w:p>
    <w:p w14:paraId="22C93A7F"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Total bacterial DNA was extracted using a commercial kit (e.g. Qiagen or equivalent), and DNA concentration and purity were assessed by spectrophotometry. The V3–V4 hypervariable regions of the bacterial 16S rRNA gene were amplified using universal primers. After PCR amplification and purification, sequencing libraries were constructed following the manufacturer’s protocol and sequenced on an Illumina platform (e.g. </w:t>
      </w:r>
      <w:proofErr w:type="spellStart"/>
      <w:r>
        <w:rPr>
          <w:rFonts w:ascii="Times New Roman Regular" w:hAnsi="Times New Roman Regular" w:cs="Times New Roman Regular"/>
        </w:rPr>
        <w:t>MiSeq</w:t>
      </w:r>
      <w:proofErr w:type="spellEnd"/>
      <w:r>
        <w:rPr>
          <w:rFonts w:ascii="Times New Roman Regular" w:hAnsi="Times New Roman Regular" w:cs="Times New Roman Regular"/>
        </w:rPr>
        <w:t>, 2 × 250 bp paired-end runs, or an equivalent configuration). Raw sequence data were generated in FASTQ format for downstream bioinformatic processing.</w:t>
      </w:r>
    </w:p>
    <w:p w14:paraId="1CD5E811" w14:textId="77777777" w:rsidR="005F0A18" w:rsidRDefault="005F0A18">
      <w:pPr>
        <w:spacing w:line="360" w:lineRule="auto"/>
        <w:rPr>
          <w:rFonts w:ascii="Times New Roman Regular" w:hAnsi="Times New Roman Regular" w:cs="Times New Roman Regular"/>
        </w:rPr>
      </w:pPr>
    </w:p>
    <w:p w14:paraId="5534840E"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16S rRNA gene sequencing and microbiome data processing</w:t>
      </w:r>
    </w:p>
    <w:p w14:paraId="5ABAE98C"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Genomic DNA was extracted from sputum samples using a commercial bacterial genomic DNA extraction kit (Qiagen, Hilden, Germany) according to the manufacturer’s instructions. The bacterial 16S rRNA gene was amplified targeting the V3–V4 hypervariable region using barcoded primers 341F (5'-CCTACGGGNGGCWGCAG-3') and 806R (5'-GACTACHVGGGTATCTAATCC-3'). Amplicons were purified, quantified, pooled at equimolar concentrations, and sequenced on an Illumina </w:t>
      </w:r>
      <w:proofErr w:type="spellStart"/>
      <w:r>
        <w:rPr>
          <w:rFonts w:ascii="Times New Roman Regular" w:hAnsi="Times New Roman Regular" w:cs="Times New Roman Regular"/>
        </w:rPr>
        <w:t>MiSeq</w:t>
      </w:r>
      <w:proofErr w:type="spellEnd"/>
      <w:r>
        <w:rPr>
          <w:rFonts w:ascii="Times New Roman Regular" w:hAnsi="Times New Roman Regular" w:cs="Times New Roman Regular"/>
        </w:rPr>
        <w:t xml:space="preserve"> platform (Illumina, San Diego, CA, USA) with paired-end reads (2 × 250 bp). Demultiplexed raw reads in FASTQ format were used for downstream analysis.</w:t>
      </w:r>
    </w:p>
    <w:p w14:paraId="4F9E7F3E" w14:textId="77777777" w:rsidR="005F0A18" w:rsidRDefault="005F0A18">
      <w:pPr>
        <w:spacing w:line="360" w:lineRule="auto"/>
        <w:rPr>
          <w:rFonts w:ascii="Times New Roman Regular" w:hAnsi="Times New Roman Regular" w:cs="Times New Roman Regular"/>
        </w:rPr>
      </w:pPr>
    </w:p>
    <w:p w14:paraId="0E845022"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Raw sequences were processed in R using the DADA2 pipeline to obtain high-resolution amplicon sequence variants (ASVs). Low-quality tails were truncated (</w:t>
      </w:r>
      <w:proofErr w:type="spellStart"/>
      <w:r>
        <w:rPr>
          <w:rFonts w:ascii="Times New Roman Regular" w:hAnsi="Times New Roman Regular" w:cs="Times New Roman Regular"/>
        </w:rPr>
        <w:t>truncLen</w:t>
      </w:r>
      <w:proofErr w:type="spellEnd"/>
      <w:r>
        <w:rPr>
          <w:rFonts w:ascii="Times New Roman Regular" w:hAnsi="Times New Roman Regular" w:cs="Times New Roman Regular"/>
        </w:rPr>
        <w:t xml:space="preserve"> ≈ 400, </w:t>
      </w:r>
      <w:proofErr w:type="spellStart"/>
      <w:r>
        <w:rPr>
          <w:rFonts w:ascii="Times New Roman Regular" w:hAnsi="Times New Roman Regular" w:cs="Times New Roman Regular"/>
        </w:rPr>
        <w:t>maxEE</w:t>
      </w:r>
      <w:proofErr w:type="spellEnd"/>
      <w:r>
        <w:rPr>
          <w:rFonts w:ascii="Times New Roman Regular" w:hAnsi="Times New Roman Regular" w:cs="Times New Roman Regular"/>
        </w:rPr>
        <w:t xml:space="preserve"> = 2, and no ambiguous bases allowed), error rates were learned from the data, and dereplication, denoising, merging of paired reads, and chimera removal were performed to construct a non-chimeric ASV table. Taxonomic assignment was carried out against the SILVA 138.1 reference database to obtain hierarchical classification from kingdom to genus. Sequences not classified as bacteria or archaea, as well as putative contaminants annotated as mitochondria or chloroplast, were removed.</w:t>
      </w:r>
    </w:p>
    <w:p w14:paraId="0502DD54" w14:textId="77777777" w:rsidR="005F0A18" w:rsidRDefault="005F0A18">
      <w:pPr>
        <w:spacing w:line="360" w:lineRule="auto"/>
        <w:rPr>
          <w:rFonts w:ascii="Times New Roman Regular" w:hAnsi="Times New Roman Regular" w:cs="Times New Roman Regular"/>
        </w:rPr>
      </w:pPr>
    </w:p>
    <w:p w14:paraId="59F1A31A"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The resulting ASV count table, taxonomy table, and sample metadata were integrated into a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object and further converted into a </w:t>
      </w:r>
      <w:proofErr w:type="spellStart"/>
      <w:proofErr w:type="gramStart"/>
      <w:r>
        <w:rPr>
          <w:rFonts w:ascii="Times New Roman Regular" w:hAnsi="Times New Roman Regular" w:cs="Times New Roman Regular"/>
        </w:rPr>
        <w:t>microeco</w:t>
      </w:r>
      <w:proofErr w:type="spellEnd"/>
      <w:r>
        <w:rPr>
          <w:rFonts w:ascii="Times New Roman Regular" w:hAnsi="Times New Roman Regular" w:cs="Times New Roman Regular"/>
        </w:rPr>
        <w:t>::</w:t>
      </w:r>
      <w:proofErr w:type="spellStart"/>
      <w:proofErr w:type="gramEnd"/>
      <w:r>
        <w:rPr>
          <w:rFonts w:ascii="Times New Roman Regular" w:hAnsi="Times New Roman Regular" w:cs="Times New Roman Regular"/>
        </w:rPr>
        <w:t>microtable</w:t>
      </w:r>
      <w:proofErr w:type="spellEnd"/>
      <w:r>
        <w:rPr>
          <w:rFonts w:ascii="Times New Roman Regular" w:hAnsi="Times New Roman Regular" w:cs="Times New Roman Regular"/>
        </w:rPr>
        <w:t xml:space="preserve"> for standardized ecological analyses. To mitigate the impact of uneven sequencing depth, all samples were rarefied to a uniform depth of 36,000 high-quality reads before alpha- and beta-diversity calculations. Relative abundances were computed at different taxonomic levels, and genus-level profiles were used to characterize dominant taxa and to support subsequent functional prediction analyses based on FAPROTAX.</w:t>
      </w:r>
    </w:p>
    <w:p w14:paraId="260AF024" w14:textId="77777777" w:rsidR="005F0A18" w:rsidRDefault="005F0A18">
      <w:pPr>
        <w:spacing w:line="360" w:lineRule="auto"/>
        <w:rPr>
          <w:rFonts w:ascii="Times New Roman Regular" w:hAnsi="Times New Roman Regular" w:cs="Times New Roman Regular"/>
        </w:rPr>
      </w:pPr>
    </w:p>
    <w:p w14:paraId="0CAB6ACD" w14:textId="77777777" w:rsidR="005F0A18" w:rsidRDefault="005F0A18">
      <w:pPr>
        <w:spacing w:line="360" w:lineRule="auto"/>
        <w:rPr>
          <w:rFonts w:ascii="Times New Roman Regular" w:hAnsi="Times New Roman Regular" w:cs="Times New Roman Regular"/>
        </w:rPr>
      </w:pPr>
    </w:p>
    <w:p w14:paraId="272CE628"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Statistical analysis</w:t>
      </w:r>
    </w:p>
    <w:p w14:paraId="00866267"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Clinical and laboratory data were analyzed using R software (version 4.3.x, R Foundation for Statistical Computing). Continuous variables were examined for normality using the Shapiro–Wilk test. Normally distributed data are presented as mean ± standard deviation and were compared using Student’s t-test (two groups) or one-way ANOVA (more than two groups). Non-normally distributed data are reported as median (interquartile range) and were compared using the Mann–Whitney U test or Kruskal–Wallis test, as appropriate. Categorical variables are summarized as counts and percentages and were compared using the χ² test or Fisher’s exact test.</w:t>
      </w:r>
    </w:p>
    <w:p w14:paraId="3E79C30A" w14:textId="77777777" w:rsidR="005F0A18" w:rsidRDefault="005F0A18">
      <w:pPr>
        <w:spacing w:line="360" w:lineRule="auto"/>
        <w:rPr>
          <w:rFonts w:ascii="Times New Roman Regular" w:hAnsi="Times New Roman Regular" w:cs="Times New Roman Regular"/>
        </w:rPr>
      </w:pPr>
    </w:p>
    <w:p w14:paraId="603C2442"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Microbiome analyses were performed in R (version 4.3.3) using dada2,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microeco</w:t>
      </w:r>
      <w:proofErr w:type="spellEnd"/>
      <w:r>
        <w:rPr>
          <w:rFonts w:ascii="Times New Roman Regular" w:hAnsi="Times New Roman Regular" w:cs="Times New Roman Regular"/>
        </w:rPr>
        <w:t>, vegan, DESeq2, and ggplot2. Alpha diversity indices (Chao1 richness and Shannon diversity) were calculated from the rarefied ASV table, and differences among the four clinical groups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were assessed using the Kruskal–Wallis test followed by Dunn’s post hoc test with multiple-comparison adjustment. Beta diversity was quantified using Bray–Curtis dissimilarity, visualized by principal coordinate analysis (</w:t>
      </w:r>
      <w:proofErr w:type="spellStart"/>
      <w:r>
        <w:rPr>
          <w:rFonts w:ascii="Times New Roman Regular" w:hAnsi="Times New Roman Regular" w:cs="Times New Roman Regular"/>
        </w:rPr>
        <w:t>PCoA</w:t>
      </w:r>
      <w:proofErr w:type="spellEnd"/>
      <w:r>
        <w:rPr>
          <w:rFonts w:ascii="Times New Roman Regular" w:hAnsi="Times New Roman Regular" w:cs="Times New Roman Regular"/>
        </w:rPr>
        <w:t xml:space="preserve">), and </w:t>
      </w:r>
      <w:r>
        <w:rPr>
          <w:rFonts w:ascii="Times New Roman Regular" w:hAnsi="Times New Roman Regular" w:cs="Times New Roman Regular"/>
        </w:rPr>
        <w:lastRenderedPageBreak/>
        <w:t>group differences in community structure were tested by permutational multivariate analysis of variance (PERMANOVA) and analysis of similarities (ANOSIM).</w:t>
      </w:r>
    </w:p>
    <w:p w14:paraId="7E47E42B" w14:textId="77777777" w:rsidR="005F0A18" w:rsidRDefault="005F0A18">
      <w:pPr>
        <w:spacing w:line="360" w:lineRule="auto"/>
        <w:rPr>
          <w:rFonts w:ascii="Times New Roman Regular" w:hAnsi="Times New Roman Regular" w:cs="Times New Roman Regular"/>
        </w:rPr>
      </w:pPr>
    </w:p>
    <w:p w14:paraId="270950EA"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genus level, relative abundance data were summarized with stacked bar plots and heatmaps for descriptive visualization. For differential abundance analysis, DESeq2 was applied to non-rarefied genus-level count data aggregated from ASVs, using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as the reference group. Three pairwise contrasts were examined: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P values were adjusted for multiple testing using the Benjamini–Hochberg false discovery rate (FDR) procedure, and genera with adjusted P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&lt; 0.05 and |log₂ fold change| &gt; 1 were considered significantly different. Volcano plots and log₂ fold-change heatmaps were used to visualize differential genera across groups. For all analyses, a two-sided P value &lt; 0.05 was considered statistically significant unless otherwise specified.</w:t>
      </w:r>
    </w:p>
    <w:p w14:paraId="2B71EE43" w14:textId="77777777" w:rsidR="005F0A18" w:rsidRDefault="005F0A18">
      <w:pPr>
        <w:spacing w:line="360" w:lineRule="auto"/>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4CCE3E3B" w14:textId="77777777" w:rsidR="005F0A18" w:rsidRDefault="00FB030D">
      <w:pPr>
        <w:spacing w:line="360" w:lineRule="auto"/>
        <w:rPr>
          <w:rFonts w:ascii="Times New Roman Regular" w:hAnsi="Times New Roman Regular" w:cs="Times New Roman Regular"/>
          <w:b/>
          <w:bCs/>
          <w:sz w:val="22"/>
          <w:szCs w:val="22"/>
        </w:rPr>
      </w:pPr>
      <w:r>
        <w:rPr>
          <w:rFonts w:ascii="Times New Roman Regular" w:hAnsi="Times New Roman Regular" w:cs="Times New Roman Regular"/>
          <w:b/>
          <w:bCs/>
          <w:sz w:val="22"/>
          <w:szCs w:val="22"/>
        </w:rPr>
        <w:lastRenderedPageBreak/>
        <w:t>Result</w:t>
      </w:r>
    </w:p>
    <w:p w14:paraId="1F3638A0"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3.1 Baseline clinical and laboratory characteristics</w:t>
      </w:r>
    </w:p>
    <w:p w14:paraId="7E2707C5"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Baseline characteristics of the four groups are summarized in </w:t>
      </w:r>
      <w:r>
        <w:rPr>
          <w:rFonts w:ascii="Times New Roman Regular" w:hAnsi="Times New Roman Regular" w:cs="Times New Roman Regular"/>
          <w:color w:val="FF0000"/>
        </w:rPr>
        <w:t>Table 1</w:t>
      </w:r>
      <w:r>
        <w:rPr>
          <w:rFonts w:ascii="Times New Roman Regular" w:hAnsi="Times New Roman Regular" w:cs="Times New Roman Regular"/>
        </w:rPr>
        <w:t>. Age was comparable across groups (Healthy control 69.1 ± 7.8 vs. Stable COPD, MP− 70.5 ± 8.2 vs. AECOPD, MP− 71.3 ± 6.5 vs. AECOPD, MP+ 70.7 ± 7.9 years; p = 0.64), whereas COPD patients—particularly those with AECOPD—were more often male (40% in Healthy control vs. 87% in Stable COPD, MP−, 93% in AECOPD, MP− and 71% in AECOPD, MP+; p = 0.006).</w:t>
      </w:r>
    </w:p>
    <w:p w14:paraId="3A6212DE" w14:textId="77777777" w:rsidR="005F0A18" w:rsidRDefault="005F0A18">
      <w:pPr>
        <w:spacing w:line="360" w:lineRule="auto"/>
        <w:rPr>
          <w:rFonts w:ascii="Times New Roman Regular" w:hAnsi="Times New Roman Regular" w:cs="Times New Roman Regular"/>
        </w:rPr>
      </w:pPr>
    </w:p>
    <w:p w14:paraId="5F7AA3B1"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Markers of cardiac stress and systemic inflammation were markedly elevated in all COPD subgroups compared with Healthy controls. NT-</w:t>
      </w:r>
      <w:proofErr w:type="spellStart"/>
      <w:r>
        <w:rPr>
          <w:rFonts w:ascii="Times New Roman Regular" w:hAnsi="Times New Roman Regular" w:cs="Times New Roman Regular"/>
        </w:rPr>
        <w:t>proBNP</w:t>
      </w:r>
      <w:proofErr w:type="spellEnd"/>
      <w:r>
        <w:rPr>
          <w:rFonts w:ascii="Times New Roman Regular" w:hAnsi="Times New Roman Regular" w:cs="Times New Roman Regular"/>
        </w:rPr>
        <w:t xml:space="preserve"> increased from 20.0 ± 0.0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 xml:space="preserve">/mL in Healthy controls to 2,984.2 ± 6,864.1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 xml:space="preserve">/mL in Stable COPD, MP−, 1,080.3 ± 1,450.3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 xml:space="preserve">/mL in AECOPD, MP− and 1,280.1 ± 1,374.7 </w:t>
      </w:r>
      <w:proofErr w:type="spellStart"/>
      <w:r>
        <w:rPr>
          <w:rFonts w:ascii="Times New Roman Regular" w:hAnsi="Times New Roman Regular" w:cs="Times New Roman Regular"/>
        </w:rPr>
        <w:t>pg</w:t>
      </w:r>
      <w:proofErr w:type="spellEnd"/>
      <w:r>
        <w:rPr>
          <w:rFonts w:ascii="Times New Roman Regular" w:hAnsi="Times New Roman Regular" w:cs="Times New Roman Regular"/>
        </w:rPr>
        <w:t>/mL in AECOPD, MP+ (p &lt; 0.001). Procalcitonin was nearly undetectable in Healthy controls (0.0 ± 0.0 ng/mL) but increased in all COPD groups, with particularly high levels in AECOPD, MP+ (0.4 ± 1.1, 0.8 ± 1.7 and 49.1 ± 175.6 ng/mL in Stable COPD, MP−, AECOPD, MP− and AECOPD, MP+, respectively; p &lt; 0.001). CRP showed a similar pattern, rising from 1.3 ± 0.6 mg/L in Healthy controls to 56.5 ± 101.4 mg/L in Stable COPD, MP−, 23.0 ± 60.1 mg/L in AECOPD, MP− and 45.2 ± 65.2 mg/L in AECOPD, MP+ (p &lt; 0.001), indicating a substantially higher inflammatory burden in COPD, especially in the exacerbation groups.</w:t>
      </w:r>
    </w:p>
    <w:p w14:paraId="7EE69D5B" w14:textId="77777777" w:rsidR="005F0A18" w:rsidRDefault="005F0A18">
      <w:pPr>
        <w:spacing w:line="360" w:lineRule="auto"/>
        <w:rPr>
          <w:rFonts w:ascii="Times New Roman Regular" w:hAnsi="Times New Roman Regular" w:cs="Times New Roman Regular"/>
        </w:rPr>
      </w:pPr>
    </w:p>
    <w:p w14:paraId="702FA703"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Nutritional and biochemical indices also differed between groups. Total protein was lower in COPD patients than in Healthy controls (82.5 ± 3.9 g/L vs. 68.5 ± 8.5, 63.5 ± 19.0 and 73.7 ± 5.5 g/L in Stable COPD, MP−, AECOPD, MP− and AECOPD, MP+, respectively; p &lt; 0.001), whereas albumin levels were similar across groups (p = 0.40). Indices of hepatic and renal function showed modest but significant group differences: TBIL and DBIL were higher in COPD—particularly in the AECOPD subgroups (TBIL 4.5 ± 1.3 vs. 8.6 ± 4.1, 9.7 ± 5.2 and 14.2 ± 8.3 </w:t>
      </w:r>
      <w:proofErr w:type="spellStart"/>
      <w:r>
        <w:rPr>
          <w:rFonts w:ascii="Times New Roman Regular" w:hAnsi="Times New Roman Regular" w:cs="Times New Roman Regular"/>
        </w:rPr>
        <w:t>μmol</w:t>
      </w:r>
      <w:proofErr w:type="spellEnd"/>
      <w:r>
        <w:rPr>
          <w:rFonts w:ascii="Times New Roman Regular" w:hAnsi="Times New Roman Regular" w:cs="Times New Roman Regular"/>
        </w:rPr>
        <w:t>/L; p &lt; 0.001; DBIL p = 0.024)—and urea was increased (3.5 ± 1.1 vs. 6.5 ± 4.5, 6.6 ± 3.1 and 8.4 ± 7.5 mmol/L; p = 0.007), while creatinine did not differ significantly (p = 0.50). Muscle and myocardial enzymes (CK, CK-MB, HBDH) also varied among groups, with CK and CK-MB peaking in the AECOPD, MP− group (p ≤ 0.015), suggesting greater systemic and cardiometabolic stress in COPD, particularly during acute exacerbations.</w:t>
      </w:r>
    </w:p>
    <w:p w14:paraId="6F272123" w14:textId="77777777" w:rsidR="005F0A18" w:rsidRDefault="005F0A18">
      <w:pPr>
        <w:spacing w:line="360" w:lineRule="auto"/>
        <w:rPr>
          <w:rFonts w:ascii="Times New Roman Regular" w:hAnsi="Times New Roman Regular" w:cs="Times New Roman Regular"/>
        </w:rPr>
      </w:pPr>
    </w:p>
    <w:p w14:paraId="4B2F3014"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3.2 Sequencing output and alpha/beta diversity</w:t>
      </w:r>
    </w:p>
    <w:p w14:paraId="6C544C8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High-throughput 16S rRNA sequencing followed by DADA2 denoising yielded an amplicon sequence variant (ASV) table with 5,718 unique sequences across 59 sputum samples. Chimera removal identified 405 </w:t>
      </w:r>
      <w:proofErr w:type="spellStart"/>
      <w:r>
        <w:rPr>
          <w:rFonts w:ascii="Times New Roman Regular" w:hAnsi="Times New Roman Regular" w:cs="Times New Roman Regular"/>
        </w:rPr>
        <w:t>bimeric</w:t>
      </w:r>
      <w:proofErr w:type="spellEnd"/>
      <w:r>
        <w:rPr>
          <w:rFonts w:ascii="Times New Roman Regular" w:hAnsi="Times New Roman Regular" w:cs="Times New Roman Regular"/>
        </w:rPr>
        <w:t xml:space="preserve"> ASVs (7.1% of sequences) and reduced the table to 5,313 non-chimeric ASVs while retaining 98.9% of total reads. Sequencing depth per sample after quality filtering and chimera removal ranged from 72,771 to 97,825 reads (median 88,971, IQR 86,861–91,404), and rarefaction curves for all samples reached clear plateaus (</w:t>
      </w:r>
      <w:r>
        <w:rPr>
          <w:rFonts w:ascii="Times New Roman Regular" w:hAnsi="Times New Roman Regular" w:cs="Times New Roman Regular"/>
          <w:color w:val="FF0000"/>
        </w:rPr>
        <w:t>Figure 1</w:t>
      </w:r>
      <w:r>
        <w:rPr>
          <w:rFonts w:ascii="Times New Roman Regular" w:hAnsi="Times New Roman Regular" w:cs="Times New Roman Regular"/>
        </w:rPr>
        <w:t>). All samples had &gt;80,000 reads and were rarefied to 36,000 reads for downstream ecological analyses.</w:t>
      </w:r>
    </w:p>
    <w:p w14:paraId="79099C87" w14:textId="77777777" w:rsidR="005F0A18" w:rsidRDefault="005F0A18">
      <w:pPr>
        <w:spacing w:line="360" w:lineRule="auto"/>
        <w:rPr>
          <w:rFonts w:ascii="Times New Roman Regular" w:hAnsi="Times New Roman Regular" w:cs="Times New Roman Regular"/>
        </w:rPr>
      </w:pPr>
    </w:p>
    <w:p w14:paraId="00C6E90C" w14:textId="6409A2CC"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Alpha diversity showed a stepwise decline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to COPD, with the lowest diversity observed in </w:t>
      </w:r>
      <w:proofErr w:type="gramStart"/>
      <w:r>
        <w:rPr>
          <w:rFonts w:ascii="Times New Roman Regular" w:hAnsi="Times New Roman Regular" w:cs="Times New Roman Regular"/>
        </w:rPr>
        <w:t>AECOPD(</w:t>
      </w:r>
      <w:proofErr w:type="gramEnd"/>
      <w:r>
        <w:rPr>
          <w:rFonts w:ascii="Times New Roman Regular" w:hAnsi="Times New Roman Regular" w:cs="Times New Roman Regular"/>
          <w:color w:val="FF0000"/>
        </w:rPr>
        <w:t xml:space="preserve">Figure 2, Table </w:t>
      </w:r>
      <w:r w:rsidR="00B30ECE">
        <w:rPr>
          <w:rFonts w:ascii="Times New Roman Regular" w:hAnsi="Times New Roman Regular" w:cs="Times New Roman Regular"/>
          <w:color w:val="FF0000"/>
        </w:rPr>
        <w:t>1</w:t>
      </w:r>
      <w:r>
        <w:rPr>
          <w:rFonts w:ascii="Times New Roman Regular" w:hAnsi="Times New Roman Regular" w:cs="Times New Roman Regular"/>
        </w:rPr>
        <w:t xml:space="preserve">). For Chao1 richness,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had the highest values (median 215, IQR 190–245), followed by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(median 195),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(median 172)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(median 160; Kruskal–Wallis P = 0.003). Post-hoc Dunn tests indicated significantly lower richness in all three COPD groups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(all P &lt; 0.05), whereas differences among COPD subgroups were not statistically significant. Shannon diversity showed a similar gradient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median 3.45 vs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3.21,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2.87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2.61; global P = 0.004),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exhibiting the highest evenness, both AECOPD groups showing significantly reduced diversity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(P &lt; 0.05), and the Stable COPD group displaying intermediate values overlapping with both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AECOPD.</w:t>
      </w:r>
    </w:p>
    <w:p w14:paraId="69E72A87" w14:textId="77777777" w:rsidR="005F0A18" w:rsidRDefault="005F0A18">
      <w:pPr>
        <w:spacing w:line="360" w:lineRule="auto"/>
        <w:rPr>
          <w:rFonts w:ascii="Times New Roman Regular" w:hAnsi="Times New Roman Regular" w:cs="Times New Roman Regular"/>
        </w:rPr>
      </w:pPr>
    </w:p>
    <w:p w14:paraId="64576D96" w14:textId="26454024"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Bray–Curtis beta diversity further demonstrated a marked restructuring of the sputum </w:t>
      </w:r>
      <w:proofErr w:type="gramStart"/>
      <w:r>
        <w:rPr>
          <w:rFonts w:ascii="Times New Roman Regular" w:hAnsi="Times New Roman Regular" w:cs="Times New Roman Regular"/>
        </w:rPr>
        <w:t>microbiome(</w:t>
      </w:r>
      <w:proofErr w:type="gramEnd"/>
      <w:r>
        <w:rPr>
          <w:rFonts w:ascii="Times New Roman Regular" w:hAnsi="Times New Roman Regular" w:cs="Times New Roman Regular"/>
          <w:color w:val="FF0000"/>
        </w:rPr>
        <w:t xml:space="preserve">Figure 3, Table </w:t>
      </w:r>
      <w:r w:rsidR="00B30ECE">
        <w:rPr>
          <w:rFonts w:ascii="Times New Roman Regular" w:hAnsi="Times New Roman Regular" w:cs="Times New Roman Regular"/>
          <w:color w:val="FF0000"/>
        </w:rPr>
        <w:t>1</w:t>
      </w:r>
      <w:r>
        <w:rPr>
          <w:rFonts w:ascii="Times New Roman Regular" w:hAnsi="Times New Roman Regular" w:cs="Times New Roman Regular"/>
        </w:rPr>
        <w:t xml:space="preserve">). </w:t>
      </w:r>
      <w:proofErr w:type="spellStart"/>
      <w:r>
        <w:rPr>
          <w:rFonts w:ascii="Times New Roman Regular" w:hAnsi="Times New Roman Regular" w:cs="Times New Roman Regular"/>
        </w:rPr>
        <w:t>PCoA</w:t>
      </w:r>
      <w:proofErr w:type="spellEnd"/>
      <w:r>
        <w:rPr>
          <w:rFonts w:ascii="Times New Roman Regular" w:hAnsi="Times New Roman Regular" w:cs="Times New Roman Regular"/>
        </w:rPr>
        <w:t xml:space="preserve"> based on Bray–Curtis distances showed that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samples clustered separately from COPD samples along the first two axes (PCoA1 12.8%, PCoA2 10.5%, together explaining 23% of total variance), whereas the three COPD subgroups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partially overlapped with each other but were all shifted away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in ordination space. Global PERMANOVA confirmed significant overall community differences among the four groups (R² = 0.10, F = 2.05, P = 0.001). Pairwise PERMANOVA analyses showed that each COPD subgroup differed significantly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R² = 0.12, adjusted P = 0.002;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R² = 0.08, adjusted P = 0.002;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R² = 0.10, adjusted P = 0.002), whereas comparisons among COPD subgroups themselves were not significant after correction (P &gt; 0.05). Consistently, ANOSIM yielded an R statistic of 0.19 (P = 0.001), indicating moderate between-group separation.</w:t>
      </w:r>
    </w:p>
    <w:p w14:paraId="0913F20E" w14:textId="77777777" w:rsidR="005F0A18" w:rsidRDefault="005F0A18">
      <w:pPr>
        <w:spacing w:line="360" w:lineRule="auto"/>
        <w:rPr>
          <w:rFonts w:ascii="Times New Roman Regular" w:hAnsi="Times New Roman Regular" w:cs="Times New Roman Regular"/>
        </w:rPr>
      </w:pPr>
    </w:p>
    <w:p w14:paraId="5D39BF67"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Within-group Bray–Curtis distances were lowest 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(median 0.42) and significantly higher in COPD groups, particularly in the two AECOPD subgroups (median 0.58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0.62 in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both P &lt; 0.05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indicating greater inter-individual heterogeneity during exacerbations. Between-group distances were largest between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each COPD subgroup and comparatively smaller among COPD subgroups themselves, consistent with a shared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state in COPD with progressive divergence from the healthy airway microbiome.</w:t>
      </w:r>
    </w:p>
    <w:p w14:paraId="0B70B4BA" w14:textId="77777777" w:rsidR="005F0A18" w:rsidRDefault="005F0A18">
      <w:pPr>
        <w:spacing w:line="360" w:lineRule="auto"/>
        <w:rPr>
          <w:rFonts w:ascii="Times New Roman Regular" w:hAnsi="Times New Roman Regular" w:cs="Times New Roman Regular"/>
        </w:rPr>
      </w:pPr>
    </w:p>
    <w:p w14:paraId="7DD20308" w14:textId="77777777" w:rsidR="005F0A18" w:rsidRDefault="005F0A18">
      <w:pPr>
        <w:spacing w:line="360" w:lineRule="auto"/>
        <w:rPr>
          <w:rFonts w:ascii="Times New Roman Regular" w:hAnsi="Times New Roman Regular" w:cs="Times New Roman Regular"/>
        </w:rPr>
      </w:pPr>
    </w:p>
    <w:p w14:paraId="7CCB4456"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3.3 Phylum-level community structure</w:t>
      </w:r>
    </w:p>
    <w:p w14:paraId="1D098FF4"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phylum level, the sputum microbiome was dominated by six major phyla—Firmicutes,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Proteobacteria,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Fusobacteriota</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Patescibacteria</w:t>
      </w:r>
      <w:proofErr w:type="spellEnd"/>
      <w:r>
        <w:rPr>
          <w:rFonts w:ascii="Times New Roman Regular" w:hAnsi="Times New Roman Regular" w:cs="Times New Roman Regular"/>
        </w:rPr>
        <w:t xml:space="preserve">—with the remainder assigned to a composite “Others” </w:t>
      </w:r>
      <w:proofErr w:type="gramStart"/>
      <w:r>
        <w:rPr>
          <w:rFonts w:ascii="Times New Roman Regular" w:hAnsi="Times New Roman Regular" w:cs="Times New Roman Regular"/>
        </w:rPr>
        <w:t>category(</w:t>
      </w:r>
      <w:proofErr w:type="gramEnd"/>
      <w:r>
        <w:rPr>
          <w:rFonts w:ascii="Times New Roman Regular" w:hAnsi="Times New Roman Regular" w:cs="Times New Roman Regular"/>
          <w:color w:val="FF0000"/>
        </w:rPr>
        <w:t>Figure 4</w:t>
      </w:r>
      <w:r>
        <w:rPr>
          <w:rFonts w:ascii="Times New Roman Regular" w:hAnsi="Times New Roman Regular" w:cs="Times New Roman Regular"/>
        </w:rPr>
        <w:t>). Together, these six phyla accounted for the majority of sequences across all four groups.</w:t>
      </w:r>
    </w:p>
    <w:p w14:paraId="12E44F19" w14:textId="77777777" w:rsidR="005F0A18" w:rsidRDefault="005F0A18">
      <w:pPr>
        <w:spacing w:line="360" w:lineRule="auto"/>
        <w:rPr>
          <w:rFonts w:ascii="Times New Roman Regular" w:hAnsi="Times New Roman Regular" w:cs="Times New Roman Regular"/>
        </w:rPr>
      </w:pPr>
    </w:p>
    <w:p w14:paraId="5BBB222F"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samples,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and Proteobacteria were the leading phyla (32.0% and 19.8% of total reads, respectively), accompanied by smaller proportions of Firmicutes (4.6%),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 xml:space="preserve"> (5.0%), </w:t>
      </w:r>
      <w:proofErr w:type="spellStart"/>
      <w:r>
        <w:rPr>
          <w:rFonts w:ascii="Times New Roman Regular" w:hAnsi="Times New Roman Regular" w:cs="Times New Roman Regular"/>
        </w:rPr>
        <w:t>Fusobacteriota</w:t>
      </w:r>
      <w:proofErr w:type="spellEnd"/>
      <w:r>
        <w:rPr>
          <w:rFonts w:ascii="Times New Roman Regular" w:hAnsi="Times New Roman Regular" w:cs="Times New Roman Regular"/>
        </w:rPr>
        <w:t xml:space="preserve"> (3.7%) and </w:t>
      </w:r>
      <w:proofErr w:type="spellStart"/>
      <w:r>
        <w:rPr>
          <w:rFonts w:ascii="Times New Roman Regular" w:hAnsi="Times New Roman Regular" w:cs="Times New Roman Regular"/>
        </w:rPr>
        <w:t>Patescibacteria</w:t>
      </w:r>
      <w:proofErr w:type="spellEnd"/>
      <w:r>
        <w:rPr>
          <w:rFonts w:ascii="Times New Roman Regular" w:hAnsi="Times New Roman Regular" w:cs="Times New Roman Regular"/>
        </w:rPr>
        <w:t xml:space="preserve"> (2.6%), while the “Others” category contributed 32.2%. In COPD patients, the community shifted toward a more Proteobacteria-enriched configuration, particularly in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where Proteobacteria rose to 42.2% and 44.3%, respectively, with concomitant reductions in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(21.2% and 24.1%) and in the “Others” fraction (21.3% and 13.1%).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displayed an intermediate pattern, with Proteobacteria and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 co-dominating (31.7% and 31.6%, respectively) and modest contributions from the other phyla. Overall, these phylum-level shifts indicate a transition from a more phylogenetically diverse, </w:t>
      </w:r>
      <w:proofErr w:type="spellStart"/>
      <w:r>
        <w:rPr>
          <w:rFonts w:ascii="Times New Roman Regular" w:hAnsi="Times New Roman Regular" w:cs="Times New Roman Regular"/>
        </w:rPr>
        <w:t>Bacteroidota</w:t>
      </w:r>
      <w:proofErr w:type="spellEnd"/>
      <w:r>
        <w:rPr>
          <w:rFonts w:ascii="Times New Roman Regular" w:hAnsi="Times New Roman Regular" w:cs="Times New Roman Regular"/>
        </w:rPr>
        <w:t xml:space="preserve">-rich community 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to a Proteobacteria-skewed airway microbiome in COPD, especially during acute exacerbations.</w:t>
      </w:r>
    </w:p>
    <w:p w14:paraId="351B5671" w14:textId="77777777" w:rsidR="005F0A18" w:rsidRDefault="005F0A18">
      <w:pPr>
        <w:spacing w:line="360" w:lineRule="auto"/>
        <w:rPr>
          <w:rFonts w:ascii="Times New Roman Regular" w:hAnsi="Times New Roman Regular" w:cs="Times New Roman Regular"/>
        </w:rPr>
      </w:pPr>
    </w:p>
    <w:p w14:paraId="74D00012"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3.4 Genus-level composition, core OTUs and group-specific taxa</w:t>
      </w:r>
    </w:p>
    <w:p w14:paraId="6A9F9644"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genus level, the sputum microbiome showed clear shifts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to </w:t>
      </w:r>
      <w:proofErr w:type="gramStart"/>
      <w:r>
        <w:rPr>
          <w:rFonts w:ascii="Times New Roman Regular" w:hAnsi="Times New Roman Regular" w:cs="Times New Roman Regular"/>
        </w:rPr>
        <w:t>COPD(</w:t>
      </w:r>
      <w:proofErr w:type="gramEnd"/>
      <w:r>
        <w:rPr>
          <w:rFonts w:ascii="Times New Roman Regular" w:hAnsi="Times New Roman Regular" w:cs="Times New Roman Regular"/>
          <w:color w:val="FF0000"/>
        </w:rPr>
        <w:t>Figure 5</w:t>
      </w:r>
      <w:r>
        <w:rPr>
          <w:rFonts w:ascii="Times New Roman Regular" w:hAnsi="Times New Roman Regular" w:cs="Times New Roman Regular"/>
        </w:rPr>
        <w:t xml:space="preserve">).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samples were dominated by typical oral commensals such as Streptococcus (mean 23.4%),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(14.8%),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with additional contributions from </w:t>
      </w:r>
      <w:proofErr w:type="spellStart"/>
      <w:r>
        <w:rPr>
          <w:rFonts w:ascii="Times New Roman Regular" w:hAnsi="Times New Roman Regular" w:cs="Times New Roman Regular"/>
        </w:rPr>
        <w:t>Alloprevotella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Porphyromonas</w:t>
      </w:r>
      <w:proofErr w:type="spellEnd"/>
      <w:r>
        <w:rPr>
          <w:rFonts w:ascii="Times New Roman Regular" w:hAnsi="Times New Roman Regular" w:cs="Times New Roman Regular"/>
        </w:rPr>
        <w:t xml:space="preserve">, Actinomyces, </w:t>
      </w:r>
      <w:proofErr w:type="spellStart"/>
      <w:r>
        <w:rPr>
          <w:rFonts w:ascii="Times New Roman Regular" w:hAnsi="Times New Roman Regular" w:cs="Times New Roman Regular"/>
        </w:rPr>
        <w:t>Leptotrichia</w:t>
      </w:r>
      <w:proofErr w:type="spellEnd"/>
      <w:r>
        <w:rPr>
          <w:rFonts w:ascii="Times New Roman Regular" w:hAnsi="Times New Roman Regular" w:cs="Times New Roman Regular"/>
        </w:rPr>
        <w:t xml:space="preserve">, Fusobacterium, </w:t>
      </w:r>
      <w:proofErr w:type="spellStart"/>
      <w:r>
        <w:rPr>
          <w:rFonts w:ascii="Times New Roman Regular" w:hAnsi="Times New Roman Regular" w:cs="Times New Roman Regular"/>
        </w:rPr>
        <w:t>Capnocytophaga</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Gemella</w:t>
      </w:r>
      <w:proofErr w:type="spellEnd"/>
      <w:r>
        <w:rPr>
          <w:rFonts w:ascii="Times New Roman Regular" w:hAnsi="Times New Roman Regular" w:cs="Times New Roman Regular"/>
        </w:rPr>
        <w:t xml:space="preserve"> (Genus_Top40_heatmap_by_Group4.pdf).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retained a broadly similar commensal-dominated profile but exhibited subtle shifts, including increased Corynebacterium and reduced Moraxella, suggesting an early perturbation of the community structure without complete loss of the oral-type background.</w:t>
      </w:r>
    </w:p>
    <w:p w14:paraId="0754A5EB" w14:textId="77777777" w:rsidR="005F0A18" w:rsidRDefault="005F0A18">
      <w:pPr>
        <w:spacing w:line="360" w:lineRule="auto"/>
        <w:rPr>
          <w:rFonts w:ascii="Times New Roman Regular" w:hAnsi="Times New Roman Regular" w:cs="Times New Roman Regular"/>
        </w:rPr>
      </w:pPr>
    </w:p>
    <w:p w14:paraId="556DDB79"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 contrast, both AECOPD groups—especially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—showed marked reductions in many health-associated genera (e.g.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and relative enrichment of a limited set of stress- or disease-associated taxa such as Corynebacterium, Mycoplasma, Acinetobacter, Pseudomonas and Staphylococcus. This resulted in a less even genus distribution and a more pronounced dominance of a few genera in AECOPD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Stable COPD, consistent with a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shift toward pathogen-enriched communities during exacerbations.</w:t>
      </w:r>
    </w:p>
    <w:p w14:paraId="72898626" w14:textId="77777777" w:rsidR="005F0A18" w:rsidRDefault="005F0A18">
      <w:pPr>
        <w:spacing w:line="360" w:lineRule="auto"/>
        <w:rPr>
          <w:rFonts w:ascii="Times New Roman Regular" w:hAnsi="Times New Roman Regular" w:cs="Times New Roman Regular"/>
        </w:rPr>
      </w:pPr>
    </w:p>
    <w:p w14:paraId="20EC4DC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Venn and </w:t>
      </w:r>
      <w:proofErr w:type="spellStart"/>
      <w:r>
        <w:rPr>
          <w:rFonts w:ascii="Times New Roman Regular" w:hAnsi="Times New Roman Regular" w:cs="Times New Roman Regular"/>
        </w:rPr>
        <w:t>UpSet</w:t>
      </w:r>
      <w:proofErr w:type="spellEnd"/>
      <w:r>
        <w:rPr>
          <w:rFonts w:ascii="Times New Roman Regular" w:hAnsi="Times New Roman Regular" w:cs="Times New Roman Regular"/>
        </w:rPr>
        <w:t xml:space="preserve"> analyses further illustrated the distribution of shared and group-specific OTUs/ASVs (Venn_OTU_seqratio_Group4.pdf; UpSet_OTU_Group4.pdf). A “core” airway microbiome comprising 245 OTUs was shared by all four groups, accounting for approximately 82% of total reads. Each clinical group also harbored unique OTUs: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58,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79,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112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96. The fraction and absolute number of group-specific OTUs were larger in COPD groups, particularly in AECOPD, indicating that disease and exacerbation are associated not only with loss of common commensals but also with the acquisition or selective expansion of less ubiquitous taxa.</w:t>
      </w:r>
    </w:p>
    <w:p w14:paraId="24717DD4"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3.5 Differentially abundant genera associated with COPD status and MP infection</w:t>
      </w:r>
    </w:p>
    <w:p w14:paraId="30F4E504" w14:textId="3611635F"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 xml:space="preserve">DESeq2 analyses at the genus level, using non-rarefied counts and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as the reference, identified key taxa associated with COPD status and MP </w:t>
      </w:r>
      <w:proofErr w:type="gramStart"/>
      <w:r>
        <w:rPr>
          <w:rFonts w:ascii="Times New Roman Regular" w:hAnsi="Times New Roman Regular" w:cs="Times New Roman Regular"/>
        </w:rPr>
        <w:t>infection(</w:t>
      </w:r>
      <w:proofErr w:type="gramEnd"/>
      <w:r>
        <w:rPr>
          <w:rFonts w:ascii="Times New Roman Regular" w:hAnsi="Times New Roman Regular" w:cs="Times New Roman Regular"/>
          <w:color w:val="FF0000"/>
        </w:rPr>
        <w:t xml:space="preserve">Figure 6, Table </w:t>
      </w:r>
      <w:r w:rsidR="00B30ECE">
        <w:rPr>
          <w:rFonts w:ascii="Times New Roman Regular" w:hAnsi="Times New Roman Regular" w:cs="Times New Roman Regular"/>
          <w:color w:val="FF0000"/>
        </w:rPr>
        <w:t>1</w:t>
      </w:r>
      <w:r>
        <w:rPr>
          <w:rFonts w:ascii="Times New Roman Regular" w:hAnsi="Times New Roman Regular" w:cs="Times New Roman Regular"/>
        </w:rPr>
        <w:t xml:space="preserve">). Comparisons yielded 27 significantly different genera for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2 for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and 2 for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vs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w:t>
      </w:r>
      <w:proofErr w:type="spellStart"/>
      <w:r>
        <w:rPr>
          <w:rFonts w:ascii="Times New Roman Regular" w:hAnsi="Times New Roman Regular" w:cs="Times New Roman Regular"/>
        </w:rPr>
        <w:t>log₂FC</w:t>
      </w:r>
      <w:proofErr w:type="spellEnd"/>
      <w:r>
        <w:rPr>
          <w:rFonts w:ascii="Times New Roman Regular" w:hAnsi="Times New Roman Regular" w:cs="Times New Roman Regular"/>
        </w:rPr>
        <w:t>| &gt; 1).</w:t>
      </w:r>
    </w:p>
    <w:p w14:paraId="3E028A5E"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Limosilactobacillus</w:t>
      </w:r>
      <w:proofErr w:type="spellEnd"/>
      <w:r>
        <w:rPr>
          <w:rFonts w:ascii="Times New Roman Regular" w:hAnsi="Times New Roman Regular" w:cs="Times New Roman Regular"/>
        </w:rPr>
        <w:t xml:space="preserve"> was significantly enriched (log2FC &gt; 1,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whereas a broad panel of genera—including Streptococcus,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Treponema, Corynebacterium, RC9_gut_group, </w:t>
      </w:r>
      <w:proofErr w:type="spellStart"/>
      <w:r>
        <w:rPr>
          <w:rFonts w:ascii="Times New Roman Regular" w:hAnsi="Times New Roman Regular" w:cs="Times New Roman Regular"/>
        </w:rPr>
        <w:t>Romboutsia</w:t>
      </w:r>
      <w:proofErr w:type="spellEnd"/>
      <w:r>
        <w:rPr>
          <w:rFonts w:ascii="Times New Roman Regular" w:hAnsi="Times New Roman Regular" w:cs="Times New Roman Regular"/>
        </w:rPr>
        <w:t xml:space="preserve"> and members of </w:t>
      </w:r>
      <w:proofErr w:type="spellStart"/>
      <w:r>
        <w:rPr>
          <w:rFonts w:ascii="Times New Roman Regular" w:hAnsi="Times New Roman Regular" w:cs="Times New Roman Regular"/>
        </w:rPr>
        <w:t>Absconditabacteriales</w:t>
      </w:r>
      <w:proofErr w:type="spellEnd"/>
      <w:r>
        <w:rPr>
          <w:rFonts w:ascii="Times New Roman Regular" w:hAnsi="Times New Roman Regular" w:cs="Times New Roman Regular"/>
        </w:rPr>
        <w:t xml:space="preserve">—were markedly depleted (log2FC &lt; −1,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This pattern suggests that AECOPD without MP infection is characterized predominantly by the loss of health-associated commensals and community thinning, rather than the expansion of a single dominant pathogen.</w:t>
      </w:r>
    </w:p>
    <w:p w14:paraId="02830FAB" w14:textId="77777777" w:rsidR="005F0A18" w:rsidRDefault="005F0A18">
      <w:pPr>
        <w:spacing w:line="360" w:lineRule="auto"/>
        <w:rPr>
          <w:rFonts w:ascii="Times New Roman Regular" w:hAnsi="Times New Roman Regular" w:cs="Times New Roman Regular"/>
        </w:rPr>
      </w:pPr>
    </w:p>
    <w:p w14:paraId="78FCCC97"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only two genera were significantly altered relative to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with Corynebacterium enriched and Moraxella depleted (both |</w:t>
      </w:r>
      <w:proofErr w:type="spellStart"/>
      <w:r>
        <w:rPr>
          <w:rFonts w:ascii="Times New Roman Regular" w:hAnsi="Times New Roman Regular" w:cs="Times New Roman Regular"/>
        </w:rPr>
        <w:t>log₂FC</w:t>
      </w:r>
      <w:proofErr w:type="spellEnd"/>
      <w:r>
        <w:rPr>
          <w:rFonts w:ascii="Times New Roman Regular" w:hAnsi="Times New Roman Regular" w:cs="Times New Roman Regular"/>
        </w:rPr>
        <w:t xml:space="preserve">| &gt; 1,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pointing to a subtle but specific reshaping of the airway microbiota even during clinical stability. In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Moraxella and </w:t>
      </w:r>
      <w:proofErr w:type="spellStart"/>
      <w:r>
        <w:rPr>
          <w:rFonts w:ascii="Times New Roman Regular" w:hAnsi="Times New Roman Regular" w:cs="Times New Roman Regular"/>
        </w:rPr>
        <w:t>Pseudarcobacter</w:t>
      </w:r>
      <w:proofErr w:type="spellEnd"/>
      <w:r>
        <w:rPr>
          <w:rFonts w:ascii="Times New Roman Regular" w:hAnsi="Times New Roman Regular" w:cs="Times New Roman Regular"/>
        </w:rPr>
        <w:t xml:space="preserve"> were significantly decreased compared with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padj</w:t>
      </w:r>
      <w:proofErr w:type="spellEnd"/>
      <w:r>
        <w:rPr>
          <w:rFonts w:ascii="Times New Roman Regular" w:hAnsi="Times New Roman Regular" w:cs="Times New Roman Regular"/>
        </w:rPr>
        <w:t xml:space="preserve"> &lt; 0.05), and the consistent depletion of Moraxella in both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suggests particular sensitivity of this genus to COPD-related inflammation and/or treatment exposure. Volcano plots and the log₂ fold-change heatmap (Genus_DESeq2_log2FC_heatmap.pdf) summarize these patterns, highlighting that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exhibits the most extensive depletion of commensal genera, whereas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display more limited but distinct alterations in specific taxa.</w:t>
      </w:r>
    </w:p>
    <w:p w14:paraId="1541A2EA" w14:textId="77777777" w:rsidR="005F0A18" w:rsidRDefault="005F0A18">
      <w:pPr>
        <w:spacing w:line="360" w:lineRule="auto"/>
        <w:rPr>
          <w:rFonts w:ascii="Times New Roman Regular" w:hAnsi="Times New Roman Regular" w:cs="Times New Roman Regular"/>
          <w:b/>
          <w:bCs/>
        </w:rPr>
      </w:pPr>
    </w:p>
    <w:p w14:paraId="12139E56"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t>3.6 Predicted functional profiles of the airway microbiome</w:t>
      </w:r>
    </w:p>
    <w:p w14:paraId="15AE0CFB" w14:textId="4FFCF27A"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FAPROTAX-based functional prediction showed that these taxonomic shifts were accompanied by systematic changes in ecological functions (</w:t>
      </w:r>
      <w:r>
        <w:rPr>
          <w:rFonts w:ascii="Times New Roman Regular" w:hAnsi="Times New Roman Regular" w:cs="Times New Roman Regular"/>
          <w:color w:val="FF0000"/>
        </w:rPr>
        <w:t xml:space="preserve">Figure 7, Table </w:t>
      </w:r>
      <w:r w:rsidR="00B30ECE">
        <w:rPr>
          <w:rFonts w:ascii="Times New Roman Regular" w:hAnsi="Times New Roman Regular" w:cs="Times New Roman Regular"/>
          <w:color w:val="FF0000"/>
        </w:rPr>
        <w:t>1</w:t>
      </w:r>
      <w:r>
        <w:rPr>
          <w:rFonts w:ascii="Times New Roman Regular" w:hAnsi="Times New Roman Regular" w:cs="Times New Roman Regular"/>
        </w:rPr>
        <w:t xml:space="preserve">). Functions related to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xml:space="preserve"> and fermentation (e.g.,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aerobic_chemoheterotrophy</w:t>
      </w:r>
      <w:proofErr w:type="spellEnd"/>
      <w:r>
        <w:rPr>
          <w:rFonts w:ascii="Times New Roman Regular" w:hAnsi="Times New Roman Regular" w:cs="Times New Roman Regular"/>
        </w:rPr>
        <w:t xml:space="preserve">, fermentation) displayed altered relative abundances, with COPD groups often exhibiting higher contributions than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(ANOVA P &lt; 0.05).</w:t>
      </w:r>
    </w:p>
    <w:p w14:paraId="5134B473" w14:textId="77777777" w:rsidR="005F0A18" w:rsidRDefault="005F0A18">
      <w:pPr>
        <w:spacing w:line="360" w:lineRule="auto"/>
        <w:rPr>
          <w:rFonts w:ascii="Times New Roman Regular" w:hAnsi="Times New Roman Regular" w:cs="Times New Roman Regular"/>
        </w:rPr>
      </w:pPr>
    </w:p>
    <w:p w14:paraId="6DFB939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Notably, functions annotated as </w:t>
      </w:r>
      <w:proofErr w:type="spellStart"/>
      <w:r>
        <w:rPr>
          <w:rFonts w:ascii="Times New Roman Regular" w:hAnsi="Times New Roman Regular" w:cs="Times New Roman Regular"/>
        </w:rPr>
        <w:t>human_gut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mammal_gut</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human_pathogens_gastroenteritis</w:t>
      </w:r>
      <w:proofErr w:type="spellEnd"/>
      <w:r>
        <w:rPr>
          <w:rFonts w:ascii="Times New Roman Regular" w:hAnsi="Times New Roman Regular" w:cs="Times New Roman Regular"/>
        </w:rPr>
        <w:t xml:space="preserve"> were significantly enriched in COPD, especially in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(mean 3.2% vs 0.8% in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P &lt; 0.05), in line with the observed loss of classical oral commensals and the relative enrichment of gut-like or pathogen-associated genera. Nitrogen- and sulfur-related pathways such as </w:t>
      </w:r>
      <w:proofErr w:type="spellStart"/>
      <w:r>
        <w:rPr>
          <w:rFonts w:ascii="Times New Roman Regular" w:hAnsi="Times New Roman Regular" w:cs="Times New Roman Regular"/>
        </w:rPr>
        <w:t>nitrate_reduction</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respiration_of_sulfur_compounds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sulfate_respiration</w:t>
      </w:r>
      <w:proofErr w:type="spellEnd"/>
      <w:r>
        <w:rPr>
          <w:rFonts w:ascii="Times New Roman Regular" w:hAnsi="Times New Roman Regular" w:cs="Times New Roman Regular"/>
        </w:rPr>
        <w:t xml:space="preserve"> also showed group-dependent differences (P &lt; 0.05), indicating that COPD and MP infection reshape not only taxonomic composition but also the predicted metabolic capabilities of the sputum microbiome. Together, these functional predictions support a shift toward a more gut-like, pathogen-enriched and metabolically altered airway ecosystem in COPD, particularly in AECOPD without MP co-infection.</w:t>
      </w:r>
    </w:p>
    <w:p w14:paraId="675AE731" w14:textId="77777777" w:rsidR="005F0A18" w:rsidRDefault="005F0A18">
      <w:pPr>
        <w:spacing w:line="360" w:lineRule="auto"/>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25643811" w14:textId="77777777" w:rsidR="005F0A18" w:rsidRDefault="00FB030D">
      <w:pPr>
        <w:spacing w:line="360" w:lineRule="auto"/>
        <w:rPr>
          <w:rFonts w:ascii="Times New Roman Regular" w:hAnsi="Times New Roman Regular" w:cs="Times New Roman Regular"/>
          <w:b/>
          <w:bCs/>
        </w:rPr>
      </w:pPr>
      <w:r>
        <w:rPr>
          <w:rFonts w:ascii="Times New Roman Regular" w:hAnsi="Times New Roman Regular" w:cs="Times New Roman Regular"/>
          <w:b/>
          <w:bCs/>
        </w:rPr>
        <w:lastRenderedPageBreak/>
        <w:t>4. Discussion</w:t>
      </w:r>
    </w:p>
    <w:p w14:paraId="10C7A1EB"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 this cross-sectional study of 58 elderly participants from </w:t>
      </w:r>
      <w:proofErr w:type="spellStart"/>
      <w:r>
        <w:rPr>
          <w:rFonts w:ascii="Times New Roman Regular" w:hAnsi="Times New Roman Regular" w:cs="Times New Roman Regular"/>
        </w:rPr>
        <w:t>Pu’er</w:t>
      </w:r>
      <w:proofErr w:type="spellEnd"/>
      <w:r>
        <w:rPr>
          <w:rFonts w:ascii="Times New Roman Regular" w:hAnsi="Times New Roman Regular" w:cs="Times New Roman Regular"/>
        </w:rPr>
        <w:t>, we characterized how the sputum microbiome shifts from health to stable COPD and acute exacerbations, and how these patterns are modulated by concomitant Mycoplasma pneumoniae infection. By combining high-resolution 16S rRNA sequencing with an integrated ecological and functional pipeline, we observed that COPD is not defined by the emergence of a single dominant pathogen, but rather by progressive simplification and destabilization of an oral-like airway community, superimposed on which distinct ecological “states” emerge in exacerbations with and without MP</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{"citationID":"BevEtOpO","properties":{"formattedCitation":"(Huang and Boushey, 2015; Yang et al., 2021; Zhang et al., 2022)","plainCitation":"(Huang and Boushey, 2015; Yang et al., 2021; Zhang et al., 2022)","noteIndex":0},"citationItems":[{"id":73,"uris":["http://zotero.org/users/local/37x8FyPE/items/JP9ECSP5"],"itemData":{"id":73,"type":"article-journal","abstract":"Acute exacerbations of chronic obstructive pulmonary disease (COPD) are thought to be associated with--and perhaps to mediate--accelerated loss of lung function in COPD. Although the application of culture-independent methods for detection of bacteria have shown COPD to be associated with marked differences in the burden, diversity, and composition of the bronchial bacterial microbiome, few studies have examined the changes associated with community-acquired exacerbations of the disease. In a longitudinal cohort study of COPD, the availability of sputum samples from subjects obtained at the onset of an exacerbation and during periods of clinical stability before and after the event enabled us to recently address this gap in knowledge, using culture-independent, 16S rRNA-based analysis methods combined with in silico inference of metagenomic functions. We observed sputum bacterial composition to be generally stable over the preexacerbation period of clinical stability, but to change at the time of exacerbation, with specific enrichment in not only typical COPD-associated bacterial species (e.g., Haemophilus influenzae) but also other phylogenetically related species with pathogenic potential. Concurrently, we observed depleted abundance of other bacteria whose predicted metagenomes suggest functional capacities to produce a variety of antiinflammatory compounds. Most strikingly, we found that resolution of these exacerbation-related changes in sputum microbiota composition differed significantly, depending on the exacerbation treatments prescribed. Treatment with corticosteroids resulted in microbiome enrichment for a number of bacterial communities, mostly members of the Proteobacteria phylum, whereas prolonged suppression of microbiota was seen in those treated with antibiotics alone. Taken together, our findings suggest that exacerbations of COPD are associated with heterogeneous changes in the bronchial microbiome, with increases in the abundance of species related to typical COPD pathogens and decreases in microbiota members that contribute to compositional and functional homeostasis. The findings further suggest that exacerbation treatments may have very different impacts on the bronchial microbiome's rate of return toward baseline composition.","container-title":"Annals of the American Thoracic Society","DOI":"10.1513/AnnalsATS.201506-319AW","ISSN":"2325-6621","issue":"Suppl 2","journalAbbreviation":"Ann Am Thorac Soc","language":"eng","note":"PMID: 26595736\nPMCID: PMC4722839","page":"S176-180","source":"PubMed","title":"The Sputum Microbiome in Chronic Obstructive Pulmonary Disease Exacerbations","volume":"12 Suppl 2","author":[{"family":"Huang","given":"Yvonne J."},{"family":"Boushey","given":"Homer A."}],"issued":{"date-parts":[["2015",11]]}}},{"id":71,"uris":["http://zotero.org/users/local/37x8FyPE/items/Z3ZANRDS"],"itemData":{"id":71,"type":"article-journal","abstract":"BACKGROUND: Chronic obstructive pulmonary disease (COPD) is a progressive, life-threatening lung disease with increasing prevalence and incidence worldwide. Increasing evidence suggests that lung microbiomes might play a physiological role in acute exacerbations of COPD. The objective of this study was to characterize the association of the microbiota and exacerbation risk or airflow limitation in stable COPD patients.\nMETHODS: The sputum microbiota from 78 COPD outpatients during periods of clinical stability was investigated using 16S rRNA V3-V4 amplicon sequencing. The microbiome profiles were compared between patients with different risks of exacerbation, i.e., the low risk exacerbator (LRE) or high risk exacerbator (HRE) groups, and with different airflow limitation severity, i.e., mild to moderate (FEV1 </w:instrText>
      </w:r>
      <w:r>
        <w:rPr>
          <w:rFonts w:ascii="Times New Roman Regular" w:hAnsi="Times New Roman Regular" w:cs="Times New Roman Regular" w:hint="eastAsia"/>
        </w:rPr>
        <w:instrText>≥</w:instrText>
      </w:r>
      <w:r>
        <w:rPr>
          <w:rFonts w:ascii="Times New Roman Regular" w:hAnsi="Times New Roman Regular" w:cs="Times New Roman Regular"/>
        </w:rPr>
        <w:instrText xml:space="preserve"> 50; PFT I) or severe to very severe (FEV1 &lt; 50; PFT II).\nRESULTS: The bacterial diversity (Chao1 and observed OTUs) was significantly decreased in the HRE group compared to that in the LRE group. The top 3 dominant phyla in sputum were Firmicutes, Actinobacteria, and Proteobacteria, which were similar in the HRE and LRE groups. At the genus level, compared to that in the LRE group (41.24%), the proportion of Streptococcus was slightly decreased in the HRE group (28.68%) (p = 0.007). However, the bacterial diversity and the proportion of dominant bacteria at the phylum and genus levels were similar between the PFT I and PFT II groups. Furthermore, the relative abundances of Gemella morbillorum, Prevotella histicola, and Streptococcus gordonii were decreased in the HRE group compared to those in the LRE group according to linear discriminant analysis effect size (LEfSe). Microbiome network analysis suggested altered bacterial cooperative regulation in different exacerbation phenotypes. The proportions of Proteobacteria and Neisseria were negatively correlated with the FEV1/FVC value. According to functional prediction of sputum bacterial communities through Phylogenetic Investigation of Communities by Reconstruction of Unobserved States (PICRUSt) analysis, genes involved in lipopolysaccharide biosynthesis and energy metabolism were enriched in the HRE group.\nCONCLUSION: The present study revealed that the sputum microbiome changed in COPD patients with different risks of exacerbation. Additionally, the bacterial cooperative networks were altered in the HRE patients and may contribute to disease exacerbation. Our results provide evidence that sputum microbiome community dysbiosis is associated with different COPD phenotypes, and we hope that by understanding the lung microbiome, a potentially modifiable clinical factor, further targets for improved COPD therapies during the clinically stable state may be elucidated.","container-title":"Journal of Translational Medicine","DOI":"10.1186/s12967-021-02788-4","ISSN":"1479-5876","issue":"1","journalAbbreviation":"J Transl Med","language":"eng","note":"PMID: 33757530\nPMCID: PMC7988976","page":"121","source":"PubMed","title":"Association of exacerbation phenotype with the sputum microbiome in chronic obstructive pulmonary disease patients during the clinically stable state","volume":"19","author":[{"family":"Yang","given":"Chia-Yu"},{"family":"Li","given":"Shiao-Wen"},{"family":"Chin","given":"Chia-Yin"},{"family":"Hsu","given":"Chia-Wei"},{"family":"Lee","given":"Chi-Ching"},{"family":"Yeh","given":"Yuan-Ming"},{"family":"Wu","given":"Kuo-An"}],"issued":{"date-parts":[["2021",3,23]]}}},{"id":68,"uris":["http://zotero.org/users/local/37x8FyPE/items/QWKKKCSK"],"itemData":{"id":68,"type":"article-journal","abstract":"BACKGROUND: Respiratory infectious complications remain a major cause of morbidity and mortality in children with hematological malignancies. Knowledge regarding the lung microbiome in aforementioned children is limited.\nMETHODS: A prospective cohort was conducted, enrolling 16 children with hematological malignancies complicated with moderate-to-severe lower respiratory tract infections (LRTIs) versus 21 LRTI children with age, gender, weight, and infection severity matched, with no underlying malignancies, to evaluate the lung microbiome from bronchoalveolar lavage fluid samples in different groups.\nRESULTS: The lung microbiome from children with hematological malignancies and LRTIs showed obviously decreased α and β diversity; increased microbial function in infectious disease:bacteria/parasite; drug resistance:antimicrobial and human pathogenesis than the control group; a significantly reduced proportion of Firmicutes, Bacteroidota, Actinobacteriota; increased Proteobacteria at the phylum level; and distinctly elevated Parabacteroides, Klebsiella, Grimontia, Escherichia_Shigella, unclassified_Enterobacteriaceae at the genus level than the control group. Furthermore, it was revealed that α diversity (Shannon), β diversity (Bray-Curtis dissimilarity), Proteobacteria at the phylum level, and unclassified_Enterobacteriaceae and Escherichia_Shigella at the genus level were significantly negatively associated with hospitalization course whereas Firmicutes at the phylum level was established positively correlated with the hospitalization course.\nCONCLUSIONS: Children with hematological malignancies and LRTIs showed obviously decreased α and β diversity, significantly increased function in infectious disease pathogenesis, antimicrobial drug resistance, and unfavorable environment tolerance. Moreover, α diversity (Shannon), β diversity (Bray-Curtis dissimilarity), and Proteobacteria may be used as negative correlated predictors for hospitalization course in these children whereas Firmicutes may be utilized as a positive correlated predictor.","container-title":"Frontiers in Oncology","DOI":"10.3389/fonc.2022.932709","ISSN":"2234-943X","journalAbbreviation":"Front Oncol","language":"eng","note":"PMID: 36212487\nPMCID: PMC9533145","page":"932709","source":"PubMed","title":"Lung microbiome in children with hematological malignancies and lower respiratory tract infections","volume":"12","author":[{"family":"Zhang","given":"Yun"},{"family":"Ning","given":"Haonan"},{"family":"Zheng","given":"Wenyu"},{"family":"Liu","given":"Jing"},{"family":"Li","given":"Fuhai"},{"family":"Chen","given":"Junfei"}],"issued":{"date-parts":[["2022"]]}}}],"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(Huang and Boushey, 2015; Yang et al., 2021; Zhang et al., 2022)</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These findings extend current concepts of airway dysbiosis in COPD and highlight that host–microbe imbalance in the lower airways is multidimensional, involving changes in diversity, composition and predicted functional capacity</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{"citationID":"6sgulLGi","properties":{"formattedCitation":"(Kou et al., 2024a; Mammen and Sethi, 2016a)","plainCitation":"(Kou et al., 2024a; Mammen and Sethi, 2016a)","noteIndex":0},"citationItems":[{"id":78,"uris":["http://zotero.org/users/local/37x8FyPE/items/BPBNFG6D"],"itemData":{"id":78,"type":"article-journal","abstract":"BACKGROUND: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id":76,"uris":["http://zotero.org/users/local/37x8FyPE/items/5EWPYFY4"],"itemData":{"id":76,"type":"article-journal","abstract":"Traditional culture techniques confirm that bacteria have an important role in Chronic Obstructive Pulmonary Disease (COPD). In individuals with COPD, acquisition of novel bacterial strains is associated with onset of acute exacerbation of COPD, which leads to further lung dysfunction and enormous health-care costs. Recent study of the human microbiome, the total composite of the bacteria on the human body, posited the microbiome as the last human organ studied, as the microbiome performs a multitude of metabolic functions absent in the human genome. The largest project to study the human microbiome was the National Institutes of Health (NIH) human microbiome project (HMP) started in 2007 to understand the 'normal' microbiome. However due to the presumption that the healthy human lung was sterile, the respiratory tract was not included in that study. The advent of next-generation sequencing technologies has allowed the investigation of the human respiratory microbiome, which revealed that the healthy lung does have a robust microbiome. Subsequent studies in individuals with COPD revealed that the microbiome composition fluctuates with severity of COPD, composition of the individual aero-digestive tract microbiomes, age, during an acute exacerbation of COPD and with the use of steroids and/or antibiotics. Understanding the impact of the microbiome on COPD progression and risk of exacerbation will lead to directed therapies for prevention of COPD progression and exacerbation.","container-title":"Respirology (Carlton, Vic.)","DOI":"10.1111/resp.12732","ISSN":"1440-1843","issue":"4","journalAbbreviation":"Respirology","language":"eng","note":"PMID: 26852737","page":"590-599","source":"PubMed","title":"COPD and the microbiome","volume":"21","author":[{"family":"Mammen","given":"Manoj J."},{"family":"Sethi","given":"Sanjay"}],"issued":{"date-parts":[["2016",5]]}}}],"schema":"https://github.com/citation-style-language/schema/raw/master/csl-citation.json"}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(Kou et al., 2024a; Mammen and Sethi, 2016a)</w:t>
      </w:r>
      <w:r>
        <w:rPr>
          <w:rFonts w:ascii="Times New Roman Regular" w:hAnsi="Times New Roman Regular" w:cs="Times New Roman Regular"/>
        </w:rPr>
        <w:fldChar w:fldCharType="end"/>
      </w:r>
      <w:r>
        <w:rPr>
          <w:rFonts w:ascii="Times New Roman Regular" w:hAnsi="Times New Roman Regular" w:cs="Times New Roman Regular" w:hint="eastAsia"/>
        </w:rPr>
        <w:t>.</w:t>
      </w:r>
    </w:p>
    <w:p w14:paraId="559B819F" w14:textId="77777777" w:rsidR="005F0A18" w:rsidRDefault="005F0A18">
      <w:pPr>
        <w:spacing w:line="360" w:lineRule="auto"/>
        <w:rPr>
          <w:rFonts w:ascii="Times New Roman Regular" w:hAnsi="Times New Roman Regular" w:cs="Times New Roman Regular"/>
        </w:rPr>
      </w:pPr>
    </w:p>
    <w:p w14:paraId="49C89504"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A consistent signal in our cohort was the gradual loss of microbial richness and evenness from healthy controls to stable COPD and AECOPD. This “microbial simplification” has been described in other chronic airway diseases and is increasingly interpreted as a marker of reduced ecological resilience</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{"citationID":"u1BmH53A","properties":{"formattedCitation":"(Choi et al., 2024; Mammen and Sethi, 2016b)","plainCitation":"(Choi et al., 2024; Mammen and Sethi, 2016b)","noteIndex":0},"citationItems":[{"id":80,"uris":["http://zotero.org/users/local/37x8FyPE/items/SJZ49C35"],"itemData":{"id":80,"type":"article-journal","abstract":"BACKGROUND: Microbial profiles in patients with chronic obstructive pulmonary disease (COPD) provide insights for predicting, preventing, and treating exacerbations. This study aimed to analyze the impact of microbial diversity and spectrum on COPD exacerbation.\nMETHODS: From November 1, 2018, to May 31, 2023, we prospectively enrolled patients with stable disease (SD) and exacerbation of COPD (ECOPD). Sputum samples were collected for microbiome DNA sequencing, and amplicon sequence variants were analyzed.\nRESULTS: We collected sputum samples from 38 patients: 17 samples from patients with SD and samples from patients with ECOPD at two time points-during exacerbation (AE-1: 21 samples) and again during stabilization after 2 weeks of treatment (AE-2: 17 samples). Alpha diversity indices, specifically observed feature count and Fisher's alpha index, were significantly higher in SD (133.0 [98.0-145.0]; 17.1 [12.7-19.6]) compared to AE-1 (88.0 [72.0-125.0], p = 0.025; 10.9 [8.5-16.1], p = 0.031). The SD showed significantly higher abundances of Neisseria (linear discriminant analysis [LDA] 4.996, adj.p = 0.021), Fusobacterium (LDA 3.688, adj.p = 0.047), and Peptostreptococcus (LDA 3.379, adj.p = 0.039) at the genus level compared to AE-1. At the species level, N. perflava (LDA 5.074, adj.p = 0.010) and H. parainfluenzae (LDA 4.467, adj. p = 0.011) were more abundant in SD. Hub genera in the microbial network included Haemophilus, Granulicatella, Neisseria, Lactobacillus, and Butyrivibrio in SD and Streptococcus, Gemella, Actinomyces, Klebsiella, and Staphylococcus in AE-1.\nCONCLUSION: COPD exacerbations are linked to changes in specific strains of normal flora. Maintaining microbial diversity and balance within the microbial network is critical for preventing and managing COPD exacerbations.","container-title":"Frontiers in Microbiology","DOI":"10.3389/fmicb.2024.1507090","ISSN":"1664-302X","journalAbbreviation":"Front Microbiol","language":"eng","note":"PMID: 39712895\nPMCID: PMC11659282","page":"1507090","source":"PubMed","title":"Dynamic microbial changes in exacerbation of chronic obstructive pulmonary disease","volume":"15","author":[{"family":"Choi","given":"Yong Jun"},{"family":"Park","given":"Hye Jung"},{"family":"Kim","given":"Chi Young"},{"family":"Choi","given":"Aeri"},{"family":"Cho","given":"Jae Hwa"},{"family":"Byun","given":"Min Kwang"}],"issued":{"date-parts":[["2024"]]}}},{"id":82,"uris":["http://zotero.org/users/local/37x8FyPE/items/ZRMDLYLU"],"itemData":{"id":82,"type":"article-journal","abstract":"Traditional culture techniques confirm that bacteria have an important role in Chronic Obstructive Pulmonary Disease (COPD). In individuals with COPD, acquisition of novel bacterial strains is associated with onset of acute exacerbation of COPD, which leads to further lung dysfunction and enormous health-care costs. Recent study of the human microbiome, the total composite of the bacteria on the human body, posited the microbiome as the last human organ studied, as the microbiome performs a multitude of metabolic functions absent in the human genome. The largest project to study the human microbiome was the National Institutes of Health (NIH) human microbiome project (HMP) started in 2007 to understand the 'normal' microbiome. However due to the presumption that the healthy human lung was sterile, the respiratory tract was not included in that study. The advent of next-generation sequencing technologies has allowed the investigation of the human respiratory microbiome, which revealed that the healthy lung does have a robust microbiome. Subsequent studies in individuals with COPD revealed that the microbiome composition fluctuates with severity of COPD, composition of the individual aero-digestive tract microbiomes, age, during an acute exacerbation of COPD and with the use of steroids and/or antibiotics. Understanding the impact of the microbiome on COPD progression and risk of exacerbation will lead to directed therapies for prevention of COPD progression and exacerbation.","container-title":"Respirology (Carlton, Vic.)","DOI":"10.1111/resp.12732","ISSN":"1440-1843","issue":"4","journalAbbreviation":"Respirology","language":"eng","note":"PMID: 26852737","page":"590-599","source":"PubMed","title":"COPD and the microbiome","volume":"21","author":[{"family":"Mammen","given":"Manoj J."},{"family":"Sethi","given":"Sanjay"}],"issued":{"date-parts":[["2016",5]]}}}],"schema":"https://github.com/citation-style-language/schema/raw/master/csl-citation.json"}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(Choi et al., 2024; Mammen and Sethi, 2016b)</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In an elderly population where age was comparable across groups, the observed decrease in Chao1 and Shannon indices and the increase in within-group dissimilarity suggest that disease-related factors—rather than aging per se—erode the redundancy and stability of the airway ecosystem. Once diversity is lost, communities may become more vulnerable to perturbations such as viral infections, antibiotic exposure or environmental insults, and less able to return to a pre-exacerbation configuration</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{"citationID":"AQ7S6rr8","properties":{"formattedCitation":"(Bouquet et al., 2020)","plainCitation":"(Bouquet et al., 2020)","noteIndex":0},"citationItems":[{"id":84,"uris":["http://zotero.org/users/local/37x8FyPE/items/3M2VFE2P"],"itemData":{"id":84,"type":"article-journal","abstract":"BACKGROUND: Chronic obstructive pulmonary disease (COPD) is a heterogeneous disease characterized by frequent exacerbation phenotypes independent of disease stage. Increasing evidence shows that the microbiota plays a role in disease progression and severity, but long-term and international multicenter assessment of the variations in viral and bacterial communities as drivers of exacerbations are lacking.\nMETHODS: Two-hundred severe COPD patients from Europe and North America were followed longitudinally for 3 years. We performed nucleic acid detection for 20 respiratory viruses and 16S ribosomal RNA gene sequencing to evaluate the bacterial microbiota in 1179 sputum samples collected at stable, acute exacerbation and follow-up visits.\nRESULTS: Similar viral and bacterial taxa were found in patients from the USA compared to Bulgaria and Czech Republic but their microbiome diversity was significantly different (P &lt; 0.001) and did not impact exacerbation rates. Virus infection was strongly associated with exacerbation events (P &lt; 5E-20). Human rhinovirus (13.1%), coronavirus (5.1%) and influenza virus (3.6%) constitute the top viral pathogens in triggering exacerbation. Moraxella and Haemophilus were 5-fold and 1.6-fold more likely to be the dominating microbiota during an exacerbation event. Presence of Proteobacteria such as Pseudomonas or Staphylococcus amongst others, were associated with exacerbation events (OR &gt; 0.17; P &lt; 0.02) but more strongly associated with exacerbation frequency (OR &gt; 0.39; P &lt; 4E-10), as confirmed by longitudinal variations and biotyping of the bacterial microbiota, and suggesting a role of the microbiota in sensitizing the lung.\nCONCLUSIONS: This study highlights bacterial taxa in lung sensitization and viral triggers in COPD exacerbations. It provides a global overview of the diverse targets for drug development and explores new microbiome analysis methods to guide future patient management applications.","container-title":"Respiratory Research","DOI":"10.1186/s12931-020-01340-0","ISSN":"1465-993X","issue":"1","journalAbbreviation":"Respir Res","language":"eng","note":"PMID: 32228581\nPMCID: PMC7104712","page":"77","source":"PubMed","title":"Microbial burden and viral exacerbations in a longitudinal multicenter COPD cohort","volume":"21","author":[{"family":"Bouquet","given":"Jerome"},{"family":"Tabor","given":"David E."},{"family":"Silver","given":"Jonathan S."},{"family":"Nair","given":"Varsha"},{"family":"Tovchigrechko","given":"Andrey"},{"family":"Griffin","given":"M. Pamela"},{"family":"Esser","given":"Mark T."},{"family":"Sellman","given":"Bret R."},{"family":"Jin","given":"Hong"}],"issued":{"date-parts":[["2020",3,30]]}}}],"schema":"https://github.com/citation-style-language/schema/raw/master/csl-citation.json"}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(Bouquet et al., 2020)</w:t>
      </w:r>
      <w:r>
        <w:rPr>
          <w:rFonts w:ascii="Times New Roman Regular" w:hAnsi="Times New Roman Regular" w:cs="Times New Roman Regular"/>
        </w:rPr>
        <w:fldChar w:fldCharType="end"/>
      </w:r>
      <w:r>
        <w:rPr>
          <w:rFonts w:ascii="Times New Roman Regular" w:hAnsi="Times New Roman Regular" w:cs="Times New Roman Regular"/>
        </w:rPr>
        <w:t xml:space="preserve">. The larger between-patient heterogeneity we observed in COPD groups is compatible with a scenario where individual treatment histories, comorbidities and prior colonization events push each airway microbiome into a different local “attractor state” rather than a uniform “COPD microbiome”. Clinically, this instability may help explain why some patients enter a frequent exacerbator phenotype despite similar </w:t>
      </w:r>
      <w:proofErr w:type="spellStart"/>
      <w:r>
        <w:rPr>
          <w:rFonts w:ascii="Times New Roman Regular" w:hAnsi="Times New Roman Regular" w:cs="Times New Roman Regular"/>
        </w:rPr>
        <w:t>spirometric</w:t>
      </w:r>
      <w:proofErr w:type="spellEnd"/>
      <w:r>
        <w:rPr>
          <w:rFonts w:ascii="Times New Roman Regular" w:hAnsi="Times New Roman Regular" w:cs="Times New Roman Regular"/>
        </w:rPr>
        <w:t xml:space="preserve"> severity</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{"citationID":"z8X2dK67","properties":{"formattedCitation":"(Dicker et al., 2021b; Huang et al., 2014b)","plainCitation":"(Dicker et al., 2021b; Huang et al., 2014b)","noteIndex":0},"citationItems":[{"id":92,"uris":["http://zotero.org/users/local/37x8FyPE/items/A2P6DG22"],"itemData":{"id":92,"type":"article-journal","abstract":"BACKGROUND: The sputum microbiome has a potential role in disease phenotyping and risk stratification in chronic obstructive pulmonary disease (COPD), but few large longitudinal cohort studies exist.\nOBJECTIVE: Our aim was to investigate the COPD sputum microbiome and its association with inflammatory phenotypes and mortality.\nMETHODS: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data.\nRESULTS: Proteobacteria dominance and lower diversity was associated with more severe COPD according to the Global Initiative for Chronic Obstructive Lung Disease classification system (P = .0015), more frequent exacerbations (P = .0042), blood eosinophil level less than or equal to 100 cells/μL (P &lt; .0001), and lower FEV1 (P =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 .0017 and hazard ratio = 7.47; 95% CI = 1.02-54.86; P = .048, respectively). Integrated omics analysis showed significant associations between Proteobacteria dominance and the neutrophil activation pathway in sputum.\nCONCLUSION: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mortality.","container-title":"The Journal of Allergy and Clinical Immunology","DOI":"10.1016/j.jaci.2020.02.040","ISSN":"1097-6825","issue":"1","journalAbbreviation":"J Allergy Clin Immunol","language":"eng","note":"PMID: 32353489","page":"158-167","source":"PubMed","title":"The sputum microbiome, airway inflammation, and mortality in chronic obstructive pulmonary disease","volume":"147","author":[{"family":"Dicker","given":"Alison J."},{"family":"Huang","given":"Jeffrey T. J."},{"family":"Lonergan","given":"Mike"},{"family":"Keir","given":"Holly R."},{"family":"Fong","given":"Christopher J."},{"family":"Tan","given":"Brandon"},{"family":"Cassidy","given":"Andrew J."},{"family":"Finch","given":"Simon"},{"family":"Mullerova","given":"Hana"},{"family":"Miller","given":"Bruce E."},{"family":"Tal-Singer","given":"Ruth"},{"family":"Chalmers","given":"James D."}],"issued":{"date-parts":[["2021",1]]}}},{"id":87,"uris":["http://zotero.org/users/local/37x8FyPE/items/AS8BUXWS"],"itemData":{"id":87,"type":"article-journal","abstract":"Specific bacterial species are implicated in the pathogenesis of exacerbations of chronic obstructive pulmonary disease (COPD). However, recent studies of clinically stable COPD patients have demonstrated a greater diversity of airway microbiota, whose role in acute exacerbations is unclear. In this study, temporal changes in the airway microbiome before, at the onset of, and after an acute exacerbation were examined in 60 sputum samples collected from subjects enrolled in a longitudinal study of bacterial infection i</w:instrText>
      </w:r>
      <w:r>
        <w:rPr>
          <w:rFonts w:ascii="Times New Roman Regular" w:hAnsi="Times New Roman Regular" w:cs="Times New Roman Regular" w:hint="eastAsia"/>
        </w:rPr>
        <w:instrText>n COPD. Microbiome composition and predicted functions were examined using 16S rRNA-based culture-independent profiling methods. Shifts in the abundance (</w:instrText>
      </w:r>
      <w:r>
        <w:rPr>
          <w:rFonts w:ascii="Times New Roman Regular" w:hAnsi="Times New Roman Regular" w:cs="Times New Roman Regular" w:hint="eastAsia"/>
        </w:rPr>
        <w:instrText>≥</w:instrText>
      </w:r>
      <w:r>
        <w:rPr>
          <w:rFonts w:ascii="Times New Roman Regular" w:hAnsi="Times New Roman Regular" w:cs="Times New Roman Regular" w:hint="eastAsia"/>
        </w:rPr>
        <w:instrText xml:space="preserve"> 2-fold, P &lt; 0.05) of many taxa at exacerbation and after treatment were observed. Microbiota member</w:instrText>
      </w:r>
      <w:r>
        <w:rPr>
          <w:rFonts w:ascii="Times New Roman Regular" w:hAnsi="Times New Roman Regular" w:cs="Times New Roman Regular"/>
        </w:rPr>
        <w:instrText xml:space="preserve">s that were increased at exacerbation were primarily of the Proteobacteria phylum, including nontypical COPD pathogens. Changes in the bacterial composition after treatment for an exacerbation differed significantly among the therapy regimens clinically prescribed (antibiotics only, oral corticosteroids only, or both). Treatment with antibiotics alone primarily decreased the abundance of Proteobacteria, with the prolonged suppression of some microbiota members being observed. In contrast, treatment with corticosteroids alone led to enrichment for Proteobacteria and members of other phyla. Predicted metagenomes of particular microbiota members involved in these compositional shifts indicated exacerbation-associated loss of functions involved in the synthesis of antimicrobial and anti-inflammatory products, alongside enrichment in functions related to pathogen-elicited inflammation. These trends reversed upon clinical recovery. Further larger studies will be necessary to determine whether specific compositional or functional changes detected in the airway microbiome could be useful indicators of exacerbation development or outcome.","container-title":"Journal of Clinical Microbiology","DOI":"10.1128/JCM.00035-14","ISSN":"1098-660X","issue":"8","journalAbbreviation":"J Clin Microbiol","language":"eng","note":"PMID: 24850358\nPMCID: PMC4136157","page":"2813-2823","source":"PubMed","title":"Airway microbiome dynamics in exacerbations of chronic obstructive pulmonary disease","volume":"52","author":[{"family":"Huang","given":"Yvonne J."},{"family":"Sethi","given":"Sanjay"},{"family":"Murphy","given":"Timothy"},{"family":"Nariya","given":"Snehal"},{"family":"Boushey","given":"Homer A."},{"family":"Lynch","given":"Susan V."}],"issued":{"date-parts":[["2014",8]]}}}],"schema":"https://github.com/citation-style-language/schema/raw/master/csl-citation.json"} </w:instrText>
      </w:r>
      <w:r>
        <w:rPr>
          <w:rFonts w:ascii="Times New Roman Regular" w:hAnsi="Times New Roman Regular" w:cs="Times New Roman Regular"/>
        </w:rPr>
        <w:fldChar w:fldCharType="separate"/>
      </w:r>
      <w:r>
        <w:rPr>
          <w:rFonts w:ascii="Times New Roman" w:eastAsia="SimSun" w:hAnsi="Times New Roman" w:cs="Times New Roman"/>
          <w:szCs w:val="24"/>
        </w:rPr>
        <w:t>(Dicker et al., 2021b; Huang et al., 2014b)</w:t>
      </w:r>
      <w:r>
        <w:rPr>
          <w:rFonts w:ascii="Times New Roman Regular" w:hAnsi="Times New Roman Regular" w:cs="Times New Roman Regular"/>
        </w:rPr>
        <w:fldChar w:fldCharType="end"/>
      </w:r>
      <w:r>
        <w:rPr>
          <w:rFonts w:ascii="Times New Roman Regular" w:hAnsi="Times New Roman Regular" w:cs="Times New Roman Regular"/>
        </w:rPr>
        <w:t>.</w:t>
      </w:r>
    </w:p>
    <w:p w14:paraId="2F0995A4" w14:textId="77777777" w:rsidR="005F0A18" w:rsidRDefault="005F0A18">
      <w:pPr>
        <w:spacing w:line="360" w:lineRule="auto"/>
        <w:rPr>
          <w:rFonts w:ascii="Times New Roman Regular" w:hAnsi="Times New Roman Regular" w:cs="Times New Roman Regular"/>
        </w:rPr>
      </w:pPr>
    </w:p>
    <w:p w14:paraId="1DBE9098"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At the taxonomic level, our data support the notion that the healthy sputum microbiome in older adults largely reflects an oral commensal community, with Streptococcus, </w:t>
      </w:r>
      <w:proofErr w:type="spellStart"/>
      <w:r>
        <w:rPr>
          <w:rFonts w:ascii="Times New Roman Regular" w:hAnsi="Times New Roman Regular" w:cs="Times New Roman Regular"/>
        </w:rPr>
        <w:t>Veillonella</w:t>
      </w:r>
      <w:proofErr w:type="spellEnd"/>
      <w:r>
        <w:rPr>
          <w:rFonts w:ascii="Times New Roman Regular" w:hAnsi="Times New Roman Regular" w:cs="Times New Roman Regular"/>
        </w:rPr>
        <w:t xml:space="preserve">, Neisseria, </w:t>
      </w:r>
      <w:proofErr w:type="spellStart"/>
      <w:r>
        <w:rPr>
          <w:rFonts w:ascii="Times New Roman Regular" w:hAnsi="Times New Roman Regular" w:cs="Times New Roman Regular"/>
        </w:rPr>
        <w:t>Prevotella</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Haemophilus</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as key members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{"citationID":"0Ad8S83O","properties":{"formattedCitation":"(Gupta et al., 2021)","plainCitation":"(Gupta et al., 2021)","noteIndex":0},"citationItems":[{"id":95,"uris":["http://zotero.org/users/local/37x8FyPE/items/FMSUDUJA"],"itemData":{"id":95,"type":"article-journal","abstract":"Studying respiratory illness-specific microbial signatures and their interaction with other micro-residents could provide a better understanding of lung microbial ecology. Each respiratory illness has a specific disease etiology, however, so far no study has revealed disease-specific microbial markers. The present study was designed to determine disease-specific microbial features and their interactions with other residents in chronic obstructive pulmonary diseases (stable and exacerbated), sarcoidosis, and interstitial lung diseases. Broncho-alveolar lavage samples (n = 43) were analyzed by SSU rRNA gene sequencing to study the alveolar microbiome in these diseases. A predominance of Proteobacteria followed by Firmicutes, Bacteroidetes, Actinobacteria, and Fusobacteria was observed in all the disease subsets. Shannon diversity was significantly higher in stable COPD when compared to exacerbated chronic obstructive pulmonary disease (ECOPD) (p = 0.0061), and ILD patient samples (p = 0.037). The lung microbiome of the patients with stable COPD was more diverse in comparison to ECOPD and ILD patients (p &lt; 0.001). Lefse analysis identified 40 disease-differentiating microbial features (LDA score (log10) &gt; 4). Species network analysis indicated a significant correlation (p &lt; 0.05) of diseases specific microbial signature with other lung microbiome members. The current study strengthens the proposed hypothesis that each respiratory illness has unique microbial signatures. These microbial signatures could be used as diagnostic markers to differentiate among various respiratory illnesses.","container-title":"Scientific Reports","DOI":"10.1038/s41598-021-83524-2","ISSN":"2045-2322","issue":"1","journalAbbreviation":"Sci Rep","language":"eng","note":"PMID: 33597669\nPMCID: PMC7889618","page":"3963","source":"PubMed","title":"Comparative analysis of the alveolar microbiome in COPD, ECOPD, Sarcoidosis, and ILD patients to identify respiratory illnesses specific microbial signatures","volume":"11","author":[{"family":"Gupta","given":"Shashank"},{"family":"Shariff","given":"Malini"},{"family":"Chaturvedi","given":"Gaura"},{"family":"Sharma","given":"Agrima"},{"family":"Goel","given":"Nitin"},{"family":"Yadav","given":"Monika"},{"family":"Mortensen","given":"Martin S."},{"family":"Sørensen","given":"Søren J."},{"family":"Mukerji","given":"Mitali"},{"family":"Chauhan","given":"Nar Singh"}],"issued":{"date-parts":[["2021",2,17]]}}}],"schema":"https://github.com/citation-style-language/schema/raw/master/csl-citation.json"}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(Gupta et al., 2021)</w:t>
      </w:r>
      <w:r>
        <w:rPr>
          <w:rFonts w:ascii="Times New Roman Regular" w:hAnsi="Times New Roman Regular" w:cs="Times New Roman Regular"/>
        </w:rPr>
        <w:fldChar w:fldCharType="end"/>
      </w:r>
      <w:r>
        <w:rPr>
          <w:rFonts w:ascii="Times New Roman Regular" w:hAnsi="Times New Roman Regular" w:cs="Times New Roman Regular"/>
        </w:rPr>
        <w:t xml:space="preserve">. Stable COPD in our cohort still retained much of this architecture, but already showed subtle rearrangements, including enrichment of Corynebacterium and depletion of Moraxella compared with healthy controls. This pattern suggests that even in the absence of overt exacerbation, the airway microbiota in COPD is displaced from the healthy equilibrium and occupies an intermediate </w:t>
      </w:r>
      <w:proofErr w:type="spellStart"/>
      <w:r>
        <w:rPr>
          <w:rFonts w:ascii="Times New Roman Regular" w:hAnsi="Times New Roman Regular" w:cs="Times New Roman Regular"/>
        </w:rPr>
        <w:t>dysbiotic</w:t>
      </w:r>
      <w:proofErr w:type="spellEnd"/>
      <w:r>
        <w:rPr>
          <w:rFonts w:ascii="Times New Roman Regular" w:hAnsi="Times New Roman Regular" w:cs="Times New Roman Regular"/>
        </w:rPr>
        <w:t xml:space="preserve"> state. The most profound shifts appeared in AECOPD without MP infection, where multiple health-associated or commensal genera—such as Streptococcus, </w:t>
      </w:r>
      <w:proofErr w:type="spellStart"/>
      <w:r>
        <w:rPr>
          <w:rFonts w:ascii="Times New Roman Regular" w:hAnsi="Times New Roman Regular" w:cs="Times New Roman Regular"/>
        </w:rPr>
        <w:t>Rothia</w:t>
      </w:r>
      <w:proofErr w:type="spellEnd"/>
      <w:r>
        <w:rPr>
          <w:rFonts w:ascii="Times New Roman Regular" w:hAnsi="Times New Roman Regular" w:cs="Times New Roman Regular"/>
        </w:rPr>
        <w:t xml:space="preserve">, Treponema, RC9_gut_group, </w:t>
      </w:r>
      <w:proofErr w:type="spellStart"/>
      <w:r>
        <w:rPr>
          <w:rFonts w:ascii="Times New Roman Regular" w:hAnsi="Times New Roman Regular" w:cs="Times New Roman Regular"/>
        </w:rPr>
        <w:t>Romboutsia</w:t>
      </w:r>
      <w:proofErr w:type="spellEnd"/>
      <w:r>
        <w:rPr>
          <w:rFonts w:ascii="Times New Roman Regular" w:hAnsi="Times New Roman Regular" w:cs="Times New Roman Regular"/>
        </w:rPr>
        <w:t xml:space="preserve"> and members of </w:t>
      </w:r>
      <w:proofErr w:type="spellStart"/>
      <w:r>
        <w:rPr>
          <w:rFonts w:ascii="Times New Roman Regular" w:hAnsi="Times New Roman Regular" w:cs="Times New Roman Regular"/>
        </w:rPr>
        <w:t>Absconditabacteriales</w:t>
      </w:r>
      <w:proofErr w:type="spellEnd"/>
      <w:r>
        <w:rPr>
          <w:rFonts w:ascii="Times New Roman Regular" w:hAnsi="Times New Roman Regular" w:cs="Times New Roman Regular"/>
        </w:rPr>
        <w:t xml:space="preserve">—were significantly depleted, while </w:t>
      </w:r>
      <w:proofErr w:type="spellStart"/>
      <w:r>
        <w:rPr>
          <w:rFonts w:ascii="Times New Roman Regular" w:hAnsi="Times New Roman Regular" w:cs="Times New Roman Regular"/>
        </w:rPr>
        <w:t>Limosilactobacillus</w:t>
      </w:r>
      <w:proofErr w:type="spellEnd"/>
      <w:r>
        <w:rPr>
          <w:rFonts w:ascii="Times New Roman Regular" w:hAnsi="Times New Roman Regular" w:cs="Times New Roman Regular"/>
        </w:rPr>
        <w:t xml:space="preserve"> was enriched. Rather than a simple “pathogen overgrowth” model, these changes are more consistent with a collapse of a complex commensal network and a transition toward a less even, more fragile community dominated by fewer taxa, potentially reducing colonization resistance and mucosal immune homeostasis.</w:t>
      </w:r>
    </w:p>
    <w:p w14:paraId="32BDCCCB" w14:textId="77777777" w:rsidR="005F0A18" w:rsidRDefault="005F0A18">
      <w:pPr>
        <w:spacing w:line="360" w:lineRule="auto"/>
        <w:rPr>
          <w:rFonts w:ascii="Times New Roman Regular" w:hAnsi="Times New Roman Regular" w:cs="Times New Roman Regular"/>
        </w:rPr>
      </w:pPr>
    </w:p>
    <w:p w14:paraId="36665CB7"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Exacerbations with concomitant MP infection showed a different, more restricted pattern of alterations. In our cohort, COPD patients with </w:t>
      </w:r>
      <w:proofErr w:type="spellStart"/>
      <w:r>
        <w:rPr>
          <w:rFonts w:ascii="Times New Roman Regular" w:hAnsi="Times New Roman Regular" w:cs="Times New Roman Regular"/>
        </w:rPr>
        <w:t>AECOPD_MPpos</w:t>
      </w:r>
      <w:proofErr w:type="spellEnd"/>
      <w:r>
        <w:rPr>
          <w:rFonts w:ascii="Times New Roman Regular" w:hAnsi="Times New Roman Regular" w:cs="Times New Roman Regular"/>
        </w:rPr>
        <w:t xml:space="preserve"> exhibited significant depletion of Moraxella and </w:t>
      </w:r>
      <w:proofErr w:type="spellStart"/>
      <w:r>
        <w:rPr>
          <w:rFonts w:ascii="Times New Roman Regular" w:hAnsi="Times New Roman Regular" w:cs="Times New Roman Regular"/>
        </w:rPr>
        <w:t>Pseudarcobacter</w:t>
      </w:r>
      <w:proofErr w:type="spellEnd"/>
      <w:r>
        <w:rPr>
          <w:rFonts w:ascii="Times New Roman Regular" w:hAnsi="Times New Roman Regular" w:cs="Times New Roman Regular"/>
        </w:rPr>
        <w:t xml:space="preserve">, but did not show the same breadth of commensal loss as the MP-negative exacerbation group. The consistent depletion of Moraxella in both stable COPD and MP-positive exacerbations contrasts with reports that highlight Moraxella catarrhalis as a frequent pathogen in COPD. Several explanations are plausible, including regional epidemiology in southwestern China, high background use of antibiotics that selectively suppress Moraxella, or underpowering for specific pathogens due to modest sample size. Regardless of the exact drivers, the divergence between </w:t>
      </w:r>
      <w:proofErr w:type="spellStart"/>
      <w:r>
        <w:rPr>
          <w:rFonts w:ascii="Times New Roman Regular" w:hAnsi="Times New Roman Regular" w:cs="Times New Roman Regular"/>
        </w:rPr>
        <w:t>AECOPD_MPneg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AECOPD_MPpos</w:t>
      </w:r>
      <w:proofErr w:type="spellEnd"/>
      <w:r>
        <w:rPr>
          <w:rFonts w:ascii="Times New Roman Regular" w:hAnsi="Times New Roman Regular" w:cs="Times New Roman Regular"/>
        </w:rPr>
        <w:t xml:space="preserve"> in our data supports the idea that COPD exacerbations are microbiologically heterogeneous: some are characterized by broad community collapse without a single identified pathogen, whereas others reflect a more focused disturbance superimposed on pre-existing COPD-related dysbiosis.</w:t>
      </w:r>
    </w:p>
    <w:p w14:paraId="0FFFB193" w14:textId="77777777" w:rsidR="005F0A18" w:rsidRDefault="005F0A18">
      <w:pPr>
        <w:spacing w:line="360" w:lineRule="auto"/>
        <w:rPr>
          <w:rFonts w:ascii="Times New Roman Regular" w:hAnsi="Times New Roman Regular" w:cs="Times New Roman Regular"/>
        </w:rPr>
      </w:pPr>
    </w:p>
    <w:p w14:paraId="5F4C06C1"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Analyses of core and group-specific OTUs and inferred functional profiles add another layer to this ecological picture. The presence of a shared core set of OTUs across all four groups—accounting for the majority of total sequences—indicates that a baseline oral–airway microbiome persists even in advanced disease. However, the higher number of group-specific OTUs in COPD, particularly in AECOPD, suggests that disease and exacerbations are accompanied by the acquisition or expansion of niche-adapted taxa, possibly linked to repeated antibiotic exposure, hospitalization or </w:t>
      </w:r>
      <w:proofErr w:type="spellStart"/>
      <w:r>
        <w:rPr>
          <w:rFonts w:ascii="Times New Roman Regular" w:hAnsi="Times New Roman Regular" w:cs="Times New Roman Regular"/>
        </w:rPr>
        <w:t>microaspiration</w:t>
      </w:r>
      <w:proofErr w:type="spellEnd"/>
      <w:r>
        <w:rPr>
          <w:rFonts w:ascii="Times New Roman Regular" w:hAnsi="Times New Roman Regular" w:cs="Times New Roman Regular"/>
        </w:rPr>
        <w:t xml:space="preserve"> of oropharyngeal and gastrointestinal contents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{"citationID":"VtdCjIZs","properties":{"formattedCitation":"(Dima et al., 2019; Kou et al., 2024b)","plainCitation":"(Dima et al., 2019; Kou et al., 2024b)","noteIndex":0},"citationItems":[{"id":98,"uris":["http://zotero.org/users/local/37x8FyPE/items/MVAT3MUN"],"itemData":{"id":98,"type":"article-journal","abstract":"Chronic obstructive pulmonary disease (COPD) is a chronic inflammatory disorder with a course that is not uniform for all COPD patients. Although smoking is considered as the major cause of the disease, persistent or recurrent infections seem to play a particular role in the disease establishment and progression. COPD is characterized by dysregulated immunity that has been associated with the bacterial colonization and infections. The establishment of culture-independent techniques has shed new light on the relationships between bacterial ecology and health status and expanded our knowledge on the lung microbiome. Interactions between the host and lung microbiome result in inflammation and activation of resident cells. The lung microbiome contains populations of symbionts and pathobionts in balance which lose their equilibrium and disturb the balance of T-helper and regulatory T-cells (Treg) upon infection, or lung disease. In COPD factors such as disease severity, exacerbations, degree of inflammation, and type of treatment used (e.g inhaled or systemic steroids and antibiotics) affect the composition of lung microbiota. Recent data indicate that the presence of specific bacterial taxa in the airways has the potential to influence the host immune response and possibly to interfere with disease phenotype. Although, there is a growing body of evidence for the role of microbiome in COPD several unanswered questions still exist for its clinical relevance.","container-title":"Respiratory Medicine","DOI":"10.1016/j.rmed.2019.08.012","ISSN":"1532-3064","journalAbbreviation":"Respir Med","language":"eng","note":"PMID: 31450162","page":"1-6","source":"PubMed","title":"The lung microbiome dynamics between stability and exacerbation in chronic obstructive pulmonary disease (COPD): Current perspectives","title-short":"The lung microbiome dynamics between stability and exacerbation in chronic obstructive pulmonary disease (COPD)","volume":"157","author":[{"family":"Dima","given":"Efrosini"},{"family":"Kyriakoudi","given":"Anna"},{"family":"Kaponi","given":"Maria"},{"family":"Vasileiadis","given":"Ioannis"},{"family":"Stamou","given":"Panagiota"},{"family":"Koutsoukou","given":"Antonia"},{"family":"Koulouris","given":"Nikolaos G."},{"family":"Rovina","given":"Nikoletta"}],"issued":{"date-parts":[["2019",10]]}}},{"id":100,"uris":["http://zotero.org/users/local/37x8FyPE/items/8NJEFWU3"],"itemData":{"id":100,"type":"article-journal","abstract":"BACKGROUND: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(Dima et al., 2019; Kou et al., 2024b)</w:t>
      </w:r>
      <w:r>
        <w:rPr>
          <w:rFonts w:ascii="Times New Roman Regular" w:hAnsi="Times New Roman Regular" w:cs="Times New Roman Regular"/>
        </w:rPr>
        <w:fldChar w:fldCharType="end"/>
      </w:r>
      <w:r>
        <w:rPr>
          <w:rFonts w:ascii="Times New Roman Regular" w:hAnsi="Times New Roman Regular" w:cs="Times New Roman Regular"/>
        </w:rPr>
        <w:t xml:space="preserve">. FAPROTAX-based functional predictions further support the notion that these compositional shifts reshape the metabolic capacities of the airway community. COPD groups displayed increased contributions of </w:t>
      </w:r>
      <w:proofErr w:type="spellStart"/>
      <w:r>
        <w:rPr>
          <w:rFonts w:ascii="Times New Roman Regular" w:hAnsi="Times New Roman Regular" w:cs="Times New Roman Regular"/>
        </w:rPr>
        <w:t>chemoheterotrophy</w:t>
      </w:r>
      <w:proofErr w:type="spellEnd"/>
      <w:r>
        <w:rPr>
          <w:rFonts w:ascii="Times New Roman Regular" w:hAnsi="Times New Roman Regular" w:cs="Times New Roman Regular"/>
        </w:rPr>
        <w:t xml:space="preserve"> and fermentation, consistent with enrichment of fermentative, inflammation-adapted bacteria in a hypoxic, mucus-rich microenvironment. Enrichment of functions annotated as </w:t>
      </w:r>
      <w:proofErr w:type="spellStart"/>
      <w:r>
        <w:rPr>
          <w:rFonts w:ascii="Times New Roman Regular" w:hAnsi="Times New Roman Regular" w:cs="Times New Roman Regular"/>
        </w:rPr>
        <w:t>human_gut</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mammal_gut</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human_pathogens_gastroenteritis</w:t>
      </w:r>
      <w:proofErr w:type="spellEnd"/>
      <w:r>
        <w:rPr>
          <w:rFonts w:ascii="Times New Roman Regular" w:hAnsi="Times New Roman Regular" w:cs="Times New Roman Regular"/>
        </w:rPr>
        <w:t xml:space="preserve"> was particularly prominent in AECOPD without MP, suggesting that “gut-like” or enteric-associated traits are more common in diseased airways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{"citationID":"eSSr8eVH","properties":{"formattedCitation":"(Kou et al., 2024b, 2024c)","plainCitation":"(Kou et al., 2024b, 2024c)","noteIndex":0},"citationItems":[{"id":100,"uris":["http://zotero.org/users/local/37x8FyPE/items/8NJEFWU3"],"itemData":{"id":100,"type":"article-journal","abstract":"BACKGROUND: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id":105,"uris":["http://zotero.org/users/local/37x8FyPE/items/YFWDKFP9"],"itemData":{"id":105,"type":"article-journal","abstract":"BACKGROUND: Increasing evidence indicates the microbial ecology of chronic obstructive pulmonary disease (COPD) is intricately associated with the disease's status and severity, and distinct microbial ecological variations exist between COPD and healthy control (HC). This systematic review and meta-analysis aimed to summarize microbial diversity indices and taxa relative abundance of oral, airway, and intestine microbiota of different stages of COPD and HC to make comparisons.\nMETHODS: A comprehensive systematic literature search was conducted in PubMed, Embase, the Web of Science, and the Cochrane Library databases to identify relevant English articles on the oral, airway, and intestine microbiota in COPD published between 2003 and 8 May 2023. Information on microbial diversity indices and taxa relative abundance of oral, airway, and intestine microbiota was collected for comparison between different stages of COPD and HC.\nRESULTS: A total of 20 studies were included in this review, involving a total of 337 HC participants, 511 COPD patients, and 154 AECOPD patients. We observed that no significant differences in alpha diversity between the participant groups, but beta diversity was significantly different in half of the included studies. Compared to HC, Prevotella, Streptococcus, Actinomyces, and Veillonella of oral microbiota in SCOPD were reduced at the genus level. Most studies supported that Haemophilus, Lactobacillus, and Pseudomonas were increased, but Veillonella, Prevotella, Actinomyces, Porphyromonas, and Atopobium were decreased at the genus level in the airway microbiota of SCOPD. However, the abundance of Haemophilus, Lactobacillus and Pseudomonas genera exhibited an increase, whereas Actinomyces and Porphyromonas showed a decrease in the airway microbiota of AECOPD compared to HC. And Lachnospira of intestine microbiota in SCOPD was reduced at the genus level.\nCONCLUSION: The majority of published research findings supported that COPD exhibited decreased alpha diversity compared to HC. However, our meta-analysis does not confirm it. In order to further investigate the characteristics and mechanisms of microbiome in the oral-airway- intestine axis of COPD patients, larger-scale and more rigorous studies are needed.\nSYSTEMATIC REVIEW REGISTRATION: PROSPERO (https://www.crd.york.ac.uk/prospero/), identifier CRD42023418726.","container-title":"Frontiers in Immunology","DOI":"10.3389/fimmu.2024.1407439","ISSN":"1664-3224","journalAbbreviation":"Front Immunol","language":"eng","note":"PMID: 38779669\nPMCID: PMC11109405","page":"1407439","source":"PubMed","title":"The alterations of oral, airway and intestine microbiota in chronic obstructive pulmonary disease: a systematic review and meta-analysis","title-short":"The alterations of oral, airway and intestine microbiota in chronic obstructive pulmonary disease","volume":"15","author":[{"family":"Kou","given":"Ziwei"},{"family":"Liu","given":"Kai"},{"family":"Qiao","given":"Zhengtong"},{"family":"Wang","given":"Yaoyao"},{"family":"Li","given":"Yanmiao"},{"family":"Li","given":"Yinan"},{"family":"Yu","given":"Xinjuan"},{"family":"Han","given":"Wei"}],"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(Kou et al., 2024b, 2024c)</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Although predictive tools such as FAPROTAX are inherently indirect and limited by 16S resolution, the convergence of taxonomic and functional signals is compatible with the emerging gut–lung axis paradigm and raises the possibility that chronic </w:t>
      </w:r>
      <w:proofErr w:type="spellStart"/>
      <w:r>
        <w:rPr>
          <w:rFonts w:ascii="Times New Roman Regular" w:hAnsi="Times New Roman Regular" w:cs="Times New Roman Regular"/>
        </w:rPr>
        <w:t>microaspiration</w:t>
      </w:r>
      <w:proofErr w:type="spellEnd"/>
      <w:r>
        <w:rPr>
          <w:rFonts w:ascii="Times New Roman Regular" w:hAnsi="Times New Roman Regular" w:cs="Times New Roman Regular"/>
        </w:rPr>
        <w:t xml:space="preserve"> or translocation of intestinal bacteria contributes to airway dysbiosis in COPD</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{"citationID":"aFAV25Zd","properties":{"formattedCitation":"(Bowerman et al., 2020; Wang et al., 2017)","plainCitation":"(Bowerman et al., 2020; Wang et al., 2017)","noteIndex":0},"citationItems":[{"id":107,"uris":["http://zotero.org/users/local/37x8FyPE/items/RUB26ULU"],"itemData":{"id":107,"type":"article-journal","abstract":"Chronic obstructive pulmonary disease (COPD) is the third commonest cause of death globally, and manifests as a progressive inflammatory lung disease with no curative treatment. The lung microbiome contributes to COPD progression, but the function of the gut microbiome remains unclear. Here we examine the faecal microbiome and metabolome of COPD patients and healthy controls, finding 146 bacterial species differing between the two groups. Several species, including Streptococcus sp000187445, Streptococcus vestibularis and multiple members of the family Lachnospiraceae, also correlate with reduced lung function. Untargeted metabolomics identifies a COPD signature comprising 46% lipid, 20% xenobiotic and 20% amino acid related metabolites. Furthermore, we describe a disease-associated network connecting Streptococcus parasanguinis_B with COPD-associated metabolites, including N-acetylglutamate and its analogue N-carbamoylglutamate. While correlative, our results suggest that the faecal microbiome and metabolome of COPD patients are distinct from those of healthy individuals, and may thus aid in the search for biomarkers for COPD.","container-title":"Nature Communications","DOI":"10.1038/s41467-020-19701-0","ISSN":"2041-1723","issue":"1","journalAbbreviation":"Nat Commun","language":"eng","note":"PMID: 33208745\nPMCID: PMC7676259","page":"5886","source":"PubMed","title":"Disease-associated gut microbiome and metabolome changes in patients with chronic obstructive pulmonary disease","volume":"11","author":[{"family":"Bowerman","given":"Kate L."},{"family":"Rehman","given":"Saima Firdous"},{"family":"Vaughan","given":"Annalicia"},{"family":"Lachner","given":"Nancy"},{"family":"Budden","given":"Kurtis F."},{"family":"Kim","given":"Richard Y."},{"family":"Wood","given":"David L. A."},{"family":"Gellatly","given":"Shaan L."},{"family":"Shukla","given":"Shakti D."},{"family":"Wood","given":"Lisa G."},{"family":"Yang","given":"Ian A."},{"family":"Wark","given":"Peter A."},{"family":"Hugenholtz","given":"Philip"},{"family":"Hansbro","given":"Philip M."}],"issued":{"date-parts":[["2020",11,18]]}}},{"id":110,"uris":["http://zotero.org/users/local/37x8FyPE/items/9Z9HQ6CD"],"itemData":{"id":110,"type":"article-journal","abstract":"OBJECTIVE: The development of culture-independent techniques for microbiological analysis shows that bronchial tree is not sterile in either healthy or chronic obstructive pulmonary disease (COPD) individuals. With the advance of sequencing technologies, lung microbiome has become a new frontier for pulmonary disease research, and such advance has led to better understanding of the lung microbiome in COPD. This review aimed to summarize the recent advances in lung microbiome, its relationships with COPD, and the possible mechanisms that microbiome contributed to COPD pathogenesis.\nDATA SOURCES: Literature search was conducted using PubMed to collect all available studies concerning lung microbiome in COPD. The search terms were \"microbiome\" and \"chronic obstructive pulmonary disease\", or \"microbiome\" and \"lung/pulmonary\".\nSTUDY SELECTION: The papers in English about lung microbiome or lung microbiome in COPD were selected, and the type of articles was not limited.\nRESULTS: The lung is a complex microbial ecosystem; the microbiome in lung is a collection of viable and nonviable microbiota (bacteria, viruses, and fungi) residing in the bronchial tree and parenchymal tissues, which is important for health. The following types of respiratory samples are often used to detect the lung microbiome: sputum, bronchial aspirate, bronchoalveolar lavage, and bronchial mucosa. Disordered bacterial microbiome is participated in pathogenesis of COPD; there are also dynamic changes in microbiota during COPD exacerbations. Lung microbiome may contribute to the pathogenesis of COPD by manipulating inflammatory and/or immune process.\nCONCLUSIONS: Normal lung microbiome could be useful for prophylactic or therapeutic management in COPD, and the changes of lung microbiome could also serve as biomarkers for the evaluation of COPD.","container-title":"Chinese Medical Journal","DOI":"10.4103/0366-6999.211452","ISSN":"2542-5641","issue":"17","journalAbbreviation":"Chin Med J (Engl)","language":"eng","note":"PMID: 28741603\nPMCID: PMC5586181","page":"2107-2111","source":"PubMed","title":"Role of the Lung Microbiome in the Pathogenesis of Chronic Obstructive Pulmonary Disease","volume":"130","author":[{"family":"Wang","given":"Lei"},{"family":"Hao","given":"Ke"},{"family":"Yang","given":"Ting"},{"family":"Wang","given":"Chen"}],"issued":{"date-parts":[["2017",9,5]]}}}],"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(Bowerman et al., 2020; Wang et al., 2017)</w:t>
      </w:r>
      <w:r>
        <w:rPr>
          <w:rFonts w:ascii="Times New Roman Regular" w:hAnsi="Times New Roman Regular" w:cs="Times New Roman Regular"/>
        </w:rPr>
        <w:fldChar w:fldCharType="end"/>
      </w:r>
      <w:r>
        <w:rPr>
          <w:rFonts w:ascii="Times New Roman Regular" w:hAnsi="Times New Roman Regular" w:cs="Times New Roman Regular" w:hint="eastAsia"/>
        </w:rPr>
        <w:t>.</w:t>
      </w:r>
    </w:p>
    <w:p w14:paraId="02ABF65B" w14:textId="77777777" w:rsidR="005F0A18" w:rsidRDefault="005F0A18">
      <w:pPr>
        <w:spacing w:line="360" w:lineRule="auto"/>
        <w:rPr>
          <w:rFonts w:ascii="Times New Roman Regular" w:hAnsi="Times New Roman Regular" w:cs="Times New Roman Regular"/>
        </w:rPr>
      </w:pPr>
    </w:p>
    <w:p w14:paraId="1A16A52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These ecological findings have several potential clinical implications. First, the profound loss of commensal genera and enrichment of gut-like functions in AECOPD without MP infection suggest that microbiome disruption in these patients may be more severe and diffuse than in those with MP-positive exacerbations, where a specific pathogen can be identified. This raises the hypothesis that </w:t>
      </w:r>
      <w:proofErr w:type="spellStart"/>
      <w:r>
        <w:rPr>
          <w:rFonts w:ascii="Times New Roman Regular" w:hAnsi="Times New Roman Regular" w:cs="Times New Roman Regular"/>
        </w:rPr>
        <w:t>AECOPD_MPneg</w:t>
      </w:r>
      <w:proofErr w:type="spellEnd"/>
      <w:r>
        <w:rPr>
          <w:rFonts w:ascii="Times New Roman Regular" w:hAnsi="Times New Roman Regular" w:cs="Times New Roman Regular"/>
        </w:rPr>
        <w:t xml:space="preserve"> might represent a phenotype in which the precipitating triggers (e.g. viruses, pollutants or non-MP bacteria) are less easily captured by routine diagnostics, but exert a stronger impact on the resident community</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{"citationID":"WU5Fpvny","properties":{"formattedCitation":"(Berenji et al., 2025; Luo et al., 2024b)","plainCitation":"(Berenji et al., 2025; Luo et al., 2024b)","noteIndex":0},"citationItems":[{"id":115,"uris":["http://zotero.org/users/local/37x8FyPE/items/Q4C9MUMY"],"itemData":{"id":115,"type":"article-journal","abstract":"BACKGROUND: Respiratory infections caused by Lophomonas blattarum and Pneumocystis jirovecii are significant threats, especially to immunocompromised patients. Both pathogens are associated with severe pneumonia and are often underdiagnosed due to the challenges in identifying them accurately, particularly in co-infections. We aimed to evaluate the prevalence and clinical impact of co-infections with L. blattarum and P. jirovecii in patients with respiratory symptoms.\nMETHODS: This cross-sectional study involved 111 patients admitted to the Pulmonary Ward of Imam Reza Hospital in Mashhad, Iran in 2023. Bronchoalveolar lavage (BAL) samples were collected from all patients and analyzed microscopically and molecularly. PCR amplification targeting L. blattarum and P. jirovecii was performed, with subsequent sequencing for molecular identification. The presence of Pneumocystis was identified using a 346-bp PCR band.\nRESULTS: Of the 111 patients, Lophomonas was detected in 48 patients (43.2%), and Pneumocystis in 47 patients (42.3%). Co-infections were identified in 26 patients (23.6%). Both infections were more common in males, though the difference between genders was not statistically significant. The highest prevalence was observed in patients over 60 years, with 18% and 19.8% infection rates for Lophomonas and Pneumocystis, respectively. Co-infection rates were significantly higher in older patients and in males (P= 0.028).\nCONCLUSION: The study demonstrates a significant prevalence of co-infections with L. blattarum and P. jirovecii in patients with respiratory conditions, particularly in the elderly. The findings underscore the need for comprehensive diagnostic strategies, including molecular and microscopic approaches, to accurately diagnose and manage these co-infections in high-risk populations.","container-title":"Iranian Journal of Parasitology","DOI":"10.18502/ijpa.v20i2.19049","ISSN":"1735-7020","issue":"2","journalAbbreviation":"Iran J Parasitol","language":"eng","note":"PMID: 40747507\nPMCID: PMC12307776","page":"299-306","source":"PubMed","title":"Co-Infection of Lophomonas blattarum and Pneumocystis jirovecii in Patients with Respiratory Disorders in Northeastern Iran","volume":"20","author":[{"family":"Berenji","given":"Fariba"},{"family":"Zarrinfar","given":"Hossein"},{"family":"Gholizadeh","given":"Ali"},{"family":"Sargazi","given":"Fatemeh"},{"family":"Jamali","given":"Jamshid"},{"family":"Parian Noghabi","given":"Mahmoud"},{"family":"Salehi Sangani","given":"Ghodratollah"},{"family":"Hosseini Farash","given":"Bibi Razieh"}],"issued":{"date-parts":[["2025"]]}}},{"id":113,"uris":["http://zotero.org/users/local/37x8FyPE/items/EMVS7ZPH"],"itemData":{"id":113,"type":"article-journal","abstract":"Chronic obstructive pulmonary disease (COPD) is a complex heterogeneous disease characterized by progressive airflow limitation and chronic inflammation. The progressive development and long-term repeated acute exacerbation of COPD make many patients still unable to control the deterioration of the disease after active treatment, and even eventually lead to death. An increasing number of studies have shown that the occurrence and development of COPD are closely related to the composition and changes of airway microbiome. This article reviews the interaction between COPD and airway microbiome, the potential mechanisms of interaction, and the treatment methods related to microbiome. We elaborated the internal correlation between airway microbiome and different stages of COPD, inflammatory endotypes, glucocorticoid and antibiotic treatment, analyze the pathophysiological mechanisms such as the \"vicious cycle\" hypothesis, abnormal inflammation-immune response of the host and the \"natural selection\" of COPD to airway microbiome, introduce the treatment of COPD related to microbiome and emphasize the predictive value of airway microbiome for the progression, exacerbation and prognosis of COPD, as well as the guiding role for clinical management of patients, in order to provide a new perspective for exploring the pathogenesis of COPD, and also provide clues and guidance for finding new treatment targets.","container-title":"Respiratory Medicine","DOI":"10.1016/j.rmed.2024.107586","ISSN":"1532-3064","journalAbbreviation":"Respir Med","language":"eng","note":"PMID: 38460708","page":"107586","source":"PubMed","title":"Chronic obstructive pulmonary disease and the airway microbiome: A review for clinicians","title-short":"Chronic obstructive pulmonary disease and the airway microbiome","volume":"225","author":[{"family":"Luo","given":"Lingxin"},{"family":"Tang","given":"Junli"},{"family":"Du","given":"Xianzhi"},{"family":"Li","given":"Na"}],"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(Berenji et al., 2025; Luo et al., 2024b)</w:t>
      </w:r>
      <w:r>
        <w:rPr>
          <w:rFonts w:ascii="Times New Roman Regular" w:hAnsi="Times New Roman Regular" w:cs="Times New Roman Regular"/>
        </w:rPr>
        <w:fldChar w:fldCharType="end"/>
      </w:r>
      <w:r>
        <w:rPr>
          <w:rFonts w:ascii="Times New Roman Regular" w:hAnsi="Times New Roman Regular" w:cs="Times New Roman Regular" w:hint="eastAsia"/>
        </w:rPr>
        <w:t>.</w:t>
      </w:r>
      <w:r>
        <w:rPr>
          <w:rFonts w:ascii="Times New Roman Regular" w:hAnsi="Times New Roman Regular" w:cs="Times New Roman Regular"/>
        </w:rPr>
        <w:t xml:space="preserve"> Such patients might be more </w:t>
      </w:r>
      <w:r>
        <w:rPr>
          <w:rFonts w:ascii="Times New Roman Regular" w:hAnsi="Times New Roman Regular" w:cs="Times New Roman Regular"/>
        </w:rPr>
        <w:lastRenderedPageBreak/>
        <w:t xml:space="preserve">prone to recurrent exacerbations, impaired mucus clearance or secondary infections, and may require closer follow-up, more cautious use of broad-spectrum antibiotics and consideration of strategies that aim to preserve or restore commensal diversity. Second, the relatively limited but distinct changes observed in </w:t>
      </w:r>
      <w:proofErr w:type="spellStart"/>
      <w:r>
        <w:rPr>
          <w:rFonts w:ascii="Times New Roman Regular" w:hAnsi="Times New Roman Regular" w:cs="Times New Roman Regular"/>
        </w:rPr>
        <w:t>AECOPD_MPpos</w:t>
      </w:r>
      <w:proofErr w:type="spellEnd"/>
      <w:r>
        <w:rPr>
          <w:rFonts w:ascii="Times New Roman Regular" w:hAnsi="Times New Roman Regular" w:cs="Times New Roman Regular"/>
        </w:rPr>
        <w:t xml:space="preserve"> suggest that targeted management of MP infection, superimposed on optimized COPD therapy, may be sufficient to reverse microbiome perturbations in some cases, although this needs to be tested in longitudinal cohorts. Third, the overall pattern of Proteobacteria and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 xml:space="preserve"> enrichment, reduction of health-associated oral commensals and functional shifts toward fermentative and gut-like profiles points to microbiome signatures that might be developed into risk markers for exacerbation-prone patients, once validated in larger and independent populations</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ZOTERO_ITEM CSL_CITATION {"citationID":"eYqcxqsq","properties":{"formattedCitation":"(Dicker et al., 2021c; Leitao Filho et al., 2019; Luo et al., 2024c)","plainCitation":"(Dicker et al., 2021c; Leitao Filho et al., 2019; Luo et al., 2024c)","noteIndex":0},"citationItems":[{"id":121,"uris":["http://zotero.org/users/local/37x8FyPE/items/TRDTVY3C"],"itemData":{"id":121,"type":"article-journal","abstract":"BACKGROUND: The sputum microbiome has a potential role in disease phenotyping and risk stratification in chronic obstructive pulmonary disease (COPD), but few large longitudinal cohort studies exist.\nOBJECTIVE: Our aim was to investigate the COPD sputum microbiome and its association with inflammatory phenotypes and mortality.\nMETHODS: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data.\nRESULTS: Proteobacteria dominance and lower diversity was associated with more severe COPD according to the Global Initiative for Chronic Obstructive Lung Disease classification system (P = .0015), more frequent exacerbations (P = .0042), blood eosinophil level less than or equal to 100 cells/μL (P &lt; .0001), and lower FEV1 (P =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 .0017 and hazard ratio = 7.47; 95% CI = 1.02-54.86; P = .048, respectively). Integrated omics analysis showed significant associations between Proteobacteria dominance and the neutrophil activation pathway in sputum.\nCONCLUSION: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mortality.","container-title":"The Journal of Allergy and Clinical Immunology","DOI":"10.1016/j.jaci.2020.02.040","ISSN":"1097-6825","issue":"1","journalAbbreviation":"J Allergy Clin Immunol","language":"eng","note":"PMID: 32353489","page":"158-167","source":"PubMed","title":"The sputum microbiome, airway inflammation, and mortality in chronic obstructive pulmonary disease","volume":"147","author":[{"family":"Dicker","given":"Alison J."},{"family":"Huang","given":"Jeffrey T. J."},{"family":"Lonergan","given":"Mike"},{"family":"Keir","given":"Holly R."},{"family":"Fong","given":"Christopher J."},{"family":"Tan","given":"Brandon"},{"family":"Cassidy","given":"Andrew J."},{"family":"Finch","given":"Simon"},{"family":"Mullerova","given":"Hana"},{"family":"Miller","given":"Bruce E."},{"family":"Tal-Singer","given":"Ruth"},{"family":"Chalmers","given":"James D."}],"issued":{"date-parts":[["2021",1]]}}},{"id":119,"uris":["http://zotero.org/users/local/37x8FyPE/items/J37AWTFL"],"itemData":{"id":119,"type":"article-journal","abstract":"Rationale: Lung dysbiosis promotes airway inflammation and decreased local immunity, potentially playing a role in the pathogenesis of acute exacerbations of chronic obstructive pulmonary disease (AECOPD). Objectives: We sought to determine the relationship between sputum microbiome at the time of AECOPD hospitalization and 1-year mortality in a COPD cohort. Methods: We used sputum samples from 102 patients hospitalized because of AECOPD. All subjects were followed for 1 year after discharge. The microbiome profile was assessed through sequencing of 16S rRNA gene. Microbiome analyses were performed according to 1-year mortality status. To investigate the effect of α-diversity measures and taxon features on time to death, we applied Cox proportional hazards regression models and obtained hazard ratios (HRs) associated with these variables. Measurements and Main Results: We observed significantly lower values of α-diversity (richness, Shannon index, evenness, and Faith's Phylogenetic Diversity) among nonsurvivors (n = 19, 18.6%) than survivors (n = 83, 81.4%). β-Diversity analysis also demonstrated significant differences between both groups (adjusted permutational multivariate ANOVA, P = 0.010). The survivors had a higher relative abundance of Veillonella; in contrast, nonsurvivors had a higher abundance of Staphylococcus. The adjusted HRs for 1-year mortality increased significantly with decreasing α-diversity. We also observed lower survival among patients in whom sputum samples were negative for Veillonella (HR, 13.5; 95% confidence interval, 4.2-43.9; P &lt; 0.001) or positive for Staphylococcus (HR, 7.3; 95% confidence interval, 1.6-33.2; P = 0.01). Conclusions: The microbiome profile of sputum in AECOPD is associated with 1-year mortality and may be used to identify subjects with a poor prognosis at the time of hospitalization.","container-title":"American Journal of Respiratory and Critical Care Medicine","DOI":"10.1164/rccm.201806-1135OC","ISSN":"1535-4970","issue":"10","journalAbbreviation":"Am J Respir Crit Care Med","language":"eng","note":"PMID: 30376356","page":"1205-1213","source":"PubMed","title":"Sputum Microbiome Is Associated with 1-Year Mortality after Chronic Obstructive Pulmonary Disease Hospitalizations","volume":"199","author":[{"family":"Leitao Filho","given":"Fernando Sergio"},{"family":"Alotaibi","given":"Nawaf M."},{"family":"Ngan","given":"David"},{"family":"Tam","given":"Sheena"},{"family":"Yang","given":"Julia"},{"family":"Hollander","given":"Zsuzsanna"},{"family":"Chen","given":"Virginia"},{"family":"FitzGerald","given":"J. Mark"},{"family":"Nislow","given":"Corey"},{"family":"Leung","given":"Janice M."},{"family":"Man","given":"S. F. Paul"},{"family":"Sin","given":"Don D."}],"issued":{"date-parts":[["2019",5,15]]}}},{"id":117,"uris":["http://zotero.org/users/local/37x8FyPE/items/KLKR93V7"],"itemData":{"id":117,"type":"article-journal","abstract":"Chronic obstructive pulmonary disease (COPD) is a complex heterogeneous disease characterized by progressive airflow limitation and chronic inflammation. The progressive development and long-term repeated acute exacerbation of COPD make many patients still unable to control the deterioration of the disease after active treatment, and even eventually lead to death. An increasing number of studies have shown that the occurrence and development of COPD are closely related to the composition and changes of airway microbiome. This article reviews the interaction between COPD and airway microbiome, the potential mechanisms of interaction, and the treatment methods related to microbiome. We elaborated the internal correlation between airway microbiome and different stages of COPD, inflammatory endotypes, glucocorticoid and antibiotic treatment, analyze the pathophysiological mechanisms such as the \"vicious cycle\" hypothesis, abnormal inflammation-immune response of the host and the \"natural selection\" of COPD to airway microbiome, introduce the treatment of COPD related to microbiome and emphasize the predictive value of airway microbiome for the progression, exacerbation and prognosis of COPD, as well as the guiding role for clinical management of patients, in order to provide a new perspective for exploring the pathogenesis of COPD, and also provide clues and guidance for finding new treatment targets.","container-title":"Respiratory Medicine","DOI":"10.1016/j.rmed.2024.107586","ISSN":"1532-3064","journalAbbreviation":"Respir Med","language":"eng","note":"PMID: 38460708","page":"107586","source":"PubMed","title":"Chronic obstructive pulmonary disease and the airway microbiome: A review for clinicians","title-short":"Chronic obstructive pulmonary disease and the airway microbiome","volume":"225","author":[{"family":"Luo","given":"Lingxin"},{"family":"Tang","given":"Junli"},{"family":"Du","given":"Xianzhi"},{"family":"Li","given":"Na"}],"issued":{"date-parts":[["2024"]]}}}],"schema":"https://github.com/citation-style-language/schema/raw/master/csl-citation.json"} </w:instrText>
      </w:r>
      <w:r>
        <w:rPr>
          <w:rFonts w:ascii="Times New Roman Regular" w:hAnsi="Times New Roman Regular" w:cs="Times New Roman Regular"/>
        </w:rPr>
        <w:fldChar w:fldCharType="separate"/>
      </w:r>
      <w:r>
        <w:rPr>
          <w:rFonts w:ascii="Times New Roman Regular" w:hAnsi="Times New Roman Regular" w:cs="Times New Roman Regular"/>
        </w:rPr>
        <w:t>(Dicker et al., 2021c; Leitao Filho et al., 2019; Luo et al., 2024c)</w:t>
      </w:r>
      <w:r>
        <w:rPr>
          <w:rFonts w:ascii="Times New Roman Regular" w:hAnsi="Times New Roman Regular" w:cs="Times New Roman Regular"/>
        </w:rPr>
        <w:fldChar w:fldCharType="end"/>
      </w:r>
      <w:r>
        <w:rPr>
          <w:rFonts w:ascii="Times New Roman Regular" w:hAnsi="Times New Roman Regular" w:cs="Times New Roman Regular" w:hint="eastAsia"/>
        </w:rPr>
        <w:t>.</w:t>
      </w:r>
    </w:p>
    <w:p w14:paraId="71CB77F4" w14:textId="77777777" w:rsidR="005F0A18" w:rsidRDefault="005F0A18">
      <w:pPr>
        <w:spacing w:line="360" w:lineRule="auto"/>
        <w:rPr>
          <w:rFonts w:ascii="Times New Roman Regular" w:hAnsi="Times New Roman Regular" w:cs="Times New Roman Regular"/>
        </w:rPr>
      </w:pPr>
    </w:p>
    <w:p w14:paraId="25C5BCDC"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Our study also has methodological strengths that lend weight to these conclusions. We focused on a relatively homogeneous elderly cohort from a single center, with comparable age across groups, thereby reducing confounding by age-related microbiome changes. We applied a rigorous 16S rRNA pipeline based on ASV inference (DADA2) and used established ecological frameworks (</w:t>
      </w:r>
      <w:proofErr w:type="spellStart"/>
      <w:r>
        <w:rPr>
          <w:rFonts w:ascii="Times New Roman Regular" w:hAnsi="Times New Roman Regular" w:cs="Times New Roman Regular"/>
        </w:rPr>
        <w:t>phyloseq</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microeco</w:t>
      </w:r>
      <w:proofErr w:type="spellEnd"/>
      <w:r>
        <w:rPr>
          <w:rFonts w:ascii="Times New Roman Regular" w:hAnsi="Times New Roman Regular" w:cs="Times New Roman Regular"/>
        </w:rPr>
        <w:t>) to integrate alpha and beta diversity, compositional analyses, OTU sharing patterns and functional predictions within a unified workflow. Importantly, we analyzed stable COPD, exacerbations without MP and exacerbations with MP as separate strata rather than pooling all COPD patients together, which allowed us to detect potential ecological differences between these clinically relevant subgroups.</w:t>
      </w:r>
    </w:p>
    <w:p w14:paraId="2DEB0915" w14:textId="77777777" w:rsidR="005F0A18" w:rsidRDefault="005F0A18">
      <w:pPr>
        <w:spacing w:line="360" w:lineRule="auto"/>
        <w:rPr>
          <w:rFonts w:ascii="Times New Roman Regular" w:hAnsi="Times New Roman Regular" w:cs="Times New Roman Regular"/>
        </w:rPr>
      </w:pPr>
    </w:p>
    <w:p w14:paraId="2CC83735"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Nevertheless, several limitations must be acknowledged. The overall sample size, and especially the per-group numbers, are modest, which reduces power to detect small effect sizes and may contribute to some unexpected findings such as consistent Moraxella depletion. The cross-sectional design precludes causal inference and does not capture temporal dynamics of microbiome changes before, during and after exacerbations; as such, we cannot distinguish whether observed dysbiosis is a cause, consequence or bystander of exacerbation events. Sputum samples are prone to contamination from upper airway microbiota and may not fully reflect lower airway or alveolar communities, although they are clinically accessible and relevant to routine practice. Our reliance on 16S rRNA sequencing limits taxonomic resolution to the genus level in many cases and necessitates the use of predictive tools such as FAPROTAX for functional inference, which cannot substitute for shotgun metagenomics or metabolomic profiling. Finally, we did not systematically control for all potential confounders, including detailed antibiotic histories, inhaled corticosteroid use, environmental exposures and comorbidities, which may influence both microbiome composition and clinical outcomes and should be more comprehensively captured in future work.</w:t>
      </w:r>
    </w:p>
    <w:p w14:paraId="17FAB829" w14:textId="77777777" w:rsidR="005F0A18" w:rsidRDefault="005F0A18">
      <w:pPr>
        <w:spacing w:line="360" w:lineRule="auto"/>
        <w:rPr>
          <w:rFonts w:ascii="Times New Roman Regular" w:hAnsi="Times New Roman Regular" w:cs="Times New Roman Regular"/>
        </w:rPr>
      </w:pPr>
    </w:p>
    <w:p w14:paraId="0877B073"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 xml:space="preserve">In summary, this study provides an integrated view of how the sputum microbiome in elderly individuals from southwestern China is reshaped along the axis from health to stable COPD and acute exacerbations, and how MP infection status modulates this ecological landscape. COPD is associated with reduced diversity, destabilization of a commensal oral-like community, compositional shifts </w:t>
      </w:r>
      <w:r>
        <w:rPr>
          <w:rFonts w:ascii="Times New Roman Regular" w:hAnsi="Times New Roman Regular" w:cs="Times New Roman Regular"/>
        </w:rPr>
        <w:lastRenderedPageBreak/>
        <w:t xml:space="preserve">toward Proteobacteria- and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-enriched profiles and functional signatures suggestive of fermentative and gut-like traits. Among COPD subgroups, acute exacerbations without MP infection show the most pronounced loss of health-associated genera and the strongest enrichment of gut-like functions, whereas MP-positive exacerbations exhibit a more focused but distinct pattern of perturbation. Future longitudinal, multi-omics studies with larger sample sizes and detailed treatment histories are needed to validate these patterns, clarify the mechanistic links between specific taxa or functional modules and airway inflammation, and explore whether microbiome-based markers can refine risk stratification and guide personalized prevention and management strategies for COPD exacerbations in clinical practice.</w:t>
      </w:r>
    </w:p>
    <w:p w14:paraId="72B8DE0D" w14:textId="77777777" w:rsidR="005F0A18" w:rsidRDefault="005F0A18">
      <w:pPr>
        <w:spacing w:line="360" w:lineRule="auto"/>
        <w:rPr>
          <w:rFonts w:ascii="Times New Roman Regular" w:hAnsi="Times New Roman Regular" w:cs="Times New Roman Regular"/>
        </w:rPr>
      </w:pPr>
    </w:p>
    <w:p w14:paraId="392B945B" w14:textId="77777777" w:rsidR="005F0A18" w:rsidRDefault="005F0A18">
      <w:pPr>
        <w:spacing w:line="360" w:lineRule="auto"/>
        <w:rPr>
          <w:rFonts w:ascii="Times New Roman Regular" w:hAnsi="Times New Roman Regular" w:cs="Times New Roman Regular"/>
        </w:rPr>
      </w:pPr>
    </w:p>
    <w:p w14:paraId="57E735CF" w14:textId="77777777" w:rsidR="005F0A18" w:rsidRDefault="005F0A18">
      <w:pPr>
        <w:spacing w:line="360" w:lineRule="auto"/>
        <w:rPr>
          <w:rFonts w:ascii="Times New Roman Regular" w:hAnsi="Times New Roman Regular" w:cs="Times New Roman Regular"/>
        </w:rPr>
      </w:pPr>
    </w:p>
    <w:p w14:paraId="5C081C5E" w14:textId="77777777" w:rsidR="005F0A18" w:rsidRDefault="005F0A18">
      <w:pPr>
        <w:spacing w:line="360" w:lineRule="auto"/>
        <w:rPr>
          <w:rFonts w:ascii="Times New Roman Regular" w:hAnsi="Times New Roman Regular" w:cs="Times New Roman Regular"/>
        </w:rPr>
      </w:pPr>
    </w:p>
    <w:p w14:paraId="3E3517A4"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b/>
          <w:bCs/>
        </w:rPr>
        <w:t>Conclusions:</w:t>
      </w:r>
      <w:r>
        <w:rPr>
          <w:rFonts w:ascii="Times New Roman Regular" w:hAnsi="Times New Roman Regular" w:cs="Times New Roman Regular"/>
        </w:rPr>
        <w:br/>
        <w:t xml:space="preserve">In elderly individuals, COPD is associated with reduced diversity, destabilization of an oral-like commensal sputum microbiome, enrichment of Proteobacteria- and </w:t>
      </w:r>
      <w:proofErr w:type="spellStart"/>
      <w:r>
        <w:rPr>
          <w:rFonts w:ascii="Times New Roman Regular" w:hAnsi="Times New Roman Regular" w:cs="Times New Roman Regular"/>
        </w:rPr>
        <w:t>Actinobacteriota</w:t>
      </w:r>
      <w:proofErr w:type="spellEnd"/>
      <w:r>
        <w:rPr>
          <w:rFonts w:ascii="Times New Roman Regular" w:hAnsi="Times New Roman Regular" w:cs="Times New Roman Regular"/>
        </w:rPr>
        <w:t>-dominated profiles, and predicted functional shifts toward fermentative and gut-like traits. Acute exacerbations without MP infection display the most extensive commensal loss and gut-like functional enrichment, whereas MP-positive exacerbations show a more focused but distinct pattern of perturbation superimposed on COPD-related dysbiosis. These findings support the ecological heterogeneity of COPD exacerbations and provide a microbial framework for future longitudinal, multi-omics studies aimed at refining exacerbation phenotypes and developing microbiome-informed prevention and management strategies.</w:t>
      </w:r>
    </w:p>
    <w:p w14:paraId="15D8D216" w14:textId="77777777" w:rsidR="005F0A18" w:rsidRDefault="005F0A18">
      <w:pPr>
        <w:spacing w:line="360" w:lineRule="auto"/>
        <w:rPr>
          <w:rFonts w:ascii="Times New Roman Regular" w:hAnsi="Times New Roman Regular" w:cs="Times New Roman Regular"/>
        </w:rPr>
      </w:pPr>
    </w:p>
    <w:p w14:paraId="50DF81A7" w14:textId="77777777" w:rsidR="005F0A18" w:rsidRDefault="00FB030D">
      <w:pPr>
        <w:spacing w:line="360" w:lineRule="auto"/>
        <w:rPr>
          <w:rFonts w:ascii="Times New Roman Regular" w:hAnsi="Times New Roman Regular" w:cs="Times New Roman Regular"/>
          <w:b/>
          <w:bCs/>
          <w:sz w:val="36"/>
          <w:szCs w:val="36"/>
        </w:rPr>
      </w:pPr>
      <w:bookmarkStart w:id="0" w:name="_GoBack"/>
      <w:bookmarkEnd w:id="0"/>
      <w:r>
        <w:rPr>
          <w:rFonts w:ascii="Times New Roman Regular" w:hAnsi="Times New Roman Regular" w:cs="Times New Roman Regular" w:hint="eastAsia"/>
          <w:b/>
          <w:bCs/>
          <w:sz w:val="36"/>
          <w:szCs w:val="36"/>
        </w:rPr>
        <w:t>Reference:</w:t>
      </w:r>
    </w:p>
    <w:p w14:paraId="297DCAFF" w14:textId="77777777" w:rsidR="005F0A18" w:rsidRDefault="005F0A18">
      <w:pPr>
        <w:spacing w:line="360" w:lineRule="auto"/>
        <w:rPr>
          <w:rFonts w:ascii="Times New Roman Regular" w:hAnsi="Times New Roman Regular" w:cs="Times New Roman Regular"/>
        </w:rPr>
      </w:pPr>
    </w:p>
    <w:p w14:paraId="59E15E9E" w14:textId="42CEBE3D" w:rsidR="005F0A18" w:rsidRDefault="00FB030D" w:rsidP="00FB030D">
      <w:pPr>
        <w:pStyle w:val="Bibliography1"/>
        <w:ind w:left="0" w:firstLine="0"/>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ADDIN ZOTERO_BIBL {"uncited":[],"omitted":[],"custom":[]} CSL_BIBLIOGRAPHY </w:instrText>
      </w:r>
      <w:r>
        <w:rPr>
          <w:rFonts w:ascii="Times New Roman Regular" w:hAnsi="Times New Roman Regular" w:cs="Times New Roman Regular"/>
        </w:rPr>
        <w:fldChar w:fldCharType="separate"/>
      </w:r>
      <w:r w:rsidR="00244A6C" w:rsidRPr="00244A6C">
        <w:t xml:space="preserve"> </w:t>
      </w:r>
      <w:r w:rsidR="00244A6C" w:rsidRPr="00244A6C">
        <w:rPr>
          <w:rFonts w:ascii="Times New Roman Regular" w:hAnsi="Times New Roman Regular" w:cs="Times New Roman Regular"/>
        </w:rPr>
        <w:t>Abi Abdallah, G., Diop, S., Jamme, M., Legriel, S., &amp; Ferré, A. (2024). Respiratory Infection Triggering Severe Acute Exacerbations of Chronic Obstructive Pulmonary Disease. *Int. J. Chron. Obstruct. Pulmon. Dis.*, *19*, 555–565. https://doi.org/10.2147/COPD.S447162</w:t>
      </w:r>
    </w:p>
    <w:p w14:paraId="35F7C644" w14:textId="417B24C6" w:rsidR="005F0A18" w:rsidRDefault="00244A6C" w:rsidP="00FB030D">
      <w:pPr>
        <w:pStyle w:val="Bibliography1"/>
        <w:ind w:left="0" w:firstLine="0"/>
        <w:rPr>
          <w:rFonts w:ascii="Times New Roman Regular" w:hAnsi="Times New Roman Regular" w:cs="Times New Roman Regular"/>
        </w:rPr>
      </w:pPr>
      <w:r w:rsidRPr="00244A6C">
        <w:rPr>
          <w:rFonts w:ascii="Times New Roman Regular" w:hAnsi="Times New Roman Regular" w:cs="Times New Roman Regular"/>
        </w:rPr>
        <w:t>Agustí, A., Celli, B. R., Criner, G. J., Halpin, D., Anzueto, A., Barnes, P., Bourbeau, J., Han, M. K., Martinez, F. J., de Oca, M. M., Mortimer, K., Papi, A., Pavord, I., Roche, N., Salvi, S., Sin, D. D., Singh, D., Stockley, R., Varela, M. V. L., Wedzicha, J. A., &amp; Vogelmeier, C. F. (2023). Global Initiative for Chronic Obstructive Lung Disease 2023 Report: GOLD Executive Summary. Respirology, 28(4), 316–338. https://doi.org/10.1111/resp.14486</w:t>
      </w:r>
    </w:p>
    <w:p w14:paraId="7D7DE3A2" w14:textId="2CDD9215" w:rsidR="005F0A18" w:rsidRDefault="00972DDD" w:rsidP="00FB030D">
      <w:pPr>
        <w:pStyle w:val="Bibliography1"/>
        <w:ind w:left="0" w:firstLine="0"/>
        <w:rPr>
          <w:rFonts w:ascii="Times New Roman Regular" w:hAnsi="Times New Roman Regular" w:cs="Times New Roman Regular"/>
        </w:rPr>
      </w:pPr>
      <w:r w:rsidRPr="00972DDD">
        <w:rPr>
          <w:rFonts w:ascii="Times New Roman Regular" w:hAnsi="Times New Roman Regular" w:cs="Times New Roman Regular"/>
        </w:rPr>
        <w:t>Agustí, A., Celli, B. R., Criner, G. J., Halpin, D., Anzueto, A., Barnes, P., Bourbeau, J., Han, M. K., Martinez, F. J., Montes de Oca, M., Mortimer, K., Papi, A., Pavord, I., Roche, N., Salvi, S., Sin, D. D., Singh, D., Stockley, R., López Varela, M. V., Wedzicha, J. A., &amp; Vogelmeier, C. F. (2023). Global Initiative for Chronic Obstructive Lung Disease 2023 Report: GOLD Executive Summary. *European Respiratory Journal*, *61*(4), 2300239. https://doi.org/10.1183/13993003.00239-2023</w:t>
      </w:r>
      <w:r>
        <w:rPr>
          <w:rFonts w:ascii="Times New Roman Regular" w:hAnsi="Times New Roman Regular" w:cs="Times New Roman Regular"/>
        </w:rPr>
        <w:t xml:space="preserve"> </w:t>
      </w:r>
    </w:p>
    <w:p w14:paraId="6192C240" w14:textId="1F5B19F4" w:rsidR="005F0A18" w:rsidRDefault="00972DDD" w:rsidP="00FB030D">
      <w:pPr>
        <w:pStyle w:val="Bibliography1"/>
        <w:ind w:left="0" w:firstLine="0"/>
        <w:rPr>
          <w:rFonts w:ascii="Times New Roman Regular" w:hAnsi="Times New Roman Regular" w:cs="Times New Roman Regular"/>
        </w:rPr>
      </w:pPr>
      <w:r w:rsidRPr="00972DDD">
        <w:rPr>
          <w:rFonts w:ascii="Times New Roman Regular" w:hAnsi="Times New Roman Regular" w:cs="Times New Roman Regular"/>
        </w:rPr>
        <w:t>Amiri, A. R., Ghazvini, K., &amp; Moghadam, H. Z. (2018). Prevalence of Mycoplasma Pneumoniae Infection in Patients with COPD Exacerbation; a Letter to the Editor. Emerg (Tehran), 6(1), e18. https://doi.org/10.22037/emergency.v6i1.1800</w:t>
      </w:r>
      <w:r>
        <w:rPr>
          <w:rFonts w:ascii="Times New Roman Regular" w:hAnsi="Times New Roman Regular" w:cs="Times New Roman Regular"/>
        </w:rPr>
        <w:t xml:space="preserve"> </w:t>
      </w:r>
    </w:p>
    <w:p w14:paraId="5632E997" w14:textId="10CFB658" w:rsidR="005F0A18" w:rsidRDefault="00A83DA7" w:rsidP="00FB030D">
      <w:pPr>
        <w:pStyle w:val="Bibliography1"/>
        <w:ind w:left="0" w:firstLine="0"/>
        <w:rPr>
          <w:rFonts w:ascii="Times New Roman Regular" w:hAnsi="Times New Roman Regular" w:cs="Times New Roman Regular"/>
        </w:rPr>
      </w:pPr>
      <w:r w:rsidRPr="00A83DA7">
        <w:rPr>
          <w:rFonts w:ascii="Times New Roman Regular" w:hAnsi="Times New Roman Regular" w:cs="Times New Roman Regular"/>
        </w:rPr>
        <w:t>Bastani, M. N., &amp; Jalilian, S. (2024). Unraveling the enigma: The emerging significance of pulmonary surfactant proteins in predicting, diagnosing, and managing COVID-19. Immunology and Inflammation Diseases. https://doi.org/10.1002/iid3.1302</w:t>
      </w:r>
      <w:r>
        <w:rPr>
          <w:rFonts w:ascii="Times New Roman Regular" w:hAnsi="Times New Roman Regular" w:cs="Times New Roman Regular"/>
        </w:rPr>
        <w:t xml:space="preserve"> </w:t>
      </w:r>
    </w:p>
    <w:p w14:paraId="7A38259C" w14:textId="77777777" w:rsidR="005F0A18" w:rsidRDefault="00FB030D" w:rsidP="00FB030D">
      <w:pPr>
        <w:pStyle w:val="Bibliography1"/>
        <w:ind w:left="0" w:firstLine="0"/>
        <w:rPr>
          <w:rFonts w:ascii="Times New Roman Regular" w:hAnsi="Times New Roman Regular" w:cs="Times New Roman Regular"/>
        </w:rPr>
      </w:pPr>
      <w:r>
        <w:rPr>
          <w:rFonts w:ascii="Times New Roman Regular" w:hAnsi="Times New Roman Regular" w:cs="Times New Roman Regular"/>
        </w:rPr>
        <w:lastRenderedPageBreak/>
        <w:t>Berenji, F., Zarrinfar, H., Gholizadeh, A., Sargazi, F., Jamali, J., Parian Noghabi, M., Salehi Sangani, G., Hosseini Farash, B.R., 2025. Co-Infection of Lophomonas blattarum and Pneumocystis jirovecii in Patients with Respiratory Disorders in Northeastern Iran. Iran. J. Parasitol. 20, 299–306. https://doi.org/10.18502/ijpa.v20i2.19049</w:t>
      </w:r>
    </w:p>
    <w:p w14:paraId="5707D71E" w14:textId="321C79E2" w:rsidR="005F0A18" w:rsidRDefault="00C0068D" w:rsidP="00FB030D">
      <w:pPr>
        <w:pStyle w:val="Bibliography1"/>
        <w:ind w:left="0" w:firstLine="0"/>
        <w:rPr>
          <w:rFonts w:ascii="Times New Roman Regular" w:hAnsi="Times New Roman Regular" w:cs="Times New Roman Regular"/>
        </w:rPr>
      </w:pPr>
      <w:r w:rsidRPr="00C0068D">
        <w:rPr>
          <w:rFonts w:ascii="Times New Roman Regular" w:hAnsi="Times New Roman Regular" w:cs="Times New Roman Regular"/>
        </w:rPr>
        <w:t>Bouquet, J., Tabor, D. E., Silver, J. S., Nair, V., Tovchigrechko, A., Griffin, M. P., Esser, M. T., Sellman, B. R., &amp; Jin, H. (2020). Microbial burden and viral exacerbations in a longitudinal multicenter COPD cohort. Respiratory Research, 21(1), 77. https://doi.org/10.1186/s12931-020-01340-0</w:t>
      </w:r>
      <w:r>
        <w:rPr>
          <w:rFonts w:ascii="Times New Roman Regular" w:hAnsi="Times New Roman Regular" w:cs="Times New Roman Regular"/>
        </w:rPr>
        <w:t xml:space="preserve"> </w:t>
      </w:r>
    </w:p>
    <w:p w14:paraId="62D48711" w14:textId="6FB83747" w:rsidR="005F0A18" w:rsidRDefault="004D44C7" w:rsidP="00FB030D">
      <w:pPr>
        <w:pStyle w:val="Bibliography1"/>
        <w:ind w:left="0" w:firstLine="0"/>
        <w:rPr>
          <w:rFonts w:ascii="Times New Roman Regular" w:hAnsi="Times New Roman Regular" w:cs="Times New Roman Regular"/>
        </w:rPr>
      </w:pPr>
      <w:r w:rsidRPr="004D44C7">
        <w:rPr>
          <w:rFonts w:ascii="Times New Roman Regular" w:hAnsi="Times New Roman Regular" w:cs="Times New Roman Regular"/>
        </w:rPr>
        <w:t>Bowerman, K. L., Rehman, S. F., Vaughan, A., Lachner, N., Budden, K. F., Kim, R. Y., Wood, D. L. A., Gellatly, S. L., Shukla, S. D., Wood, L. G., Yang, I. A., Wark, P. A., Hugenholtz, P., &amp; Hansbro, P. M. (2020). Disease-associated gut microbiome and metabolome changes in patients with chronic obstructive pulmonary disease. Nature Communications. https://doi.org/10.1038/s41467-020-19701-0</w:t>
      </w:r>
      <w:r>
        <w:rPr>
          <w:rFonts w:ascii="Times New Roman Regular" w:hAnsi="Times New Roman Regular" w:cs="Times New Roman Regular"/>
        </w:rPr>
        <w:t xml:space="preserve"> </w:t>
      </w:r>
    </w:p>
    <w:p w14:paraId="0E4E89F8" w14:textId="77777777" w:rsidR="005F0A18" w:rsidRDefault="00FB030D" w:rsidP="00FB030D">
      <w:pPr>
        <w:pStyle w:val="Bibliography1"/>
        <w:ind w:left="0" w:firstLine="0"/>
        <w:rPr>
          <w:rFonts w:ascii="Times New Roman Regular" w:hAnsi="Times New Roman Regular" w:cs="Times New Roman Regular"/>
        </w:rPr>
      </w:pPr>
      <w:r>
        <w:rPr>
          <w:rFonts w:ascii="Times New Roman Regular" w:hAnsi="Times New Roman Regular" w:cs="Times New Roman Regular"/>
        </w:rPr>
        <w:t>Choi, Y.J., Park, H.J., Kim, C.Y., Choi, A., Cho, J.H., Byun, M.K., 2024. Dynamic microbial changes in exacerbation of chronic obstructive pulmonary disease. Front. Microbiol. 15, 1507090. https://doi.org/10.3389/fmicb.2024.1507090</w:t>
      </w:r>
    </w:p>
    <w:p w14:paraId="760FAD0E" w14:textId="202E22D5" w:rsidR="005F0A18" w:rsidRDefault="00AF33F5" w:rsidP="00FB030D">
      <w:pPr>
        <w:pStyle w:val="Bibliography1"/>
        <w:ind w:left="0" w:firstLine="0"/>
        <w:rPr>
          <w:rFonts w:ascii="Times New Roman Regular" w:hAnsi="Times New Roman Regular" w:cs="Times New Roman Regular"/>
        </w:rPr>
      </w:pPr>
      <w:r w:rsidRPr="00AF33F5">
        <w:rPr>
          <w:rFonts w:ascii="Times New Roman Regular" w:hAnsi="Times New Roman Regular" w:cs="Times New Roman Regular"/>
        </w:rPr>
        <w:t>Dicker, A. J., Huang, J. T. J., Lonergan, M., Keir, H. R., Fong, C. J., Tan, B., Cassidy, A. J., Finch, S., Mullerova, H., Miller, B. E., Tal-Singer, R., &amp; Chalmers, J. D. (2021). The sputum microbiome, airway inflammation, and mortality in chronic obstructive pulmonary disease. Journal of Allergy and Clinical Immunology, 147(1), 158–167. https://doi.org/10.1016/j.jaci.2020.02.040</w:t>
      </w:r>
      <w:r>
        <w:rPr>
          <w:rFonts w:ascii="Times New Roman Regular" w:hAnsi="Times New Roman Regular" w:cs="Times New Roman Regular"/>
        </w:rPr>
        <w:t xml:space="preserve"> </w:t>
      </w:r>
    </w:p>
    <w:p w14:paraId="526EFA9B" w14:textId="04602A41" w:rsidR="005F0A18" w:rsidRDefault="004B2C89" w:rsidP="00FB030D">
      <w:pPr>
        <w:pStyle w:val="Bibliography1"/>
        <w:ind w:left="0" w:firstLine="0"/>
        <w:rPr>
          <w:rFonts w:ascii="Times New Roman Regular" w:hAnsi="Times New Roman Regular" w:cs="Times New Roman Regular"/>
        </w:rPr>
      </w:pPr>
      <w:r w:rsidRPr="004B2C89">
        <w:rPr>
          <w:rFonts w:ascii="Times New Roman Regular" w:hAnsi="Times New Roman Regular" w:cs="Times New Roman Regular"/>
        </w:rPr>
        <w:t>Dicker, A. J., Huang, J. T. J., Lonergan, M., Keir, H. R., Fong, C. J., Tan, B., Cassidy, A. J., Finch, S., Mullerova, H., Miller, B. E., Tal-Singer, R., &amp; Chalmers, J. D. (2021). The sputum microbiome, airway inflammation, and mortality in chronic obstructive pulmonary disease. Journal of Allergy and Clinical Immunology, 147(1), 158–167. https://doi.org/10.1016/j.jaci.2020.02.040</w:t>
      </w:r>
      <w:r>
        <w:rPr>
          <w:rFonts w:ascii="Times New Roman Regular" w:hAnsi="Times New Roman Regular" w:cs="Times New Roman Regular"/>
        </w:rPr>
        <w:t xml:space="preserve"> </w:t>
      </w:r>
    </w:p>
    <w:p w14:paraId="0690E45A" w14:textId="60947B22" w:rsidR="005F0A18" w:rsidRDefault="00367CB0" w:rsidP="00FB030D">
      <w:pPr>
        <w:pStyle w:val="Bibliography1"/>
        <w:ind w:left="0" w:firstLine="0"/>
        <w:rPr>
          <w:rFonts w:ascii="Times New Roman Regular" w:hAnsi="Times New Roman Regular" w:cs="Times New Roman Regular"/>
        </w:rPr>
      </w:pPr>
      <w:r w:rsidRPr="00367CB0">
        <w:rPr>
          <w:rFonts w:ascii="Times New Roman Regular" w:hAnsi="Times New Roman Regular" w:cs="Times New Roman Regular"/>
        </w:rPr>
        <w:t>Dicker, A. J., Huang, J. T. J., Lonergan, M., Keir, H. R., Fong, C. J., Tan, B., Cassidy, A. J., Finch, S., Mullerova, H., Miller, B. E., Tal-Singer, R., &amp; Chalmers, J. D. (2021). The sputum microbiome, airway inflammation, and mortality in chronic obstructive pulmonary disease. Journal of Allergy and Clinical Immunology, 147(1), 158–167. https://doi.org/10.1016/j.jaci.2020.02.040</w:t>
      </w:r>
    </w:p>
    <w:p w14:paraId="7F951494" w14:textId="55D65EE0" w:rsidR="005F0A18" w:rsidRDefault="00367CB0" w:rsidP="00FB030D">
      <w:pPr>
        <w:pStyle w:val="Bibliography1"/>
        <w:ind w:left="0" w:firstLine="0"/>
        <w:rPr>
          <w:rFonts w:ascii="Times New Roman Regular" w:hAnsi="Times New Roman Regular" w:cs="Times New Roman Regular"/>
        </w:rPr>
      </w:pPr>
      <w:r w:rsidRPr="00367CB0">
        <w:rPr>
          <w:rFonts w:ascii="Times New Roman Regular" w:hAnsi="Times New Roman Regular" w:cs="Times New Roman Regular"/>
        </w:rPr>
        <w:t>Dima, E., Kyriakoudi, A., Kaponi, M., Vasileiadis, I., Stamou, P., Koutsoukou, A., Koulouris, N. G., &amp; Rovina, N. (2019). The lung microbiome dynamics between stability and exacerbation in chronic obstructive pulmonary disease (COPD): Current perspectives. Respiratory Medicine, 157, 1–6. https://doi.org/10.1016/j.rmed.2019.08.012</w:t>
      </w:r>
    </w:p>
    <w:p w14:paraId="15436156" w14:textId="038F5EC9" w:rsidR="005F0A18" w:rsidRDefault="00367CB0" w:rsidP="00FB030D">
      <w:pPr>
        <w:pStyle w:val="Bibliography1"/>
        <w:ind w:left="0" w:firstLine="0"/>
        <w:rPr>
          <w:rFonts w:ascii="Times New Roman Regular" w:hAnsi="Times New Roman Regular" w:cs="Times New Roman Regular"/>
        </w:rPr>
      </w:pPr>
      <w:r w:rsidRPr="00367CB0">
        <w:rPr>
          <w:rFonts w:ascii="Times New Roman Regular" w:hAnsi="Times New Roman Regular" w:cs="Times New Roman Regular"/>
        </w:rPr>
        <w:t>Zhang, F., Cui, Y., Zhang, T., &amp; Yin, W. (2024). Epigenetic regulation of macrophage activation in chronic obstructive pulmonary disease. Frontiers in Immunology, 15. https://doi.org/10.3389/fimmu.2024.1445372</w:t>
      </w:r>
    </w:p>
    <w:p w14:paraId="54F9E58D" w14:textId="44A6A0D6" w:rsidR="005F0A18" w:rsidRDefault="00367CB0" w:rsidP="00FB030D">
      <w:pPr>
        <w:pStyle w:val="Bibliography1"/>
        <w:ind w:left="0" w:firstLine="0"/>
        <w:rPr>
          <w:rFonts w:ascii="Times New Roman Regular" w:hAnsi="Times New Roman Regular" w:cs="Times New Roman Regular"/>
        </w:rPr>
      </w:pPr>
      <w:r w:rsidRPr="00367CB0">
        <w:rPr>
          <w:rFonts w:ascii="Times New Roman Regular" w:hAnsi="Times New Roman Regular" w:cs="Times New Roman Regular"/>
        </w:rPr>
        <w:t>Faner, R., Sibila, O., Agustí, A., Bernasconi, E., Chalmers, J. D., Huffnagle, G. B., Manichanh, C., Molyneaux, P. L., Paredes, R., Pérez Brocal, V., Ponomarenko, J., Sethi, S., Dorca, J., &amp; Monsó, E. (2017). The microbiome in respiratory medicine: Current challenges and future perspectives. European Respiratory Journal, 49(4), 1602086. https://doi.org/10.1183/13993003.02086-2016</w:t>
      </w:r>
    </w:p>
    <w:p w14:paraId="11E82CBD" w14:textId="64C48884" w:rsidR="005F0A18" w:rsidRDefault="00045758" w:rsidP="00FB030D">
      <w:pPr>
        <w:pStyle w:val="Bibliography1"/>
        <w:ind w:left="0" w:firstLine="0"/>
        <w:rPr>
          <w:rFonts w:ascii="Times New Roman Regular" w:hAnsi="Times New Roman Regular" w:cs="Times New Roman Regular"/>
        </w:rPr>
      </w:pPr>
      <w:r w:rsidRPr="00045758">
        <w:rPr>
          <w:rFonts w:ascii="Times New Roman Regular" w:hAnsi="Times New Roman Regular" w:cs="Times New Roman Regular"/>
        </w:rPr>
        <w:t>Georgakopoulou, V. E., Lempesis, I. G., Tarantinos, K., Sklapani, P., Trakas, N., &amp; Spandidos, D. A. (2024). Atypical pneumonia (Review). Experimental and Therapeutic Medicine https://doi.org/10.3892/etm.2024.12713</w:t>
      </w:r>
    </w:p>
    <w:p w14:paraId="13091253" w14:textId="06653C5F" w:rsidR="005F0A18" w:rsidRDefault="00045758" w:rsidP="00FB030D">
      <w:pPr>
        <w:pStyle w:val="Bibliography1"/>
        <w:ind w:left="0" w:firstLine="0"/>
        <w:rPr>
          <w:rFonts w:ascii="Times New Roman Regular" w:hAnsi="Times New Roman Regular" w:cs="Times New Roman Regular"/>
        </w:rPr>
      </w:pPr>
      <w:r w:rsidRPr="00045758">
        <w:rPr>
          <w:rFonts w:ascii="Times New Roman Regular" w:hAnsi="Times New Roman Regular" w:cs="Times New Roman Regular"/>
        </w:rPr>
        <w:t>Guo, Z.-Q., Gu, S.-Y., Tian, Z.-H., &amp; Du, B.-Y. (2024). A comprehensive review of Mycoplasma pneumoniae infection in chronic lung diseases: recent advances in understanding asthma, COPD, and bronchiectasis. Frontiers in Medicine, 11, 1437731. https://doi.org/10.3389/fmed.2024.1437731</w:t>
      </w:r>
    </w:p>
    <w:p w14:paraId="5E10AE73" w14:textId="0B8403C0" w:rsidR="005F0A18" w:rsidRDefault="00C52612" w:rsidP="00FB030D">
      <w:pPr>
        <w:pStyle w:val="Bibliography1"/>
        <w:ind w:left="0" w:firstLine="0"/>
        <w:rPr>
          <w:rFonts w:ascii="Times New Roman Regular" w:hAnsi="Times New Roman Regular" w:cs="Times New Roman Regular"/>
        </w:rPr>
      </w:pPr>
      <w:r w:rsidRPr="00C52612">
        <w:rPr>
          <w:rFonts w:ascii="Times New Roman Regular" w:hAnsi="Times New Roman Regular" w:cs="Times New Roman Regular"/>
        </w:rPr>
        <w:t>Guo, Z.-Q., Gu, S.-Y., Tian, Z.-H., &amp; Du, B.-Y. (2024). A comprehensive review of Mycoplasma pneumoniae infection in chronic lung diseases: recent advances in understanding asthma, COPD, and bronchiectasis. Frontiers in Medicine, 11, 1437731. https://doi.org/10.3389/fmed.2024.1437731</w:t>
      </w:r>
    </w:p>
    <w:p w14:paraId="410169BD" w14:textId="51C3BA49" w:rsidR="005F0A18" w:rsidRDefault="00C52612" w:rsidP="00FB030D">
      <w:pPr>
        <w:pStyle w:val="Bibliography1"/>
        <w:ind w:left="0" w:firstLine="0"/>
        <w:rPr>
          <w:rFonts w:ascii="Times New Roman Regular" w:hAnsi="Times New Roman Regular" w:cs="Times New Roman Regular"/>
        </w:rPr>
      </w:pPr>
      <w:r w:rsidRPr="00C52612">
        <w:rPr>
          <w:rFonts w:ascii="Times New Roman Regular" w:hAnsi="Times New Roman Regular" w:cs="Times New Roman Regular"/>
        </w:rPr>
        <w:t>Guo, Z.-Q., Gu, S.-Y., Tian, Z.-H., &amp; Du, B.-Y. (2024). A comprehensive review of Mycoplasma pneumoniae infection in chronic lung diseases: recent advances in understanding asthma, COPD, and bronchiectasis. Frontiers in Medicine, 11, 1437731. https://doi.org/10.3389/fmed.2024.1437731</w:t>
      </w:r>
    </w:p>
    <w:p w14:paraId="6E424A14" w14:textId="7E67C983" w:rsidR="005F0A18" w:rsidRDefault="00C52612" w:rsidP="00FB030D">
      <w:pPr>
        <w:pStyle w:val="Bibliography1"/>
        <w:ind w:left="0" w:firstLine="0"/>
        <w:rPr>
          <w:rFonts w:ascii="Times New Roman Regular" w:hAnsi="Times New Roman Regular" w:cs="Times New Roman Regular"/>
        </w:rPr>
      </w:pPr>
      <w:r w:rsidRPr="00C52612">
        <w:rPr>
          <w:rFonts w:ascii="Times New Roman Regular" w:hAnsi="Times New Roman Regular" w:cs="Times New Roman Regular"/>
        </w:rPr>
        <w:t>Gupta, S., Shariff, M., Chaturvedi, G., Sharma, A., Goel, N., Yadav, M., Mortensen, M. S., Sørensen, S. J., Mukerji, M., &amp; Chauhan, N. S. (2021). Comparative analysis of the alveolar microbiome in COPD, ECOPD, Sarcoidosis, and ILD patients to identify respiratory illnesses specific microbial signatures. Scientific Reports, 11(1), 3963. https://doi.org/10.1038/s41598-021-83524-2</w:t>
      </w:r>
      <w:r>
        <w:rPr>
          <w:rFonts w:ascii="Times New Roman Regular" w:hAnsi="Times New Roman Regular" w:cs="Times New Roman Regular"/>
        </w:rPr>
        <w:t xml:space="preserve"> </w:t>
      </w:r>
    </w:p>
    <w:p w14:paraId="0020D9FB" w14:textId="6397B82A" w:rsidR="005F0A18" w:rsidRDefault="00147396" w:rsidP="00FB030D">
      <w:pPr>
        <w:pStyle w:val="Bibliography1"/>
        <w:ind w:left="0" w:firstLine="0"/>
        <w:rPr>
          <w:rFonts w:ascii="Times New Roman Regular" w:hAnsi="Times New Roman Regular" w:cs="Times New Roman Regular"/>
        </w:rPr>
      </w:pPr>
      <w:r w:rsidRPr="00147396">
        <w:rPr>
          <w:rFonts w:ascii="Times New Roman Regular" w:hAnsi="Times New Roman Regular" w:cs="Times New Roman Regular"/>
        </w:rPr>
        <w:t>He, J., Liu, M., Ye, Z., Tan, T., Liu, X., You, X., Zeng, Y., &amp; Wu, Y. (2016). Insights into the pathogenesis of Mycoplasma pneumoniae (Review). Molecular Medicine Reports, 14, 4030–4036. https://doi.org/10.3892/mmr.2016.5765</w:t>
      </w:r>
    </w:p>
    <w:p w14:paraId="07571747" w14:textId="207639A6" w:rsidR="005F0A18" w:rsidRDefault="008A070B" w:rsidP="00FB030D">
      <w:pPr>
        <w:pStyle w:val="Bibliography1"/>
        <w:ind w:left="0" w:firstLine="0"/>
        <w:rPr>
          <w:rFonts w:ascii="Times New Roman Regular" w:hAnsi="Times New Roman Regular" w:cs="Times New Roman Regular"/>
        </w:rPr>
      </w:pPr>
      <w:r w:rsidRPr="008A070B">
        <w:rPr>
          <w:rFonts w:ascii="Times New Roman Regular" w:hAnsi="Times New Roman Regular" w:cs="Times New Roman Regular"/>
        </w:rPr>
        <w:t>Hu, J., Ye, Y., Chen, X., Xiong, L., Xie, W., &amp; Liu, P. (2022). Insight into the pathogenic mechanism of Mycoplasma pneumoniae. Current Microbiology, 80(1), 14. https://doi.org/10.1007/s00284-022-03103-0</w:t>
      </w:r>
      <w:r>
        <w:rPr>
          <w:rFonts w:ascii="Times New Roman Regular" w:hAnsi="Times New Roman Regular" w:cs="Times New Roman Regular"/>
        </w:rPr>
        <w:t xml:space="preserve"> </w:t>
      </w:r>
    </w:p>
    <w:p w14:paraId="3324AEE6" w14:textId="37CECFEF"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lastRenderedPageBreak/>
        <w:t>Huang, Y. J., &amp; Boushey, H. A. (2015). The Sputum Microbiome in Chronic Obstructive Pulmonary Disease Exacerbations. Ann Am Thorac Soc, 12 Suppl 2, S176-180. https://doi.org/10.1513/AnnalsATS.201506-319AW</w:t>
      </w:r>
    </w:p>
    <w:p w14:paraId="215686F0" w14:textId="141F1E83"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Huang, Y. J., Sethi, S., Murphy, T., Nariya, S., Boushey, H. A., &amp; Lynch, S. V. (2014). Airway microbiome dynamics in exacerbations of chronic obstructive pulmonary disease. Journal of Clinical Microbiology, 52(8), 2813–2823. https://doi.org/10.1128/JCM.00035-14</w:t>
      </w:r>
    </w:p>
    <w:p w14:paraId="0F83642B" w14:textId="275691CF"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Huang, Y. J., Sethi, S., Murphy, T., Nariya, S., Boushey, H. A., &amp; Lynch, S. V. (2014). Airway microbiome dynamics in exacerbations of chronic obstructive pulmonary disease. Journal of Clinical Microbiology. https://doi.org/10.1128/JCM.00035-14</w:t>
      </w:r>
    </w:p>
    <w:p w14:paraId="3EA67F94" w14:textId="35BCDD4A"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Kou, Z., Liu, K., Qiao, Z., Wang, Y., Li, Y., Li, Y., Yu, X., &amp; Han, W. (2024). The alterations of oral, airway and intestine microbiota in chronic obstructive pulmonary disease: a systematic review and meta-analysis. Frontiers in Immunology, 15, 1407439. https://doi.org/10.3389/fimmu.2024.1407439</w:t>
      </w:r>
    </w:p>
    <w:p w14:paraId="14792A92" w14:textId="582E3150"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Kou, Z., Liu, K., Qiao, Z., Wang, Y., Li, Y., Li, Y., Yu, X., &amp; Han, W. (2024). The alterations of oral, airway and intestine microbiota in chronic obstructive pulmonary disease: a systematic review and meta-analysis. Frontiers in Immunology https://doi.org/10.3389/fimmu.2024.1407439</w:t>
      </w:r>
    </w:p>
    <w:p w14:paraId="0762DE16" w14:textId="1BE2EAA6"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Kou, Z., Liu, K., Qiao, Z., Wang, Y., Li, Y., Li, Y., Yu, X., &amp; Han, W. (2024). The alterations of oral, airway and intestine microbiota in chronic obstructive pulmonary disease: a systematic review and meta-analysis. Frontiers in Immunology, 15, 1407439. https://doi.org/10.3389/fimmu.2024.1407439</w:t>
      </w:r>
    </w:p>
    <w:p w14:paraId="76EEAA8F" w14:textId="054C8DCE"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Leitao Filho, F. S., Alotaibi, N. M., Ngan, D., Tam, S., Yang, J., Hollander, Z., Chen, V., FitzGerald, J. M., Nislow, C., Leung, J. M., Man, S. F. P., &amp; Sin, D. D. (2019). Sputum microbiome is associated with 1-year mortality after chronic obstructive pulmonary disease hospitalizations. American Journal of Respiratory and Critical Care Medicine, 199(10), 1205–1213. https://doi.org/10.1164/rccm.201806-1135OC</w:t>
      </w:r>
    </w:p>
    <w:p w14:paraId="3D123579" w14:textId="77777777" w:rsidR="005F0A18" w:rsidRDefault="00FB030D" w:rsidP="00FB030D">
      <w:pPr>
        <w:pStyle w:val="Bibliography1"/>
        <w:ind w:left="0" w:firstLine="0"/>
        <w:rPr>
          <w:rFonts w:ascii="Times New Roman Regular" w:hAnsi="Times New Roman Regular" w:cs="Times New Roman Regular"/>
        </w:rPr>
      </w:pPr>
      <w:r>
        <w:rPr>
          <w:rFonts w:ascii="Times New Roman Regular" w:hAnsi="Times New Roman Regular" w:cs="Times New Roman Regular"/>
        </w:rPr>
        <w:t>Li, X., Zeng, Q., Liu, C., Yi, X., Luo, H., Tong, Q., Chen, H., You, X., 2025. The Immune Modulatory Role of Surfactants in Mycoplasma pneumoniae Infection. J. Inflamm. Res. 18, 2909–2922. https://doi.org/10.2147/JIR.S507526</w:t>
      </w:r>
    </w:p>
    <w:p w14:paraId="7E9A30CE" w14:textId="03DA4AE6"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Lippi, L., Folli, A., Curci, C., D’Abrosca, F., Moalli, S., Mezian, K., de Sire, A., &amp; Invernizzi, M. (2022). Osteosarcopenia in Patients with Chronic Obstructive Pulmonary Diseases: Which Pathophysiologic Implications for Rehabilitation? International Journal of Environmental Research and Public Health. https://doi.org/10.3390/ijerph192114314</w:t>
      </w:r>
    </w:p>
    <w:p w14:paraId="7C4F4478" w14:textId="62AE3E60"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Luo, L., Tang, J., Du, X., &amp; Li, N. (2024). Chronic obstructive pulmonary disease and the airway microbiome: A review for clinicians. Respiratory Medicine, 225, 107586. https://doi.org/10.1016/j.rmed.2024.107586</w:t>
      </w:r>
    </w:p>
    <w:p w14:paraId="0802B6B1" w14:textId="1C4C1E73"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Luo, L., Tang, J., Du, X., &amp; Li, N. (2024). Chronic obstructive pulmonary disease and the airway microbiome: A review for clinicians. Respir. Med., 225, 107586. https://doi.org/10.1016/j.rmed.2024.107586</w:t>
      </w:r>
    </w:p>
    <w:p w14:paraId="6B276AF5" w14:textId="2778580C"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Luo, L., Tang, J., Du, X., &amp; Li, N. (2024). Chronic obstructive pulmonary disease and the airway microbiome: A review for clinicians. Respiratory Medicine, 225, 107586. https://doi.org/10.1016/j.rmed.2024.107586</w:t>
      </w:r>
    </w:p>
    <w:p w14:paraId="623F1DDB" w14:textId="77777777" w:rsidR="005F0A18" w:rsidRDefault="00FB030D" w:rsidP="00FB030D">
      <w:pPr>
        <w:pStyle w:val="Bibliography1"/>
        <w:ind w:left="0" w:firstLine="0"/>
        <w:rPr>
          <w:rFonts w:ascii="Times New Roman Regular" w:hAnsi="Times New Roman Regular" w:cs="Times New Roman Regular"/>
        </w:rPr>
      </w:pPr>
      <w:r>
        <w:rPr>
          <w:rFonts w:ascii="Times New Roman Regular" w:hAnsi="Times New Roman Regular" w:cs="Times New Roman Regular"/>
        </w:rPr>
        <w:t>Lv, J., Xiong, X., 2024. Extracellular Vesicle microRNA: A Promising Biomarker and Therapeutic Target for Respiratory Diseases. Int. J. Mol. Sci. 25, 9147. https://doi.org/10.3390/ijms25179147</w:t>
      </w:r>
    </w:p>
    <w:p w14:paraId="2A694748" w14:textId="49A53ABE"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Mammen, M. J., &amp; Sethi, S. (2016). COPD and the microbiome. Respirology, 21(4), 590–599. https://doi.org/10.1111/resp.12732</w:t>
      </w:r>
    </w:p>
    <w:p w14:paraId="23E05E23" w14:textId="1E697ABD"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Mammen, M. J., &amp; Sethi, S. (2016). COPD and the microbiome. Respirology, 21(4), 590–599. https://doi.org/10.1111/resp.12732</w:t>
      </w:r>
    </w:p>
    <w:p w14:paraId="71883B67" w14:textId="1D8E52D9"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Sharplin, L., &amp; Goyal, V. (2025). Mycoplasma pneumoniae respiratory tract infections in children: when and how to diagnose and treat. Breathe. https://doi.org/10.1183/20734735.0046-2025</w:t>
      </w:r>
    </w:p>
    <w:p w14:paraId="125BE4B1" w14:textId="42FFBBB0"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Singh, D., Agusti, A., Anzueto, A., Barnes, P. J., Bourbeau, J., Celli, B. R., Criner, G. J., Frith, P., Halpin, D. M. G., Han, M., López Varela, M. V., Martinez, F., Montes de Oca, M., Papi, A., Pavord, I. D., Roche, N., Sin, D. D., Stockley, R., Vestbo, J., Wedzicha, J. A., &amp; Vogelmeier, C. (2019). Global Strategy for the Diagnosis, Management, and Prevention of Chronic Obstructive Lung Disease: The GOLD Science Committee Report 2019. *European Respiratory Journal*, *53*(5), 1900164. https://doi.org/10.1183/13993003.00164-2019</w:t>
      </w:r>
    </w:p>
    <w:p w14:paraId="6A6120F5" w14:textId="2ACCAAE8" w:rsidR="005F0A18" w:rsidRDefault="00B236FD" w:rsidP="00FB030D">
      <w:pPr>
        <w:pStyle w:val="Bibliography1"/>
        <w:ind w:left="0" w:firstLine="0"/>
        <w:rPr>
          <w:rFonts w:ascii="Times New Roman Regular" w:hAnsi="Times New Roman Regular" w:cs="Times New Roman Regular"/>
        </w:rPr>
      </w:pPr>
      <w:r w:rsidRPr="00B236FD">
        <w:rPr>
          <w:rFonts w:ascii="Times New Roman Regular" w:hAnsi="Times New Roman Regular" w:cs="Times New Roman Regular"/>
        </w:rPr>
        <w:t>van der Bie, S., Haaksma, M. E., Vermin, B., van Assema, H., van Gorp, E. C. M., Langerak, T., Endeman, H., Snijders, D., van den Akker, J. P. C., van Houten, M. A., van Lelyveld, S. F. L., &amp; Goeijenbier, M. (2024). A Systematic Review of the Pulmonary Microbiome in Patients with Acute Exacerbation COPD Requiring ICU Admission. *Journal of Clinical Medicine*, *13*(2), 472. https://doi.org/10.3390/jcm13020472</w:t>
      </w:r>
    </w:p>
    <w:p w14:paraId="2B3A3BDC" w14:textId="047E1A5E"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 xml:space="preserve">Wang, B., Tan, M., Li, W., Xu, Q., Jin, L., Xie, S., &amp; Wang, C. (2024). Exploring the microbiota difference of bronchoalveolar lavage fluid between community-acquired pneumonia with or without </w:t>
      </w:r>
      <w:r w:rsidRPr="00AB1D20">
        <w:rPr>
          <w:rFonts w:ascii="Times New Roman Regular" w:hAnsi="Times New Roman Regular" w:cs="Times New Roman Regular"/>
        </w:rPr>
        <w:lastRenderedPageBreak/>
        <w:t>COPD based on metagenomic sequencing: a retrospective study. BMC Pulmonary Medicine, 24, 278. https://doi.org/10.1186/s12890-024-03087-6</w:t>
      </w:r>
    </w:p>
    <w:p w14:paraId="74172D20" w14:textId="01CC7355"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Wang, L., Hao, K., Yang, T., &amp; Wang, C. (2017). Role of the Lung Microbiome in the Pathogenesis of Chronic Obstructive Pulmonary Disease. Chin. Med. J. (Engl.), 130(17), 2107–2111. https://doi.org/10.4103/0366-6999.211452</w:t>
      </w:r>
    </w:p>
    <w:p w14:paraId="382B2C65" w14:textId="15A335C9"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Wang, Y., Zou, M., Zhao, Y., Kabir, M. A., &amp; Peng, X. (2023). Exosomal microRNA/miRNA Dysregulation in Respiratory Diseases: From Mycoplasma-Induced Respiratory Disease to COVID-19 and Beyond. Cells, 12(19), 2421. https://doi.org/10.3390/cells12192421</w:t>
      </w:r>
    </w:p>
    <w:p w14:paraId="6B52FDA0" w14:textId="7EE11112"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Wang, Z., Bafadhel, M., Haldar, K., Spivak, A., Mayhew, D., Miller, B. E., Tal-Singer, R., Johnston, S. L., Ramsheh, M. Y., Barer, M. R., Brightling, C. E., &amp; Brown, J. R. (2016). Lung microbiome dynamics in COPD exacerbations. European Respiratory Journal, 47, 1082–1092. https://doi.org/10.1183/13993003.01406-2015</w:t>
      </w:r>
    </w:p>
    <w:p w14:paraId="69D8C248" w14:textId="766E2694"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Yang, C.-Y., Li, S.-W., Chin, C.-Y., Hsu, C.-W., Lee, C.-C., Yeh, Y.-M., &amp; Wu, K.-A. (2021). Association of exacerbation phenotype with the sputum microbiome in chronic obstructive pulmonary disease patients during the clinically stable state. Journal of Translational Medicine. https://doi.org/10.1186/s12967-021-02788-4</w:t>
      </w:r>
    </w:p>
    <w:p w14:paraId="3BA2385F" w14:textId="2EE65854"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Yang, Z., Zhou, J., Su, N., Zhang, Z., Chen, J., Liu, P., &amp; Ling, P. (2024). Insights into the defensive roles of lncRNAs during Mycoplasma pneumoniae infection. Frontiers in Microbiology, 15, 1330660. https://doi.org/10.3389/fmicb.2024.1330660</w:t>
      </w:r>
    </w:p>
    <w:p w14:paraId="595963C9" w14:textId="040D0447" w:rsidR="005F0A18" w:rsidRDefault="00AB1D20" w:rsidP="00FB030D">
      <w:pPr>
        <w:pStyle w:val="Bibliography1"/>
        <w:ind w:left="0" w:firstLine="0"/>
        <w:rPr>
          <w:rFonts w:ascii="Times New Roman Regular" w:hAnsi="Times New Roman Regular" w:cs="Times New Roman Regular"/>
        </w:rPr>
      </w:pPr>
      <w:r w:rsidRPr="00AB1D20">
        <w:rPr>
          <w:rFonts w:ascii="Times New Roman Regular" w:hAnsi="Times New Roman Regular" w:cs="Times New Roman Regular"/>
        </w:rPr>
        <w:t>Zhang, Y., Ning, H., Zheng, W., Liu, J., Li, F., &amp; Chen, J. (2022). Lung microbiome in children with hematological malignancies and lower respiratory tract infections. Front. Oncol., 12, 932709. https://doi.org/10.3389/fonc.2022.932709</w:t>
      </w:r>
    </w:p>
    <w:p w14:paraId="5555F69A" w14:textId="77777777" w:rsidR="005F0A18" w:rsidRDefault="00FB030D">
      <w:pPr>
        <w:spacing w:line="360" w:lineRule="auto"/>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r>
        <w:rPr>
          <w:rFonts w:ascii="Times New Roman Regular" w:hAnsi="Times New Roman Regular" w:cs="Times New Roman Regular"/>
        </w:rPr>
        <w:fldChar w:fldCharType="end"/>
      </w:r>
    </w:p>
    <w:p w14:paraId="4E4886C4" w14:textId="77777777" w:rsidR="005F0A18" w:rsidRDefault="005F0A18">
      <w:pPr>
        <w:spacing w:line="360" w:lineRule="auto"/>
        <w:rPr>
          <w:rFonts w:ascii="Times New Roman Regular" w:hAnsi="Times New Roman Regular" w:cs="Times New Roman Regular"/>
        </w:rPr>
      </w:pPr>
    </w:p>
    <w:p w14:paraId="3D0A5C84" w14:textId="77777777" w:rsidR="005F0A18" w:rsidRDefault="005F0A18">
      <w:pPr>
        <w:spacing w:line="360" w:lineRule="auto"/>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tbl>
      <w:tblPr>
        <w:tblW w:w="5000" w:type="pct"/>
        <w:jc w:val="center"/>
        <w:tblLook w:val="04A0" w:firstRow="1" w:lastRow="0" w:firstColumn="1" w:lastColumn="0" w:noHBand="0" w:noVBand="1"/>
      </w:tblPr>
      <w:tblGrid>
        <w:gridCol w:w="2274"/>
        <w:gridCol w:w="2052"/>
        <w:gridCol w:w="2376"/>
        <w:gridCol w:w="2041"/>
        <w:gridCol w:w="2041"/>
        <w:gridCol w:w="2041"/>
        <w:gridCol w:w="1133"/>
      </w:tblGrid>
      <w:tr w:rsidR="005F0A18" w14:paraId="339D0797" w14:textId="77777777" w:rsidTr="00B30ECE">
        <w:trPr>
          <w:tblHeader/>
          <w:jc w:val="center"/>
        </w:trPr>
        <w:tc>
          <w:tcPr>
            <w:tcW w:w="8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18C1941"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lastRenderedPageBreak/>
              <w:t xml:space="preserve">  </w:t>
            </w:r>
          </w:p>
        </w:tc>
        <w:tc>
          <w:tcPr>
            <w:tcW w:w="3778" w:type="pct"/>
            <w:gridSpan w:val="5"/>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6B1C2A3" w14:textId="77777777" w:rsidR="005F0A18" w:rsidRDefault="005F0A18">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p>
        </w:tc>
        <w:tc>
          <w:tcPr>
            <w:tcW w:w="40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C848988" w14:textId="77777777" w:rsidR="005F0A18" w:rsidRDefault="005F0A18">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p>
        </w:tc>
      </w:tr>
      <w:tr w:rsidR="005F0A18" w14:paraId="3183B928" w14:textId="77777777" w:rsidTr="00B30ECE">
        <w:trPr>
          <w:tblHeader/>
          <w:jc w:val="center"/>
        </w:trPr>
        <w:tc>
          <w:tcPr>
            <w:tcW w:w="8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A38F5F6"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Variable</w:t>
            </w:r>
          </w:p>
        </w:tc>
        <w:tc>
          <w:tcPr>
            <w:tcW w:w="7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640AA7E"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Healthy control</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15</w:t>
            </w:r>
            <w:r>
              <w:rPr>
                <w:rFonts w:ascii="Times New Roman Regular" w:eastAsia="Helvetica" w:hAnsi="Times New Roman Regular" w:cs="Times New Roman Regular"/>
                <w:color w:val="000000"/>
                <w:sz w:val="22"/>
                <w:szCs w:val="22"/>
                <w:vertAlign w:val="superscript"/>
              </w:rPr>
              <w:t>1</w:t>
            </w:r>
          </w:p>
        </w:tc>
        <w:tc>
          <w:tcPr>
            <w:tcW w:w="85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9D99297"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Stable COPD, MP−</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15</w:t>
            </w:r>
            <w:r>
              <w:rPr>
                <w:rFonts w:ascii="Times New Roman Regular" w:eastAsia="Helvetica" w:hAnsi="Times New Roman Regular" w:cs="Times New Roman Regular"/>
                <w:color w:val="000000"/>
                <w:sz w:val="22"/>
                <w:szCs w:val="22"/>
                <w:vertAlign w:val="superscript"/>
              </w:rPr>
              <w:t>1</w:t>
            </w:r>
          </w:p>
        </w:tc>
        <w:tc>
          <w:tcPr>
            <w:tcW w:w="73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AD99D80"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AECOPD, MP−</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14</w:t>
            </w:r>
            <w:r>
              <w:rPr>
                <w:rFonts w:ascii="Times New Roman Regular" w:eastAsia="Helvetica" w:hAnsi="Times New Roman Regular" w:cs="Times New Roman Regular"/>
                <w:color w:val="000000"/>
                <w:sz w:val="22"/>
                <w:szCs w:val="22"/>
                <w:vertAlign w:val="superscript"/>
              </w:rPr>
              <w:t>1</w:t>
            </w:r>
          </w:p>
        </w:tc>
        <w:tc>
          <w:tcPr>
            <w:tcW w:w="73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97BE787"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AECOPD, MP+</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14</w:t>
            </w:r>
            <w:r>
              <w:rPr>
                <w:rFonts w:ascii="Times New Roman Regular" w:eastAsia="Helvetica" w:hAnsi="Times New Roman Regular" w:cs="Times New Roman Regular"/>
                <w:color w:val="000000"/>
                <w:sz w:val="22"/>
                <w:szCs w:val="22"/>
                <w:vertAlign w:val="superscript"/>
              </w:rPr>
              <w:t>1</w:t>
            </w:r>
          </w:p>
        </w:tc>
        <w:tc>
          <w:tcPr>
            <w:tcW w:w="73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16E1072"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Overall</w:t>
            </w:r>
            <w:r>
              <w:rPr>
                <w:rFonts w:ascii="Times New Roman Regular" w:eastAsia="Helvetica" w:hAnsi="Times New Roman Regular" w:cs="Times New Roman Regular"/>
                <w:color w:val="000000"/>
                <w:sz w:val="22"/>
                <w:szCs w:val="22"/>
              </w:rPr>
              <w:t xml:space="preserve">  </w:t>
            </w:r>
            <w:r>
              <w:rPr>
                <w:rFonts w:ascii="Times New Roman Regular" w:eastAsia="Helvetica" w:hAnsi="Times New Roman Regular" w:cs="Times New Roman Regular"/>
                <w:color w:val="000000"/>
                <w:sz w:val="22"/>
                <w:szCs w:val="22"/>
              </w:rPr>
              <w:br/>
              <w:t>N = 58</w:t>
            </w:r>
            <w:r>
              <w:rPr>
                <w:rFonts w:ascii="Times New Roman Regular" w:eastAsia="Helvetica" w:hAnsi="Times New Roman Regular" w:cs="Times New Roman Regular"/>
                <w:color w:val="000000"/>
                <w:sz w:val="22"/>
                <w:szCs w:val="22"/>
                <w:vertAlign w:val="superscript"/>
              </w:rPr>
              <w:t>1</w:t>
            </w:r>
          </w:p>
        </w:tc>
        <w:tc>
          <w:tcPr>
            <w:tcW w:w="40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6799630" w14:textId="77777777" w:rsidR="005F0A18" w:rsidRDefault="00FB030D">
            <w:pPr>
              <w:pBdr>
                <w:top w:val="none" w:sz="0" w:space="0" w:color="000000"/>
                <w:left w:val="none" w:sz="0" w:space="0" w:color="000000"/>
                <w:bottom w:val="none" w:sz="0" w:space="0" w:color="000000"/>
                <w:right w:val="none" w:sz="0" w:space="0" w:color="000000"/>
              </w:pBdr>
              <w:spacing w:before="40" w:after="4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b/>
                <w:color w:val="000000"/>
                <w:sz w:val="22"/>
                <w:szCs w:val="22"/>
              </w:rPr>
              <w:t>p-value</w:t>
            </w:r>
            <w:r>
              <w:rPr>
                <w:rFonts w:ascii="Times New Roman Regular" w:eastAsia="Helvetica" w:hAnsi="Times New Roman Regular" w:cs="Times New Roman Regular"/>
                <w:color w:val="000000"/>
                <w:sz w:val="22"/>
                <w:szCs w:val="22"/>
                <w:vertAlign w:val="superscript"/>
              </w:rPr>
              <w:t>2</w:t>
            </w:r>
          </w:p>
        </w:tc>
      </w:tr>
      <w:tr w:rsidR="005F0A18" w14:paraId="45DD0AF0" w14:textId="77777777" w:rsidTr="00B30ECE">
        <w:trPr>
          <w:jc w:val="center"/>
        </w:trPr>
        <w:tc>
          <w:tcPr>
            <w:tcW w:w="815" w:type="pct"/>
            <w:tcBorders>
              <w:top w:val="single" w:sz="8" w:space="0" w:color="000000"/>
              <w:left w:val="nil"/>
              <w:bottom w:val="nil"/>
              <w:right w:val="nil"/>
            </w:tcBorders>
            <w:shd w:val="clear" w:color="auto" w:fill="FFFFFF"/>
            <w:tcMar>
              <w:top w:w="0" w:type="dxa"/>
              <w:left w:w="0" w:type="dxa"/>
              <w:bottom w:w="0" w:type="dxa"/>
              <w:right w:w="0" w:type="dxa"/>
            </w:tcMar>
          </w:tcPr>
          <w:p w14:paraId="2563135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Gender</w:t>
            </w:r>
          </w:p>
        </w:tc>
        <w:tc>
          <w:tcPr>
            <w:tcW w:w="735" w:type="pct"/>
            <w:tcBorders>
              <w:top w:val="single" w:sz="8" w:space="0" w:color="000000"/>
              <w:left w:val="nil"/>
              <w:bottom w:val="nil"/>
              <w:right w:val="nil"/>
            </w:tcBorders>
            <w:shd w:val="clear" w:color="auto" w:fill="FFFFFF"/>
            <w:tcMar>
              <w:top w:w="0" w:type="dxa"/>
              <w:left w:w="0" w:type="dxa"/>
              <w:bottom w:w="0" w:type="dxa"/>
              <w:right w:w="0" w:type="dxa"/>
            </w:tcMar>
          </w:tcPr>
          <w:p w14:paraId="64EABCD6"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851" w:type="pct"/>
            <w:tcBorders>
              <w:top w:val="single" w:sz="8" w:space="0" w:color="000000"/>
              <w:left w:val="nil"/>
              <w:bottom w:val="nil"/>
              <w:right w:val="nil"/>
            </w:tcBorders>
            <w:shd w:val="clear" w:color="auto" w:fill="FFFFFF"/>
            <w:tcMar>
              <w:top w:w="0" w:type="dxa"/>
              <w:left w:w="0" w:type="dxa"/>
              <w:bottom w:w="0" w:type="dxa"/>
              <w:right w:w="0" w:type="dxa"/>
            </w:tcMar>
          </w:tcPr>
          <w:p w14:paraId="1C5B46B8"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731" w:type="pct"/>
            <w:tcBorders>
              <w:top w:val="single" w:sz="8" w:space="0" w:color="000000"/>
              <w:left w:val="nil"/>
              <w:bottom w:val="nil"/>
              <w:right w:val="nil"/>
            </w:tcBorders>
            <w:shd w:val="clear" w:color="auto" w:fill="FFFFFF"/>
            <w:tcMar>
              <w:top w:w="0" w:type="dxa"/>
              <w:left w:w="0" w:type="dxa"/>
              <w:bottom w:w="0" w:type="dxa"/>
              <w:right w:w="0" w:type="dxa"/>
            </w:tcMar>
          </w:tcPr>
          <w:p w14:paraId="74B4C6AD"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731" w:type="pct"/>
            <w:tcBorders>
              <w:top w:val="single" w:sz="8" w:space="0" w:color="000000"/>
              <w:left w:val="nil"/>
              <w:bottom w:val="nil"/>
              <w:right w:val="nil"/>
            </w:tcBorders>
            <w:shd w:val="clear" w:color="auto" w:fill="FFFFFF"/>
            <w:tcMar>
              <w:top w:w="0" w:type="dxa"/>
              <w:left w:w="0" w:type="dxa"/>
              <w:bottom w:w="0" w:type="dxa"/>
              <w:right w:w="0" w:type="dxa"/>
            </w:tcMar>
          </w:tcPr>
          <w:p w14:paraId="5636BFC6"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731" w:type="pct"/>
            <w:tcBorders>
              <w:top w:val="single" w:sz="8" w:space="0" w:color="000000"/>
              <w:left w:val="nil"/>
              <w:bottom w:val="nil"/>
              <w:right w:val="nil"/>
            </w:tcBorders>
            <w:shd w:val="clear" w:color="auto" w:fill="FFFFFF"/>
            <w:tcMar>
              <w:top w:w="0" w:type="dxa"/>
              <w:left w:w="0" w:type="dxa"/>
              <w:bottom w:w="0" w:type="dxa"/>
              <w:right w:w="0" w:type="dxa"/>
            </w:tcMar>
          </w:tcPr>
          <w:p w14:paraId="0D68028C"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c>
          <w:tcPr>
            <w:tcW w:w="407" w:type="pct"/>
            <w:tcBorders>
              <w:top w:val="single" w:sz="8" w:space="0" w:color="000000"/>
              <w:left w:val="nil"/>
              <w:bottom w:val="nil"/>
              <w:right w:val="nil"/>
            </w:tcBorders>
            <w:shd w:val="clear" w:color="auto" w:fill="FFFFFF"/>
            <w:tcMar>
              <w:top w:w="0" w:type="dxa"/>
              <w:left w:w="0" w:type="dxa"/>
              <w:bottom w:w="0" w:type="dxa"/>
              <w:right w:w="0" w:type="dxa"/>
            </w:tcMar>
          </w:tcPr>
          <w:p w14:paraId="6A3672B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0.006</w:t>
            </w:r>
          </w:p>
        </w:tc>
      </w:tr>
      <w:tr w:rsidR="005F0A18" w14:paraId="332C5CC0"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4BF97533"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300" w:right="100"/>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male</w:t>
            </w:r>
          </w:p>
        </w:tc>
        <w:tc>
          <w:tcPr>
            <w:tcW w:w="735" w:type="pct"/>
            <w:tcBorders>
              <w:top w:val="nil"/>
              <w:left w:val="nil"/>
              <w:bottom w:val="nil"/>
              <w:right w:val="nil"/>
            </w:tcBorders>
            <w:shd w:val="clear" w:color="auto" w:fill="FFFFFF"/>
            <w:tcMar>
              <w:top w:w="0" w:type="dxa"/>
              <w:left w:w="0" w:type="dxa"/>
              <w:bottom w:w="0" w:type="dxa"/>
              <w:right w:w="0" w:type="dxa"/>
            </w:tcMar>
          </w:tcPr>
          <w:p w14:paraId="3C12017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 (40%)</w:t>
            </w:r>
          </w:p>
        </w:tc>
        <w:tc>
          <w:tcPr>
            <w:tcW w:w="851" w:type="pct"/>
            <w:tcBorders>
              <w:top w:val="nil"/>
              <w:left w:val="nil"/>
              <w:bottom w:val="nil"/>
              <w:right w:val="nil"/>
            </w:tcBorders>
            <w:shd w:val="clear" w:color="auto" w:fill="FFFFFF"/>
            <w:tcMar>
              <w:top w:w="0" w:type="dxa"/>
              <w:left w:w="0" w:type="dxa"/>
              <w:bottom w:w="0" w:type="dxa"/>
              <w:right w:w="0" w:type="dxa"/>
            </w:tcMar>
          </w:tcPr>
          <w:p w14:paraId="19CF073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(87%)</w:t>
            </w:r>
          </w:p>
        </w:tc>
        <w:tc>
          <w:tcPr>
            <w:tcW w:w="731" w:type="pct"/>
            <w:tcBorders>
              <w:top w:val="nil"/>
              <w:left w:val="nil"/>
              <w:bottom w:val="nil"/>
              <w:right w:val="nil"/>
            </w:tcBorders>
            <w:shd w:val="clear" w:color="auto" w:fill="FFFFFF"/>
            <w:tcMar>
              <w:top w:w="0" w:type="dxa"/>
              <w:left w:w="0" w:type="dxa"/>
              <w:bottom w:w="0" w:type="dxa"/>
              <w:right w:w="0" w:type="dxa"/>
            </w:tcMar>
          </w:tcPr>
          <w:p w14:paraId="3654089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(93%)</w:t>
            </w:r>
          </w:p>
        </w:tc>
        <w:tc>
          <w:tcPr>
            <w:tcW w:w="731" w:type="pct"/>
            <w:tcBorders>
              <w:top w:val="nil"/>
              <w:left w:val="nil"/>
              <w:bottom w:val="nil"/>
              <w:right w:val="nil"/>
            </w:tcBorders>
            <w:shd w:val="clear" w:color="auto" w:fill="FFFFFF"/>
            <w:tcMar>
              <w:top w:w="0" w:type="dxa"/>
              <w:left w:w="0" w:type="dxa"/>
              <w:bottom w:w="0" w:type="dxa"/>
              <w:right w:w="0" w:type="dxa"/>
            </w:tcMar>
          </w:tcPr>
          <w:p w14:paraId="50DB6E1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10 (71%)</w:t>
            </w:r>
          </w:p>
        </w:tc>
        <w:tc>
          <w:tcPr>
            <w:tcW w:w="731" w:type="pct"/>
            <w:tcBorders>
              <w:top w:val="nil"/>
              <w:left w:val="nil"/>
              <w:bottom w:val="nil"/>
              <w:right w:val="nil"/>
            </w:tcBorders>
            <w:shd w:val="clear" w:color="auto" w:fill="FFFFFF"/>
            <w:tcMar>
              <w:top w:w="0" w:type="dxa"/>
              <w:left w:w="0" w:type="dxa"/>
              <w:bottom w:w="0" w:type="dxa"/>
              <w:right w:w="0" w:type="dxa"/>
            </w:tcMar>
          </w:tcPr>
          <w:p w14:paraId="0D1C2AC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42 (72%)</w:t>
            </w:r>
          </w:p>
        </w:tc>
        <w:tc>
          <w:tcPr>
            <w:tcW w:w="407" w:type="pct"/>
            <w:tcBorders>
              <w:top w:val="nil"/>
              <w:left w:val="nil"/>
              <w:bottom w:val="nil"/>
              <w:right w:val="nil"/>
            </w:tcBorders>
            <w:shd w:val="clear" w:color="auto" w:fill="FFFFFF"/>
            <w:tcMar>
              <w:top w:w="0" w:type="dxa"/>
              <w:left w:w="0" w:type="dxa"/>
              <w:bottom w:w="0" w:type="dxa"/>
              <w:right w:w="0" w:type="dxa"/>
            </w:tcMar>
          </w:tcPr>
          <w:p w14:paraId="0CA1B869"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r>
      <w:tr w:rsidR="005F0A18" w14:paraId="76EE1A68"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47EF0BF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300" w:right="100"/>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female</w:t>
            </w:r>
          </w:p>
        </w:tc>
        <w:tc>
          <w:tcPr>
            <w:tcW w:w="735" w:type="pct"/>
            <w:tcBorders>
              <w:top w:val="nil"/>
              <w:left w:val="nil"/>
              <w:bottom w:val="nil"/>
              <w:right w:val="nil"/>
            </w:tcBorders>
            <w:shd w:val="clear" w:color="auto" w:fill="FFFFFF"/>
            <w:tcMar>
              <w:top w:w="0" w:type="dxa"/>
              <w:left w:w="0" w:type="dxa"/>
              <w:bottom w:w="0" w:type="dxa"/>
              <w:right w:w="0" w:type="dxa"/>
            </w:tcMar>
          </w:tcPr>
          <w:p w14:paraId="38AAD0E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 (60%)</w:t>
            </w:r>
          </w:p>
        </w:tc>
        <w:tc>
          <w:tcPr>
            <w:tcW w:w="851" w:type="pct"/>
            <w:tcBorders>
              <w:top w:val="nil"/>
              <w:left w:val="nil"/>
              <w:bottom w:val="nil"/>
              <w:right w:val="nil"/>
            </w:tcBorders>
            <w:shd w:val="clear" w:color="auto" w:fill="FFFFFF"/>
            <w:tcMar>
              <w:top w:w="0" w:type="dxa"/>
              <w:left w:w="0" w:type="dxa"/>
              <w:bottom w:w="0" w:type="dxa"/>
              <w:right w:w="0" w:type="dxa"/>
            </w:tcMar>
          </w:tcPr>
          <w:p w14:paraId="0C1C32E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 (13%)</w:t>
            </w:r>
          </w:p>
        </w:tc>
        <w:tc>
          <w:tcPr>
            <w:tcW w:w="731" w:type="pct"/>
            <w:tcBorders>
              <w:top w:val="nil"/>
              <w:left w:val="nil"/>
              <w:bottom w:val="nil"/>
              <w:right w:val="nil"/>
            </w:tcBorders>
            <w:shd w:val="clear" w:color="auto" w:fill="FFFFFF"/>
            <w:tcMar>
              <w:top w:w="0" w:type="dxa"/>
              <w:left w:w="0" w:type="dxa"/>
              <w:bottom w:w="0" w:type="dxa"/>
              <w:right w:w="0" w:type="dxa"/>
            </w:tcMar>
          </w:tcPr>
          <w:p w14:paraId="30D8FE9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 (7.1%)</w:t>
            </w:r>
          </w:p>
        </w:tc>
        <w:tc>
          <w:tcPr>
            <w:tcW w:w="731" w:type="pct"/>
            <w:tcBorders>
              <w:top w:val="nil"/>
              <w:left w:val="nil"/>
              <w:bottom w:val="nil"/>
              <w:right w:val="nil"/>
            </w:tcBorders>
            <w:shd w:val="clear" w:color="auto" w:fill="FFFFFF"/>
            <w:tcMar>
              <w:top w:w="0" w:type="dxa"/>
              <w:left w:w="0" w:type="dxa"/>
              <w:bottom w:w="0" w:type="dxa"/>
              <w:right w:w="0" w:type="dxa"/>
            </w:tcMar>
          </w:tcPr>
          <w:p w14:paraId="0FAABAD3"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 (29%)</w:t>
            </w:r>
          </w:p>
        </w:tc>
        <w:tc>
          <w:tcPr>
            <w:tcW w:w="731" w:type="pct"/>
            <w:tcBorders>
              <w:top w:val="nil"/>
              <w:left w:val="nil"/>
              <w:bottom w:val="nil"/>
              <w:right w:val="nil"/>
            </w:tcBorders>
            <w:shd w:val="clear" w:color="auto" w:fill="FFFFFF"/>
            <w:tcMar>
              <w:top w:w="0" w:type="dxa"/>
              <w:left w:w="0" w:type="dxa"/>
              <w:bottom w:w="0" w:type="dxa"/>
              <w:right w:w="0" w:type="dxa"/>
            </w:tcMar>
          </w:tcPr>
          <w:p w14:paraId="23CDE25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16 (28%)</w:t>
            </w:r>
          </w:p>
        </w:tc>
        <w:tc>
          <w:tcPr>
            <w:tcW w:w="407" w:type="pct"/>
            <w:tcBorders>
              <w:top w:val="nil"/>
              <w:left w:val="nil"/>
              <w:bottom w:val="nil"/>
              <w:right w:val="nil"/>
            </w:tcBorders>
            <w:shd w:val="clear" w:color="auto" w:fill="FFFFFF"/>
            <w:tcMar>
              <w:top w:w="0" w:type="dxa"/>
              <w:left w:w="0" w:type="dxa"/>
              <w:bottom w:w="0" w:type="dxa"/>
              <w:right w:w="0" w:type="dxa"/>
            </w:tcMar>
          </w:tcPr>
          <w:p w14:paraId="2C709AC4" w14:textId="77777777" w:rsidR="005F0A18" w:rsidRDefault="005F0A18">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p>
        </w:tc>
      </w:tr>
      <w:tr w:rsidR="005F0A18" w14:paraId="5968D739"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2777F36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Age(years)</w:t>
            </w:r>
          </w:p>
        </w:tc>
        <w:tc>
          <w:tcPr>
            <w:tcW w:w="735" w:type="pct"/>
            <w:tcBorders>
              <w:top w:val="nil"/>
              <w:left w:val="nil"/>
              <w:bottom w:val="nil"/>
              <w:right w:val="nil"/>
            </w:tcBorders>
            <w:shd w:val="clear" w:color="auto" w:fill="FFFFFF"/>
            <w:tcMar>
              <w:top w:w="0" w:type="dxa"/>
              <w:left w:w="0" w:type="dxa"/>
              <w:bottom w:w="0" w:type="dxa"/>
              <w:right w:w="0" w:type="dxa"/>
            </w:tcMar>
          </w:tcPr>
          <w:p w14:paraId="3FC0A3C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69.1</w:t>
            </w:r>
            <w:r>
              <w:rPr>
                <w:rFonts w:ascii="Times New Roman Regular" w:eastAsia="Helvetica" w:hAnsi="Times New Roman Regular" w:cs="Times New Roman Regular"/>
                <w:color w:val="000000"/>
                <w:sz w:val="22"/>
                <w:szCs w:val="22"/>
              </w:rPr>
              <w:t xml:space="preserve"> ± 7.</w:t>
            </w:r>
            <w:r>
              <w:rPr>
                <w:rFonts w:ascii="Times New Roman Regular" w:eastAsia="SimSun" w:hAnsi="Times New Roman Regular" w:cs="Times New Roman Regular"/>
                <w:color w:val="000000"/>
                <w:sz w:val="22"/>
                <w:szCs w:val="22"/>
              </w:rPr>
              <w:t>8</w:t>
            </w:r>
          </w:p>
        </w:tc>
        <w:tc>
          <w:tcPr>
            <w:tcW w:w="851" w:type="pct"/>
            <w:tcBorders>
              <w:top w:val="nil"/>
              <w:left w:val="nil"/>
              <w:bottom w:val="nil"/>
              <w:right w:val="nil"/>
            </w:tcBorders>
            <w:shd w:val="clear" w:color="auto" w:fill="FFFFFF"/>
            <w:tcMar>
              <w:top w:w="0" w:type="dxa"/>
              <w:left w:w="0" w:type="dxa"/>
              <w:bottom w:w="0" w:type="dxa"/>
              <w:right w:w="0" w:type="dxa"/>
            </w:tcMar>
          </w:tcPr>
          <w:p w14:paraId="5C581DC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70.5</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8.2</w:t>
            </w:r>
          </w:p>
        </w:tc>
        <w:tc>
          <w:tcPr>
            <w:tcW w:w="731" w:type="pct"/>
            <w:tcBorders>
              <w:top w:val="nil"/>
              <w:left w:val="nil"/>
              <w:bottom w:val="nil"/>
              <w:right w:val="nil"/>
            </w:tcBorders>
            <w:shd w:val="clear" w:color="auto" w:fill="FFFFFF"/>
            <w:tcMar>
              <w:top w:w="0" w:type="dxa"/>
              <w:left w:w="0" w:type="dxa"/>
              <w:bottom w:w="0" w:type="dxa"/>
              <w:right w:w="0" w:type="dxa"/>
            </w:tcMar>
          </w:tcPr>
          <w:p w14:paraId="3B7C1BC3"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71</w:t>
            </w:r>
            <w:r>
              <w:rPr>
                <w:rFonts w:ascii="Times New Roman Regular" w:eastAsia="Helvetica" w:hAnsi="Times New Roman Regular" w:cs="Times New Roman Regular"/>
                <w:color w:val="000000"/>
                <w:sz w:val="22"/>
                <w:szCs w:val="22"/>
              </w:rPr>
              <w:t>.</w:t>
            </w:r>
            <w:r>
              <w:rPr>
                <w:rFonts w:ascii="Times New Roman Regular" w:eastAsia="SimSun" w:hAnsi="Times New Roman Regular" w:cs="Times New Roman Regular"/>
                <w:color w:val="000000"/>
                <w:sz w:val="22"/>
                <w:szCs w:val="22"/>
              </w:rPr>
              <w:t>3</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6.5</w:t>
            </w:r>
          </w:p>
        </w:tc>
        <w:tc>
          <w:tcPr>
            <w:tcW w:w="731" w:type="pct"/>
            <w:tcBorders>
              <w:top w:val="nil"/>
              <w:left w:val="nil"/>
              <w:bottom w:val="nil"/>
              <w:right w:val="nil"/>
            </w:tcBorders>
            <w:shd w:val="clear" w:color="auto" w:fill="FFFFFF"/>
            <w:tcMar>
              <w:top w:w="0" w:type="dxa"/>
              <w:left w:w="0" w:type="dxa"/>
              <w:bottom w:w="0" w:type="dxa"/>
              <w:right w:w="0" w:type="dxa"/>
            </w:tcMar>
          </w:tcPr>
          <w:p w14:paraId="2341DCF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70.7</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7.9</w:t>
            </w:r>
          </w:p>
        </w:tc>
        <w:tc>
          <w:tcPr>
            <w:tcW w:w="731" w:type="pct"/>
            <w:tcBorders>
              <w:top w:val="nil"/>
              <w:left w:val="nil"/>
              <w:bottom w:val="nil"/>
              <w:right w:val="nil"/>
            </w:tcBorders>
            <w:shd w:val="clear" w:color="auto" w:fill="FFFFFF"/>
            <w:tcMar>
              <w:top w:w="0" w:type="dxa"/>
              <w:left w:w="0" w:type="dxa"/>
              <w:bottom w:w="0" w:type="dxa"/>
              <w:right w:w="0" w:type="dxa"/>
            </w:tcMar>
          </w:tcPr>
          <w:p w14:paraId="30C68A0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SimSun" w:hAnsi="Times New Roman Regular" w:cs="Times New Roman Regular"/>
                <w:color w:val="000000"/>
                <w:sz w:val="22"/>
                <w:szCs w:val="22"/>
              </w:rPr>
              <w:t>70.5</w:t>
            </w:r>
            <w:r>
              <w:rPr>
                <w:rFonts w:ascii="Times New Roman Regular" w:eastAsia="Helvetica" w:hAnsi="Times New Roman Regular" w:cs="Times New Roman Regular"/>
                <w:color w:val="000000"/>
                <w:sz w:val="22"/>
                <w:szCs w:val="22"/>
              </w:rPr>
              <w:t xml:space="preserve"> ± </w:t>
            </w:r>
            <w:r>
              <w:rPr>
                <w:rFonts w:ascii="Times New Roman Regular" w:eastAsia="SimSun" w:hAnsi="Times New Roman Regular" w:cs="Times New Roman Regular"/>
                <w:color w:val="000000"/>
                <w:sz w:val="22"/>
                <w:szCs w:val="22"/>
              </w:rPr>
              <w:t>7.9</w:t>
            </w:r>
          </w:p>
        </w:tc>
        <w:tc>
          <w:tcPr>
            <w:tcW w:w="407" w:type="pct"/>
            <w:tcBorders>
              <w:top w:val="nil"/>
              <w:left w:val="nil"/>
              <w:bottom w:val="nil"/>
              <w:right w:val="nil"/>
            </w:tcBorders>
            <w:shd w:val="clear" w:color="auto" w:fill="FFFFFF"/>
            <w:tcMar>
              <w:top w:w="0" w:type="dxa"/>
              <w:left w:w="0" w:type="dxa"/>
              <w:bottom w:w="0" w:type="dxa"/>
              <w:right w:w="0" w:type="dxa"/>
            </w:tcMar>
          </w:tcPr>
          <w:p w14:paraId="4BAA256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SimSun" w:hAnsi="Times New Roman Regular" w:cs="Times New Roman Regular"/>
                <w:color w:val="000000"/>
                <w:sz w:val="22"/>
                <w:szCs w:val="22"/>
              </w:rPr>
            </w:pPr>
            <w:r>
              <w:rPr>
                <w:rFonts w:ascii="Times New Roman Regular" w:eastAsia="SimSun" w:hAnsi="Times New Roman Regular" w:cs="Times New Roman Regular"/>
                <w:color w:val="000000"/>
                <w:sz w:val="22"/>
                <w:szCs w:val="22"/>
              </w:rPr>
              <w:t>0.64</w:t>
            </w:r>
          </w:p>
        </w:tc>
      </w:tr>
      <w:tr w:rsidR="005F0A18" w14:paraId="421AB883"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26158F8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b/>
                <w:color w:val="000000"/>
                <w:sz w:val="22"/>
                <w:szCs w:val="22"/>
              </w:rPr>
            </w:pPr>
            <w:proofErr w:type="spellStart"/>
            <w:r>
              <w:rPr>
                <w:rFonts w:ascii="Times New Roman Regular" w:eastAsia="Helvetica" w:hAnsi="Times New Roman Regular" w:cs="Times New Roman Regular"/>
                <w:b/>
                <w:color w:val="000000"/>
                <w:sz w:val="22"/>
                <w:szCs w:val="22"/>
              </w:rPr>
              <w:t>nt_pro_bnp_pg_m_l</w:t>
            </w:r>
            <w:proofErr w:type="spellEnd"/>
          </w:p>
        </w:tc>
        <w:tc>
          <w:tcPr>
            <w:tcW w:w="735" w:type="pct"/>
            <w:tcBorders>
              <w:top w:val="nil"/>
              <w:left w:val="nil"/>
              <w:bottom w:val="nil"/>
              <w:right w:val="nil"/>
            </w:tcBorders>
            <w:shd w:val="clear" w:color="auto" w:fill="FFFFFF"/>
            <w:tcMar>
              <w:top w:w="0" w:type="dxa"/>
              <w:left w:w="0" w:type="dxa"/>
              <w:bottom w:w="0" w:type="dxa"/>
              <w:right w:w="0" w:type="dxa"/>
            </w:tcMar>
          </w:tcPr>
          <w:p w14:paraId="242F33F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20.0 ± 0.0</w:t>
            </w:r>
          </w:p>
        </w:tc>
        <w:tc>
          <w:tcPr>
            <w:tcW w:w="851" w:type="pct"/>
            <w:tcBorders>
              <w:top w:val="nil"/>
              <w:left w:val="nil"/>
              <w:bottom w:val="nil"/>
              <w:right w:val="nil"/>
            </w:tcBorders>
            <w:shd w:val="clear" w:color="auto" w:fill="FFFFFF"/>
            <w:tcMar>
              <w:top w:w="0" w:type="dxa"/>
              <w:left w:w="0" w:type="dxa"/>
              <w:bottom w:w="0" w:type="dxa"/>
              <w:right w:w="0" w:type="dxa"/>
            </w:tcMar>
          </w:tcPr>
          <w:p w14:paraId="41EA288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2,984.2 ± 6,864.1</w:t>
            </w:r>
          </w:p>
        </w:tc>
        <w:tc>
          <w:tcPr>
            <w:tcW w:w="731" w:type="pct"/>
            <w:tcBorders>
              <w:top w:val="nil"/>
              <w:left w:val="nil"/>
              <w:bottom w:val="nil"/>
              <w:right w:val="nil"/>
            </w:tcBorders>
            <w:shd w:val="clear" w:color="auto" w:fill="FFFFFF"/>
            <w:tcMar>
              <w:top w:w="0" w:type="dxa"/>
              <w:left w:w="0" w:type="dxa"/>
              <w:bottom w:w="0" w:type="dxa"/>
              <w:right w:w="0" w:type="dxa"/>
            </w:tcMar>
          </w:tcPr>
          <w:p w14:paraId="4F20D48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1,080.3 ± 1,450.3</w:t>
            </w:r>
          </w:p>
        </w:tc>
        <w:tc>
          <w:tcPr>
            <w:tcW w:w="731" w:type="pct"/>
            <w:tcBorders>
              <w:top w:val="nil"/>
              <w:left w:val="nil"/>
              <w:bottom w:val="nil"/>
              <w:right w:val="nil"/>
            </w:tcBorders>
            <w:shd w:val="clear" w:color="auto" w:fill="FFFFFF"/>
            <w:tcMar>
              <w:top w:w="0" w:type="dxa"/>
              <w:left w:w="0" w:type="dxa"/>
              <w:bottom w:w="0" w:type="dxa"/>
              <w:right w:w="0" w:type="dxa"/>
            </w:tcMar>
          </w:tcPr>
          <w:p w14:paraId="3985F59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1,280.1 ± 1,374.7</w:t>
            </w:r>
          </w:p>
        </w:tc>
        <w:tc>
          <w:tcPr>
            <w:tcW w:w="731" w:type="pct"/>
            <w:tcBorders>
              <w:top w:val="nil"/>
              <w:left w:val="nil"/>
              <w:bottom w:val="nil"/>
              <w:right w:val="nil"/>
            </w:tcBorders>
            <w:shd w:val="clear" w:color="auto" w:fill="FFFFFF"/>
            <w:tcMar>
              <w:top w:w="0" w:type="dxa"/>
              <w:left w:w="0" w:type="dxa"/>
              <w:bottom w:w="0" w:type="dxa"/>
              <w:right w:w="0" w:type="dxa"/>
            </w:tcMar>
          </w:tcPr>
          <w:p w14:paraId="632B84A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1,226.1 ± 3,386.2</w:t>
            </w:r>
          </w:p>
        </w:tc>
        <w:tc>
          <w:tcPr>
            <w:tcW w:w="407" w:type="pct"/>
            <w:tcBorders>
              <w:top w:val="nil"/>
              <w:left w:val="nil"/>
              <w:bottom w:val="nil"/>
              <w:right w:val="nil"/>
            </w:tcBorders>
            <w:shd w:val="clear" w:color="auto" w:fill="FFFFFF"/>
            <w:tcMar>
              <w:top w:w="0" w:type="dxa"/>
              <w:left w:w="0" w:type="dxa"/>
              <w:bottom w:w="0" w:type="dxa"/>
              <w:right w:w="0" w:type="dxa"/>
            </w:tcMar>
          </w:tcPr>
          <w:p w14:paraId="178E1DD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5F0A18" w14:paraId="5FA79586"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16254E6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b/>
                <w:color w:val="000000"/>
                <w:sz w:val="22"/>
                <w:szCs w:val="22"/>
              </w:rPr>
            </w:pPr>
            <w:proofErr w:type="spellStart"/>
            <w:r>
              <w:rPr>
                <w:rFonts w:ascii="Times New Roman Regular" w:eastAsia="Helvetica" w:hAnsi="Times New Roman Regular" w:cs="Times New Roman Regular"/>
                <w:b/>
                <w:color w:val="000000"/>
                <w:sz w:val="22"/>
                <w:szCs w:val="22"/>
              </w:rPr>
              <w:t>pct_ng_m_l</w:t>
            </w:r>
            <w:proofErr w:type="spellEnd"/>
          </w:p>
        </w:tc>
        <w:tc>
          <w:tcPr>
            <w:tcW w:w="735" w:type="pct"/>
            <w:tcBorders>
              <w:top w:val="nil"/>
              <w:left w:val="nil"/>
              <w:bottom w:val="nil"/>
              <w:right w:val="nil"/>
            </w:tcBorders>
            <w:shd w:val="clear" w:color="auto" w:fill="FFFFFF"/>
            <w:tcMar>
              <w:top w:w="0" w:type="dxa"/>
              <w:left w:w="0" w:type="dxa"/>
              <w:bottom w:w="0" w:type="dxa"/>
              <w:right w:w="0" w:type="dxa"/>
            </w:tcMar>
          </w:tcPr>
          <w:p w14:paraId="303DDD4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 ± 0.0</w:t>
            </w:r>
          </w:p>
        </w:tc>
        <w:tc>
          <w:tcPr>
            <w:tcW w:w="851" w:type="pct"/>
            <w:tcBorders>
              <w:top w:val="nil"/>
              <w:left w:val="nil"/>
              <w:bottom w:val="nil"/>
              <w:right w:val="nil"/>
            </w:tcBorders>
            <w:shd w:val="clear" w:color="auto" w:fill="FFFFFF"/>
            <w:tcMar>
              <w:top w:w="0" w:type="dxa"/>
              <w:left w:w="0" w:type="dxa"/>
              <w:bottom w:w="0" w:type="dxa"/>
              <w:right w:w="0" w:type="dxa"/>
            </w:tcMar>
          </w:tcPr>
          <w:p w14:paraId="505F8D9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0.4 ± 1.1</w:t>
            </w:r>
          </w:p>
        </w:tc>
        <w:tc>
          <w:tcPr>
            <w:tcW w:w="731" w:type="pct"/>
            <w:tcBorders>
              <w:top w:val="nil"/>
              <w:left w:val="nil"/>
              <w:bottom w:val="nil"/>
              <w:right w:val="nil"/>
            </w:tcBorders>
            <w:shd w:val="clear" w:color="auto" w:fill="FFFFFF"/>
            <w:tcMar>
              <w:top w:w="0" w:type="dxa"/>
              <w:left w:w="0" w:type="dxa"/>
              <w:bottom w:w="0" w:type="dxa"/>
              <w:right w:w="0" w:type="dxa"/>
            </w:tcMar>
          </w:tcPr>
          <w:p w14:paraId="7CC6CF2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0.8 ± 1.7</w:t>
            </w:r>
          </w:p>
        </w:tc>
        <w:tc>
          <w:tcPr>
            <w:tcW w:w="731" w:type="pct"/>
            <w:tcBorders>
              <w:top w:val="nil"/>
              <w:left w:val="nil"/>
              <w:bottom w:val="nil"/>
              <w:right w:val="nil"/>
            </w:tcBorders>
            <w:shd w:val="clear" w:color="auto" w:fill="FFFFFF"/>
            <w:tcMar>
              <w:top w:w="0" w:type="dxa"/>
              <w:left w:w="0" w:type="dxa"/>
              <w:bottom w:w="0" w:type="dxa"/>
              <w:right w:w="0" w:type="dxa"/>
            </w:tcMar>
          </w:tcPr>
          <w:p w14:paraId="72064FC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49.1 ± 175.6</w:t>
            </w:r>
          </w:p>
        </w:tc>
        <w:tc>
          <w:tcPr>
            <w:tcW w:w="731" w:type="pct"/>
            <w:tcBorders>
              <w:top w:val="nil"/>
              <w:left w:val="nil"/>
              <w:bottom w:val="nil"/>
              <w:right w:val="nil"/>
            </w:tcBorders>
            <w:shd w:val="clear" w:color="auto" w:fill="FFFFFF"/>
            <w:tcMar>
              <w:top w:w="0" w:type="dxa"/>
              <w:left w:w="0" w:type="dxa"/>
              <w:bottom w:w="0" w:type="dxa"/>
              <w:right w:w="0" w:type="dxa"/>
            </w:tcMar>
          </w:tcPr>
          <w:p w14:paraId="772F771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11.9 ± 85.4</w:t>
            </w:r>
          </w:p>
        </w:tc>
        <w:tc>
          <w:tcPr>
            <w:tcW w:w="407" w:type="pct"/>
            <w:tcBorders>
              <w:top w:val="nil"/>
              <w:left w:val="nil"/>
              <w:bottom w:val="nil"/>
              <w:right w:val="nil"/>
            </w:tcBorders>
            <w:shd w:val="clear" w:color="auto" w:fill="FFFFFF"/>
            <w:tcMar>
              <w:top w:w="0" w:type="dxa"/>
              <w:left w:w="0" w:type="dxa"/>
              <w:bottom w:w="0" w:type="dxa"/>
              <w:right w:w="0" w:type="dxa"/>
            </w:tcMar>
          </w:tcPr>
          <w:p w14:paraId="72F943B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5F0A18" w14:paraId="764CA0D5"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3B2031F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TP</w:t>
            </w:r>
          </w:p>
        </w:tc>
        <w:tc>
          <w:tcPr>
            <w:tcW w:w="735" w:type="pct"/>
            <w:tcBorders>
              <w:top w:val="nil"/>
              <w:left w:val="nil"/>
              <w:bottom w:val="nil"/>
              <w:right w:val="nil"/>
            </w:tcBorders>
            <w:shd w:val="clear" w:color="auto" w:fill="FFFFFF"/>
            <w:tcMar>
              <w:top w:w="0" w:type="dxa"/>
              <w:left w:w="0" w:type="dxa"/>
              <w:bottom w:w="0" w:type="dxa"/>
              <w:right w:w="0" w:type="dxa"/>
            </w:tcMar>
          </w:tcPr>
          <w:p w14:paraId="5D2A777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82.5 ± 3.9</w:t>
            </w:r>
          </w:p>
        </w:tc>
        <w:tc>
          <w:tcPr>
            <w:tcW w:w="851" w:type="pct"/>
            <w:tcBorders>
              <w:top w:val="nil"/>
              <w:left w:val="nil"/>
              <w:bottom w:val="nil"/>
              <w:right w:val="nil"/>
            </w:tcBorders>
            <w:shd w:val="clear" w:color="auto" w:fill="FFFFFF"/>
            <w:tcMar>
              <w:top w:w="0" w:type="dxa"/>
              <w:left w:w="0" w:type="dxa"/>
              <w:bottom w:w="0" w:type="dxa"/>
              <w:right w:w="0" w:type="dxa"/>
            </w:tcMar>
          </w:tcPr>
          <w:p w14:paraId="4137330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68.5 ± 8.5</w:t>
            </w:r>
          </w:p>
        </w:tc>
        <w:tc>
          <w:tcPr>
            <w:tcW w:w="731" w:type="pct"/>
            <w:tcBorders>
              <w:top w:val="nil"/>
              <w:left w:val="nil"/>
              <w:bottom w:val="nil"/>
              <w:right w:val="nil"/>
            </w:tcBorders>
            <w:shd w:val="clear" w:color="auto" w:fill="FFFFFF"/>
            <w:tcMar>
              <w:top w:w="0" w:type="dxa"/>
              <w:left w:w="0" w:type="dxa"/>
              <w:bottom w:w="0" w:type="dxa"/>
              <w:right w:w="0" w:type="dxa"/>
            </w:tcMar>
          </w:tcPr>
          <w:p w14:paraId="7DAC8E7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63.5 ± 19.0</w:t>
            </w:r>
          </w:p>
        </w:tc>
        <w:tc>
          <w:tcPr>
            <w:tcW w:w="731" w:type="pct"/>
            <w:tcBorders>
              <w:top w:val="nil"/>
              <w:left w:val="nil"/>
              <w:bottom w:val="nil"/>
              <w:right w:val="nil"/>
            </w:tcBorders>
            <w:shd w:val="clear" w:color="auto" w:fill="FFFFFF"/>
            <w:tcMar>
              <w:top w:w="0" w:type="dxa"/>
              <w:left w:w="0" w:type="dxa"/>
              <w:bottom w:w="0" w:type="dxa"/>
              <w:right w:w="0" w:type="dxa"/>
            </w:tcMar>
          </w:tcPr>
          <w:p w14:paraId="5FE27B0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73.7 ± 5.5</w:t>
            </w:r>
          </w:p>
        </w:tc>
        <w:tc>
          <w:tcPr>
            <w:tcW w:w="731" w:type="pct"/>
            <w:tcBorders>
              <w:top w:val="nil"/>
              <w:left w:val="nil"/>
              <w:bottom w:val="nil"/>
              <w:right w:val="nil"/>
            </w:tcBorders>
            <w:shd w:val="clear" w:color="auto" w:fill="FFFFFF"/>
            <w:tcMar>
              <w:top w:w="0" w:type="dxa"/>
              <w:left w:w="0" w:type="dxa"/>
              <w:bottom w:w="0" w:type="dxa"/>
              <w:right w:w="0" w:type="dxa"/>
            </w:tcMar>
          </w:tcPr>
          <w:p w14:paraId="0E96382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72.2 ± 12.8</w:t>
            </w:r>
          </w:p>
        </w:tc>
        <w:tc>
          <w:tcPr>
            <w:tcW w:w="407" w:type="pct"/>
            <w:tcBorders>
              <w:top w:val="nil"/>
              <w:left w:val="nil"/>
              <w:bottom w:val="nil"/>
              <w:right w:val="nil"/>
            </w:tcBorders>
            <w:shd w:val="clear" w:color="auto" w:fill="FFFFFF"/>
            <w:tcMar>
              <w:top w:w="0" w:type="dxa"/>
              <w:left w:w="0" w:type="dxa"/>
              <w:bottom w:w="0" w:type="dxa"/>
              <w:right w:w="0" w:type="dxa"/>
            </w:tcMar>
          </w:tcPr>
          <w:p w14:paraId="33F5C32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5F0A18" w14:paraId="59E52CAA"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74C2FA4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ALB</w:t>
            </w:r>
          </w:p>
        </w:tc>
        <w:tc>
          <w:tcPr>
            <w:tcW w:w="735" w:type="pct"/>
            <w:tcBorders>
              <w:top w:val="nil"/>
              <w:left w:val="nil"/>
              <w:bottom w:val="nil"/>
              <w:right w:val="nil"/>
            </w:tcBorders>
            <w:shd w:val="clear" w:color="auto" w:fill="FFFFFF"/>
            <w:tcMar>
              <w:top w:w="0" w:type="dxa"/>
              <w:left w:w="0" w:type="dxa"/>
              <w:bottom w:w="0" w:type="dxa"/>
              <w:right w:w="0" w:type="dxa"/>
            </w:tcMar>
          </w:tcPr>
          <w:p w14:paraId="770822AC"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40.5 ± 2.5</w:t>
            </w:r>
          </w:p>
        </w:tc>
        <w:tc>
          <w:tcPr>
            <w:tcW w:w="851" w:type="pct"/>
            <w:tcBorders>
              <w:top w:val="nil"/>
              <w:left w:val="nil"/>
              <w:bottom w:val="nil"/>
              <w:right w:val="nil"/>
            </w:tcBorders>
            <w:shd w:val="clear" w:color="auto" w:fill="FFFFFF"/>
            <w:tcMar>
              <w:top w:w="0" w:type="dxa"/>
              <w:left w:w="0" w:type="dxa"/>
              <w:bottom w:w="0" w:type="dxa"/>
              <w:right w:w="0" w:type="dxa"/>
            </w:tcMar>
          </w:tcPr>
          <w:p w14:paraId="0E27193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38.9 ± 5.1</w:t>
            </w:r>
          </w:p>
        </w:tc>
        <w:tc>
          <w:tcPr>
            <w:tcW w:w="731" w:type="pct"/>
            <w:tcBorders>
              <w:top w:val="nil"/>
              <w:left w:val="nil"/>
              <w:bottom w:val="nil"/>
              <w:right w:val="nil"/>
            </w:tcBorders>
            <w:shd w:val="clear" w:color="auto" w:fill="FFFFFF"/>
            <w:tcMar>
              <w:top w:w="0" w:type="dxa"/>
              <w:left w:w="0" w:type="dxa"/>
              <w:bottom w:w="0" w:type="dxa"/>
              <w:right w:w="0" w:type="dxa"/>
            </w:tcMar>
          </w:tcPr>
          <w:p w14:paraId="0CFE5E9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36.6 ± 8.9</w:t>
            </w:r>
          </w:p>
        </w:tc>
        <w:tc>
          <w:tcPr>
            <w:tcW w:w="731" w:type="pct"/>
            <w:tcBorders>
              <w:top w:val="nil"/>
              <w:left w:val="nil"/>
              <w:bottom w:val="nil"/>
              <w:right w:val="nil"/>
            </w:tcBorders>
            <w:shd w:val="clear" w:color="auto" w:fill="FFFFFF"/>
            <w:tcMar>
              <w:top w:w="0" w:type="dxa"/>
              <w:left w:w="0" w:type="dxa"/>
              <w:bottom w:w="0" w:type="dxa"/>
              <w:right w:w="0" w:type="dxa"/>
            </w:tcMar>
          </w:tcPr>
          <w:p w14:paraId="1580A9D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39.6 ± 2.9</w:t>
            </w:r>
          </w:p>
        </w:tc>
        <w:tc>
          <w:tcPr>
            <w:tcW w:w="731" w:type="pct"/>
            <w:tcBorders>
              <w:top w:val="nil"/>
              <w:left w:val="nil"/>
              <w:bottom w:val="nil"/>
              <w:right w:val="nil"/>
            </w:tcBorders>
            <w:shd w:val="clear" w:color="auto" w:fill="FFFFFF"/>
            <w:tcMar>
              <w:top w:w="0" w:type="dxa"/>
              <w:left w:w="0" w:type="dxa"/>
              <w:bottom w:w="0" w:type="dxa"/>
              <w:right w:w="0" w:type="dxa"/>
            </w:tcMar>
          </w:tcPr>
          <w:p w14:paraId="040174A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39.0 ± 5.5</w:t>
            </w:r>
          </w:p>
        </w:tc>
        <w:tc>
          <w:tcPr>
            <w:tcW w:w="407" w:type="pct"/>
            <w:tcBorders>
              <w:top w:val="nil"/>
              <w:left w:val="nil"/>
              <w:bottom w:val="nil"/>
              <w:right w:val="nil"/>
            </w:tcBorders>
            <w:shd w:val="clear" w:color="auto" w:fill="FFFFFF"/>
            <w:tcMar>
              <w:top w:w="0" w:type="dxa"/>
              <w:left w:w="0" w:type="dxa"/>
              <w:bottom w:w="0" w:type="dxa"/>
              <w:right w:w="0" w:type="dxa"/>
            </w:tcMar>
          </w:tcPr>
          <w:p w14:paraId="46E4FDB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0.4</w:t>
            </w:r>
          </w:p>
        </w:tc>
      </w:tr>
      <w:tr w:rsidR="005F0A18" w14:paraId="0C9308E5"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47EF6CE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ALT</w:t>
            </w:r>
          </w:p>
        </w:tc>
        <w:tc>
          <w:tcPr>
            <w:tcW w:w="735" w:type="pct"/>
            <w:tcBorders>
              <w:top w:val="nil"/>
              <w:left w:val="nil"/>
              <w:bottom w:val="nil"/>
              <w:right w:val="nil"/>
            </w:tcBorders>
            <w:shd w:val="clear" w:color="auto" w:fill="FFFFFF"/>
            <w:tcMar>
              <w:top w:w="0" w:type="dxa"/>
              <w:left w:w="0" w:type="dxa"/>
              <w:bottom w:w="0" w:type="dxa"/>
              <w:right w:w="0" w:type="dxa"/>
            </w:tcMar>
          </w:tcPr>
          <w:p w14:paraId="47315FB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38.9 ± 1.7</w:t>
            </w:r>
          </w:p>
        </w:tc>
        <w:tc>
          <w:tcPr>
            <w:tcW w:w="851" w:type="pct"/>
            <w:tcBorders>
              <w:top w:val="nil"/>
              <w:left w:val="nil"/>
              <w:bottom w:val="nil"/>
              <w:right w:val="nil"/>
            </w:tcBorders>
            <w:shd w:val="clear" w:color="auto" w:fill="FFFFFF"/>
            <w:tcMar>
              <w:top w:w="0" w:type="dxa"/>
              <w:left w:w="0" w:type="dxa"/>
              <w:bottom w:w="0" w:type="dxa"/>
              <w:right w:w="0" w:type="dxa"/>
            </w:tcMar>
          </w:tcPr>
          <w:p w14:paraId="4C30BC4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17.6 ± 14.5</w:t>
            </w:r>
          </w:p>
        </w:tc>
        <w:tc>
          <w:tcPr>
            <w:tcW w:w="731" w:type="pct"/>
            <w:tcBorders>
              <w:top w:val="nil"/>
              <w:left w:val="nil"/>
              <w:bottom w:val="nil"/>
              <w:right w:val="nil"/>
            </w:tcBorders>
            <w:shd w:val="clear" w:color="auto" w:fill="FFFFFF"/>
            <w:tcMar>
              <w:top w:w="0" w:type="dxa"/>
              <w:left w:w="0" w:type="dxa"/>
              <w:bottom w:w="0" w:type="dxa"/>
              <w:right w:w="0" w:type="dxa"/>
            </w:tcMar>
          </w:tcPr>
          <w:p w14:paraId="04B2D0E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18.4 ± 16.3</w:t>
            </w:r>
          </w:p>
        </w:tc>
        <w:tc>
          <w:tcPr>
            <w:tcW w:w="731" w:type="pct"/>
            <w:tcBorders>
              <w:top w:val="nil"/>
              <w:left w:val="nil"/>
              <w:bottom w:val="nil"/>
              <w:right w:val="nil"/>
            </w:tcBorders>
            <w:shd w:val="clear" w:color="auto" w:fill="FFFFFF"/>
            <w:tcMar>
              <w:top w:w="0" w:type="dxa"/>
              <w:left w:w="0" w:type="dxa"/>
              <w:bottom w:w="0" w:type="dxa"/>
              <w:right w:w="0" w:type="dxa"/>
            </w:tcMar>
          </w:tcPr>
          <w:p w14:paraId="5B03CAE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23.9 ± 27.7</w:t>
            </w:r>
          </w:p>
        </w:tc>
        <w:tc>
          <w:tcPr>
            <w:tcW w:w="731" w:type="pct"/>
            <w:tcBorders>
              <w:top w:val="nil"/>
              <w:left w:val="nil"/>
              <w:bottom w:val="nil"/>
              <w:right w:val="nil"/>
            </w:tcBorders>
            <w:shd w:val="clear" w:color="auto" w:fill="FFFFFF"/>
            <w:tcMar>
              <w:top w:w="0" w:type="dxa"/>
              <w:left w:w="0" w:type="dxa"/>
              <w:bottom w:w="0" w:type="dxa"/>
              <w:right w:w="0" w:type="dxa"/>
            </w:tcMar>
          </w:tcPr>
          <w:p w14:paraId="3B8B321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25.0 ± 18.5</w:t>
            </w:r>
          </w:p>
        </w:tc>
        <w:tc>
          <w:tcPr>
            <w:tcW w:w="407" w:type="pct"/>
            <w:tcBorders>
              <w:top w:val="nil"/>
              <w:left w:val="nil"/>
              <w:bottom w:val="nil"/>
              <w:right w:val="nil"/>
            </w:tcBorders>
            <w:shd w:val="clear" w:color="auto" w:fill="FFFFFF"/>
            <w:tcMar>
              <w:top w:w="0" w:type="dxa"/>
              <w:left w:w="0" w:type="dxa"/>
              <w:bottom w:w="0" w:type="dxa"/>
              <w:right w:w="0" w:type="dxa"/>
            </w:tcMar>
          </w:tcPr>
          <w:p w14:paraId="660C9A9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5F0A18" w14:paraId="1764E892"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7FC8E69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AST</w:t>
            </w:r>
          </w:p>
        </w:tc>
        <w:tc>
          <w:tcPr>
            <w:tcW w:w="735" w:type="pct"/>
            <w:tcBorders>
              <w:top w:val="nil"/>
              <w:left w:val="nil"/>
              <w:bottom w:val="nil"/>
              <w:right w:val="nil"/>
            </w:tcBorders>
            <w:shd w:val="clear" w:color="auto" w:fill="FFFFFF"/>
            <w:tcMar>
              <w:top w:w="0" w:type="dxa"/>
              <w:left w:w="0" w:type="dxa"/>
              <w:bottom w:w="0" w:type="dxa"/>
              <w:right w:w="0" w:type="dxa"/>
            </w:tcMar>
          </w:tcPr>
          <w:p w14:paraId="5943584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38.0 ± 2.0</w:t>
            </w:r>
          </w:p>
        </w:tc>
        <w:tc>
          <w:tcPr>
            <w:tcW w:w="851" w:type="pct"/>
            <w:tcBorders>
              <w:top w:val="nil"/>
              <w:left w:val="nil"/>
              <w:bottom w:val="nil"/>
              <w:right w:val="nil"/>
            </w:tcBorders>
            <w:shd w:val="clear" w:color="auto" w:fill="FFFFFF"/>
            <w:tcMar>
              <w:top w:w="0" w:type="dxa"/>
              <w:left w:w="0" w:type="dxa"/>
              <w:bottom w:w="0" w:type="dxa"/>
              <w:right w:w="0" w:type="dxa"/>
            </w:tcMar>
          </w:tcPr>
          <w:p w14:paraId="079E1D1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28.3 ± 10.8</w:t>
            </w:r>
          </w:p>
        </w:tc>
        <w:tc>
          <w:tcPr>
            <w:tcW w:w="731" w:type="pct"/>
            <w:tcBorders>
              <w:top w:val="nil"/>
              <w:left w:val="nil"/>
              <w:bottom w:val="nil"/>
              <w:right w:val="nil"/>
            </w:tcBorders>
            <w:shd w:val="clear" w:color="auto" w:fill="FFFFFF"/>
            <w:tcMar>
              <w:top w:w="0" w:type="dxa"/>
              <w:left w:w="0" w:type="dxa"/>
              <w:bottom w:w="0" w:type="dxa"/>
              <w:right w:w="0" w:type="dxa"/>
            </w:tcMar>
          </w:tcPr>
          <w:p w14:paraId="57CDF263"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24.3 ± 14.9</w:t>
            </w:r>
          </w:p>
        </w:tc>
        <w:tc>
          <w:tcPr>
            <w:tcW w:w="731" w:type="pct"/>
            <w:tcBorders>
              <w:top w:val="nil"/>
              <w:left w:val="nil"/>
              <w:bottom w:val="nil"/>
              <w:right w:val="nil"/>
            </w:tcBorders>
            <w:shd w:val="clear" w:color="auto" w:fill="FFFFFF"/>
            <w:tcMar>
              <w:top w:w="0" w:type="dxa"/>
              <w:left w:w="0" w:type="dxa"/>
              <w:bottom w:w="0" w:type="dxa"/>
              <w:right w:w="0" w:type="dxa"/>
            </w:tcMar>
          </w:tcPr>
          <w:p w14:paraId="12D8984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28.0 ± 13.4</w:t>
            </w:r>
          </w:p>
        </w:tc>
        <w:tc>
          <w:tcPr>
            <w:tcW w:w="731" w:type="pct"/>
            <w:tcBorders>
              <w:top w:val="nil"/>
              <w:left w:val="nil"/>
              <w:bottom w:val="nil"/>
              <w:right w:val="nil"/>
            </w:tcBorders>
            <w:shd w:val="clear" w:color="auto" w:fill="FFFFFF"/>
            <w:tcMar>
              <w:top w:w="0" w:type="dxa"/>
              <w:left w:w="0" w:type="dxa"/>
              <w:bottom w:w="0" w:type="dxa"/>
              <w:right w:w="0" w:type="dxa"/>
            </w:tcMar>
          </w:tcPr>
          <w:p w14:paraId="1A57C81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30.0 ± 12.0</w:t>
            </w:r>
          </w:p>
        </w:tc>
        <w:tc>
          <w:tcPr>
            <w:tcW w:w="407" w:type="pct"/>
            <w:tcBorders>
              <w:top w:val="nil"/>
              <w:left w:val="nil"/>
              <w:bottom w:val="nil"/>
              <w:right w:val="nil"/>
            </w:tcBorders>
            <w:shd w:val="clear" w:color="auto" w:fill="FFFFFF"/>
            <w:tcMar>
              <w:top w:w="0" w:type="dxa"/>
              <w:left w:w="0" w:type="dxa"/>
              <w:bottom w:w="0" w:type="dxa"/>
              <w:right w:w="0" w:type="dxa"/>
            </w:tcMar>
          </w:tcPr>
          <w:p w14:paraId="34A41FC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0.005</w:t>
            </w:r>
          </w:p>
        </w:tc>
      </w:tr>
      <w:tr w:rsidR="005F0A18" w14:paraId="06831DC8"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153AEE8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TBIL</w:t>
            </w:r>
          </w:p>
        </w:tc>
        <w:tc>
          <w:tcPr>
            <w:tcW w:w="735" w:type="pct"/>
            <w:tcBorders>
              <w:top w:val="nil"/>
              <w:left w:val="nil"/>
              <w:bottom w:val="nil"/>
              <w:right w:val="nil"/>
            </w:tcBorders>
            <w:shd w:val="clear" w:color="auto" w:fill="FFFFFF"/>
            <w:tcMar>
              <w:top w:w="0" w:type="dxa"/>
              <w:left w:w="0" w:type="dxa"/>
              <w:bottom w:w="0" w:type="dxa"/>
              <w:right w:w="0" w:type="dxa"/>
            </w:tcMar>
          </w:tcPr>
          <w:p w14:paraId="10DC669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4.5 ± 1.3</w:t>
            </w:r>
          </w:p>
        </w:tc>
        <w:tc>
          <w:tcPr>
            <w:tcW w:w="851" w:type="pct"/>
            <w:tcBorders>
              <w:top w:val="nil"/>
              <w:left w:val="nil"/>
              <w:bottom w:val="nil"/>
              <w:right w:val="nil"/>
            </w:tcBorders>
            <w:shd w:val="clear" w:color="auto" w:fill="FFFFFF"/>
            <w:tcMar>
              <w:top w:w="0" w:type="dxa"/>
              <w:left w:w="0" w:type="dxa"/>
              <w:bottom w:w="0" w:type="dxa"/>
              <w:right w:w="0" w:type="dxa"/>
            </w:tcMar>
          </w:tcPr>
          <w:p w14:paraId="72586A4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8.6 ± 4.1</w:t>
            </w:r>
          </w:p>
        </w:tc>
        <w:tc>
          <w:tcPr>
            <w:tcW w:w="731" w:type="pct"/>
            <w:tcBorders>
              <w:top w:val="nil"/>
              <w:left w:val="nil"/>
              <w:bottom w:val="nil"/>
              <w:right w:val="nil"/>
            </w:tcBorders>
            <w:shd w:val="clear" w:color="auto" w:fill="FFFFFF"/>
            <w:tcMar>
              <w:top w:w="0" w:type="dxa"/>
              <w:left w:w="0" w:type="dxa"/>
              <w:bottom w:w="0" w:type="dxa"/>
              <w:right w:w="0" w:type="dxa"/>
            </w:tcMar>
          </w:tcPr>
          <w:p w14:paraId="44F1DAD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9.7 ± 5.2</w:t>
            </w:r>
          </w:p>
        </w:tc>
        <w:tc>
          <w:tcPr>
            <w:tcW w:w="731" w:type="pct"/>
            <w:tcBorders>
              <w:top w:val="nil"/>
              <w:left w:val="nil"/>
              <w:bottom w:val="nil"/>
              <w:right w:val="nil"/>
            </w:tcBorders>
            <w:shd w:val="clear" w:color="auto" w:fill="FFFFFF"/>
            <w:tcMar>
              <w:top w:w="0" w:type="dxa"/>
              <w:left w:w="0" w:type="dxa"/>
              <w:bottom w:w="0" w:type="dxa"/>
              <w:right w:w="0" w:type="dxa"/>
            </w:tcMar>
          </w:tcPr>
          <w:p w14:paraId="0D655B0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14.2 ± 8.3</w:t>
            </w:r>
          </w:p>
        </w:tc>
        <w:tc>
          <w:tcPr>
            <w:tcW w:w="731" w:type="pct"/>
            <w:tcBorders>
              <w:top w:val="nil"/>
              <w:left w:val="nil"/>
              <w:bottom w:val="nil"/>
              <w:right w:val="nil"/>
            </w:tcBorders>
            <w:shd w:val="clear" w:color="auto" w:fill="FFFFFF"/>
            <w:tcMar>
              <w:top w:w="0" w:type="dxa"/>
              <w:left w:w="0" w:type="dxa"/>
              <w:bottom w:w="0" w:type="dxa"/>
              <w:right w:w="0" w:type="dxa"/>
            </w:tcMar>
          </w:tcPr>
          <w:p w14:paraId="0461C4C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8.9 ± 6.0</w:t>
            </w:r>
          </w:p>
        </w:tc>
        <w:tc>
          <w:tcPr>
            <w:tcW w:w="407" w:type="pct"/>
            <w:tcBorders>
              <w:top w:val="nil"/>
              <w:left w:val="nil"/>
              <w:bottom w:val="nil"/>
              <w:right w:val="nil"/>
            </w:tcBorders>
            <w:shd w:val="clear" w:color="auto" w:fill="FFFFFF"/>
            <w:tcMar>
              <w:top w:w="0" w:type="dxa"/>
              <w:left w:w="0" w:type="dxa"/>
              <w:bottom w:w="0" w:type="dxa"/>
              <w:right w:w="0" w:type="dxa"/>
            </w:tcMar>
          </w:tcPr>
          <w:p w14:paraId="35C5F63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5F0A18" w14:paraId="1B257744"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6F1A42E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lastRenderedPageBreak/>
              <w:t>DBIL</w:t>
            </w:r>
          </w:p>
        </w:tc>
        <w:tc>
          <w:tcPr>
            <w:tcW w:w="735" w:type="pct"/>
            <w:tcBorders>
              <w:top w:val="nil"/>
              <w:left w:val="nil"/>
              <w:bottom w:val="nil"/>
              <w:right w:val="nil"/>
            </w:tcBorders>
            <w:shd w:val="clear" w:color="auto" w:fill="FFFFFF"/>
            <w:tcMar>
              <w:top w:w="0" w:type="dxa"/>
              <w:left w:w="0" w:type="dxa"/>
              <w:bottom w:w="0" w:type="dxa"/>
              <w:right w:w="0" w:type="dxa"/>
            </w:tcMar>
          </w:tcPr>
          <w:p w14:paraId="5D86133A"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2.1 ± 1.1</w:t>
            </w:r>
          </w:p>
        </w:tc>
        <w:tc>
          <w:tcPr>
            <w:tcW w:w="851" w:type="pct"/>
            <w:tcBorders>
              <w:top w:val="nil"/>
              <w:left w:val="nil"/>
              <w:bottom w:val="nil"/>
              <w:right w:val="nil"/>
            </w:tcBorders>
            <w:shd w:val="clear" w:color="auto" w:fill="FFFFFF"/>
            <w:tcMar>
              <w:top w:w="0" w:type="dxa"/>
              <w:left w:w="0" w:type="dxa"/>
              <w:bottom w:w="0" w:type="dxa"/>
              <w:right w:w="0" w:type="dxa"/>
            </w:tcMar>
          </w:tcPr>
          <w:p w14:paraId="7B9C7A9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 ± 3.1</w:t>
            </w:r>
          </w:p>
        </w:tc>
        <w:tc>
          <w:tcPr>
            <w:tcW w:w="731" w:type="pct"/>
            <w:tcBorders>
              <w:top w:val="nil"/>
              <w:left w:val="nil"/>
              <w:bottom w:val="nil"/>
              <w:right w:val="nil"/>
            </w:tcBorders>
            <w:shd w:val="clear" w:color="auto" w:fill="FFFFFF"/>
            <w:tcMar>
              <w:top w:w="0" w:type="dxa"/>
              <w:left w:w="0" w:type="dxa"/>
              <w:bottom w:w="0" w:type="dxa"/>
              <w:right w:w="0" w:type="dxa"/>
            </w:tcMar>
          </w:tcPr>
          <w:p w14:paraId="3D183A5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11.8 ± 30.3</w:t>
            </w:r>
          </w:p>
        </w:tc>
        <w:tc>
          <w:tcPr>
            <w:tcW w:w="731" w:type="pct"/>
            <w:tcBorders>
              <w:top w:val="nil"/>
              <w:left w:val="nil"/>
              <w:bottom w:val="nil"/>
              <w:right w:val="nil"/>
            </w:tcBorders>
            <w:shd w:val="clear" w:color="auto" w:fill="FFFFFF"/>
            <w:tcMar>
              <w:top w:w="0" w:type="dxa"/>
              <w:left w:w="0" w:type="dxa"/>
              <w:bottom w:w="0" w:type="dxa"/>
              <w:right w:w="0" w:type="dxa"/>
            </w:tcMar>
          </w:tcPr>
          <w:p w14:paraId="6581FD4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5.2 ± 3.5</w:t>
            </w:r>
          </w:p>
        </w:tc>
        <w:tc>
          <w:tcPr>
            <w:tcW w:w="731" w:type="pct"/>
            <w:tcBorders>
              <w:top w:val="nil"/>
              <w:left w:val="nil"/>
              <w:bottom w:val="nil"/>
              <w:right w:val="nil"/>
            </w:tcBorders>
            <w:shd w:val="clear" w:color="auto" w:fill="FFFFFF"/>
            <w:tcMar>
              <w:top w:w="0" w:type="dxa"/>
              <w:left w:w="0" w:type="dxa"/>
              <w:bottom w:w="0" w:type="dxa"/>
              <w:right w:w="0" w:type="dxa"/>
            </w:tcMar>
          </w:tcPr>
          <w:p w14:paraId="46DE946A"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5.2 ± 14.9</w:t>
            </w:r>
          </w:p>
        </w:tc>
        <w:tc>
          <w:tcPr>
            <w:tcW w:w="407" w:type="pct"/>
            <w:tcBorders>
              <w:top w:val="nil"/>
              <w:left w:val="nil"/>
              <w:bottom w:val="nil"/>
              <w:right w:val="nil"/>
            </w:tcBorders>
            <w:shd w:val="clear" w:color="auto" w:fill="FFFFFF"/>
            <w:tcMar>
              <w:top w:w="0" w:type="dxa"/>
              <w:left w:w="0" w:type="dxa"/>
              <w:bottom w:w="0" w:type="dxa"/>
              <w:right w:w="0" w:type="dxa"/>
            </w:tcMar>
          </w:tcPr>
          <w:p w14:paraId="63F0778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0.024</w:t>
            </w:r>
          </w:p>
        </w:tc>
      </w:tr>
      <w:tr w:rsidR="005F0A18" w14:paraId="454B01ED"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075D38A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UREA</w:t>
            </w:r>
          </w:p>
        </w:tc>
        <w:tc>
          <w:tcPr>
            <w:tcW w:w="735" w:type="pct"/>
            <w:tcBorders>
              <w:top w:val="nil"/>
              <w:left w:val="nil"/>
              <w:bottom w:val="nil"/>
              <w:right w:val="nil"/>
            </w:tcBorders>
            <w:shd w:val="clear" w:color="auto" w:fill="FFFFFF"/>
            <w:tcMar>
              <w:top w:w="0" w:type="dxa"/>
              <w:left w:w="0" w:type="dxa"/>
              <w:bottom w:w="0" w:type="dxa"/>
              <w:right w:w="0" w:type="dxa"/>
            </w:tcMar>
          </w:tcPr>
          <w:p w14:paraId="1E534D6A"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3.5 ± 1.1</w:t>
            </w:r>
          </w:p>
        </w:tc>
        <w:tc>
          <w:tcPr>
            <w:tcW w:w="851" w:type="pct"/>
            <w:tcBorders>
              <w:top w:val="nil"/>
              <w:left w:val="nil"/>
              <w:bottom w:val="nil"/>
              <w:right w:val="nil"/>
            </w:tcBorders>
            <w:shd w:val="clear" w:color="auto" w:fill="FFFFFF"/>
            <w:tcMar>
              <w:top w:w="0" w:type="dxa"/>
              <w:left w:w="0" w:type="dxa"/>
              <w:bottom w:w="0" w:type="dxa"/>
              <w:right w:w="0" w:type="dxa"/>
            </w:tcMar>
          </w:tcPr>
          <w:p w14:paraId="7CCDA0D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6.5 ± 4.5</w:t>
            </w:r>
          </w:p>
        </w:tc>
        <w:tc>
          <w:tcPr>
            <w:tcW w:w="731" w:type="pct"/>
            <w:tcBorders>
              <w:top w:val="nil"/>
              <w:left w:val="nil"/>
              <w:bottom w:val="nil"/>
              <w:right w:val="nil"/>
            </w:tcBorders>
            <w:shd w:val="clear" w:color="auto" w:fill="FFFFFF"/>
            <w:tcMar>
              <w:top w:w="0" w:type="dxa"/>
              <w:left w:w="0" w:type="dxa"/>
              <w:bottom w:w="0" w:type="dxa"/>
              <w:right w:w="0" w:type="dxa"/>
            </w:tcMar>
          </w:tcPr>
          <w:p w14:paraId="779F4C7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6.6 ± 3.1</w:t>
            </w:r>
          </w:p>
        </w:tc>
        <w:tc>
          <w:tcPr>
            <w:tcW w:w="731" w:type="pct"/>
            <w:tcBorders>
              <w:top w:val="nil"/>
              <w:left w:val="nil"/>
              <w:bottom w:val="nil"/>
              <w:right w:val="nil"/>
            </w:tcBorders>
            <w:shd w:val="clear" w:color="auto" w:fill="FFFFFF"/>
            <w:tcMar>
              <w:top w:w="0" w:type="dxa"/>
              <w:left w:w="0" w:type="dxa"/>
              <w:bottom w:w="0" w:type="dxa"/>
              <w:right w:w="0" w:type="dxa"/>
            </w:tcMar>
          </w:tcPr>
          <w:p w14:paraId="35444EB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8.4 ± 7.5</w:t>
            </w:r>
          </w:p>
        </w:tc>
        <w:tc>
          <w:tcPr>
            <w:tcW w:w="731" w:type="pct"/>
            <w:tcBorders>
              <w:top w:val="nil"/>
              <w:left w:val="nil"/>
              <w:bottom w:val="nil"/>
              <w:right w:val="nil"/>
            </w:tcBorders>
            <w:shd w:val="clear" w:color="auto" w:fill="FFFFFF"/>
            <w:tcMar>
              <w:top w:w="0" w:type="dxa"/>
              <w:left w:w="0" w:type="dxa"/>
              <w:bottom w:w="0" w:type="dxa"/>
              <w:right w:w="0" w:type="dxa"/>
            </w:tcMar>
          </w:tcPr>
          <w:p w14:paraId="188C76DC"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6.0 ± 4.7</w:t>
            </w:r>
          </w:p>
        </w:tc>
        <w:tc>
          <w:tcPr>
            <w:tcW w:w="407" w:type="pct"/>
            <w:tcBorders>
              <w:top w:val="nil"/>
              <w:left w:val="nil"/>
              <w:bottom w:val="nil"/>
              <w:right w:val="nil"/>
            </w:tcBorders>
            <w:shd w:val="clear" w:color="auto" w:fill="FFFFFF"/>
            <w:tcMar>
              <w:top w:w="0" w:type="dxa"/>
              <w:left w:w="0" w:type="dxa"/>
              <w:bottom w:w="0" w:type="dxa"/>
              <w:right w:w="0" w:type="dxa"/>
            </w:tcMar>
          </w:tcPr>
          <w:p w14:paraId="5FB8881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0.007</w:t>
            </w:r>
          </w:p>
        </w:tc>
      </w:tr>
      <w:tr w:rsidR="005F0A18" w14:paraId="451A4745"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6995B3D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CR</w:t>
            </w:r>
          </w:p>
        </w:tc>
        <w:tc>
          <w:tcPr>
            <w:tcW w:w="735" w:type="pct"/>
            <w:tcBorders>
              <w:top w:val="nil"/>
              <w:left w:val="nil"/>
              <w:bottom w:val="nil"/>
              <w:right w:val="nil"/>
            </w:tcBorders>
            <w:shd w:val="clear" w:color="auto" w:fill="FFFFFF"/>
            <w:tcMar>
              <w:top w:w="0" w:type="dxa"/>
              <w:left w:w="0" w:type="dxa"/>
              <w:bottom w:w="0" w:type="dxa"/>
              <w:right w:w="0" w:type="dxa"/>
            </w:tcMar>
          </w:tcPr>
          <w:p w14:paraId="2F20472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90.1 ± 11.8</w:t>
            </w:r>
          </w:p>
        </w:tc>
        <w:tc>
          <w:tcPr>
            <w:tcW w:w="851" w:type="pct"/>
            <w:tcBorders>
              <w:top w:val="nil"/>
              <w:left w:val="nil"/>
              <w:bottom w:val="nil"/>
              <w:right w:val="nil"/>
            </w:tcBorders>
            <w:shd w:val="clear" w:color="auto" w:fill="FFFFFF"/>
            <w:tcMar>
              <w:top w:w="0" w:type="dxa"/>
              <w:left w:w="0" w:type="dxa"/>
              <w:bottom w:w="0" w:type="dxa"/>
              <w:right w:w="0" w:type="dxa"/>
            </w:tcMar>
          </w:tcPr>
          <w:p w14:paraId="045637B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89.8 ± 50.9</w:t>
            </w:r>
          </w:p>
        </w:tc>
        <w:tc>
          <w:tcPr>
            <w:tcW w:w="731" w:type="pct"/>
            <w:tcBorders>
              <w:top w:val="nil"/>
              <w:left w:val="nil"/>
              <w:bottom w:val="nil"/>
              <w:right w:val="nil"/>
            </w:tcBorders>
            <w:shd w:val="clear" w:color="auto" w:fill="FFFFFF"/>
            <w:tcMar>
              <w:top w:w="0" w:type="dxa"/>
              <w:left w:w="0" w:type="dxa"/>
              <w:bottom w:w="0" w:type="dxa"/>
              <w:right w:w="0" w:type="dxa"/>
            </w:tcMar>
          </w:tcPr>
          <w:p w14:paraId="7AA39F0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96.0 ± 23.2</w:t>
            </w:r>
          </w:p>
        </w:tc>
        <w:tc>
          <w:tcPr>
            <w:tcW w:w="731" w:type="pct"/>
            <w:tcBorders>
              <w:top w:val="nil"/>
              <w:left w:val="nil"/>
              <w:bottom w:val="nil"/>
              <w:right w:val="nil"/>
            </w:tcBorders>
            <w:shd w:val="clear" w:color="auto" w:fill="FFFFFF"/>
            <w:tcMar>
              <w:top w:w="0" w:type="dxa"/>
              <w:left w:w="0" w:type="dxa"/>
              <w:bottom w:w="0" w:type="dxa"/>
              <w:right w:w="0" w:type="dxa"/>
            </w:tcMar>
          </w:tcPr>
          <w:p w14:paraId="72189094"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122.8 ± 113.0</w:t>
            </w:r>
          </w:p>
        </w:tc>
        <w:tc>
          <w:tcPr>
            <w:tcW w:w="731" w:type="pct"/>
            <w:tcBorders>
              <w:top w:val="nil"/>
              <w:left w:val="nil"/>
              <w:bottom w:val="nil"/>
              <w:right w:val="nil"/>
            </w:tcBorders>
            <w:shd w:val="clear" w:color="auto" w:fill="FFFFFF"/>
            <w:tcMar>
              <w:top w:w="0" w:type="dxa"/>
              <w:left w:w="0" w:type="dxa"/>
              <w:bottom w:w="0" w:type="dxa"/>
              <w:right w:w="0" w:type="dxa"/>
            </w:tcMar>
          </w:tcPr>
          <w:p w14:paraId="336F711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98.5 ± 59.2</w:t>
            </w:r>
          </w:p>
        </w:tc>
        <w:tc>
          <w:tcPr>
            <w:tcW w:w="407" w:type="pct"/>
            <w:tcBorders>
              <w:top w:val="nil"/>
              <w:left w:val="nil"/>
              <w:bottom w:val="nil"/>
              <w:right w:val="nil"/>
            </w:tcBorders>
            <w:shd w:val="clear" w:color="auto" w:fill="FFFFFF"/>
            <w:tcMar>
              <w:top w:w="0" w:type="dxa"/>
              <w:left w:w="0" w:type="dxa"/>
              <w:bottom w:w="0" w:type="dxa"/>
              <w:right w:w="0" w:type="dxa"/>
            </w:tcMar>
          </w:tcPr>
          <w:p w14:paraId="5551FB1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0.5</w:t>
            </w:r>
          </w:p>
        </w:tc>
      </w:tr>
      <w:tr w:rsidR="005F0A18" w14:paraId="18D2C6DE"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1C2CF87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CK</w:t>
            </w:r>
          </w:p>
        </w:tc>
        <w:tc>
          <w:tcPr>
            <w:tcW w:w="735" w:type="pct"/>
            <w:tcBorders>
              <w:top w:val="nil"/>
              <w:left w:val="nil"/>
              <w:bottom w:val="nil"/>
              <w:right w:val="nil"/>
            </w:tcBorders>
            <w:shd w:val="clear" w:color="auto" w:fill="FFFFFF"/>
            <w:tcMar>
              <w:top w:w="0" w:type="dxa"/>
              <w:left w:w="0" w:type="dxa"/>
              <w:bottom w:w="0" w:type="dxa"/>
              <w:right w:w="0" w:type="dxa"/>
            </w:tcMar>
          </w:tcPr>
          <w:p w14:paraId="04448AE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71.7 ± 17.0</w:t>
            </w:r>
          </w:p>
        </w:tc>
        <w:tc>
          <w:tcPr>
            <w:tcW w:w="851" w:type="pct"/>
            <w:tcBorders>
              <w:top w:val="nil"/>
              <w:left w:val="nil"/>
              <w:bottom w:val="nil"/>
              <w:right w:val="nil"/>
            </w:tcBorders>
            <w:shd w:val="clear" w:color="auto" w:fill="FFFFFF"/>
            <w:tcMar>
              <w:top w:w="0" w:type="dxa"/>
              <w:left w:w="0" w:type="dxa"/>
              <w:bottom w:w="0" w:type="dxa"/>
              <w:right w:w="0" w:type="dxa"/>
            </w:tcMar>
          </w:tcPr>
          <w:p w14:paraId="5491970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84.5 ± 51.7</w:t>
            </w:r>
          </w:p>
        </w:tc>
        <w:tc>
          <w:tcPr>
            <w:tcW w:w="731" w:type="pct"/>
            <w:tcBorders>
              <w:top w:val="nil"/>
              <w:left w:val="nil"/>
              <w:bottom w:val="nil"/>
              <w:right w:val="nil"/>
            </w:tcBorders>
            <w:shd w:val="clear" w:color="auto" w:fill="FFFFFF"/>
            <w:tcMar>
              <w:top w:w="0" w:type="dxa"/>
              <w:left w:w="0" w:type="dxa"/>
              <w:bottom w:w="0" w:type="dxa"/>
              <w:right w:w="0" w:type="dxa"/>
            </w:tcMar>
          </w:tcPr>
          <w:p w14:paraId="705CFDC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139.6 ± 76.7</w:t>
            </w:r>
          </w:p>
        </w:tc>
        <w:tc>
          <w:tcPr>
            <w:tcW w:w="731" w:type="pct"/>
            <w:tcBorders>
              <w:top w:val="nil"/>
              <w:left w:val="nil"/>
              <w:bottom w:val="nil"/>
              <w:right w:val="nil"/>
            </w:tcBorders>
            <w:shd w:val="clear" w:color="auto" w:fill="FFFFFF"/>
            <w:tcMar>
              <w:top w:w="0" w:type="dxa"/>
              <w:left w:w="0" w:type="dxa"/>
              <w:bottom w:w="0" w:type="dxa"/>
              <w:right w:w="0" w:type="dxa"/>
            </w:tcMar>
          </w:tcPr>
          <w:p w14:paraId="3A819C2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72.3 ± 49.0</w:t>
            </w:r>
          </w:p>
        </w:tc>
        <w:tc>
          <w:tcPr>
            <w:tcW w:w="731" w:type="pct"/>
            <w:tcBorders>
              <w:top w:val="nil"/>
              <w:left w:val="nil"/>
              <w:bottom w:val="nil"/>
              <w:right w:val="nil"/>
            </w:tcBorders>
            <w:shd w:val="clear" w:color="auto" w:fill="FFFFFF"/>
            <w:tcMar>
              <w:top w:w="0" w:type="dxa"/>
              <w:left w:w="0" w:type="dxa"/>
              <w:bottom w:w="0" w:type="dxa"/>
              <w:right w:w="0" w:type="dxa"/>
            </w:tcMar>
          </w:tcPr>
          <w:p w14:paraId="194F852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86.3 ± 51.8</w:t>
            </w:r>
          </w:p>
        </w:tc>
        <w:tc>
          <w:tcPr>
            <w:tcW w:w="407" w:type="pct"/>
            <w:tcBorders>
              <w:top w:val="nil"/>
              <w:left w:val="nil"/>
              <w:bottom w:val="nil"/>
              <w:right w:val="nil"/>
            </w:tcBorders>
            <w:shd w:val="clear" w:color="auto" w:fill="FFFFFF"/>
            <w:tcMar>
              <w:top w:w="0" w:type="dxa"/>
              <w:left w:w="0" w:type="dxa"/>
              <w:bottom w:w="0" w:type="dxa"/>
              <w:right w:w="0" w:type="dxa"/>
            </w:tcMar>
          </w:tcPr>
          <w:p w14:paraId="1AB47AAC"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0.015</w:t>
            </w:r>
          </w:p>
        </w:tc>
      </w:tr>
      <w:tr w:rsidR="005F0A18" w14:paraId="7D1A7AAA"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6923F6D5"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CKMB-9</w:t>
            </w:r>
          </w:p>
        </w:tc>
        <w:tc>
          <w:tcPr>
            <w:tcW w:w="735" w:type="pct"/>
            <w:tcBorders>
              <w:top w:val="nil"/>
              <w:left w:val="nil"/>
              <w:bottom w:val="nil"/>
              <w:right w:val="nil"/>
            </w:tcBorders>
            <w:shd w:val="clear" w:color="auto" w:fill="FFFFFF"/>
            <w:tcMar>
              <w:top w:w="0" w:type="dxa"/>
              <w:left w:w="0" w:type="dxa"/>
              <w:bottom w:w="0" w:type="dxa"/>
              <w:right w:w="0" w:type="dxa"/>
            </w:tcMar>
          </w:tcPr>
          <w:p w14:paraId="23C12E7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 ± 1.3</w:t>
            </w:r>
          </w:p>
        </w:tc>
        <w:tc>
          <w:tcPr>
            <w:tcW w:w="851" w:type="pct"/>
            <w:tcBorders>
              <w:top w:val="nil"/>
              <w:left w:val="nil"/>
              <w:bottom w:val="nil"/>
              <w:right w:val="nil"/>
            </w:tcBorders>
            <w:shd w:val="clear" w:color="auto" w:fill="FFFFFF"/>
            <w:tcMar>
              <w:top w:w="0" w:type="dxa"/>
              <w:left w:w="0" w:type="dxa"/>
              <w:bottom w:w="0" w:type="dxa"/>
              <w:right w:w="0" w:type="dxa"/>
            </w:tcMar>
          </w:tcPr>
          <w:p w14:paraId="4520199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 1.7</w:t>
            </w:r>
          </w:p>
        </w:tc>
        <w:tc>
          <w:tcPr>
            <w:tcW w:w="731" w:type="pct"/>
            <w:tcBorders>
              <w:top w:val="nil"/>
              <w:left w:val="nil"/>
              <w:bottom w:val="nil"/>
              <w:right w:val="nil"/>
            </w:tcBorders>
            <w:shd w:val="clear" w:color="auto" w:fill="FFFFFF"/>
            <w:tcMar>
              <w:top w:w="0" w:type="dxa"/>
              <w:left w:w="0" w:type="dxa"/>
              <w:bottom w:w="0" w:type="dxa"/>
              <w:right w:w="0" w:type="dxa"/>
            </w:tcMar>
          </w:tcPr>
          <w:p w14:paraId="7B83977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5.8 ± 7.7</w:t>
            </w:r>
          </w:p>
        </w:tc>
        <w:tc>
          <w:tcPr>
            <w:tcW w:w="731" w:type="pct"/>
            <w:tcBorders>
              <w:top w:val="nil"/>
              <w:left w:val="nil"/>
              <w:bottom w:val="nil"/>
              <w:right w:val="nil"/>
            </w:tcBorders>
            <w:shd w:val="clear" w:color="auto" w:fill="FFFFFF"/>
            <w:tcMar>
              <w:top w:w="0" w:type="dxa"/>
              <w:left w:w="0" w:type="dxa"/>
              <w:bottom w:w="0" w:type="dxa"/>
              <w:right w:w="0" w:type="dxa"/>
            </w:tcMar>
          </w:tcPr>
          <w:p w14:paraId="0255AA1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 1.5</w:t>
            </w:r>
          </w:p>
        </w:tc>
        <w:tc>
          <w:tcPr>
            <w:tcW w:w="731" w:type="pct"/>
            <w:tcBorders>
              <w:top w:val="nil"/>
              <w:left w:val="nil"/>
              <w:bottom w:val="nil"/>
              <w:right w:val="nil"/>
            </w:tcBorders>
            <w:shd w:val="clear" w:color="auto" w:fill="FFFFFF"/>
            <w:tcMar>
              <w:top w:w="0" w:type="dxa"/>
              <w:left w:w="0" w:type="dxa"/>
              <w:bottom w:w="0" w:type="dxa"/>
              <w:right w:w="0" w:type="dxa"/>
            </w:tcMar>
          </w:tcPr>
          <w:p w14:paraId="2B6BC8E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2.7 ± 3.7</w:t>
            </w:r>
          </w:p>
        </w:tc>
        <w:tc>
          <w:tcPr>
            <w:tcW w:w="407" w:type="pct"/>
            <w:tcBorders>
              <w:top w:val="nil"/>
              <w:left w:val="nil"/>
              <w:bottom w:val="nil"/>
              <w:right w:val="nil"/>
            </w:tcBorders>
            <w:shd w:val="clear" w:color="auto" w:fill="FFFFFF"/>
            <w:tcMar>
              <w:top w:w="0" w:type="dxa"/>
              <w:left w:w="0" w:type="dxa"/>
              <w:bottom w:w="0" w:type="dxa"/>
              <w:right w:w="0" w:type="dxa"/>
            </w:tcMar>
          </w:tcPr>
          <w:p w14:paraId="6107A38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0.005</w:t>
            </w:r>
          </w:p>
        </w:tc>
      </w:tr>
      <w:tr w:rsidR="005F0A18" w14:paraId="0F124CE3"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7BE0C42A"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LDH</w:t>
            </w:r>
          </w:p>
        </w:tc>
        <w:tc>
          <w:tcPr>
            <w:tcW w:w="735" w:type="pct"/>
            <w:tcBorders>
              <w:top w:val="nil"/>
              <w:left w:val="nil"/>
              <w:bottom w:val="nil"/>
              <w:right w:val="nil"/>
            </w:tcBorders>
            <w:shd w:val="clear" w:color="auto" w:fill="FFFFFF"/>
            <w:tcMar>
              <w:top w:w="0" w:type="dxa"/>
              <w:left w:w="0" w:type="dxa"/>
              <w:bottom w:w="0" w:type="dxa"/>
              <w:right w:w="0" w:type="dxa"/>
            </w:tcMar>
          </w:tcPr>
          <w:p w14:paraId="78D27B9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205.7 ± 26.8</w:t>
            </w:r>
          </w:p>
        </w:tc>
        <w:tc>
          <w:tcPr>
            <w:tcW w:w="851" w:type="pct"/>
            <w:tcBorders>
              <w:top w:val="nil"/>
              <w:left w:val="nil"/>
              <w:bottom w:val="nil"/>
              <w:right w:val="nil"/>
            </w:tcBorders>
            <w:shd w:val="clear" w:color="auto" w:fill="FFFFFF"/>
            <w:tcMar>
              <w:top w:w="0" w:type="dxa"/>
              <w:left w:w="0" w:type="dxa"/>
              <w:bottom w:w="0" w:type="dxa"/>
              <w:right w:w="0" w:type="dxa"/>
            </w:tcMar>
          </w:tcPr>
          <w:p w14:paraId="3DDB2A5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178.0 ± 43.1</w:t>
            </w:r>
          </w:p>
        </w:tc>
        <w:tc>
          <w:tcPr>
            <w:tcW w:w="731" w:type="pct"/>
            <w:tcBorders>
              <w:top w:val="nil"/>
              <w:left w:val="nil"/>
              <w:bottom w:val="nil"/>
              <w:right w:val="nil"/>
            </w:tcBorders>
            <w:shd w:val="clear" w:color="auto" w:fill="FFFFFF"/>
            <w:tcMar>
              <w:top w:w="0" w:type="dxa"/>
              <w:left w:w="0" w:type="dxa"/>
              <w:bottom w:w="0" w:type="dxa"/>
              <w:right w:w="0" w:type="dxa"/>
            </w:tcMar>
          </w:tcPr>
          <w:p w14:paraId="1BF41C28"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218.7 ± 52.6</w:t>
            </w:r>
          </w:p>
        </w:tc>
        <w:tc>
          <w:tcPr>
            <w:tcW w:w="731" w:type="pct"/>
            <w:tcBorders>
              <w:top w:val="nil"/>
              <w:left w:val="nil"/>
              <w:bottom w:val="nil"/>
              <w:right w:val="nil"/>
            </w:tcBorders>
            <w:shd w:val="clear" w:color="auto" w:fill="FFFFFF"/>
            <w:tcMar>
              <w:top w:w="0" w:type="dxa"/>
              <w:left w:w="0" w:type="dxa"/>
              <w:bottom w:w="0" w:type="dxa"/>
              <w:right w:w="0" w:type="dxa"/>
            </w:tcMar>
          </w:tcPr>
          <w:p w14:paraId="7EE8E81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198.1 ± 38.3</w:t>
            </w:r>
          </w:p>
        </w:tc>
        <w:tc>
          <w:tcPr>
            <w:tcW w:w="731" w:type="pct"/>
            <w:tcBorders>
              <w:top w:val="nil"/>
              <w:left w:val="nil"/>
              <w:bottom w:val="nil"/>
              <w:right w:val="nil"/>
            </w:tcBorders>
            <w:shd w:val="clear" w:color="auto" w:fill="FFFFFF"/>
            <w:tcMar>
              <w:top w:w="0" w:type="dxa"/>
              <w:left w:w="0" w:type="dxa"/>
              <w:bottom w:w="0" w:type="dxa"/>
              <w:right w:w="0" w:type="dxa"/>
            </w:tcMar>
          </w:tcPr>
          <w:p w14:paraId="481DD2F0"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200.6 ± 39.1</w:t>
            </w:r>
          </w:p>
        </w:tc>
        <w:tc>
          <w:tcPr>
            <w:tcW w:w="407" w:type="pct"/>
            <w:tcBorders>
              <w:top w:val="nil"/>
              <w:left w:val="nil"/>
              <w:bottom w:val="nil"/>
              <w:right w:val="nil"/>
            </w:tcBorders>
            <w:shd w:val="clear" w:color="auto" w:fill="FFFFFF"/>
            <w:tcMar>
              <w:top w:w="0" w:type="dxa"/>
              <w:left w:w="0" w:type="dxa"/>
              <w:bottom w:w="0" w:type="dxa"/>
              <w:right w:w="0" w:type="dxa"/>
            </w:tcMar>
          </w:tcPr>
          <w:p w14:paraId="3B322DC2"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0.2</w:t>
            </w:r>
          </w:p>
        </w:tc>
      </w:tr>
      <w:tr w:rsidR="005F0A18" w14:paraId="5E78152F" w14:textId="77777777" w:rsidTr="00B30ECE">
        <w:trPr>
          <w:jc w:val="center"/>
        </w:trPr>
        <w:tc>
          <w:tcPr>
            <w:tcW w:w="815" w:type="pct"/>
            <w:tcBorders>
              <w:top w:val="nil"/>
              <w:left w:val="nil"/>
              <w:bottom w:val="nil"/>
              <w:right w:val="nil"/>
            </w:tcBorders>
            <w:shd w:val="clear" w:color="auto" w:fill="FFFFFF"/>
            <w:tcMar>
              <w:top w:w="0" w:type="dxa"/>
              <w:left w:w="0" w:type="dxa"/>
              <w:bottom w:w="0" w:type="dxa"/>
              <w:right w:w="0" w:type="dxa"/>
            </w:tcMar>
          </w:tcPr>
          <w:p w14:paraId="4C1C590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HBDH</w:t>
            </w:r>
          </w:p>
        </w:tc>
        <w:tc>
          <w:tcPr>
            <w:tcW w:w="735" w:type="pct"/>
            <w:tcBorders>
              <w:top w:val="nil"/>
              <w:left w:val="nil"/>
              <w:bottom w:val="nil"/>
              <w:right w:val="nil"/>
            </w:tcBorders>
            <w:shd w:val="clear" w:color="auto" w:fill="FFFFFF"/>
            <w:tcMar>
              <w:top w:w="0" w:type="dxa"/>
              <w:left w:w="0" w:type="dxa"/>
              <w:bottom w:w="0" w:type="dxa"/>
              <w:right w:w="0" w:type="dxa"/>
            </w:tcMar>
          </w:tcPr>
          <w:p w14:paraId="76908D6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197.0 ± 41.2</w:t>
            </w:r>
          </w:p>
        </w:tc>
        <w:tc>
          <w:tcPr>
            <w:tcW w:w="851" w:type="pct"/>
            <w:tcBorders>
              <w:top w:val="nil"/>
              <w:left w:val="nil"/>
              <w:bottom w:val="nil"/>
              <w:right w:val="nil"/>
            </w:tcBorders>
            <w:shd w:val="clear" w:color="auto" w:fill="FFFFFF"/>
            <w:tcMar>
              <w:top w:w="0" w:type="dxa"/>
              <w:left w:w="0" w:type="dxa"/>
              <w:bottom w:w="0" w:type="dxa"/>
              <w:right w:w="0" w:type="dxa"/>
            </w:tcMar>
          </w:tcPr>
          <w:p w14:paraId="228E82AA"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129.4 ± 42.2</w:t>
            </w:r>
          </w:p>
        </w:tc>
        <w:tc>
          <w:tcPr>
            <w:tcW w:w="731" w:type="pct"/>
            <w:tcBorders>
              <w:top w:val="nil"/>
              <w:left w:val="nil"/>
              <w:bottom w:val="nil"/>
              <w:right w:val="nil"/>
            </w:tcBorders>
            <w:shd w:val="clear" w:color="auto" w:fill="FFFFFF"/>
            <w:tcMar>
              <w:top w:w="0" w:type="dxa"/>
              <w:left w:w="0" w:type="dxa"/>
              <w:bottom w:w="0" w:type="dxa"/>
              <w:right w:w="0" w:type="dxa"/>
            </w:tcMar>
          </w:tcPr>
          <w:p w14:paraId="5037752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173.7 ± 42.6</w:t>
            </w:r>
          </w:p>
        </w:tc>
        <w:tc>
          <w:tcPr>
            <w:tcW w:w="731" w:type="pct"/>
            <w:tcBorders>
              <w:top w:val="nil"/>
              <w:left w:val="nil"/>
              <w:bottom w:val="nil"/>
              <w:right w:val="nil"/>
            </w:tcBorders>
            <w:shd w:val="clear" w:color="auto" w:fill="FFFFFF"/>
            <w:tcMar>
              <w:top w:w="0" w:type="dxa"/>
              <w:left w:w="0" w:type="dxa"/>
              <w:bottom w:w="0" w:type="dxa"/>
              <w:right w:w="0" w:type="dxa"/>
            </w:tcMar>
          </w:tcPr>
          <w:p w14:paraId="7A96E269"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149.1 ± 34.5</w:t>
            </w:r>
          </w:p>
        </w:tc>
        <w:tc>
          <w:tcPr>
            <w:tcW w:w="731" w:type="pct"/>
            <w:tcBorders>
              <w:top w:val="nil"/>
              <w:left w:val="nil"/>
              <w:bottom w:val="nil"/>
              <w:right w:val="nil"/>
            </w:tcBorders>
            <w:shd w:val="clear" w:color="auto" w:fill="FFFFFF"/>
            <w:tcMar>
              <w:top w:w="0" w:type="dxa"/>
              <w:left w:w="0" w:type="dxa"/>
              <w:bottom w:w="0" w:type="dxa"/>
              <w:right w:w="0" w:type="dxa"/>
            </w:tcMar>
          </w:tcPr>
          <w:p w14:paraId="0978D6A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167.4 ± 47.0</w:t>
            </w:r>
          </w:p>
        </w:tc>
        <w:tc>
          <w:tcPr>
            <w:tcW w:w="407" w:type="pct"/>
            <w:tcBorders>
              <w:top w:val="nil"/>
              <w:left w:val="nil"/>
              <w:bottom w:val="nil"/>
              <w:right w:val="nil"/>
            </w:tcBorders>
            <w:shd w:val="clear" w:color="auto" w:fill="FFFFFF"/>
            <w:tcMar>
              <w:top w:w="0" w:type="dxa"/>
              <w:left w:w="0" w:type="dxa"/>
              <w:bottom w:w="0" w:type="dxa"/>
              <w:right w:w="0" w:type="dxa"/>
            </w:tcMar>
          </w:tcPr>
          <w:p w14:paraId="7BCF658F"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0.013</w:t>
            </w:r>
          </w:p>
        </w:tc>
      </w:tr>
      <w:tr w:rsidR="005F0A18" w14:paraId="2D4A3AB0" w14:textId="77777777" w:rsidTr="00B30ECE">
        <w:trPr>
          <w:jc w:val="center"/>
        </w:trPr>
        <w:tc>
          <w:tcPr>
            <w:tcW w:w="815" w:type="pct"/>
            <w:tcBorders>
              <w:top w:val="nil"/>
              <w:left w:val="nil"/>
              <w:bottom w:val="single" w:sz="8" w:space="0" w:color="000000"/>
              <w:right w:val="nil"/>
            </w:tcBorders>
            <w:shd w:val="clear" w:color="auto" w:fill="FFFFFF"/>
            <w:tcMar>
              <w:top w:w="0" w:type="dxa"/>
              <w:left w:w="0" w:type="dxa"/>
              <w:bottom w:w="0" w:type="dxa"/>
              <w:right w:w="0" w:type="dxa"/>
            </w:tcMar>
          </w:tcPr>
          <w:p w14:paraId="3FD19E31"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SimSun" w:hAnsi="Times New Roman Regular" w:cs="Times New Roman Regular"/>
                <w:b/>
                <w:color w:val="000000"/>
                <w:sz w:val="22"/>
                <w:szCs w:val="22"/>
              </w:rPr>
            </w:pPr>
            <w:r>
              <w:rPr>
                <w:rFonts w:ascii="Times New Roman Regular" w:eastAsia="SimSun" w:hAnsi="Times New Roman Regular" w:cs="Times New Roman Regular"/>
                <w:b/>
                <w:color w:val="000000"/>
                <w:sz w:val="22"/>
                <w:szCs w:val="22"/>
              </w:rPr>
              <w:t>CRP</w:t>
            </w:r>
          </w:p>
        </w:tc>
        <w:tc>
          <w:tcPr>
            <w:tcW w:w="735" w:type="pct"/>
            <w:tcBorders>
              <w:top w:val="nil"/>
              <w:left w:val="nil"/>
              <w:bottom w:val="single" w:sz="8" w:space="0" w:color="000000"/>
              <w:right w:val="nil"/>
            </w:tcBorders>
            <w:shd w:val="clear" w:color="auto" w:fill="FFFFFF"/>
            <w:tcMar>
              <w:top w:w="0" w:type="dxa"/>
              <w:left w:w="0" w:type="dxa"/>
              <w:bottom w:w="0" w:type="dxa"/>
              <w:right w:w="0" w:type="dxa"/>
            </w:tcMar>
          </w:tcPr>
          <w:p w14:paraId="67AE89C7"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1.3 ± 0.6</w:t>
            </w:r>
          </w:p>
        </w:tc>
        <w:tc>
          <w:tcPr>
            <w:tcW w:w="851" w:type="pct"/>
            <w:tcBorders>
              <w:top w:val="nil"/>
              <w:left w:val="nil"/>
              <w:bottom w:val="single" w:sz="8" w:space="0" w:color="000000"/>
              <w:right w:val="nil"/>
            </w:tcBorders>
            <w:shd w:val="clear" w:color="auto" w:fill="FFFFFF"/>
            <w:tcMar>
              <w:top w:w="0" w:type="dxa"/>
              <w:left w:w="0" w:type="dxa"/>
              <w:bottom w:w="0" w:type="dxa"/>
              <w:right w:w="0" w:type="dxa"/>
            </w:tcMar>
          </w:tcPr>
          <w:p w14:paraId="2DE8782D"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56.5 ± 101.4</w:t>
            </w:r>
          </w:p>
        </w:tc>
        <w:tc>
          <w:tcPr>
            <w:tcW w:w="731" w:type="pct"/>
            <w:tcBorders>
              <w:top w:val="nil"/>
              <w:left w:val="nil"/>
              <w:bottom w:val="single" w:sz="8" w:space="0" w:color="000000"/>
              <w:right w:val="nil"/>
            </w:tcBorders>
            <w:shd w:val="clear" w:color="auto" w:fill="FFFFFF"/>
            <w:tcMar>
              <w:top w:w="0" w:type="dxa"/>
              <w:left w:w="0" w:type="dxa"/>
              <w:bottom w:w="0" w:type="dxa"/>
              <w:right w:w="0" w:type="dxa"/>
            </w:tcMar>
          </w:tcPr>
          <w:p w14:paraId="4A572ADE"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23.0 ± 60.1</w:t>
            </w:r>
          </w:p>
        </w:tc>
        <w:tc>
          <w:tcPr>
            <w:tcW w:w="731" w:type="pct"/>
            <w:tcBorders>
              <w:top w:val="nil"/>
              <w:left w:val="nil"/>
              <w:bottom w:val="single" w:sz="8" w:space="0" w:color="000000"/>
              <w:right w:val="nil"/>
            </w:tcBorders>
            <w:shd w:val="clear" w:color="auto" w:fill="FFFFFF"/>
            <w:tcMar>
              <w:top w:w="0" w:type="dxa"/>
              <w:left w:w="0" w:type="dxa"/>
              <w:bottom w:w="0" w:type="dxa"/>
              <w:right w:w="0" w:type="dxa"/>
            </w:tcMar>
          </w:tcPr>
          <w:p w14:paraId="0D145C4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45.2 ± 65.2</w:t>
            </w:r>
          </w:p>
        </w:tc>
        <w:tc>
          <w:tcPr>
            <w:tcW w:w="731" w:type="pct"/>
            <w:tcBorders>
              <w:top w:val="nil"/>
              <w:left w:val="nil"/>
              <w:bottom w:val="single" w:sz="8" w:space="0" w:color="000000"/>
              <w:right w:val="nil"/>
            </w:tcBorders>
            <w:shd w:val="clear" w:color="auto" w:fill="FFFFFF"/>
            <w:tcMar>
              <w:top w:w="0" w:type="dxa"/>
              <w:left w:w="0" w:type="dxa"/>
              <w:bottom w:w="0" w:type="dxa"/>
              <w:right w:w="0" w:type="dxa"/>
            </w:tcMar>
          </w:tcPr>
          <w:p w14:paraId="61257453"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30.6 ± 67.7</w:t>
            </w:r>
          </w:p>
        </w:tc>
        <w:tc>
          <w:tcPr>
            <w:tcW w:w="407" w:type="pct"/>
            <w:tcBorders>
              <w:top w:val="nil"/>
              <w:left w:val="nil"/>
              <w:bottom w:val="single" w:sz="8" w:space="0" w:color="000000"/>
              <w:right w:val="nil"/>
            </w:tcBorders>
            <w:shd w:val="clear" w:color="auto" w:fill="FFFFFF"/>
            <w:tcMar>
              <w:top w:w="0" w:type="dxa"/>
              <w:left w:w="0" w:type="dxa"/>
              <w:bottom w:w="0" w:type="dxa"/>
              <w:right w:w="0" w:type="dxa"/>
            </w:tcMar>
          </w:tcPr>
          <w:p w14:paraId="74EC6E23"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jc w:val="center"/>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rPr>
              <w:t>&lt;0.001</w:t>
            </w:r>
          </w:p>
        </w:tc>
      </w:tr>
      <w:tr w:rsidR="005F0A18" w14:paraId="6BAC71F7" w14:textId="77777777" w:rsidTr="00B30ECE">
        <w:trPr>
          <w:jc w:val="center"/>
        </w:trPr>
        <w:tc>
          <w:tcPr>
            <w:tcW w:w="5000" w:type="pct"/>
            <w:gridSpan w:val="7"/>
            <w:tcBorders>
              <w:top w:val="single" w:sz="8" w:space="0" w:color="000000"/>
              <w:left w:val="nil"/>
              <w:bottom w:val="nil"/>
              <w:right w:val="nil"/>
            </w:tcBorders>
            <w:shd w:val="clear" w:color="auto" w:fill="FFFFFF"/>
            <w:tcMar>
              <w:top w:w="0" w:type="dxa"/>
              <w:left w:w="0" w:type="dxa"/>
              <w:bottom w:w="0" w:type="dxa"/>
              <w:right w:w="0" w:type="dxa"/>
            </w:tcMar>
            <w:vAlign w:val="center"/>
          </w:tcPr>
          <w:p w14:paraId="13BA4316"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vertAlign w:val="superscript"/>
              </w:rPr>
              <w:t>1</w:t>
            </w:r>
            <w:r>
              <w:rPr>
                <w:rFonts w:ascii="Times New Roman Regular" w:eastAsia="Helvetica" w:hAnsi="Times New Roman Regular" w:cs="Times New Roman Regular"/>
                <w:color w:val="000000"/>
                <w:sz w:val="22"/>
                <w:szCs w:val="22"/>
              </w:rPr>
              <w:t>n (%); Mean ± SD</w:t>
            </w:r>
          </w:p>
        </w:tc>
      </w:tr>
      <w:tr w:rsidR="005F0A18" w14:paraId="0E74D70B" w14:textId="77777777" w:rsidTr="00B30ECE">
        <w:trPr>
          <w:jc w:val="center"/>
        </w:trPr>
        <w:tc>
          <w:tcPr>
            <w:tcW w:w="5000" w:type="pct"/>
            <w:gridSpan w:val="7"/>
            <w:tcBorders>
              <w:top w:val="nil"/>
              <w:left w:val="nil"/>
              <w:bottom w:val="nil"/>
              <w:right w:val="nil"/>
            </w:tcBorders>
            <w:shd w:val="clear" w:color="auto" w:fill="FFFFFF"/>
            <w:tcMar>
              <w:top w:w="0" w:type="dxa"/>
              <w:left w:w="0" w:type="dxa"/>
              <w:bottom w:w="0" w:type="dxa"/>
              <w:right w:w="0" w:type="dxa"/>
            </w:tcMar>
            <w:vAlign w:val="center"/>
          </w:tcPr>
          <w:p w14:paraId="198BB8CB" w14:textId="77777777" w:rsidR="005F0A18" w:rsidRDefault="00FB030D">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color w:val="000000"/>
                <w:sz w:val="22"/>
                <w:szCs w:val="22"/>
              </w:rPr>
            </w:pPr>
            <w:r>
              <w:rPr>
                <w:rFonts w:ascii="Times New Roman Regular" w:eastAsia="Helvetica" w:hAnsi="Times New Roman Regular" w:cs="Times New Roman Regular"/>
                <w:color w:val="000000"/>
                <w:sz w:val="22"/>
                <w:szCs w:val="22"/>
                <w:vertAlign w:val="superscript"/>
              </w:rPr>
              <w:t>2</w:t>
            </w:r>
            <w:r>
              <w:rPr>
                <w:rFonts w:ascii="Times New Roman Regular" w:eastAsia="Helvetica" w:hAnsi="Times New Roman Regular" w:cs="Times New Roman Regular"/>
                <w:color w:val="000000"/>
                <w:sz w:val="22"/>
                <w:szCs w:val="22"/>
              </w:rPr>
              <w:t>Pearson's Chi-squared test; Kruskal-Wallis rank sum test</w:t>
            </w:r>
          </w:p>
          <w:p w14:paraId="203D0071" w14:textId="77777777" w:rsidR="00B30ECE" w:rsidRDefault="00B30ECE" w:rsidP="00B30ECE">
            <w:pPr>
              <w:spacing w:line="360" w:lineRule="auto"/>
              <w:rPr>
                <w:rFonts w:ascii="Times New Roman Regular" w:hAnsi="Times New Roman Regular" w:cs="Times New Roman Regular"/>
                <w:b/>
                <w:bCs/>
              </w:rPr>
            </w:pPr>
            <w:r>
              <w:rPr>
                <w:rFonts w:ascii="Times New Roman Regular" w:hAnsi="Times New Roman Regular" w:cs="Times New Roman Regular"/>
                <w:b/>
                <w:bCs/>
              </w:rPr>
              <w:t>Table 1. Baseline clinical characteristics by group</w:t>
            </w:r>
          </w:p>
          <w:p w14:paraId="519CFBCD" w14:textId="77777777" w:rsidR="00B30ECE" w:rsidRDefault="00B30ECE">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Regular" w:eastAsia="Helvetica" w:hAnsi="Times New Roman Regular" w:cs="Times New Roman Regular"/>
                <w:color w:val="000000"/>
                <w:sz w:val="22"/>
                <w:szCs w:val="22"/>
              </w:rPr>
            </w:pPr>
          </w:p>
        </w:tc>
      </w:tr>
    </w:tbl>
    <w:p w14:paraId="336A863B" w14:textId="77777777" w:rsidR="005F0A18" w:rsidRDefault="005F0A18">
      <w:pPr>
        <w:spacing w:line="360" w:lineRule="auto"/>
        <w:rPr>
          <w:rFonts w:ascii="Times New Roman Regular" w:hAnsi="Times New Roman Regular" w:cs="Times New Roman Regular"/>
        </w:rPr>
        <w:sectPr w:rsidR="005F0A18">
          <w:pgSz w:w="16838" w:h="11906" w:orient="landscape"/>
          <w:pgMar w:top="1800" w:right="1440" w:bottom="1800" w:left="1440" w:header="720" w:footer="720" w:gutter="0"/>
          <w:cols w:space="720"/>
          <w:docGrid w:linePitch="360"/>
        </w:sectPr>
      </w:pPr>
    </w:p>
    <w:p w14:paraId="26DE5CF7" w14:textId="77777777" w:rsidR="005F0A18" w:rsidRDefault="005F0A18">
      <w:pPr>
        <w:spacing w:line="360" w:lineRule="auto"/>
        <w:rPr>
          <w:rFonts w:ascii="Times New Roman Regular" w:hAnsi="Times New Roman Regular" w:cs="Times New Roman Regular"/>
          <w:b/>
          <w:bCs/>
        </w:rPr>
      </w:pPr>
    </w:p>
    <w:p w14:paraId="3BA14A05"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t xml:space="preserve">Figure </w:t>
      </w:r>
      <w:proofErr w:type="gramStart"/>
      <w:r>
        <w:rPr>
          <w:rFonts w:ascii="Times New Roman Regular" w:hAnsi="Times New Roman Regular" w:cs="Times New Roman Regular"/>
          <w:b/>
          <w:bCs/>
        </w:rPr>
        <w:t>1.Rarefaction</w:t>
      </w:r>
      <w:proofErr w:type="gramEnd"/>
      <w:r>
        <w:rPr>
          <w:rFonts w:ascii="Times New Roman Regular" w:hAnsi="Times New Roman Regular" w:cs="Times New Roman Regular"/>
          <w:b/>
          <w:bCs/>
        </w:rPr>
        <w:t xml:space="preserve"> curves indicate sequencing depth sufficiency across study groups</w:t>
      </w:r>
    </w:p>
    <w:p w14:paraId="35A176F0" w14:textId="77777777" w:rsidR="005F0A18" w:rsidRDefault="005F0A18">
      <w:pPr>
        <w:spacing w:line="360" w:lineRule="auto"/>
        <w:ind w:left="200" w:hangingChars="100" w:hanging="200"/>
        <w:rPr>
          <w:rFonts w:ascii="Times New Roman Regular" w:hAnsi="Times New Roman Regular" w:cs="Times New Roman Regular"/>
        </w:rPr>
      </w:pPr>
    </w:p>
    <w:p w14:paraId="0E5C95DB"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65AEDA28" wp14:editId="7FF41874">
            <wp:extent cx="5273675" cy="3164205"/>
            <wp:effectExtent l="0" t="0" r="9525" b="10795"/>
            <wp:docPr id="1" name="Picture 1" descr="Figure 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_01"/>
                    <pic:cNvPicPr>
                      <a:picLocks noChangeAspect="1"/>
                    </pic:cNvPicPr>
                  </pic:nvPicPr>
                  <pic:blipFill>
                    <a:blip r:embed="rId5"/>
                    <a:stretch>
                      <a:fillRect/>
                    </a:stretch>
                  </pic:blipFill>
                  <pic:spPr>
                    <a:xfrm>
                      <a:off x="0" y="0"/>
                      <a:ext cx="5273675" cy="3164205"/>
                    </a:xfrm>
                    <a:prstGeom prst="rect">
                      <a:avLst/>
                    </a:prstGeom>
                  </pic:spPr>
                </pic:pic>
              </a:graphicData>
            </a:graphic>
          </wp:inline>
        </w:drawing>
      </w:r>
    </w:p>
    <w:p w14:paraId="10ED9CAC"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Rarefaction curves for individual samples in each group (NC, COPDJMPN, COPDJMPP, and COPDWMPN). The x-axis denotes sequencing depth, and the y-axis shows the number of observed ASVs. Each line represents one sample. Curves approaching a plateau with increasing reads suggest adequate sampling coverage for capturing within-sample richness.</w:t>
      </w:r>
    </w:p>
    <w:p w14:paraId="06A0291C" w14:textId="77777777" w:rsidR="005F0A18" w:rsidRDefault="005F0A18">
      <w:pPr>
        <w:spacing w:line="360" w:lineRule="auto"/>
        <w:ind w:left="200" w:hangingChars="100" w:hanging="200"/>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4955DA9B"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2 Reduced alpha diversity in COPD groups compared with healthy controls</w:t>
      </w:r>
    </w:p>
    <w:p w14:paraId="7DB0586D"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525B17DF" wp14:editId="0BAF9810">
            <wp:extent cx="5273675" cy="3007360"/>
            <wp:effectExtent l="0" t="0" r="9525" b="15240"/>
            <wp:docPr id="2" name="Picture 2" descr="7490b0d8ffe1ff15145573f12acb1c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7490b0d8ffe1ff15145573f12acb1ca6"/>
                    <pic:cNvPicPr>
                      <a:picLocks noChangeAspect="1"/>
                    </pic:cNvPicPr>
                  </pic:nvPicPr>
                  <pic:blipFill>
                    <a:blip r:embed="rId6"/>
                    <a:stretch>
                      <a:fillRect/>
                    </a:stretch>
                  </pic:blipFill>
                  <pic:spPr>
                    <a:xfrm>
                      <a:off x="0" y="0"/>
                      <a:ext cx="5273675" cy="3007360"/>
                    </a:xfrm>
                    <a:prstGeom prst="rect">
                      <a:avLst/>
                    </a:prstGeom>
                  </pic:spPr>
                </pic:pic>
              </a:graphicData>
            </a:graphic>
          </wp:inline>
        </w:drawing>
      </w:r>
    </w:p>
    <w:p w14:paraId="713D51EB"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Boxplots of within-sample (alpha) diversity across groups (NC, COPD-WMPN, COPD-JMPP, COPD-JMPN). Left: Chao1 richness; right: Shannon diversity. Boxes show the interquartile range with median lines; whiskers indicate variability and points denote outliers. Different letters above boxes indicate statistically significant differences between groups (P &lt; 0.05), whereas shared letters indicate no significant difference.</w:t>
      </w:r>
    </w:p>
    <w:p w14:paraId="587C9C2E" w14:textId="77777777" w:rsidR="005F0A18" w:rsidRDefault="005F0A18">
      <w:pPr>
        <w:spacing w:line="360" w:lineRule="auto"/>
        <w:ind w:left="200" w:hangingChars="100" w:hanging="200"/>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3F807BA2"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3. Beta diversity analysis reveals group-specific shifts in sputum microbial community structure</w:t>
      </w:r>
    </w:p>
    <w:p w14:paraId="3F13D769" w14:textId="77777777" w:rsidR="005F0A18" w:rsidRDefault="005F0A18">
      <w:pPr>
        <w:spacing w:line="360" w:lineRule="auto"/>
        <w:ind w:left="200" w:hangingChars="100" w:hanging="200"/>
        <w:rPr>
          <w:rFonts w:ascii="Times New Roman Regular" w:hAnsi="Times New Roman Regular" w:cs="Times New Roman Regular"/>
        </w:rPr>
      </w:pPr>
    </w:p>
    <w:p w14:paraId="773B9DA6"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6A694D51" wp14:editId="64C7FC68">
            <wp:extent cx="5266690" cy="2315845"/>
            <wp:effectExtent l="0" t="0" r="16510" b="20955"/>
            <wp:docPr id="10" name="Picture 10" descr="afbb8fab36ede35b65da420ce48fd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fbb8fab36ede35b65da420ce48fd147"/>
                    <pic:cNvPicPr>
                      <a:picLocks noChangeAspect="1"/>
                    </pic:cNvPicPr>
                  </pic:nvPicPr>
                  <pic:blipFill>
                    <a:blip r:embed="rId7"/>
                    <a:stretch>
                      <a:fillRect/>
                    </a:stretch>
                  </pic:blipFill>
                  <pic:spPr>
                    <a:xfrm>
                      <a:off x="0" y="0"/>
                      <a:ext cx="5266690" cy="2315845"/>
                    </a:xfrm>
                    <a:prstGeom prst="rect">
                      <a:avLst/>
                    </a:prstGeom>
                  </pic:spPr>
                </pic:pic>
              </a:graphicData>
            </a:graphic>
          </wp:inline>
        </w:drawing>
      </w:r>
      <w:r>
        <w:rPr>
          <w:rFonts w:ascii="Times New Roman Regular" w:hAnsi="Times New Roman Regular" w:cs="Times New Roman Regular"/>
        </w:rPr>
        <w:t>Bray–Curtis beta diversity comparisons among groups (COPDJMPN, COPDJMPP, COPDWMPN, and NC). Left, within-group Bray–Curtis distances, with pairwise group comparisons indicated (ns, not significant; **P &lt; 0.01; ***P &lt; 0.001). Middle, between-group Bray–Curtis distances for selected pairwise contrasts. Right, principal coordinates analysis (</w:t>
      </w:r>
      <w:proofErr w:type="spellStart"/>
      <w:r>
        <w:rPr>
          <w:rFonts w:ascii="Times New Roman Regular" w:hAnsi="Times New Roman Regular" w:cs="Times New Roman Regular"/>
        </w:rPr>
        <w:t>PCoA</w:t>
      </w:r>
      <w:proofErr w:type="spellEnd"/>
      <w:r>
        <w:rPr>
          <w:rFonts w:ascii="Times New Roman Regular" w:hAnsi="Times New Roman Regular" w:cs="Times New Roman Regular"/>
        </w:rPr>
        <w:t>) based on Bray–Curtis dissimilarities; each point represents one sample and ellipses indicate group clustering. Axis labels show the percentage of variance explained by each coordinate.</w:t>
      </w:r>
    </w:p>
    <w:p w14:paraId="451BE696" w14:textId="77777777" w:rsidR="005F0A18" w:rsidRDefault="005F0A18">
      <w:pPr>
        <w:spacing w:line="360" w:lineRule="auto"/>
        <w:ind w:left="200" w:hangingChars="100" w:hanging="200"/>
        <w:rPr>
          <w:rFonts w:ascii="Times New Roman Regular" w:hAnsi="Times New Roman Regular" w:cs="Times New Roman Regular"/>
        </w:rPr>
      </w:pPr>
    </w:p>
    <w:p w14:paraId="5A69D6F1" w14:textId="77777777" w:rsidR="005F0A18" w:rsidRDefault="005F0A18">
      <w:pPr>
        <w:spacing w:line="360" w:lineRule="auto"/>
        <w:ind w:left="200" w:hangingChars="100" w:hanging="200"/>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2967BC36"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 xml:space="preserve">Figure </w:t>
      </w:r>
      <w:proofErr w:type="gramStart"/>
      <w:r>
        <w:rPr>
          <w:rFonts w:ascii="Times New Roman Regular" w:hAnsi="Times New Roman Regular" w:cs="Times New Roman Regular"/>
          <w:b/>
          <w:bCs/>
        </w:rPr>
        <w:t>4.Phylum</w:t>
      </w:r>
      <w:proofErr w:type="gramEnd"/>
      <w:r>
        <w:rPr>
          <w:rFonts w:ascii="Times New Roman Regular" w:hAnsi="Times New Roman Regular" w:cs="Times New Roman Regular"/>
          <w:b/>
          <w:bCs/>
        </w:rPr>
        <w:t>-level microbiome composition differs across COPD subgroups and healthy controls</w:t>
      </w:r>
    </w:p>
    <w:p w14:paraId="0BAC233C" w14:textId="77777777" w:rsidR="005F0A18" w:rsidRDefault="005F0A18">
      <w:pPr>
        <w:spacing w:line="360" w:lineRule="auto"/>
        <w:ind w:left="200" w:hangingChars="100" w:hanging="200"/>
        <w:rPr>
          <w:rFonts w:ascii="Times New Roman Regular" w:hAnsi="Times New Roman Regular" w:cs="Times New Roman Regular"/>
        </w:rPr>
      </w:pPr>
    </w:p>
    <w:p w14:paraId="65D07070" w14:textId="77777777" w:rsidR="005F0A18" w:rsidRDefault="00FB030D">
      <w:pPr>
        <w:spacing w:line="360" w:lineRule="auto"/>
        <w:ind w:left="200" w:hangingChars="100" w:hanging="200"/>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r>
        <w:rPr>
          <w:rFonts w:ascii="Times New Roman Regular" w:hAnsi="Times New Roman Regular" w:cs="Times New Roman Regular"/>
          <w:noProof/>
        </w:rPr>
        <w:drawing>
          <wp:inline distT="0" distB="0" distL="114300" distR="114300" wp14:anchorId="672B15C5" wp14:editId="7AEF074C">
            <wp:extent cx="5273675" cy="1845945"/>
            <wp:effectExtent l="0" t="0" r="9525" b="8255"/>
            <wp:docPr id="4" name="Picture 4" descr="Figure 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_01"/>
                    <pic:cNvPicPr>
                      <a:picLocks noChangeAspect="1"/>
                    </pic:cNvPicPr>
                  </pic:nvPicPr>
                  <pic:blipFill>
                    <a:blip r:embed="rId8"/>
                    <a:stretch>
                      <a:fillRect/>
                    </a:stretch>
                  </pic:blipFill>
                  <pic:spPr>
                    <a:xfrm>
                      <a:off x="0" y="0"/>
                      <a:ext cx="5273675" cy="1845945"/>
                    </a:xfrm>
                    <a:prstGeom prst="rect">
                      <a:avLst/>
                    </a:prstGeom>
                  </pic:spPr>
                </pic:pic>
              </a:graphicData>
            </a:graphic>
          </wp:inline>
        </w:drawing>
      </w:r>
      <w:r>
        <w:rPr>
          <w:rFonts w:ascii="Times New Roman Regular" w:hAnsi="Times New Roman Regular" w:cs="Times New Roman Regular"/>
        </w:rPr>
        <w:t xml:space="preserve">Pie charts showing the mean relative abundance of dominant bacterial phyla in sputum samples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xml:space="preserve"> groups. Percent labels indicate the average proportion of each phylum within a group. “Others” represents the combined relative abundance of all remaining low-abundance phyla not shown individually.</w:t>
      </w:r>
    </w:p>
    <w:p w14:paraId="08766902"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 xml:space="preserve">Figure </w:t>
      </w:r>
      <w:proofErr w:type="gramStart"/>
      <w:r>
        <w:rPr>
          <w:rFonts w:ascii="Times New Roman Regular" w:hAnsi="Times New Roman Regular" w:cs="Times New Roman Regular"/>
          <w:b/>
          <w:bCs/>
        </w:rPr>
        <w:t>5.Genus</w:t>
      </w:r>
      <w:proofErr w:type="gramEnd"/>
      <w:r>
        <w:rPr>
          <w:rFonts w:ascii="Times New Roman Regular" w:hAnsi="Times New Roman Regular" w:cs="Times New Roman Regular"/>
          <w:b/>
          <w:bCs/>
        </w:rPr>
        <w:t>-level heatmap of relative abundance reveals distinct microbial profiles across groups</w:t>
      </w:r>
    </w:p>
    <w:p w14:paraId="41A72FEB" w14:textId="77777777" w:rsidR="005F0A18" w:rsidRDefault="005F0A18">
      <w:pPr>
        <w:spacing w:line="360" w:lineRule="auto"/>
        <w:ind w:left="200" w:hangingChars="100" w:hanging="200"/>
        <w:rPr>
          <w:rFonts w:ascii="Times New Roman Regular" w:hAnsi="Times New Roman Regular" w:cs="Times New Roman Regular"/>
        </w:rPr>
      </w:pPr>
    </w:p>
    <w:p w14:paraId="45E61B12"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3EF7DB8E" wp14:editId="45AEB49F">
            <wp:extent cx="5274310" cy="3955415"/>
            <wp:effectExtent l="0" t="0" r="8890"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9"/>
                    <a:stretch>
                      <a:fillRect/>
                    </a:stretch>
                  </pic:blipFill>
                  <pic:spPr>
                    <a:xfrm>
                      <a:off x="0" y="0"/>
                      <a:ext cx="5274310" cy="3955415"/>
                    </a:xfrm>
                    <a:prstGeom prst="rect">
                      <a:avLst/>
                    </a:prstGeom>
                    <a:noFill/>
                    <a:ln>
                      <a:noFill/>
                    </a:ln>
                  </pic:spPr>
                </pic:pic>
              </a:graphicData>
            </a:graphic>
          </wp:inline>
        </w:drawing>
      </w:r>
    </w:p>
    <w:p w14:paraId="27A94D12"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 xml:space="preserve">Heatmap showing genus-level community composition across individual sputum samples from </w:t>
      </w:r>
      <w:proofErr w:type="spellStart"/>
      <w:r>
        <w:rPr>
          <w:rFonts w:ascii="Times New Roman Regular" w:hAnsi="Times New Roman Regular" w:cs="Times New Roman Regular"/>
        </w:rPr>
        <w:t>HealthyControl</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COPD_Stable_MPneg</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COPD_AE_MPneg</w:t>
      </w:r>
      <w:proofErr w:type="spellEnd"/>
      <w:r>
        <w:rPr>
          <w:rFonts w:ascii="Times New Roman Regular" w:hAnsi="Times New Roman Regular" w:cs="Times New Roman Regular"/>
        </w:rPr>
        <w:t xml:space="preserve">, and </w:t>
      </w:r>
      <w:proofErr w:type="spellStart"/>
      <w:r>
        <w:rPr>
          <w:rFonts w:ascii="Times New Roman Regular" w:hAnsi="Times New Roman Regular" w:cs="Times New Roman Regular"/>
        </w:rPr>
        <w:t>COPD_AE_MPpos</w:t>
      </w:r>
      <w:proofErr w:type="spellEnd"/>
      <w:r>
        <w:rPr>
          <w:rFonts w:ascii="Times New Roman Regular" w:hAnsi="Times New Roman Regular" w:cs="Times New Roman Regular"/>
        </w:rPr>
        <w:t>. Rows represent bacterial genera and columns represent samples, grouped by clinical category. Colors indicate relative abundance (%) on a log10 scale (legend), with warmer colors denoting higher abundance and cooler colors denoting lower abundance, highlighting inter-individual variability and group-specific shifts in dominant genera.</w:t>
      </w:r>
    </w:p>
    <w:p w14:paraId="24FE629D" w14:textId="77777777" w:rsidR="005F0A18" w:rsidRDefault="005F0A18">
      <w:pPr>
        <w:spacing w:line="360" w:lineRule="auto"/>
        <w:ind w:left="200" w:hangingChars="100" w:hanging="200"/>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4E19E7EB"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6. Differentially abundant genera in COPD subgroups compared with healthy controls</w:t>
      </w:r>
    </w:p>
    <w:p w14:paraId="52E2F5C4" w14:textId="77777777" w:rsidR="005F0A18" w:rsidRDefault="005F0A18">
      <w:pPr>
        <w:spacing w:line="360" w:lineRule="auto"/>
        <w:rPr>
          <w:rFonts w:ascii="Times New Roman Regular" w:hAnsi="Times New Roman Regular" w:cs="Times New Roman Regular"/>
        </w:rPr>
      </w:pPr>
    </w:p>
    <w:p w14:paraId="67FB4069"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5A541007" wp14:editId="65F7B555">
            <wp:extent cx="5266690" cy="2255520"/>
            <wp:effectExtent l="0" t="0" r="16510" b="5080"/>
            <wp:docPr id="9" name="Picture 9" descr="2f6fa38e179e74cd758d5aa2d6238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f6fa38e179e74cd758d5aa2d62388a0"/>
                    <pic:cNvPicPr>
                      <a:picLocks noChangeAspect="1"/>
                    </pic:cNvPicPr>
                  </pic:nvPicPr>
                  <pic:blipFill>
                    <a:blip r:embed="rId10"/>
                    <a:stretch>
                      <a:fillRect/>
                    </a:stretch>
                  </pic:blipFill>
                  <pic:spPr>
                    <a:xfrm>
                      <a:off x="0" y="0"/>
                      <a:ext cx="5266690" cy="2255520"/>
                    </a:xfrm>
                    <a:prstGeom prst="rect">
                      <a:avLst/>
                    </a:prstGeom>
                  </pic:spPr>
                </pic:pic>
              </a:graphicData>
            </a:graphic>
          </wp:inline>
        </w:drawing>
      </w:r>
    </w:p>
    <w:p w14:paraId="2CE2DEAD" w14:textId="77777777" w:rsidR="005F0A18" w:rsidRDefault="00FB030D">
      <w:pPr>
        <w:spacing w:line="360" w:lineRule="auto"/>
        <w:rPr>
          <w:rFonts w:ascii="Times New Roman Regular" w:hAnsi="Times New Roman Regular" w:cs="Times New Roman Regular"/>
        </w:rPr>
      </w:pPr>
      <w:r>
        <w:rPr>
          <w:rFonts w:ascii="Times New Roman Regular" w:hAnsi="Times New Roman Regular" w:cs="Times New Roman Regular"/>
        </w:rPr>
        <w:t>Volcano plots showing genus-level differential abundance between each COPD subgroup and NC (COPDWMPN vs NC, COPDJMPP vs NC, and COPDJMPN vs NC). The x-axis indicates log2 fold change and the y-axis shows −log10(FDR). Dashed vertical lines mark the fold-change threshold and the dashed horizontal line denotes the significance cutoff. Points are colored by direction of change (Up/Down) or not significant (NS), and selected significant genera are annotated.</w:t>
      </w:r>
    </w:p>
    <w:p w14:paraId="16856738" w14:textId="77777777" w:rsidR="005F0A18" w:rsidRDefault="005F0A18">
      <w:pPr>
        <w:spacing w:line="360" w:lineRule="auto"/>
        <w:rPr>
          <w:rFonts w:ascii="Times New Roman Regular" w:hAnsi="Times New Roman Regular" w:cs="Times New Roman Regular"/>
        </w:rPr>
        <w:sectPr w:rsidR="005F0A18">
          <w:pgSz w:w="11906" w:h="16838"/>
          <w:pgMar w:top="1440" w:right="1800" w:bottom="1440" w:left="1800" w:header="720" w:footer="720" w:gutter="0"/>
          <w:cols w:space="720"/>
          <w:docGrid w:linePitch="360"/>
        </w:sectPr>
      </w:pPr>
    </w:p>
    <w:p w14:paraId="16D5970E" w14:textId="77777777" w:rsidR="005F0A18" w:rsidRDefault="00FB030D">
      <w:pPr>
        <w:spacing w:line="360" w:lineRule="auto"/>
        <w:ind w:left="201" w:hangingChars="100" w:hanging="201"/>
        <w:rPr>
          <w:rFonts w:ascii="Times New Roman Regular" w:hAnsi="Times New Roman Regular" w:cs="Times New Roman Regular"/>
          <w:b/>
          <w:bCs/>
        </w:rPr>
      </w:pPr>
      <w:r>
        <w:rPr>
          <w:rFonts w:ascii="Times New Roman Regular" w:hAnsi="Times New Roman Regular" w:cs="Times New Roman Regular"/>
          <w:b/>
          <w:bCs/>
        </w:rPr>
        <w:lastRenderedPageBreak/>
        <w:t>Figure 7. Differential abundance of FAPROTAX-predicted functions across groups</w:t>
      </w:r>
    </w:p>
    <w:p w14:paraId="1B10A10C" w14:textId="77777777" w:rsidR="005F0A18" w:rsidRDefault="005F0A18">
      <w:pPr>
        <w:spacing w:line="360" w:lineRule="auto"/>
        <w:ind w:left="200" w:hangingChars="100" w:hanging="200"/>
        <w:rPr>
          <w:rFonts w:ascii="Times New Roman Regular" w:hAnsi="Times New Roman Regular" w:cs="Times New Roman Regular"/>
        </w:rPr>
      </w:pPr>
    </w:p>
    <w:p w14:paraId="67FEFC3C"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noProof/>
        </w:rPr>
        <w:drawing>
          <wp:inline distT="0" distB="0" distL="114300" distR="114300" wp14:anchorId="6AF46115" wp14:editId="3C3D4F5A">
            <wp:extent cx="4114800" cy="5486400"/>
            <wp:effectExtent l="0" t="0" r="0" b="0"/>
            <wp:docPr id="6" name="Picture 6" descr="Figure 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6_01"/>
                    <pic:cNvPicPr>
                      <a:picLocks noChangeAspect="1"/>
                    </pic:cNvPicPr>
                  </pic:nvPicPr>
                  <pic:blipFill>
                    <a:blip r:embed="rId11"/>
                    <a:stretch>
                      <a:fillRect/>
                    </a:stretch>
                  </pic:blipFill>
                  <pic:spPr>
                    <a:xfrm>
                      <a:off x="0" y="0"/>
                      <a:ext cx="4114800" cy="5486400"/>
                    </a:xfrm>
                    <a:prstGeom prst="rect">
                      <a:avLst/>
                    </a:prstGeom>
                  </pic:spPr>
                </pic:pic>
              </a:graphicData>
            </a:graphic>
          </wp:inline>
        </w:drawing>
      </w:r>
    </w:p>
    <w:p w14:paraId="3C1F7073" w14:textId="77777777" w:rsidR="005F0A18" w:rsidRDefault="00FB030D">
      <w:pPr>
        <w:spacing w:line="360" w:lineRule="auto"/>
        <w:ind w:left="200" w:hangingChars="100" w:hanging="200"/>
        <w:rPr>
          <w:rFonts w:ascii="Times New Roman Regular" w:hAnsi="Times New Roman Regular" w:cs="Times New Roman Regular"/>
        </w:rPr>
      </w:pPr>
      <w:r>
        <w:rPr>
          <w:rFonts w:ascii="Times New Roman Regular" w:hAnsi="Times New Roman Regular" w:cs="Times New Roman Regular"/>
        </w:rPr>
        <w:t>Dot/box plots showing the relative abundance (%) of selected FAPROTAX-predicted microbial functional categories across NC, COPDJMPN, COPDJMPP, and COPDWMPN groups. Each point represents an individual sample, and group distributions are summarized for each function. Different letters indicate statistically significant differences between groups for the same function (P &lt; 0.05); groups sharing the same letter are not significantly different.</w:t>
      </w:r>
    </w:p>
    <w:p w14:paraId="1D29BFC6" w14:textId="77777777" w:rsidR="005F0A18" w:rsidRDefault="005F0A18">
      <w:pPr>
        <w:spacing w:line="360" w:lineRule="auto"/>
        <w:ind w:left="200" w:hangingChars="100" w:hanging="200"/>
        <w:rPr>
          <w:rFonts w:ascii="Times New Roman Regular" w:hAnsi="Times New Roman Regular" w:cs="Times New Roman Regular"/>
        </w:rPr>
      </w:pPr>
    </w:p>
    <w:sectPr w:rsidR="005F0A1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5FD"/>
    <w:multiLevelType w:val="multilevel"/>
    <w:tmpl w:val="07E925FD"/>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4C43ED"/>
    <w:multiLevelType w:val="hybridMultilevel"/>
    <w:tmpl w:val="4F98F3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18ED397"/>
    <w:rsid w:val="87BFA7CD"/>
    <w:rsid w:val="DBBFE596"/>
    <w:rsid w:val="F18ED397"/>
    <w:rsid w:val="00045758"/>
    <w:rsid w:val="000661DB"/>
    <w:rsid w:val="00147396"/>
    <w:rsid w:val="00161CF1"/>
    <w:rsid w:val="00244A6C"/>
    <w:rsid w:val="00367CB0"/>
    <w:rsid w:val="003E2052"/>
    <w:rsid w:val="004B2C89"/>
    <w:rsid w:val="004D44C7"/>
    <w:rsid w:val="005D4E68"/>
    <w:rsid w:val="005F0A18"/>
    <w:rsid w:val="00765875"/>
    <w:rsid w:val="007A52D2"/>
    <w:rsid w:val="008A070B"/>
    <w:rsid w:val="00972DDD"/>
    <w:rsid w:val="00A83DA7"/>
    <w:rsid w:val="00A9528B"/>
    <w:rsid w:val="00AB1D20"/>
    <w:rsid w:val="00AE1664"/>
    <w:rsid w:val="00AF33F5"/>
    <w:rsid w:val="00B236FD"/>
    <w:rsid w:val="00B30ECE"/>
    <w:rsid w:val="00C0068D"/>
    <w:rsid w:val="00C314B2"/>
    <w:rsid w:val="00C52612"/>
    <w:rsid w:val="00D71538"/>
    <w:rsid w:val="00E032B4"/>
    <w:rsid w:val="00FB030D"/>
    <w:rsid w:val="1A7F7685"/>
    <w:rsid w:val="1FD7EFFE"/>
    <w:rsid w:val="2D9D93C4"/>
    <w:rsid w:val="3BFBFE82"/>
    <w:rsid w:val="3FAF5AE4"/>
    <w:rsid w:val="5D76CC14"/>
    <w:rsid w:val="5FFC785A"/>
    <w:rsid w:val="7BED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745DC"/>
  <w15:docId w15:val="{EB62B3B2-E78E-402C-8A19-8E4EDA35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next w:val="Normal"/>
    <w:uiPriority w:val="9"/>
    <w:semiHidden/>
    <w:unhideWhenUsed/>
    <w:qFormat/>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Bibliography1">
    <w:name w:val="Bibliography1"/>
    <w:basedOn w:val="Normal"/>
    <w:next w:val="Normal"/>
    <w:uiPriority w:val="37"/>
    <w:unhideWhenUsed/>
    <w:pPr>
      <w:ind w:left="720" w:hanging="720"/>
    </w:pPr>
  </w:style>
  <w:style w:type="character" w:styleId="Hyperlink">
    <w:name w:val="Hyperlink"/>
    <w:basedOn w:val="DefaultParagraphFont"/>
    <w:rsid w:val="00161CF1"/>
    <w:rPr>
      <w:color w:val="0026E5" w:themeColor="hyperlink"/>
      <w:u w:val="single"/>
    </w:rPr>
  </w:style>
  <w:style w:type="character" w:styleId="UnresolvedMention">
    <w:name w:val="Unresolved Mention"/>
    <w:basedOn w:val="DefaultParagraphFont"/>
    <w:uiPriority w:val="99"/>
    <w:semiHidden/>
    <w:unhideWhenUsed/>
    <w:rsid w:val="00161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28</Pages>
  <Words>27858</Words>
  <Characters>158797</Characters>
  <Application>Microsoft Office Word</Application>
  <DocSecurity>0</DocSecurity>
  <Lines>1323</Lines>
  <Paragraphs>372</Paragraphs>
  <ScaleCrop>false</ScaleCrop>
  <Company/>
  <LinksUpToDate>false</LinksUpToDate>
  <CharactersWithSpaces>186283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WPS_1727592186</dc:creator>
  <cp:lastModifiedBy>SDI 1084</cp:lastModifiedBy>
  <cp:revision>23</cp:revision>
  <dcterms:created xsi:type="dcterms:W3CDTF">2025-12-03T07:30:00Z</dcterms:created>
  <dcterms:modified xsi:type="dcterms:W3CDTF">2025-12-22T12:11:00Z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1033-12.1.24031.24031</vt:lpwstr>
  </property>
  <property fmtid="{D5CDD505-2E9C-101B-9397-08002B2CF9AE}" pid="3" name="ICV">
    <vt:lpwstr>AEF66916359F0DC7B6922F69162839A6_41</vt:lpwstr>
  </property>
  <property fmtid="{D5CDD505-2E9C-101B-9397-08002B2CF9AE}" pid="4" name="ZOTERO_PREF_1">
    <vt:lpwstr>&lt;data data-version="3" zotero-version="7.0.30"&gt;&lt;session id="CsTLGmBw"/&gt;&lt;style id="http://www.zotero.org/styles/elsevier-harvard" hasBibliography="1" bibliographyStyleHasBeenSet="1"/&gt;&lt;prefs&gt;&lt;pref name="fieldType" value="Field"/&gt;&lt;pref name="automaticJournal</vt:lpwstr>
  </property>
  <property fmtid="{D5CDD505-2E9C-101B-9397-08002B2CF9AE}" pid="5" name="ZOTERO_PREF_2">
    <vt:lpwstr>Abbreviations" value="true"/&gt;&lt;/prefs&gt;&lt;/data&gt;</vt:lpwstr>
  </property>
</Properties>
</file>