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684C0" w14:textId="77777777" w:rsidR="00F71DDF" w:rsidRPr="00F71DDF" w:rsidRDefault="00F71DDF" w:rsidP="00A35A95">
      <w:pPr>
        <w:pStyle w:val="Heading1"/>
        <w:rPr>
          <w:u w:val="single"/>
          <w:lang w:val="en-GB"/>
        </w:rPr>
      </w:pPr>
      <w:r w:rsidRPr="00F71DDF">
        <w:rPr>
          <w:u w:val="single"/>
          <w:lang w:val="en-GB"/>
        </w:rPr>
        <w:t xml:space="preserve">Review Article </w:t>
      </w:r>
    </w:p>
    <w:p w14:paraId="56C8E200" w14:textId="05D85877" w:rsidR="00A35A95" w:rsidRPr="00A35A95" w:rsidRDefault="00A35A95" w:rsidP="00A35A95">
      <w:pPr>
        <w:pStyle w:val="Heading1"/>
        <w:rPr>
          <w:lang w:val="en-GB"/>
        </w:rPr>
      </w:pPr>
      <w:bookmarkStart w:id="0" w:name="_Hlk219297901"/>
      <w:r w:rsidRPr="00A35A95">
        <w:rPr>
          <w:lang w:val="en-GB"/>
        </w:rPr>
        <w:t>Opportunities, Constraints and Transforming Sustainable Poultry Production in Ethiopia: A Review (2010–2025)</w:t>
      </w:r>
    </w:p>
    <w:bookmarkEnd w:id="0"/>
    <w:p w14:paraId="7392EC0B" w14:textId="77777777" w:rsidR="00A35A95" w:rsidRPr="00A35A95" w:rsidRDefault="00A35A95" w:rsidP="00A35A95">
      <w:pPr>
        <w:pStyle w:val="Heading2"/>
        <w:rPr>
          <w:lang w:val="en-GB"/>
        </w:rPr>
      </w:pPr>
      <w:r w:rsidRPr="00A35A95">
        <w:rPr>
          <w:lang w:val="en-GB"/>
        </w:rPr>
        <w:t>Abstract</w:t>
      </w:r>
    </w:p>
    <w:p w14:paraId="66765E3A" w14:textId="77777777" w:rsidR="00A35A95" w:rsidRPr="00A35A95" w:rsidRDefault="00A35A95" w:rsidP="00A35A95">
      <w:pPr>
        <w:pStyle w:val="NormalWeb"/>
        <w:rPr>
          <w:lang w:val="en-GB"/>
        </w:rPr>
      </w:pPr>
      <w:r w:rsidRPr="00A35A95">
        <w:rPr>
          <w:lang w:val="en-GB"/>
        </w:rPr>
        <w:t xml:space="preserve">Sustainable poultry production is increasingly positioned as a pragmatic pathway for improving food and nutrition security, generating rural and peri-urban livelihoods, and supplying rapidly expanding domestic markets, particularly in low- and middle-income countries. Ethiopia exemplifies this dual opportunity: the country hosts a large smallholder chicken population embedded in diverse </w:t>
      </w:r>
      <w:proofErr w:type="spellStart"/>
      <w:r w:rsidRPr="00A35A95">
        <w:rPr>
          <w:lang w:val="en-GB"/>
        </w:rPr>
        <w:t>agro</w:t>
      </w:r>
      <w:proofErr w:type="spellEnd"/>
      <w:r w:rsidRPr="00A35A95">
        <w:rPr>
          <w:lang w:val="en-GB"/>
        </w:rPr>
        <w:t>-ecologies while simultaneously experiencing an emerging commercial sector responding to urban demand. Yet the sustainability performance of Ethiopian poultry value chains remains constrained by interacting bottlenecks that span feed quantity and quality, animal health and biosecurity, antimicrobial stewardship, hatchery and genetics services, market coordination, infrastructure, financing, and climate-related risks. This review synthesizes peer-reviewed evidence from 2010–2025 to map Ethiopia’s poultry production landscape, identify context-specific sustainability opportunities, and propose transformation pathways that balance productivity growth with environmental integrity, public health safeguards, and inclusive development. Evidence indicates that improving sustainability in Ethiopia requires system redesign rather than isolated technical fixes. Promising directions include diversifying and quality-assuring locally available feed resources while addressing mycotoxin risks; strengthening vaccination access, surveillance, and biosecurity to reduce endemic disease pressure; integrating One Health principles to manage food-borne hazards and antimicrobial resistance; using structured sustainability assessment tools (including life cycle and multi-criteria approaches) to guide investments; and leveraging Ethiopia’s indigenous chicken diversity to design breeding programs aligned with farmer preferences and climatic resilience. The review concludes that targeted institutional innovations—coordinated input delivery, reliable extension and diagnostics, enforceable quality standards, and investment in cold chains and slaughter logistics—are pivotal for converting opportunities into measurable sustainability gains across smallholder and commercial systems.</w:t>
      </w:r>
    </w:p>
    <w:p w14:paraId="6609B734" w14:textId="77777777" w:rsidR="00A35A95" w:rsidRPr="00A35A95" w:rsidRDefault="00A35A95" w:rsidP="00A35A95">
      <w:pPr>
        <w:pStyle w:val="NormalWeb"/>
        <w:rPr>
          <w:lang w:val="en-GB"/>
        </w:rPr>
      </w:pPr>
      <w:r w:rsidRPr="00A35A95">
        <w:rPr>
          <w:rStyle w:val="Strong"/>
          <w:lang w:val="en-GB"/>
        </w:rPr>
        <w:t>Keywords:</w:t>
      </w:r>
      <w:r w:rsidRPr="00A35A95">
        <w:rPr>
          <w:lang w:val="en-GB"/>
        </w:rPr>
        <w:t xml:space="preserve"> Ethiopia; poultry; sustainability; feed systems; biosecurity; Newcastle disease; Salmonella; Campylobacter; antimicrobial resistance; life cycle assessment; indigenous chickens; value chains</w:t>
      </w:r>
    </w:p>
    <w:p w14:paraId="1DC62175" w14:textId="77777777" w:rsidR="00A35A95" w:rsidRPr="00A35A95" w:rsidRDefault="00A35A95" w:rsidP="00A35A95">
      <w:pPr>
        <w:pStyle w:val="Heading2"/>
        <w:rPr>
          <w:lang w:val="en-GB"/>
        </w:rPr>
      </w:pPr>
      <w:r w:rsidRPr="00A35A95">
        <w:rPr>
          <w:lang w:val="en-GB"/>
        </w:rPr>
        <w:t>1. Introduction</w:t>
      </w:r>
    </w:p>
    <w:p w14:paraId="54FE37A1" w14:textId="77777777" w:rsidR="00A35A95" w:rsidRPr="00A35A95" w:rsidRDefault="00A35A95" w:rsidP="00A35A95">
      <w:pPr>
        <w:pStyle w:val="NormalWeb"/>
        <w:rPr>
          <w:lang w:val="en-GB"/>
        </w:rPr>
      </w:pPr>
      <w:r w:rsidRPr="00A35A95">
        <w:rPr>
          <w:lang w:val="en-GB"/>
        </w:rPr>
        <w:t xml:space="preserve">Poultry production is often promoted as one of the most scalable livestock options for improving dietary quality and livelihoods because chickens can convert feed into animal-source foods relatively efficiently and can be reared under a wide range of production </w:t>
      </w:r>
      <w:r w:rsidRPr="00A35A95">
        <w:rPr>
          <w:lang w:val="en-GB"/>
        </w:rPr>
        <w:lastRenderedPageBreak/>
        <w:t>intensities. Globally, poultry’s expansion has been intertwined with questions of sustainability that extend beyond productivity to encompass environmental footprints, biosecurity, animal health, public health, and equity across value chains. Cross-country evidence shows that both producers and consumers can influence the environmental impacts of food systems, and livestock commodities differ markedly in resource use and emissions intensity (Poore &amp; Nemecek, 2018; Tilman &amp; Clark, 2014). Within this global context, Ethiopia is a compelling case where demand growth, technology diffusion, and diverse production ecologies coexist with systemic constraints that slow modernization and complicate sustainability transitions.</w:t>
      </w:r>
    </w:p>
    <w:p w14:paraId="37A9092F" w14:textId="77777777" w:rsidR="00A35A95" w:rsidRPr="00A35A95" w:rsidRDefault="00A35A95" w:rsidP="00A35A95">
      <w:pPr>
        <w:pStyle w:val="NormalWeb"/>
        <w:rPr>
          <w:lang w:val="en-GB"/>
        </w:rPr>
      </w:pPr>
      <w:r w:rsidRPr="00A35A95">
        <w:rPr>
          <w:lang w:val="en-GB"/>
        </w:rPr>
        <w:t xml:space="preserve">Ethiopia’s poultry sector is structurally heterogeneous. Smallholder and backyard systems remain dominant in many rural areas, typically characterized by low input use, scavenging or semi-scavenging feeding, and reliance on indigenous chickens. These systems provide flexible income, household nutrition, and socio-cultural value, but productivity is often low and health risks can be high when housing, hygiene, and vaccination coverage are inadequate. Parallel to this, peri-urban and urban systems have been expanding, with greater reliance on purchased feeds, exotic or improved breeds, and market-linked production. The sustainability implications differ across these systems: intensification can improve output per unit of land and sometimes reduce impact per unit product, yet it can also concentrate manure, increase reliance on imported feed ingredients, and amplify biosecurity and antimicrobial use challenges if governance is weak (Andretta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w:t>
      </w:r>
    </w:p>
    <w:p w14:paraId="6AD226EA" w14:textId="77777777" w:rsidR="00A35A95" w:rsidRPr="00A35A95" w:rsidRDefault="00A35A95" w:rsidP="00A35A95">
      <w:pPr>
        <w:pStyle w:val="NormalWeb"/>
        <w:rPr>
          <w:lang w:val="en-GB"/>
        </w:rPr>
      </w:pPr>
      <w:r w:rsidRPr="00A35A95">
        <w:rPr>
          <w:lang w:val="en-GB"/>
        </w:rPr>
        <w:t>The Ethiopian literature over the last decade illustrates a persistent “constraint web” that links feed costs and quality, animal health services, disease control, market access, and knowledge gaps. For example, studies highlight the importance of locally available feed alternatives and household-level resource strategies in central and southern Ethiopia (Getahun et al., 2025) and the role of feed handling practices and regional production challenges in western Ethiopia (</w:t>
      </w:r>
      <w:proofErr w:type="spellStart"/>
      <w:r w:rsidRPr="00A35A95">
        <w:rPr>
          <w:lang w:val="en-GB"/>
        </w:rPr>
        <w:t>Aberaa</w:t>
      </w:r>
      <w:proofErr w:type="spellEnd"/>
      <w:r w:rsidRPr="00A35A95">
        <w:rPr>
          <w:lang w:val="en-GB"/>
        </w:rPr>
        <w:t xml:space="preserve"> et al., 2024). At the same time, disease burdens remain a core limitation: systematic synthesis shows that Newcastle disease is widespread in Ethiopia and contributes substantially to losses across production systems (Zegeye et al., 2022). Food safety and One Health risks are also non-trivial, as evidenced by research documenting antimicrobial resistance patterns in Campylobacter across poultry-human-environment interfaces (Zeru et al., 2025) and systematic evidence on salmonellosis prevalence and resistance in Ethiopian poultry farms (</w:t>
      </w:r>
      <w:proofErr w:type="spellStart"/>
      <w:r w:rsidRPr="00A35A95">
        <w:rPr>
          <w:lang w:val="en-GB"/>
        </w:rPr>
        <w:t>Basazinew</w:t>
      </w:r>
      <w:proofErr w:type="spellEnd"/>
      <w:r w:rsidRPr="00A35A95">
        <w:rPr>
          <w:lang w:val="en-GB"/>
        </w:rPr>
        <w:t xml:space="preserve"> et al., 2025). These challenges are not unique to Ethiopia, but local institutional and ecological conditions shape how risks accumulate and how interventions perform.</w:t>
      </w:r>
    </w:p>
    <w:p w14:paraId="1B2BCCDB" w14:textId="77777777" w:rsidR="00A35A95" w:rsidRPr="00A35A95" w:rsidRDefault="00A35A95" w:rsidP="00A35A95">
      <w:pPr>
        <w:pStyle w:val="NormalWeb"/>
        <w:rPr>
          <w:lang w:val="en-GB"/>
        </w:rPr>
      </w:pPr>
      <w:r w:rsidRPr="00A35A95">
        <w:rPr>
          <w:lang w:val="en-GB"/>
        </w:rPr>
        <w:t xml:space="preserve">A transformation agenda for sustainable poultry production in Ethiopia must therefore treat sustainability as a system property, not a single technology. International work demonstrates that life cycle assessment (LCA) and related methods can map environmental hotspots in poultry systems and help compare mitigation options across feeds, housing, manure handling, and supply chain logistics (Andretta et al., 2021; Costantini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 Multi-criteria approaches further support balanced decisions by integrating environmental, economic, and social dimensions (Rocchi et al., 2019). These tools are relevant for Ethiopia because they can connect farm-level practices to value-chain outcomes while making trade-offs explicit.</w:t>
      </w:r>
    </w:p>
    <w:p w14:paraId="7A5EAC1F" w14:textId="77777777" w:rsidR="00A35A95" w:rsidRPr="00A35A95" w:rsidRDefault="00A35A95" w:rsidP="00A35A95">
      <w:pPr>
        <w:pStyle w:val="Heading3"/>
        <w:rPr>
          <w:lang w:val="en-GB"/>
        </w:rPr>
      </w:pPr>
      <w:r w:rsidRPr="00A35A95">
        <w:rPr>
          <w:lang w:val="en-GB"/>
        </w:rPr>
        <w:t>1.1. Background and rationale</w:t>
      </w:r>
    </w:p>
    <w:p w14:paraId="1CFE14CE" w14:textId="77777777" w:rsidR="00A35A95" w:rsidRPr="00A35A95" w:rsidRDefault="00A35A95" w:rsidP="00A35A95">
      <w:pPr>
        <w:pStyle w:val="NormalWeb"/>
        <w:rPr>
          <w:lang w:val="en-GB"/>
        </w:rPr>
      </w:pPr>
      <w:r w:rsidRPr="00A35A95">
        <w:rPr>
          <w:lang w:val="en-GB"/>
        </w:rPr>
        <w:lastRenderedPageBreak/>
        <w:t>The rationale for focusing on Ethiopia is threefold. First, the poultry sector offers a relatively rapid route for expanding access to animal-source foods in a country where micronutrient deficiencies and affordability constraints remain major concerns. Second, poultry enterprises are accessible to women and youth in many settings, so sustainability transitions can carry distributional consequences depending on who receives technology, finance, and market access. Third, Ethiopia’s indigenous chicken diversity represents a strategic asset for climate resilience and locally adapted productivity gains, provided that breeding goals align with farmer preferences, disease risk profiles, and feed environments (Chebo et al., 2022; Muluneh et al., 2023).</w:t>
      </w:r>
    </w:p>
    <w:p w14:paraId="5A70D9E8" w14:textId="77777777" w:rsidR="00A35A95" w:rsidRPr="00A35A95" w:rsidRDefault="00A35A95" w:rsidP="00A35A95">
      <w:pPr>
        <w:pStyle w:val="Heading3"/>
        <w:rPr>
          <w:lang w:val="en-GB"/>
        </w:rPr>
      </w:pPr>
      <w:r w:rsidRPr="00A35A95">
        <w:rPr>
          <w:lang w:val="en-GB"/>
        </w:rPr>
        <w:t>1.2. Sustainability framing for Ethiopian poultry systems</w:t>
      </w:r>
    </w:p>
    <w:p w14:paraId="36648687" w14:textId="77777777" w:rsidR="00A35A95" w:rsidRPr="00A35A95" w:rsidRDefault="00A35A95" w:rsidP="00A35A95">
      <w:pPr>
        <w:pStyle w:val="NormalWeb"/>
        <w:rPr>
          <w:lang w:val="en-GB"/>
        </w:rPr>
      </w:pPr>
      <w:r w:rsidRPr="00A35A95">
        <w:rPr>
          <w:lang w:val="en-GB"/>
        </w:rPr>
        <w:t xml:space="preserve">In this review, “sustainable poultry production” is treated as an integrated outcome across at least four interacting domains. Environmental sustainability concerns resource use, emissions, and waste management across the supply chain, where LCA studies identify feed production and manure management as recurring hotspots in poultry value chains (Costantini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 Economic sustainability includes profitability, risk management, and resilience to input price volatility, particularly feed costs. Social sustainability includes decent work, inclusion, gender equity, and food security contributions. Finally, health sustainability includes animal health, zoonotic risk management, food safety, and antimicrobial stewardship, which are increasingly recognized as central to livestock sustainability (Cheng et al., 2019; Zeru et al., 2025).</w:t>
      </w:r>
    </w:p>
    <w:p w14:paraId="4989BC70" w14:textId="77777777" w:rsidR="00A35A95" w:rsidRPr="00A35A95" w:rsidRDefault="00A35A95" w:rsidP="00A35A95">
      <w:pPr>
        <w:pStyle w:val="Heading3"/>
        <w:rPr>
          <w:lang w:val="en-GB"/>
        </w:rPr>
      </w:pPr>
      <w:r w:rsidRPr="00A35A95">
        <w:rPr>
          <w:lang w:val="en-GB"/>
        </w:rPr>
        <w:t>1.3. Scope and objectives of the article</w:t>
      </w:r>
    </w:p>
    <w:p w14:paraId="440EF4E5" w14:textId="77777777" w:rsidR="00A35A95" w:rsidRPr="00A35A95" w:rsidRDefault="00A35A95" w:rsidP="00A35A95">
      <w:pPr>
        <w:pStyle w:val="NormalWeb"/>
        <w:rPr>
          <w:lang w:val="en-GB"/>
        </w:rPr>
      </w:pPr>
      <w:r w:rsidRPr="00A35A95">
        <w:rPr>
          <w:lang w:val="en-GB"/>
        </w:rPr>
        <w:t>This review synthesizes peer-reviewed literature from 2010–2025 to (</w:t>
      </w:r>
      <w:proofErr w:type="spellStart"/>
      <w:r w:rsidRPr="00A35A95">
        <w:rPr>
          <w:lang w:val="en-GB"/>
        </w:rPr>
        <w:t>i</w:t>
      </w:r>
      <w:proofErr w:type="spellEnd"/>
      <w:r w:rsidRPr="00A35A95">
        <w:rPr>
          <w:lang w:val="en-GB"/>
        </w:rPr>
        <w:t xml:space="preserve">) describe Ethiopia’s poultry production systems and emerging sustainability baseline, (ii) identify major opportunities for sustainability improvements grounded in Ethiopian contexts, (iii) </w:t>
      </w:r>
      <w:proofErr w:type="spellStart"/>
      <w:r w:rsidRPr="00A35A95">
        <w:rPr>
          <w:lang w:val="en-GB"/>
        </w:rPr>
        <w:t>analyze</w:t>
      </w:r>
      <w:proofErr w:type="spellEnd"/>
      <w:r w:rsidRPr="00A35A95">
        <w:rPr>
          <w:lang w:val="en-GB"/>
        </w:rPr>
        <w:t xml:space="preserve"> key constraints and their systemic interactions, and (iv) propose transformation pathways that integrate farm-level practices with institutional, market, and governance reforms.</w:t>
      </w:r>
    </w:p>
    <w:p w14:paraId="0CD5D7BA" w14:textId="77777777" w:rsidR="00A35A95" w:rsidRPr="00A35A95" w:rsidRDefault="00A35A95" w:rsidP="00A35A95">
      <w:pPr>
        <w:pStyle w:val="Heading2"/>
        <w:rPr>
          <w:lang w:val="en-GB"/>
        </w:rPr>
      </w:pPr>
      <w:r w:rsidRPr="00A35A95">
        <w:rPr>
          <w:lang w:val="en-GB"/>
        </w:rPr>
        <w:t>2. Methods for literature selection</w:t>
      </w:r>
    </w:p>
    <w:p w14:paraId="02C1A895" w14:textId="77777777" w:rsidR="00A35A95" w:rsidRPr="00A35A95" w:rsidRDefault="00A35A95" w:rsidP="00A35A95">
      <w:pPr>
        <w:pStyle w:val="NormalWeb"/>
        <w:rPr>
          <w:lang w:val="en-GB"/>
        </w:rPr>
      </w:pPr>
      <w:r w:rsidRPr="00A35A95">
        <w:rPr>
          <w:lang w:val="en-GB"/>
        </w:rPr>
        <w:t>A targeted narrative review approach was used to identify, screen, and synthesize peer-reviewed literature published between January 1, 2010 and September 30, 2025. Searches were conducted in Web of Science, Scopus, PubMed, and Google Scholar. Search strings combined geographic and sector terms with sustainability-related concepts, including variations of: (“Ethiopia” OR “Ethiopian”) AND (“poultry” OR “chicken” OR “broiler” OR “layer”) AND (“</w:t>
      </w:r>
      <w:proofErr w:type="spellStart"/>
      <w:r w:rsidRPr="00A35A95">
        <w:rPr>
          <w:lang w:val="en-GB"/>
        </w:rPr>
        <w:t>sustainab</w:t>
      </w:r>
      <w:proofErr w:type="spellEnd"/>
      <w:r w:rsidRPr="00A35A95">
        <w:rPr>
          <w:lang w:val="en-GB"/>
        </w:rPr>
        <w:t>*” OR “value chain” OR “feed” OR “biosecurity” OR “Newcastle disease” OR “Salmonella” OR “Campylobacter” OR “antimicrobial resistance” OR “life cycle assessment” OR “environmental impact”). Titles and abstracts were screened for relevance to poultry production in Ethiopia or for cross-cutting sustainability frameworks directly applicable to poultry systems. Inclusion criteria emphasized peer-reviewed journal articles, reviews, and systematic reviews with clear methods and a resolvable DOI. Exclusion criteria included non-peer reviewed reports, conference abstracts without full papers, and items lacking sufficient bibliographic metadata or DOI traceability. Evidence was synthesized thematically, prioritizing Ethiopian studies for context-specific constraints and opportunities while using global sustainability assessment literature to frame transformation options.</w:t>
      </w:r>
    </w:p>
    <w:p w14:paraId="5A6CFD79" w14:textId="77777777" w:rsidR="00A35A95" w:rsidRPr="00A35A95" w:rsidRDefault="00A35A95" w:rsidP="00A35A95">
      <w:pPr>
        <w:pStyle w:val="Heading2"/>
        <w:rPr>
          <w:lang w:val="en-GB"/>
        </w:rPr>
      </w:pPr>
      <w:r w:rsidRPr="00A35A95">
        <w:rPr>
          <w:lang w:val="en-GB"/>
        </w:rPr>
        <w:lastRenderedPageBreak/>
        <w:t>3. Poultry production in Ethiopia: systems, performance and sustainability baseline</w:t>
      </w:r>
    </w:p>
    <w:p w14:paraId="2244DE48" w14:textId="77777777" w:rsidR="00A35A95" w:rsidRPr="00A35A95" w:rsidRDefault="00A35A95" w:rsidP="00A35A95">
      <w:pPr>
        <w:pStyle w:val="NormalWeb"/>
        <w:rPr>
          <w:lang w:val="en-GB"/>
        </w:rPr>
      </w:pPr>
      <w:r w:rsidRPr="00A35A95">
        <w:rPr>
          <w:lang w:val="en-GB"/>
        </w:rPr>
        <w:t>Ethiopia’s poultry production can be understood as a spectrum rather than a binary division. At one end are village and backyard systems where chickens function as multi-purpose household assets and risk-buffering instruments, often managed with limited purchased inputs. At the other end are larger commercial farms and peri-urban enterprises with greater market integration, higher stocking densities, and greater reliance on formulated feeds and specialized breeds. Between these extremes are semi-intensive systems that frequently adopt some purchased inputs (feed concentrates, improved chicks, vaccination) but face discontinuities in supply chains and services.</w:t>
      </w:r>
    </w:p>
    <w:p w14:paraId="47103A09" w14:textId="77777777" w:rsidR="00A35A95" w:rsidRPr="00A35A95" w:rsidRDefault="00A35A95" w:rsidP="00A35A95">
      <w:pPr>
        <w:pStyle w:val="Heading3"/>
        <w:rPr>
          <w:lang w:val="en-GB"/>
        </w:rPr>
      </w:pPr>
      <w:r w:rsidRPr="00A35A95">
        <w:rPr>
          <w:lang w:val="en-GB"/>
        </w:rPr>
        <w:t>3.1. Genetics and production objectives</w:t>
      </w:r>
    </w:p>
    <w:p w14:paraId="548F48DB" w14:textId="77777777" w:rsidR="00A35A95" w:rsidRPr="00A35A95" w:rsidRDefault="00A35A95" w:rsidP="00A35A95">
      <w:pPr>
        <w:pStyle w:val="NormalWeb"/>
        <w:rPr>
          <w:lang w:val="en-GB"/>
        </w:rPr>
      </w:pPr>
      <w:r w:rsidRPr="00A35A95">
        <w:rPr>
          <w:lang w:val="en-GB"/>
        </w:rPr>
        <w:t xml:space="preserve">Indigenous chickens remain central to Ethiopia’s poultry identity and resilience. Their continued importance is not solely a matter of tradition; it also reflects adaptation to low-input feed environments, diverse climates, and management conditions. Morpho-biometric evidence from north-western Ethiopia indicates substantial within-country diversity that can be clustered into ecotypes, supporting the argument that Ethiopia’s chicken genetic resources are structured and potentially </w:t>
      </w:r>
      <w:proofErr w:type="spellStart"/>
      <w:r w:rsidRPr="00A35A95">
        <w:rPr>
          <w:lang w:val="en-GB"/>
        </w:rPr>
        <w:t>breedable</w:t>
      </w:r>
      <w:proofErr w:type="spellEnd"/>
      <w:r w:rsidRPr="00A35A95">
        <w:rPr>
          <w:lang w:val="en-GB"/>
        </w:rPr>
        <w:t xml:space="preserve"> if properly documented and integrated into breeding programs (Muluneh et al., 2023). Genetic improvement strategies must therefore avoid one-size-fits-all approaches and instead connect breeding goals to production objectives, disease risks, and feed resource realities (Chebo et al., 2022).</w:t>
      </w:r>
    </w:p>
    <w:p w14:paraId="17EACE61" w14:textId="77777777" w:rsidR="00A35A95" w:rsidRPr="00A35A95" w:rsidRDefault="00A35A95" w:rsidP="00A35A95">
      <w:pPr>
        <w:pStyle w:val="NormalWeb"/>
        <w:rPr>
          <w:lang w:val="en-GB"/>
        </w:rPr>
      </w:pPr>
      <w:r w:rsidRPr="00A35A95">
        <w:rPr>
          <w:lang w:val="en-GB"/>
        </w:rPr>
        <w:t>At the same time, improved and exotic breeds play a growing role in peri-urban supply chains due to higher egg and meat output potential. However, reviews of improved chicken performance under Ethiopian conditions emphasize that realized productivity depends heavily on management context and that constraints in feeds, health, and husbandry can prevent improved genotypes from expressing expected performance (Mesele, 2023). This implies that genetic upgrading without concurrent system upgrading can create sustainability risks: higher mortality, higher medication dependence, and increased financial losses, particularly for small and medium producers.</w:t>
      </w:r>
    </w:p>
    <w:p w14:paraId="25FC2A65" w14:textId="77777777" w:rsidR="00A35A95" w:rsidRPr="00A35A95" w:rsidRDefault="00A35A95" w:rsidP="00A35A95">
      <w:pPr>
        <w:pStyle w:val="Heading3"/>
        <w:rPr>
          <w:lang w:val="en-GB"/>
        </w:rPr>
      </w:pPr>
      <w:r w:rsidRPr="00A35A95">
        <w:rPr>
          <w:lang w:val="en-GB"/>
        </w:rPr>
        <w:t>3.2. Feed systems, costs, and quality dynamics</w:t>
      </w:r>
    </w:p>
    <w:p w14:paraId="55F31F49" w14:textId="77777777" w:rsidR="00A35A95" w:rsidRPr="00A35A95" w:rsidRDefault="00A35A95" w:rsidP="00A35A95">
      <w:pPr>
        <w:pStyle w:val="NormalWeb"/>
        <w:rPr>
          <w:lang w:val="en-GB"/>
        </w:rPr>
      </w:pPr>
      <w:r w:rsidRPr="00A35A95">
        <w:rPr>
          <w:lang w:val="en-GB"/>
        </w:rPr>
        <w:t xml:space="preserve">Feed is repeatedly identified as the binding constraint for Ethiopian poultry intensification. Commercial diets are often costly and volatile, and rural producers frequently rely on variable household resources. The sustainability implications are twofold. Economically, feed cost inflation can erode margins and discourage reinvestment. Environmentally, feed sourcing patterns determine upstream land and resource demands and can dominate footprint profiles in poultry LCAs (Costantini et al., 2021; </w:t>
      </w:r>
      <w:proofErr w:type="spellStart"/>
      <w:r w:rsidR="00246BC3">
        <w:rPr>
          <w:lang w:val="en-GB"/>
        </w:rPr>
        <w:t>Kheiralipour</w:t>
      </w:r>
      <w:proofErr w:type="spellEnd"/>
      <w:r w:rsidR="00246BC3">
        <w:rPr>
          <w:lang w:val="en-GB"/>
        </w:rPr>
        <w:t xml:space="preserve"> et al., 2024</w:t>
      </w:r>
      <w:r w:rsidRPr="00A35A95">
        <w:rPr>
          <w:lang w:val="en-GB"/>
        </w:rPr>
        <w:t>). These realities motivate interest in locally available alternative feed resources. Evidence from central and southern Ethiopia demonstrates that households use a diversity of potential feed resources and that evaluating their nutritional value and feasibility can support sustainable production strategies tailored to local availability (Getahun et al., 2025). Regional assessments in western Ethiopia also emphasize that feed resources, handling mechanisms, and production challenges are intertwined, suggesting that feed sustainability cannot be separated from storage, hygiene, and extension support (</w:t>
      </w:r>
      <w:proofErr w:type="spellStart"/>
      <w:r w:rsidRPr="00A35A95">
        <w:rPr>
          <w:lang w:val="en-GB"/>
        </w:rPr>
        <w:t>Aberaa</w:t>
      </w:r>
      <w:proofErr w:type="spellEnd"/>
      <w:r w:rsidRPr="00A35A95">
        <w:rPr>
          <w:lang w:val="en-GB"/>
        </w:rPr>
        <w:t xml:space="preserve"> et al., 2024).</w:t>
      </w:r>
    </w:p>
    <w:p w14:paraId="6B040F01" w14:textId="77777777" w:rsidR="00A35A95" w:rsidRPr="00A35A95" w:rsidRDefault="00A35A95" w:rsidP="00A35A95">
      <w:pPr>
        <w:pStyle w:val="NormalWeb"/>
        <w:rPr>
          <w:lang w:val="en-GB"/>
        </w:rPr>
      </w:pPr>
      <w:r w:rsidRPr="00A35A95">
        <w:rPr>
          <w:lang w:val="en-GB"/>
        </w:rPr>
        <w:lastRenderedPageBreak/>
        <w:t>Feed safety is an additional sustainability dimension. Mycotoxin contamination, especially aflatoxins, compromises productivity, animal welfare, and food safety. Empirical evidence from Bishoftu documented high aflatoxin contamination in poultry feeds, including levels exceeding common regulatory thresholds, highlighting that sustainability interventions must include quality assurance, storage improvements, and monitoring systems rather than focusing only on feed quantity (</w:t>
      </w:r>
      <w:proofErr w:type="spellStart"/>
      <w:r w:rsidRPr="00A35A95">
        <w:rPr>
          <w:lang w:val="en-GB"/>
        </w:rPr>
        <w:t>Kassaw</w:t>
      </w:r>
      <w:proofErr w:type="spellEnd"/>
      <w:r w:rsidRPr="00A35A95">
        <w:rPr>
          <w:lang w:val="en-GB"/>
        </w:rPr>
        <w:t xml:space="preserve"> et al., 2022). The presence of aflatoxins also links poultry sustainability to broader grain storage and supply chain governance.</w:t>
      </w:r>
    </w:p>
    <w:p w14:paraId="15C09140" w14:textId="77777777" w:rsidR="00A35A95" w:rsidRPr="00A35A95" w:rsidRDefault="00A35A95" w:rsidP="00A35A95">
      <w:pPr>
        <w:pStyle w:val="Heading3"/>
        <w:rPr>
          <w:lang w:val="en-GB"/>
        </w:rPr>
      </w:pPr>
      <w:r w:rsidRPr="00A35A95">
        <w:rPr>
          <w:lang w:val="en-GB"/>
        </w:rPr>
        <w:t>3.3. Disease ecology, biosecurity, and endemic risk</w:t>
      </w:r>
    </w:p>
    <w:p w14:paraId="17910FB5" w14:textId="77777777" w:rsidR="00A35A95" w:rsidRPr="00A35A95" w:rsidRDefault="00A35A95" w:rsidP="00A35A95">
      <w:pPr>
        <w:pStyle w:val="NormalWeb"/>
        <w:rPr>
          <w:lang w:val="en-GB"/>
        </w:rPr>
      </w:pPr>
      <w:r w:rsidRPr="00A35A95">
        <w:rPr>
          <w:lang w:val="en-GB"/>
        </w:rPr>
        <w:t xml:space="preserve">In Ethiopia, infectious diseases remain a primary cause of mortality and productivity loss, especially in smallholder systems. Newcastle disease is frequently identified as the dominant constraint, and systematic synthesis confirms widespread prevalence and substantial heterogeneity across districts and time periods (Zegeye et al., 2022). This pattern suggests that vaccination strategies must be both scalable and context-sensitive, with attention to delivery logistics, cold chain integrity, and </w:t>
      </w:r>
      <w:proofErr w:type="spellStart"/>
      <w:r w:rsidRPr="00A35A95">
        <w:rPr>
          <w:lang w:val="en-GB"/>
        </w:rPr>
        <w:t>behavioral</w:t>
      </w:r>
      <w:proofErr w:type="spellEnd"/>
      <w:r w:rsidRPr="00A35A95">
        <w:rPr>
          <w:lang w:val="en-GB"/>
        </w:rPr>
        <w:t xml:space="preserve"> factors affecting uptake.</w:t>
      </w:r>
    </w:p>
    <w:p w14:paraId="331442DC" w14:textId="77777777" w:rsidR="00A35A95" w:rsidRPr="00A35A95" w:rsidRDefault="00A35A95" w:rsidP="00A35A95">
      <w:pPr>
        <w:pStyle w:val="NormalWeb"/>
        <w:rPr>
          <w:lang w:val="en-GB"/>
        </w:rPr>
      </w:pPr>
      <w:r w:rsidRPr="00A35A95">
        <w:rPr>
          <w:lang w:val="en-GB"/>
        </w:rPr>
        <w:t>Biosecurity is often weak across systems, but the consequences differ by scale. In smallholder settings, mixing of species and shared human-livestock spaces can increase exposure, while in commercial settings, higher densities raise outbreak consequences. These dynamics also shape food-borne pathogen risks. Recent evidence in Ethiopia demonstrates that Campylobacter occurrence and antimicrobial resistance can span poultry farms, farm workers, and environmental samples, implying circulation across the animal-human-environment interface and highlighting the need for One Health interventions (Zeru et al., 2025). Similarly, systematic evidence indicates that salmonellosis remains prevalent in Ethiopian poultry farms with meaningful antimicrobial resistance concerns, reinforcing that food safety is inseparable from poultry sustainability (</w:t>
      </w:r>
      <w:proofErr w:type="spellStart"/>
      <w:r w:rsidRPr="00A35A95">
        <w:rPr>
          <w:lang w:val="en-GB"/>
        </w:rPr>
        <w:t>Waktole</w:t>
      </w:r>
      <w:proofErr w:type="spellEnd"/>
      <w:r w:rsidRPr="00A35A95">
        <w:rPr>
          <w:lang w:val="en-GB"/>
        </w:rPr>
        <w:t xml:space="preserve"> </w:t>
      </w:r>
      <w:r>
        <w:rPr>
          <w:lang w:val="en-GB"/>
        </w:rPr>
        <w:t xml:space="preserve">et al., </w:t>
      </w:r>
      <w:proofErr w:type="gramStart"/>
      <w:r>
        <w:rPr>
          <w:lang w:val="en-GB"/>
        </w:rPr>
        <w:t xml:space="preserve">2024; </w:t>
      </w:r>
      <w:r w:rsidRPr="00A35A95">
        <w:rPr>
          <w:lang w:val="en-GB"/>
        </w:rPr>
        <w:t xml:space="preserve"> </w:t>
      </w:r>
      <w:proofErr w:type="spellStart"/>
      <w:r w:rsidRPr="00A35A95">
        <w:rPr>
          <w:lang w:val="en-GB"/>
        </w:rPr>
        <w:t>Basazinew</w:t>
      </w:r>
      <w:proofErr w:type="spellEnd"/>
      <w:proofErr w:type="gramEnd"/>
      <w:r w:rsidRPr="00A35A95">
        <w:rPr>
          <w:lang w:val="en-GB"/>
        </w:rPr>
        <w:t xml:space="preserve"> et al., 2025).</w:t>
      </w:r>
    </w:p>
    <w:p w14:paraId="2B55BCED" w14:textId="77777777" w:rsidR="00A35A95" w:rsidRPr="00A35A95" w:rsidRDefault="00A35A95" w:rsidP="00A35A95">
      <w:pPr>
        <w:pStyle w:val="Heading3"/>
        <w:rPr>
          <w:lang w:val="en-GB"/>
        </w:rPr>
      </w:pPr>
      <w:r w:rsidRPr="00A35A95">
        <w:rPr>
          <w:lang w:val="en-GB"/>
        </w:rPr>
        <w:t>3.4. Sustainability assessment and decision support</w:t>
      </w:r>
    </w:p>
    <w:p w14:paraId="133DA31F" w14:textId="77777777" w:rsidR="00A35A95" w:rsidRPr="00A35A95" w:rsidRDefault="00A35A95" w:rsidP="00A35A95">
      <w:pPr>
        <w:pStyle w:val="NormalWeb"/>
        <w:rPr>
          <w:lang w:val="en-GB"/>
        </w:rPr>
      </w:pPr>
      <w:r w:rsidRPr="00A35A95">
        <w:rPr>
          <w:lang w:val="en-GB"/>
        </w:rPr>
        <w:t xml:space="preserve">One barrier to transforming poultry sustainability is that farms and policymakers often lack decision-support frameworks that translate complex trade-offs into actionable priorities. Global scholarship shows that LCA-based reviews identify hotspots in poultry production chains and can compare mitigation options across feeds, manure handling, energy use, and processing (Costantini et al., 2021; </w:t>
      </w:r>
      <w:proofErr w:type="spellStart"/>
      <w:r w:rsidR="00246BC3">
        <w:rPr>
          <w:lang w:val="en-GB"/>
        </w:rPr>
        <w:t>Kheiralipour</w:t>
      </w:r>
      <w:proofErr w:type="spellEnd"/>
      <w:r w:rsidR="00246BC3">
        <w:rPr>
          <w:lang w:val="en-GB"/>
        </w:rPr>
        <w:t xml:space="preserve"> et al., 2024</w:t>
      </w:r>
      <w:r w:rsidRPr="00A35A95">
        <w:rPr>
          <w:lang w:val="en-GB"/>
        </w:rPr>
        <w:t>). Systematic reviews also illustrate that environmental impacts vary widely by context and production design, indicating that “sustainable intensification” is not automatically achieved by scaling up production but requires targeted redesign (Andretta et al., 2021). Multi-criteria approaches add value by integrating environmental and socio-economic criteria, which is particularly relevant in Ethiopia where livelihood and inclusion goals are central (Rocchi et al., 2019).</w:t>
      </w:r>
    </w:p>
    <w:p w14:paraId="3EA799A1" w14:textId="77777777" w:rsidR="00A35A95" w:rsidRPr="00A35A95" w:rsidRDefault="00A35A95" w:rsidP="00A35A95">
      <w:pPr>
        <w:pStyle w:val="Heading2"/>
        <w:rPr>
          <w:lang w:val="en-GB"/>
        </w:rPr>
      </w:pPr>
      <w:r w:rsidRPr="00A35A95">
        <w:rPr>
          <w:lang w:val="en-GB"/>
        </w:rPr>
        <w:t>4. Opportunities for sustainable poultry production in Ethiopia</w:t>
      </w:r>
    </w:p>
    <w:p w14:paraId="3EBD8643" w14:textId="77777777" w:rsidR="00A35A95" w:rsidRPr="00A35A95" w:rsidRDefault="00A35A95" w:rsidP="00A35A95">
      <w:pPr>
        <w:pStyle w:val="NormalWeb"/>
        <w:rPr>
          <w:lang w:val="en-GB"/>
        </w:rPr>
      </w:pPr>
      <w:r w:rsidRPr="00A35A95">
        <w:rPr>
          <w:lang w:val="en-GB"/>
        </w:rPr>
        <w:t>Opportunities for sustainability improvements in Ethiopia arise from market dynamics, genetic assets, emerging evidence on alternative feeds, and the possibility of integrating health and environment objectives through system redesign.</w:t>
      </w:r>
    </w:p>
    <w:p w14:paraId="07D48AD7" w14:textId="77777777" w:rsidR="00A35A95" w:rsidRPr="00A35A95" w:rsidRDefault="00A35A95" w:rsidP="00A35A95">
      <w:pPr>
        <w:pStyle w:val="Heading3"/>
        <w:rPr>
          <w:lang w:val="en-GB"/>
        </w:rPr>
      </w:pPr>
      <w:r w:rsidRPr="00A35A95">
        <w:rPr>
          <w:lang w:val="en-GB"/>
        </w:rPr>
        <w:lastRenderedPageBreak/>
        <w:t>4.1. Rising demand and market-driven upgrading</w:t>
      </w:r>
    </w:p>
    <w:p w14:paraId="7FDF0D0E" w14:textId="77777777" w:rsidR="00A35A95" w:rsidRPr="00A35A95" w:rsidRDefault="00A35A95" w:rsidP="00A35A95">
      <w:pPr>
        <w:pStyle w:val="NormalWeb"/>
        <w:rPr>
          <w:lang w:val="en-GB"/>
        </w:rPr>
      </w:pPr>
      <w:r w:rsidRPr="00A35A95">
        <w:rPr>
          <w:lang w:val="en-GB"/>
        </w:rPr>
        <w:t>Urbanization and income growth are increasing demand for poultry meat and eggs. This demand can incentivize investment in better housing, improved genetics, and more reliable feed supply chains. From a sustainability perspective, demand growth can either improve or worsen outcomes depending on how the sector expands. If growth is associated with improved management, biosecurity, and efficiency, then environmental impacts per unit product may decline even if total production increases, a pattern consistent with the broader literature on producer- and consumer-driven impact changes (Poore &amp; Nemecek, 2018). However, if growth occurs through poorly regulated expansion with weak disease control and low feed quality, then externalities can intensify.</w:t>
      </w:r>
    </w:p>
    <w:p w14:paraId="2B04BFB5" w14:textId="77777777" w:rsidR="00A35A95" w:rsidRPr="00A35A95" w:rsidRDefault="00A35A95" w:rsidP="00A35A95">
      <w:pPr>
        <w:pStyle w:val="Heading3"/>
        <w:rPr>
          <w:lang w:val="en-GB"/>
        </w:rPr>
      </w:pPr>
      <w:r w:rsidRPr="00A35A95">
        <w:rPr>
          <w:lang w:val="en-GB"/>
        </w:rPr>
        <w:t>4.2. Indigenous chicken diversity as a resilience and productivity asset</w:t>
      </w:r>
    </w:p>
    <w:p w14:paraId="703B52B3" w14:textId="77777777" w:rsidR="00A35A95" w:rsidRPr="00A35A95" w:rsidRDefault="00A35A95" w:rsidP="00A35A95">
      <w:pPr>
        <w:pStyle w:val="NormalWeb"/>
        <w:rPr>
          <w:lang w:val="en-GB"/>
        </w:rPr>
      </w:pPr>
      <w:r w:rsidRPr="00A35A95">
        <w:rPr>
          <w:lang w:val="en-GB"/>
        </w:rPr>
        <w:t xml:space="preserve">Ethiopia’s indigenous chicken ecotypes represent a strategic opportunity for developing locally adapted production systems. Morpho-biometric evidence supports structured diversity that could be leveraged to design breeding programs responsive to </w:t>
      </w:r>
      <w:proofErr w:type="spellStart"/>
      <w:r w:rsidRPr="00A35A95">
        <w:rPr>
          <w:lang w:val="en-GB"/>
        </w:rPr>
        <w:t>agro</w:t>
      </w:r>
      <w:proofErr w:type="spellEnd"/>
      <w:r w:rsidRPr="00A35A95">
        <w:rPr>
          <w:lang w:val="en-GB"/>
        </w:rPr>
        <w:t>-ecological differences and farmer trait preferences (Muluneh et al., 2023). Reviews emphasize that “unleashing” genetic potential should not be equated with wholesale replacement by exotic lines; rather, it involves systematic characterization, community engagement, and aligning breeding objectives with low-input realities and disease challenges (Chebo et al., 2022). This can support sustainability by reducing dependence on fragile hatchery supply chains and lowering mortality and medication needs under smallholder conditions.</w:t>
      </w:r>
    </w:p>
    <w:p w14:paraId="2EE095F7" w14:textId="77777777" w:rsidR="00A35A95" w:rsidRPr="00A35A95" w:rsidRDefault="00A35A95" w:rsidP="00A35A95">
      <w:pPr>
        <w:pStyle w:val="Heading3"/>
        <w:rPr>
          <w:lang w:val="en-GB"/>
        </w:rPr>
      </w:pPr>
      <w:r w:rsidRPr="00A35A95">
        <w:rPr>
          <w:lang w:val="en-GB"/>
        </w:rPr>
        <w:t>4.3. Feed diversification and locally available alternatives</w:t>
      </w:r>
    </w:p>
    <w:p w14:paraId="78E5DECC" w14:textId="77777777" w:rsidR="00A35A95" w:rsidRPr="00A35A95" w:rsidRDefault="00A35A95" w:rsidP="00A35A95">
      <w:pPr>
        <w:pStyle w:val="NormalWeb"/>
        <w:rPr>
          <w:lang w:val="en-GB"/>
        </w:rPr>
      </w:pPr>
      <w:r w:rsidRPr="00A35A95">
        <w:rPr>
          <w:lang w:val="en-GB"/>
        </w:rPr>
        <w:t>Feed innovation is arguably the most immediate opportunity for sustainability gains because it addresses both economic viability and environmental footprint hotspots. Household-level evidence from central and southern Ethiopia demonstrates that a range of alternative feed resources exist and can be evaluated for nutritional potential, suggesting pathways for reducing reliance on expensive conventional feeds while maintaining performance (Getahun et al., 2025). Regional assessments in western Ethiopia reinforce that feed resource availability is tied to handling and storage practices, indicating that diversification must be paired with training and quality assurance (</w:t>
      </w:r>
      <w:proofErr w:type="spellStart"/>
      <w:r w:rsidRPr="00A35A95">
        <w:rPr>
          <w:lang w:val="en-GB"/>
        </w:rPr>
        <w:t>Aberaa</w:t>
      </w:r>
      <w:proofErr w:type="spellEnd"/>
      <w:r w:rsidRPr="00A35A95">
        <w:rPr>
          <w:lang w:val="en-GB"/>
        </w:rPr>
        <w:t xml:space="preserve"> et al., 2024). Integrating local feed resources can also support circularity by utilizing by-products and reducing competition with human food crops, although careful assessment is necessary to avoid shifting burdens (Costantini et al., 2021; Rocchi et al., 2019).</w:t>
      </w:r>
    </w:p>
    <w:p w14:paraId="25A12F8C" w14:textId="77777777" w:rsidR="00A35A95" w:rsidRPr="00A35A95" w:rsidRDefault="00A35A95" w:rsidP="00A35A95">
      <w:pPr>
        <w:pStyle w:val="Heading3"/>
        <w:rPr>
          <w:lang w:val="en-GB"/>
        </w:rPr>
      </w:pPr>
      <w:r w:rsidRPr="00A35A95">
        <w:rPr>
          <w:lang w:val="en-GB"/>
        </w:rPr>
        <w:t>4.4. One Health–aligned improvements in poultry health and food safety</w:t>
      </w:r>
    </w:p>
    <w:p w14:paraId="33A9D604" w14:textId="77777777" w:rsidR="00A35A95" w:rsidRPr="00A35A95" w:rsidRDefault="00A35A95" w:rsidP="00A35A95">
      <w:pPr>
        <w:pStyle w:val="NormalWeb"/>
        <w:rPr>
          <w:lang w:val="en-GB"/>
        </w:rPr>
      </w:pPr>
      <w:r w:rsidRPr="00A35A95">
        <w:rPr>
          <w:lang w:val="en-GB"/>
        </w:rPr>
        <w:t xml:space="preserve">Poultry sustainability increasingly depends on managing zoonotic and food-borne risks. Ethiopia-specific evidence on Campylobacter shows that resistant strains can be present in poultry, humans, and the environment, and that farm management practices and hygiene </w:t>
      </w:r>
      <w:proofErr w:type="spellStart"/>
      <w:r w:rsidRPr="00A35A95">
        <w:rPr>
          <w:lang w:val="en-GB"/>
        </w:rPr>
        <w:t>behaviors</w:t>
      </w:r>
      <w:proofErr w:type="spellEnd"/>
      <w:r w:rsidRPr="00A35A95">
        <w:rPr>
          <w:lang w:val="en-GB"/>
        </w:rPr>
        <w:t xml:space="preserve"> influence risk (</w:t>
      </w:r>
      <w:proofErr w:type="spellStart"/>
      <w:r w:rsidRPr="00A35A95">
        <w:rPr>
          <w:lang w:val="en-GB"/>
        </w:rPr>
        <w:t>Zeru</w:t>
      </w:r>
      <w:proofErr w:type="spellEnd"/>
      <w:r w:rsidRPr="00A35A95">
        <w:rPr>
          <w:lang w:val="en-GB"/>
        </w:rPr>
        <w:t xml:space="preserve"> et al., 2025). Systematic synthesis on salmonellosis similarly indicates that prevalence, risk factors, and antimicrobial resistance patterns warrant integrated interventions spanning farm biosecurity, feed and water hygiene, and responsible antimicrobial use (</w:t>
      </w:r>
      <w:proofErr w:type="spellStart"/>
      <w:r w:rsidRPr="00A35A95">
        <w:rPr>
          <w:lang w:val="en-GB"/>
        </w:rPr>
        <w:t>Basazinew</w:t>
      </w:r>
      <w:proofErr w:type="spellEnd"/>
      <w:r w:rsidRPr="00A35A95">
        <w:rPr>
          <w:lang w:val="en-GB"/>
        </w:rPr>
        <w:t xml:space="preserve"> et al., 2025). Aligning poultry development with One Health principles can therefore produce “co-benefits”: improved productivity via reduced disease losses and improved public health via safer food chains.</w:t>
      </w:r>
    </w:p>
    <w:p w14:paraId="15842E39" w14:textId="77777777" w:rsidR="00A35A95" w:rsidRPr="00A35A95" w:rsidRDefault="00A35A95" w:rsidP="00A35A95">
      <w:pPr>
        <w:pStyle w:val="Heading3"/>
        <w:rPr>
          <w:lang w:val="en-GB"/>
        </w:rPr>
      </w:pPr>
      <w:r w:rsidRPr="00A35A95">
        <w:rPr>
          <w:lang w:val="en-GB"/>
        </w:rPr>
        <w:lastRenderedPageBreak/>
        <w:t>4.5. Sustainability measurement tools to guide transformation</w:t>
      </w:r>
    </w:p>
    <w:p w14:paraId="0AEE0139" w14:textId="77777777" w:rsidR="00A35A95" w:rsidRPr="00A35A95" w:rsidRDefault="00A35A95" w:rsidP="00A35A95">
      <w:pPr>
        <w:pStyle w:val="NormalWeb"/>
        <w:rPr>
          <w:lang w:val="en-GB"/>
        </w:rPr>
      </w:pPr>
      <w:r w:rsidRPr="00A35A95">
        <w:rPr>
          <w:lang w:val="en-GB"/>
        </w:rPr>
        <w:t xml:space="preserve">Global evidence indicates that LCA-based reviews and systematic mapping can guide hotspot targeting in poultry chains, particularly around feeds, manure, and energy use (Andretta et al., 2021; Costantini et al., 2021; </w:t>
      </w:r>
      <w:proofErr w:type="spellStart"/>
      <w:r w:rsidR="00246BC3">
        <w:rPr>
          <w:lang w:val="en-GB"/>
        </w:rPr>
        <w:t>Kheiralipour</w:t>
      </w:r>
      <w:proofErr w:type="spellEnd"/>
      <w:r w:rsidR="00246BC3">
        <w:rPr>
          <w:lang w:val="en-GB"/>
        </w:rPr>
        <w:t xml:space="preserve"> et al., 2024</w:t>
      </w:r>
      <w:r w:rsidRPr="00A35A95">
        <w:rPr>
          <w:lang w:val="en-GB"/>
        </w:rPr>
        <w:t>). Ethiopia can benefit by adapting such tools for local decision-making, especially to compare interventions such as feed substitution, housing upgrades, or manure management practices. Multi-criteria approaches are particularly suited to Ethiopia’s context because they can incorporate inclusion and livelihood criteria alongside environmental outcomes (Rocchi et al., 2019). The broader ecological footprint framing also highlights that poultry sustainability is shaped by both production choices and environmental conditions that influence genetic and performance outcomes (</w:t>
      </w:r>
      <w:proofErr w:type="spellStart"/>
      <w:r w:rsidR="00246BC3">
        <w:rPr>
          <w:lang w:val="en-GB"/>
        </w:rPr>
        <w:t>Kadawarage</w:t>
      </w:r>
      <w:proofErr w:type="spellEnd"/>
      <w:r w:rsidR="00246BC3">
        <w:rPr>
          <w:lang w:val="en-GB"/>
        </w:rPr>
        <w:t xml:space="preserve"> et al., 2024</w:t>
      </w:r>
      <w:r w:rsidRPr="00A35A95">
        <w:rPr>
          <w:lang w:val="en-GB"/>
        </w:rPr>
        <w:t>).</w:t>
      </w:r>
    </w:p>
    <w:p w14:paraId="67B1AA3E" w14:textId="77777777" w:rsidR="00A35A95" w:rsidRPr="00A35A95" w:rsidRDefault="00A35A95" w:rsidP="00A35A95">
      <w:pPr>
        <w:pStyle w:val="Heading2"/>
        <w:rPr>
          <w:lang w:val="en-GB"/>
        </w:rPr>
      </w:pPr>
      <w:r w:rsidRPr="00A35A95">
        <w:rPr>
          <w:lang w:val="en-GB"/>
        </w:rPr>
        <w:t>5. Constraints and sustainability risks in Ethiopian poultry production</w:t>
      </w:r>
    </w:p>
    <w:p w14:paraId="25DCF1C1" w14:textId="77777777" w:rsidR="00A35A95" w:rsidRPr="00A35A95" w:rsidRDefault="00A35A95" w:rsidP="00A35A95">
      <w:pPr>
        <w:pStyle w:val="NormalWeb"/>
        <w:rPr>
          <w:lang w:val="en-GB"/>
        </w:rPr>
      </w:pPr>
      <w:r w:rsidRPr="00A35A95">
        <w:rPr>
          <w:lang w:val="en-GB"/>
        </w:rPr>
        <w:t>Despite significant opportunities, sustainability transitions face interlocking constraints that can create feedback loops, where one bottleneck amplifies another. Understanding these interactions is essential for designing coherent transformation strategies.</w:t>
      </w:r>
    </w:p>
    <w:p w14:paraId="28333BCD" w14:textId="77777777" w:rsidR="00A35A95" w:rsidRPr="00A35A95" w:rsidRDefault="00A35A95" w:rsidP="00A35A95">
      <w:pPr>
        <w:pStyle w:val="Heading3"/>
        <w:rPr>
          <w:lang w:val="en-GB"/>
        </w:rPr>
      </w:pPr>
      <w:r w:rsidRPr="00A35A95">
        <w:rPr>
          <w:lang w:val="en-GB"/>
        </w:rPr>
        <w:t>5.1. Feed affordability, variability, and safety constraints</w:t>
      </w:r>
    </w:p>
    <w:p w14:paraId="5089F446" w14:textId="77777777" w:rsidR="00A35A95" w:rsidRPr="00A35A95" w:rsidRDefault="00A35A95" w:rsidP="00A35A95">
      <w:pPr>
        <w:pStyle w:val="NormalWeb"/>
        <w:rPr>
          <w:lang w:val="en-GB"/>
        </w:rPr>
      </w:pPr>
      <w:r w:rsidRPr="00A35A95">
        <w:rPr>
          <w:lang w:val="en-GB"/>
        </w:rPr>
        <w:t>Feed cost and quality variability represent a core constraint across scales. Even where alternative feed resources exist, their nutritional quality and supply stability can be uncertain without extension, testing, and aggregation systems (Getahun et al., 2025). Poor feed handling and storage can also degrade quality and create contamination risks (</w:t>
      </w:r>
      <w:proofErr w:type="spellStart"/>
      <w:r w:rsidRPr="00A35A95">
        <w:rPr>
          <w:lang w:val="en-GB"/>
        </w:rPr>
        <w:t>Aberaa</w:t>
      </w:r>
      <w:proofErr w:type="spellEnd"/>
      <w:r w:rsidRPr="00A35A95">
        <w:rPr>
          <w:lang w:val="en-GB"/>
        </w:rPr>
        <w:t xml:space="preserve"> et al., 2024). Aflatoxin contamination is a salient sustainability risk because it harms bird health, reduces productivity, increases susceptibility to infection, and creates food safety exposure risks. Evidence from Bishoftu indicates that contamination can be widespread even when moisture content appears “optimal,” suggesting that prevention requires more than simple storage moisture rules and must address upstream ingredient contamination and systematic monitoring (</w:t>
      </w:r>
      <w:proofErr w:type="spellStart"/>
      <w:r w:rsidRPr="00A35A95">
        <w:rPr>
          <w:lang w:val="en-GB"/>
        </w:rPr>
        <w:t>Kassaw</w:t>
      </w:r>
      <w:proofErr w:type="spellEnd"/>
      <w:r w:rsidRPr="00A35A95">
        <w:rPr>
          <w:lang w:val="en-GB"/>
        </w:rPr>
        <w:t xml:space="preserve"> et al., 2022).</w:t>
      </w:r>
    </w:p>
    <w:p w14:paraId="576D023C" w14:textId="77777777" w:rsidR="00A35A95" w:rsidRPr="00A35A95" w:rsidRDefault="00A35A95" w:rsidP="00A35A95">
      <w:pPr>
        <w:pStyle w:val="Heading3"/>
        <w:rPr>
          <w:lang w:val="en-GB"/>
        </w:rPr>
      </w:pPr>
      <w:r w:rsidRPr="00A35A95">
        <w:rPr>
          <w:lang w:val="en-GB"/>
        </w:rPr>
        <w:t>5.2. Endemic diseases and vaccination delivery gaps</w:t>
      </w:r>
    </w:p>
    <w:p w14:paraId="0BFBABB7" w14:textId="77777777" w:rsidR="00A35A95" w:rsidRPr="00A35A95" w:rsidRDefault="00A35A95" w:rsidP="00A35A95">
      <w:pPr>
        <w:pStyle w:val="NormalWeb"/>
        <w:rPr>
          <w:lang w:val="en-GB"/>
        </w:rPr>
      </w:pPr>
      <w:r w:rsidRPr="00A35A95">
        <w:rPr>
          <w:lang w:val="en-GB"/>
        </w:rPr>
        <w:t>Newcastle disease remains a binding constraint, with meta-analytic evidence indicating substantial prevalence across Ethiopia and variability by location and study context (Zegeye et al., 2022). The practical challenge is not only vaccine availability but reliable delivery, cold chain capacity, and farmer trust and knowledge. When vaccination is inconsistent, producers may respond by either accepting losses or increasing antimicrobial use for secondary infections, both of which undermine sustainability.</w:t>
      </w:r>
    </w:p>
    <w:p w14:paraId="50F73EE1" w14:textId="77777777" w:rsidR="00A35A95" w:rsidRPr="00A35A95" w:rsidRDefault="00A35A95" w:rsidP="00A35A95">
      <w:pPr>
        <w:pStyle w:val="Heading3"/>
        <w:rPr>
          <w:lang w:val="en-GB"/>
        </w:rPr>
      </w:pPr>
      <w:r w:rsidRPr="00A35A95">
        <w:rPr>
          <w:lang w:val="en-GB"/>
        </w:rPr>
        <w:t>5.3. Biosecurity weaknesses and food-borne pathogen circulation</w:t>
      </w:r>
    </w:p>
    <w:p w14:paraId="38342ECE" w14:textId="77777777" w:rsidR="00A35A95" w:rsidRPr="00A35A95" w:rsidRDefault="00A35A95" w:rsidP="00A35A95">
      <w:pPr>
        <w:pStyle w:val="NormalWeb"/>
        <w:rPr>
          <w:lang w:val="en-GB"/>
        </w:rPr>
      </w:pPr>
      <w:r w:rsidRPr="00A35A95">
        <w:rPr>
          <w:lang w:val="en-GB"/>
        </w:rPr>
        <w:t xml:space="preserve">Biosecurity is often discussed as a farm-level practice, but in Ethiopia it is also a value-chain property shaped by hatchery quality, trader networks, transport hygiene, and access to disinfectants and protective equipment. Food-borne pathogens illustrate how biosecurity shortcomings translate into public health risks. Evidence from central Ethiopia shows that </w:t>
      </w:r>
      <w:r w:rsidRPr="00A35A95">
        <w:rPr>
          <w:lang w:val="en-GB"/>
        </w:rPr>
        <w:lastRenderedPageBreak/>
        <w:t>Campylobacter occurrence is highest in poultry samples relative to environmental and human samples, and that management factors such as all-in/all-out practices and mixed farming with cattle influence colonization odds (Zeru et al., 2025). Systematic evidence on salmonellosis further indicates that prevalence and antimicrobial resistance are important issues in Ethiopian poultry farms (</w:t>
      </w:r>
      <w:proofErr w:type="spellStart"/>
      <w:r w:rsidRPr="00A35A95">
        <w:rPr>
          <w:lang w:val="en-GB"/>
        </w:rPr>
        <w:t>Basazinew</w:t>
      </w:r>
      <w:proofErr w:type="spellEnd"/>
      <w:r w:rsidRPr="00A35A95">
        <w:rPr>
          <w:lang w:val="en-GB"/>
        </w:rPr>
        <w:t xml:space="preserve"> et al., 2025). Such findings imply that sustainability strategies must include standards and incentives for biosecurity adoption, not merely awareness campaigns.</w:t>
      </w:r>
    </w:p>
    <w:p w14:paraId="44F47259" w14:textId="77777777" w:rsidR="00A35A95" w:rsidRPr="00A35A95" w:rsidRDefault="00A35A95" w:rsidP="00A35A95">
      <w:pPr>
        <w:pStyle w:val="Heading3"/>
        <w:rPr>
          <w:lang w:val="en-GB"/>
        </w:rPr>
      </w:pPr>
      <w:r w:rsidRPr="00A35A95">
        <w:rPr>
          <w:lang w:val="en-GB"/>
        </w:rPr>
        <w:t>5.4. Antimicrobial resistance and stewardship challenges</w:t>
      </w:r>
    </w:p>
    <w:p w14:paraId="70D38E2E" w14:textId="77777777" w:rsidR="00A35A95" w:rsidRPr="00A35A95" w:rsidRDefault="00A35A95" w:rsidP="00A35A95">
      <w:pPr>
        <w:pStyle w:val="NormalWeb"/>
        <w:rPr>
          <w:lang w:val="en-GB"/>
        </w:rPr>
      </w:pPr>
      <w:r w:rsidRPr="00A35A95">
        <w:rPr>
          <w:lang w:val="en-GB"/>
        </w:rPr>
        <w:t>Antimicrobial resistance (AMR) is a cross-cutting sustainability threat that links farm economics, animal health, and public health. Global reviews show that AMR selection and dissemination in agri-food systems is driven by antimicrobial use patterns, co-selective pressures, and transmission pathways through food, environment, and direct contact (Cheng et al., 2019). Ethiopia-specific evidence of multidrug resistance in Campylobacter across poultry and humans indicates that AMR is not hypothetical; it is already present and potentially amplified by weak stewardship and limited diagnostics (Zeru et al., 2025). Sustainable poultry transformation must therefore incorporate antimicrobial stewardship as a central pillar rather than an add-on.</w:t>
      </w:r>
    </w:p>
    <w:p w14:paraId="7F027058" w14:textId="77777777" w:rsidR="00A35A95" w:rsidRPr="00A35A95" w:rsidRDefault="00A35A95" w:rsidP="00A35A95">
      <w:pPr>
        <w:pStyle w:val="Heading3"/>
        <w:rPr>
          <w:lang w:val="en-GB"/>
        </w:rPr>
      </w:pPr>
      <w:r w:rsidRPr="00A35A95">
        <w:rPr>
          <w:lang w:val="en-GB"/>
        </w:rPr>
        <w:t>5.5. Management capacity, infrastructure, and financing gaps</w:t>
      </w:r>
    </w:p>
    <w:p w14:paraId="1B9CE711" w14:textId="77777777" w:rsidR="00A35A95" w:rsidRPr="00A35A95" w:rsidRDefault="00A35A95" w:rsidP="00A35A95">
      <w:pPr>
        <w:pStyle w:val="NormalWeb"/>
        <w:rPr>
          <w:lang w:val="en-GB"/>
        </w:rPr>
      </w:pPr>
      <w:r w:rsidRPr="00A35A95">
        <w:rPr>
          <w:lang w:val="en-GB"/>
        </w:rPr>
        <w:t>Sustainable poultry upgrading requires more than technical knowledge; it depends on access to reliable inputs, credit, veterinary services, and markets. Reviews of improved chicken performance under Ethiopian conditions emphasize that constraints in production environments—feeds, health management, housing, and extension—shape outcomes (Mesele, 2023). Where producers lack financing options, they may adopt partial packages that do not function well together, such as purchasing improved chicks without ensuring adequate feed or vaccination, which can increase mortality and erode trust in “modern” systems.</w:t>
      </w:r>
    </w:p>
    <w:p w14:paraId="6D593DD5" w14:textId="77777777" w:rsidR="00A35A95" w:rsidRPr="00A35A95" w:rsidRDefault="00A35A95" w:rsidP="00A35A95">
      <w:pPr>
        <w:pStyle w:val="Heading3"/>
        <w:rPr>
          <w:lang w:val="en-GB"/>
        </w:rPr>
      </w:pPr>
      <w:r w:rsidRPr="00A35A95">
        <w:rPr>
          <w:lang w:val="en-GB"/>
        </w:rPr>
        <w:t>5.6. Environmental pressures and climate-related risks</w:t>
      </w:r>
    </w:p>
    <w:p w14:paraId="13A5F93C" w14:textId="77777777" w:rsidR="00A35A95" w:rsidRPr="00A35A95" w:rsidRDefault="00A35A95" w:rsidP="00A35A95">
      <w:pPr>
        <w:pStyle w:val="NormalWeb"/>
        <w:rPr>
          <w:lang w:val="en-GB"/>
        </w:rPr>
      </w:pPr>
      <w:r w:rsidRPr="00A35A95">
        <w:rPr>
          <w:lang w:val="en-GB"/>
        </w:rPr>
        <w:t xml:space="preserve">Poultry sustainability in Ethiopia must also be understood through environmental vulnerability and climate stressors. Globally, dietary shifts and livestock expansion interact with land, water, and emissions pressures, motivating more sustainable production and consumption patterns (Poore &amp; Nemecek, 2018; Tilman &amp; Clark, 2014). In poultry systems, LCA reviews show that feed production and manure management can dominate footprint categories (Costantini et al., 2021; </w:t>
      </w:r>
      <w:proofErr w:type="spellStart"/>
      <w:r w:rsidR="00246BC3">
        <w:rPr>
          <w:lang w:val="en-GB"/>
        </w:rPr>
        <w:t>Kheiralipour</w:t>
      </w:r>
      <w:proofErr w:type="spellEnd"/>
      <w:r w:rsidR="00246BC3">
        <w:rPr>
          <w:lang w:val="en-GB"/>
        </w:rPr>
        <w:t xml:space="preserve"> et al., 2024</w:t>
      </w:r>
      <w:r w:rsidRPr="00A35A95">
        <w:rPr>
          <w:lang w:val="en-GB"/>
        </w:rPr>
        <w:t>). For Ethiopia, climate variability can influence feed availability, disease patterns, and water access, creating a moving target for sustainability planning. The ecological footprint framing further suggests that environment can interact with poultry genetic performance, reinforcing the importance of locally adapted breeding and management (</w:t>
      </w:r>
      <w:proofErr w:type="spellStart"/>
      <w:r w:rsidR="00246BC3">
        <w:rPr>
          <w:lang w:val="en-GB"/>
        </w:rPr>
        <w:t>Kadawarage</w:t>
      </w:r>
      <w:proofErr w:type="spellEnd"/>
      <w:r w:rsidR="00246BC3">
        <w:rPr>
          <w:lang w:val="en-GB"/>
        </w:rPr>
        <w:t xml:space="preserve"> et al., 2024</w:t>
      </w:r>
      <w:r w:rsidRPr="00A35A95">
        <w:rPr>
          <w:lang w:val="en-GB"/>
        </w:rPr>
        <w:t>).</w:t>
      </w:r>
    </w:p>
    <w:p w14:paraId="61573927" w14:textId="77777777" w:rsidR="00A35A95" w:rsidRPr="00A35A95" w:rsidRDefault="00A35A95" w:rsidP="00A35A95">
      <w:pPr>
        <w:pStyle w:val="Heading2"/>
        <w:rPr>
          <w:lang w:val="en-GB"/>
        </w:rPr>
      </w:pPr>
      <w:r w:rsidRPr="00A35A95">
        <w:rPr>
          <w:lang w:val="en-GB"/>
        </w:rPr>
        <w:t>6. Transforming sustainable poultry production in Ethiopia: pathways and leverage points</w:t>
      </w:r>
    </w:p>
    <w:p w14:paraId="6A387C82" w14:textId="77777777" w:rsidR="00A35A95" w:rsidRPr="00A35A95" w:rsidRDefault="00A35A95" w:rsidP="00A35A95">
      <w:pPr>
        <w:pStyle w:val="NormalWeb"/>
        <w:rPr>
          <w:lang w:val="en-GB"/>
        </w:rPr>
      </w:pPr>
      <w:r w:rsidRPr="00A35A95">
        <w:rPr>
          <w:lang w:val="en-GB"/>
        </w:rPr>
        <w:t xml:space="preserve">Transformation implies reconfiguring systems so that productivity gains are accompanied by measurable improvements in environmental, health, and equity outcomes. Evidence from </w:t>
      </w:r>
      <w:r w:rsidRPr="00A35A95">
        <w:rPr>
          <w:lang w:val="en-GB"/>
        </w:rPr>
        <w:lastRenderedPageBreak/>
        <w:t>Ethiopia and global sustainability research suggests that the most robust strategy is an integrated pathway approach that addresses multiple constraints simultaneously.</w:t>
      </w:r>
    </w:p>
    <w:p w14:paraId="140D8449" w14:textId="77777777" w:rsidR="00A35A95" w:rsidRPr="00A35A95" w:rsidRDefault="00A35A95" w:rsidP="00A35A95">
      <w:pPr>
        <w:pStyle w:val="Heading3"/>
        <w:rPr>
          <w:lang w:val="en-GB"/>
        </w:rPr>
      </w:pPr>
      <w:r w:rsidRPr="00A35A95">
        <w:rPr>
          <w:lang w:val="en-GB"/>
        </w:rPr>
        <w:t>6.1. From isolated interventions to “bundled” system upgrades</w:t>
      </w:r>
    </w:p>
    <w:p w14:paraId="65989E10" w14:textId="77777777" w:rsidR="00A35A95" w:rsidRPr="00A35A95" w:rsidRDefault="00A35A95" w:rsidP="00A35A95">
      <w:pPr>
        <w:pStyle w:val="NormalWeb"/>
        <w:rPr>
          <w:lang w:val="en-GB"/>
        </w:rPr>
      </w:pPr>
      <w:r w:rsidRPr="00A35A95">
        <w:rPr>
          <w:lang w:val="en-GB"/>
        </w:rPr>
        <w:t>A recurring lesson from the Ethiopian literature is that single interventions often fail when complementary components are missing. Improved breeds require reliable feed and health management to express genetic potential (Mesele, 2023). Disease control requires vaccine access plus farmer adoption and biosecurity routines (Zegeye et al., 2022). Feed diversification requires not only resource availability but also quality assurance, storage hygiene, and knowledge on formulation and safe inclusion levels (</w:t>
      </w:r>
      <w:proofErr w:type="spellStart"/>
      <w:r w:rsidRPr="00A35A95">
        <w:rPr>
          <w:lang w:val="en-GB"/>
        </w:rPr>
        <w:t>Aberaa</w:t>
      </w:r>
      <w:proofErr w:type="spellEnd"/>
      <w:r w:rsidRPr="00A35A95">
        <w:rPr>
          <w:lang w:val="en-GB"/>
        </w:rPr>
        <w:t xml:space="preserve"> et al., 2024; Getahun et al., 2025). Therefore, transformation should focus on bundled upgrades that combine genetics, feed, health, and market linkages in coherent packages tailored to production system types.</w:t>
      </w:r>
    </w:p>
    <w:p w14:paraId="2AF4B8D6" w14:textId="77777777" w:rsidR="00A35A95" w:rsidRPr="00A35A95" w:rsidRDefault="00A35A95" w:rsidP="00A35A95">
      <w:pPr>
        <w:pStyle w:val="Heading3"/>
        <w:rPr>
          <w:lang w:val="en-GB"/>
        </w:rPr>
      </w:pPr>
      <w:r w:rsidRPr="00A35A95">
        <w:rPr>
          <w:lang w:val="en-GB"/>
        </w:rPr>
        <w:t>6.2. Feed transformation: diversification, quality control, and toxin risk management</w:t>
      </w:r>
    </w:p>
    <w:p w14:paraId="0963A83C" w14:textId="77777777" w:rsidR="00A35A95" w:rsidRPr="00A35A95" w:rsidRDefault="00A35A95" w:rsidP="00A35A95">
      <w:pPr>
        <w:pStyle w:val="NormalWeb"/>
        <w:rPr>
          <w:lang w:val="en-GB"/>
        </w:rPr>
      </w:pPr>
      <w:r w:rsidRPr="00A35A95">
        <w:rPr>
          <w:lang w:val="en-GB"/>
        </w:rPr>
        <w:t>Feed transformation should proceed along three linked tracks. The first is diversification using locally available resources and by-products to reduce costs and improve resilience, supported by nutritional evaluation evidence from Ethiopian smallholder contexts (Getahun et al., 2025). The second is quality control through improved storage, handling, and monitoring, recognizing that poor handling can degrade feed performance and increase contamination risks (</w:t>
      </w:r>
      <w:proofErr w:type="spellStart"/>
      <w:r w:rsidRPr="00A35A95">
        <w:rPr>
          <w:lang w:val="en-GB"/>
        </w:rPr>
        <w:t>Aberaa</w:t>
      </w:r>
      <w:proofErr w:type="spellEnd"/>
      <w:r w:rsidRPr="00A35A95">
        <w:rPr>
          <w:lang w:val="en-GB"/>
        </w:rPr>
        <w:t xml:space="preserve"> et al., 2024). The third is food safety-oriented risk management for mycotoxins, where empirical evidence of widespread aflatoxin contamination demonstrates the need for surveillance, supplier accountability, and farmer education on sourcing and storage (</w:t>
      </w:r>
      <w:proofErr w:type="spellStart"/>
      <w:r w:rsidRPr="00A35A95">
        <w:rPr>
          <w:lang w:val="en-GB"/>
        </w:rPr>
        <w:t>Kassaw</w:t>
      </w:r>
      <w:proofErr w:type="spellEnd"/>
      <w:r w:rsidRPr="00A35A95">
        <w:rPr>
          <w:lang w:val="en-GB"/>
        </w:rPr>
        <w:t xml:space="preserve"> et al., 2022). This combined strategy links economic sustainability (lower and more stable feed costs) with health sustainability (reduced immunosuppression and safer products).</w:t>
      </w:r>
    </w:p>
    <w:p w14:paraId="4F39CC01" w14:textId="77777777" w:rsidR="00A35A95" w:rsidRPr="00A35A95" w:rsidRDefault="00A35A95" w:rsidP="00A35A95">
      <w:pPr>
        <w:pStyle w:val="Heading3"/>
        <w:rPr>
          <w:lang w:val="en-GB"/>
        </w:rPr>
      </w:pPr>
      <w:r w:rsidRPr="00A35A95">
        <w:rPr>
          <w:lang w:val="en-GB"/>
        </w:rPr>
        <w:t>6.3. Health and biosecurity transformation through scalable prevention systems</w:t>
      </w:r>
    </w:p>
    <w:p w14:paraId="775423C4" w14:textId="77777777" w:rsidR="00A35A95" w:rsidRPr="00A35A95" w:rsidRDefault="00A35A95" w:rsidP="00A35A95">
      <w:pPr>
        <w:pStyle w:val="NormalWeb"/>
        <w:rPr>
          <w:lang w:val="en-GB"/>
        </w:rPr>
      </w:pPr>
      <w:r w:rsidRPr="00A35A95">
        <w:rPr>
          <w:lang w:val="en-GB"/>
        </w:rPr>
        <w:t>Disease prevention must become a scalable service rather than an episodic response. For Newcastle disease, the meta-analytic evidence indicates that control requires consistent vaccination and a system capable of reaching diverse production geographies (Zegeye et al., 2022). For food-borne pathogens and zoonoses, One Health evidence suggests that interventions must couple farm-level biosecurity with worker hygiene, education, and responsible antimicrobial use to reduce circulation across poultry-human-environment interfaces (Zeru et al., 2025). Systematic synthesis on salmonellosis further supports targeting risk factors and resistance patterns with integrated interventions spanning farm hygiene, input quality, and surveillance (</w:t>
      </w:r>
      <w:proofErr w:type="spellStart"/>
      <w:r w:rsidRPr="00A35A95">
        <w:rPr>
          <w:lang w:val="en-GB"/>
        </w:rPr>
        <w:t>Basazinew</w:t>
      </w:r>
      <w:proofErr w:type="spellEnd"/>
      <w:r w:rsidRPr="00A35A95">
        <w:rPr>
          <w:lang w:val="en-GB"/>
        </w:rPr>
        <w:t xml:space="preserve"> et al., 2025). AMR stewardship frameworks emphasize that reducing resistance is not solely about restricting drugs; it also requires improving husbandry and disease prevention so that antimicrobial demand declines structurally (Cheng et al., 2019).</w:t>
      </w:r>
    </w:p>
    <w:p w14:paraId="71ED1B7F" w14:textId="77777777" w:rsidR="00A35A95" w:rsidRPr="00A35A95" w:rsidRDefault="00A35A95" w:rsidP="00A35A95">
      <w:pPr>
        <w:pStyle w:val="Heading3"/>
        <w:rPr>
          <w:lang w:val="en-GB"/>
        </w:rPr>
      </w:pPr>
      <w:r w:rsidRPr="00A35A95">
        <w:rPr>
          <w:lang w:val="en-GB"/>
        </w:rPr>
        <w:t>6.4. Genetics transformation: strengthening indigenous-based and context-adapted breeding strategies</w:t>
      </w:r>
    </w:p>
    <w:p w14:paraId="3044DCBC" w14:textId="77777777" w:rsidR="00A35A95" w:rsidRPr="00A35A95" w:rsidRDefault="00A35A95" w:rsidP="00A35A95">
      <w:pPr>
        <w:pStyle w:val="NormalWeb"/>
        <w:rPr>
          <w:lang w:val="en-GB"/>
        </w:rPr>
      </w:pPr>
      <w:r w:rsidRPr="00A35A95">
        <w:rPr>
          <w:lang w:val="en-GB"/>
        </w:rPr>
        <w:lastRenderedPageBreak/>
        <w:t>A sustainable genetics strategy for Ethiopia should have two complementary pillars. One pillar is structured improvement of indigenous chickens, grounded in documented within-country diversity and the potential to define ecotypes and performance goals that match local environments (Muluneh et al., 2023). The second pillar is responsible deployment of improved breeds where input and service conditions support them, recognizing that performance depends on constraints and opportunities in Ethiopian conditions (Mesele, 2023). Reviews emphasize that genetic potential is “unleashed” when breeding objectives align with farmer preferences, disease resilience, and feed environments, rather than simply maximizing output under idealized conditions (Chebo et al., 2022).</w:t>
      </w:r>
    </w:p>
    <w:p w14:paraId="5CD4ED0A" w14:textId="77777777" w:rsidR="00A35A95" w:rsidRPr="00A35A95" w:rsidRDefault="00A35A95" w:rsidP="00A35A95">
      <w:pPr>
        <w:pStyle w:val="Heading3"/>
        <w:rPr>
          <w:lang w:val="en-GB"/>
        </w:rPr>
      </w:pPr>
      <w:r w:rsidRPr="00A35A95">
        <w:rPr>
          <w:lang w:val="en-GB"/>
        </w:rPr>
        <w:t>6.5. Environmental sustainability and circular value-chain design</w:t>
      </w:r>
    </w:p>
    <w:p w14:paraId="6F96832E" w14:textId="77777777" w:rsidR="00A35A95" w:rsidRPr="00A35A95" w:rsidRDefault="00A35A95" w:rsidP="00A35A95">
      <w:pPr>
        <w:pStyle w:val="NormalWeb"/>
        <w:rPr>
          <w:lang w:val="en-GB"/>
        </w:rPr>
      </w:pPr>
      <w:r w:rsidRPr="00A35A95">
        <w:rPr>
          <w:lang w:val="en-GB"/>
        </w:rPr>
        <w:t xml:space="preserve">International sustainability reviews indicate that poultry environmental impacts are shaped by feed sourcing, housing energy use, and manure management (Andretta et al., 2021; Costantini et al., 2021; </w:t>
      </w:r>
      <w:proofErr w:type="spellStart"/>
      <w:r w:rsidR="00246BC3">
        <w:rPr>
          <w:lang w:val="en-GB"/>
        </w:rPr>
        <w:t>Kheiralipour</w:t>
      </w:r>
      <w:proofErr w:type="spellEnd"/>
      <w:r w:rsidR="00246BC3">
        <w:rPr>
          <w:lang w:val="en-GB"/>
        </w:rPr>
        <w:t xml:space="preserve"> et al., 2024</w:t>
      </w:r>
      <w:r w:rsidRPr="00A35A95">
        <w:rPr>
          <w:lang w:val="en-GB"/>
        </w:rPr>
        <w:t xml:space="preserve">). Ethiopia’s transformation agenda can adapt these insights by focusing on practical circularity: better manure collection and utilization, improved litter management to reduce pathogen load, and integration with crop systems where feasible. Multi-criteria frameworks can be used to ensure that circular practices do not create unintended trade-offs, such as </w:t>
      </w:r>
      <w:proofErr w:type="spellStart"/>
      <w:r w:rsidRPr="00A35A95">
        <w:rPr>
          <w:lang w:val="en-GB"/>
        </w:rPr>
        <w:t>labor</w:t>
      </w:r>
      <w:proofErr w:type="spellEnd"/>
      <w:r w:rsidRPr="00A35A95">
        <w:rPr>
          <w:lang w:val="en-GB"/>
        </w:rPr>
        <w:t xml:space="preserve"> burdens or localized pollution hotspots (Rocchi et al., 2019). The ecological footprint framing also encourages attention to how environmental conditions shape genetic performance and resource needs, reinforcing the integration of breeding and management decisions (</w:t>
      </w:r>
      <w:proofErr w:type="spellStart"/>
      <w:r w:rsidR="00246BC3">
        <w:rPr>
          <w:lang w:val="en-GB"/>
        </w:rPr>
        <w:t>Kadawarage</w:t>
      </w:r>
      <w:proofErr w:type="spellEnd"/>
      <w:r w:rsidR="00246BC3">
        <w:rPr>
          <w:lang w:val="en-GB"/>
        </w:rPr>
        <w:t xml:space="preserve"> et al., 2024</w:t>
      </w:r>
      <w:r w:rsidRPr="00A35A95">
        <w:rPr>
          <w:lang w:val="en-GB"/>
        </w:rPr>
        <w:t>).</w:t>
      </w:r>
    </w:p>
    <w:p w14:paraId="7C3360C9" w14:textId="77777777" w:rsidR="00A35A95" w:rsidRPr="00A35A95" w:rsidRDefault="00A35A95" w:rsidP="00A35A95">
      <w:pPr>
        <w:pStyle w:val="Heading3"/>
        <w:rPr>
          <w:lang w:val="en-GB"/>
        </w:rPr>
      </w:pPr>
      <w:r w:rsidRPr="00A35A95">
        <w:rPr>
          <w:lang w:val="en-GB"/>
        </w:rPr>
        <w:t>6.6. Governance and market transformation: standards, coordination, and incentives</w:t>
      </w:r>
    </w:p>
    <w:p w14:paraId="5A150092" w14:textId="77777777" w:rsidR="00A35A95" w:rsidRPr="00A35A95" w:rsidRDefault="00A35A95" w:rsidP="00A35A95">
      <w:pPr>
        <w:pStyle w:val="NormalWeb"/>
        <w:rPr>
          <w:lang w:val="en-GB"/>
        </w:rPr>
      </w:pPr>
      <w:r w:rsidRPr="00A35A95">
        <w:rPr>
          <w:lang w:val="en-GB"/>
        </w:rPr>
        <w:t>Sustainability outcomes often depend on value-chain governance more than on farm technology alone. Feed quality standards and enforcement can reduce aflatoxin risks and stabilize performance (</w:t>
      </w:r>
      <w:proofErr w:type="spellStart"/>
      <w:r w:rsidRPr="00A35A95">
        <w:rPr>
          <w:lang w:val="en-GB"/>
        </w:rPr>
        <w:t>Kassaw</w:t>
      </w:r>
      <w:proofErr w:type="spellEnd"/>
      <w:r w:rsidRPr="00A35A95">
        <w:rPr>
          <w:lang w:val="en-GB"/>
        </w:rPr>
        <w:t xml:space="preserve"> et al., 2022). Hatchery and chick quality regulation can reduce early mortality and reduce the perceived risk of adopting improved systems. Food safety governance, including monitoring of Salmonella and Campylobacter risks, is critical for consumer confidence and public health, and Ethiopian evidence indicates that resistant pathogens are present and require systematic response rather than isolated studies (</w:t>
      </w:r>
      <w:proofErr w:type="spellStart"/>
      <w:r w:rsidRPr="00A35A95">
        <w:rPr>
          <w:lang w:val="en-GB"/>
        </w:rPr>
        <w:t>Basazinew</w:t>
      </w:r>
      <w:proofErr w:type="spellEnd"/>
      <w:r w:rsidRPr="00A35A95">
        <w:rPr>
          <w:lang w:val="en-GB"/>
        </w:rPr>
        <w:t xml:space="preserve"> et al., 2025; Zeru et al., 2025). Incentive design is also important: if producers bear all costs of biosecurity and quality assurance while markets do not reward safer products, adoption will remain low.</w:t>
      </w:r>
    </w:p>
    <w:p w14:paraId="72C3BD20" w14:textId="77777777" w:rsidR="00A35A95" w:rsidRPr="00A35A95" w:rsidRDefault="00A35A95" w:rsidP="00A35A95">
      <w:pPr>
        <w:pStyle w:val="Heading3"/>
        <w:rPr>
          <w:lang w:val="en-GB"/>
        </w:rPr>
      </w:pPr>
      <w:r w:rsidRPr="00A35A95">
        <w:rPr>
          <w:lang w:val="en-GB"/>
        </w:rPr>
        <w:t>6.7. Decision support: embedding sustainability assessment in planning</w:t>
      </w:r>
    </w:p>
    <w:p w14:paraId="5A3B5787" w14:textId="77777777" w:rsidR="00A35A95" w:rsidRPr="00A35A95" w:rsidRDefault="00A35A95" w:rsidP="00A35A95">
      <w:pPr>
        <w:pStyle w:val="NormalWeb"/>
        <w:rPr>
          <w:lang w:val="en-GB"/>
        </w:rPr>
      </w:pPr>
      <w:r w:rsidRPr="00A35A95">
        <w:rPr>
          <w:lang w:val="en-GB"/>
        </w:rPr>
        <w:t xml:space="preserve">Transformation requires measurement and learning. LCA-based reviews provide evidence that poultry sustainability hotspots can be quantified and compared, enabling targeted interventions rather than generalized recommendations (Costantini et al., 2021; </w:t>
      </w:r>
      <w:proofErr w:type="spellStart"/>
      <w:r w:rsidR="00246BC3">
        <w:rPr>
          <w:lang w:val="en-GB"/>
        </w:rPr>
        <w:t>Kheiralipour</w:t>
      </w:r>
      <w:proofErr w:type="spellEnd"/>
      <w:r w:rsidR="00246BC3">
        <w:rPr>
          <w:lang w:val="en-GB"/>
        </w:rPr>
        <w:t xml:space="preserve"> et al., 2024</w:t>
      </w:r>
      <w:r w:rsidRPr="00A35A95">
        <w:rPr>
          <w:lang w:val="en-GB"/>
        </w:rPr>
        <w:t>). Systematic reviews on environmental impacts further show that results are context dependent and that “best practices” must be adapted rather than imported wholesale (Andretta et al., 2021). Multi-criteria approaches can help Ethiopian stakeholders evaluate interventions that simultaneously affect profitability, inclusion, and environmental outcomes (Rocchi et al., 2019). Embedding such decision support in extension, investment appraisal, and policy design would help Ethiopia move from descriptive problem statements to prioritized, accountable action.</w:t>
      </w:r>
    </w:p>
    <w:p w14:paraId="3199CD41" w14:textId="77777777" w:rsidR="00A35A95" w:rsidRPr="00A35A95" w:rsidRDefault="00A35A95" w:rsidP="00A35A95">
      <w:pPr>
        <w:pStyle w:val="Heading2"/>
        <w:rPr>
          <w:lang w:val="en-GB"/>
        </w:rPr>
      </w:pPr>
      <w:r w:rsidRPr="00A35A95">
        <w:rPr>
          <w:lang w:val="en-GB"/>
        </w:rPr>
        <w:lastRenderedPageBreak/>
        <w:t>7. Research, policy, and implementation priorities</w:t>
      </w:r>
    </w:p>
    <w:p w14:paraId="74641013" w14:textId="77777777" w:rsidR="00A35A95" w:rsidRPr="00A35A95" w:rsidRDefault="00A35A95" w:rsidP="00A35A95">
      <w:pPr>
        <w:pStyle w:val="NormalWeb"/>
        <w:rPr>
          <w:lang w:val="en-GB"/>
        </w:rPr>
      </w:pPr>
      <w:r w:rsidRPr="00A35A95">
        <w:rPr>
          <w:lang w:val="en-GB"/>
        </w:rPr>
        <w:t>The evidence reviewed suggests that Ethiopia’s poultry sustainability transition is less constrained by a lack of potential solutions and more constrained by implementation architecture. A priority is to improve the coherence of input and service delivery so that producers can adopt functional bundles rather than fragmented components. A second priority is strengthening surveillance and diagnostics for major diseases and food-borne hazards, integrated with antimicrobial stewardship to reduce resistance pressures (</w:t>
      </w:r>
      <w:proofErr w:type="spellStart"/>
      <w:r w:rsidRPr="00A35A95">
        <w:rPr>
          <w:lang w:val="en-GB"/>
        </w:rPr>
        <w:t>Basazinew</w:t>
      </w:r>
      <w:proofErr w:type="spellEnd"/>
      <w:r w:rsidRPr="00A35A95">
        <w:rPr>
          <w:lang w:val="en-GB"/>
        </w:rPr>
        <w:t xml:space="preserve"> et al., 2025; Cheng et al., 2019; Zeru et al., 2025). A third priority is expanding feed system resilience through local resource diversification, quality assurance, and mycotoxin prevention (</w:t>
      </w:r>
      <w:proofErr w:type="spellStart"/>
      <w:r w:rsidRPr="00A35A95">
        <w:rPr>
          <w:lang w:val="en-GB"/>
        </w:rPr>
        <w:t>Aberaa</w:t>
      </w:r>
      <w:proofErr w:type="spellEnd"/>
      <w:r w:rsidRPr="00A35A95">
        <w:rPr>
          <w:lang w:val="en-GB"/>
        </w:rPr>
        <w:t xml:space="preserve"> et al., 2024; Getahun et al., 2025; </w:t>
      </w:r>
      <w:proofErr w:type="spellStart"/>
      <w:r w:rsidRPr="00A35A95">
        <w:rPr>
          <w:lang w:val="en-GB"/>
        </w:rPr>
        <w:t>Kassaw</w:t>
      </w:r>
      <w:proofErr w:type="spellEnd"/>
      <w:r w:rsidRPr="00A35A95">
        <w:rPr>
          <w:lang w:val="en-GB"/>
        </w:rPr>
        <w:t xml:space="preserve"> et al., 2022). Finally, Ethiopia would benefit from adapting sustainability assessment tools—LCA and multi-criteria approaches—to local decision processes to guide investment toward the highest leverage points (Andretta et al., 2021; Costantini et al., 2021; Rocchi et al., 2019).</w:t>
      </w:r>
    </w:p>
    <w:p w14:paraId="3DC9A476" w14:textId="77777777" w:rsidR="00A35A95" w:rsidRPr="00A35A95" w:rsidRDefault="00A35A95" w:rsidP="00A35A95">
      <w:pPr>
        <w:pStyle w:val="Heading2"/>
        <w:rPr>
          <w:lang w:val="en-GB"/>
        </w:rPr>
      </w:pPr>
      <w:r w:rsidRPr="00A35A95">
        <w:rPr>
          <w:lang w:val="en-GB"/>
        </w:rPr>
        <w:t>8. Conclusions</w:t>
      </w:r>
    </w:p>
    <w:p w14:paraId="7BB70A92" w14:textId="77777777" w:rsidR="00A35A95" w:rsidRPr="00A35A95" w:rsidRDefault="00A35A95" w:rsidP="00A35A95">
      <w:pPr>
        <w:pStyle w:val="NormalWeb"/>
        <w:rPr>
          <w:lang w:val="en-GB"/>
        </w:rPr>
      </w:pPr>
      <w:r w:rsidRPr="00A35A95">
        <w:rPr>
          <w:lang w:val="en-GB"/>
        </w:rPr>
        <w:t>Sustainable poultry production in Ethiopia is both an urgent development opportunity and a complex systems challenge. Evidence from 2010–2025 indicates that the country’s poultry sector is constrained by interacting limitations in feed affordability and safety, disease burden and vaccination logistics, weak biosecurity and food safety risks, and gaps in service delivery and market coordination. At the same time, Ethiopia holds strong opportunities: rising demand for poultry products, rich indigenous chicken diversity, promising locally available feed alternatives, and a growing global toolkit for measuring and managing sustainability trade-offs. Transformation is most likely when interventions are bundled and system-oriented—combining feed diversification and quality control, preventive health and biosecurity systems, context-adapted genetics strategies, and governance reforms that reward safer and more efficient production. If these components are aligned, Ethiopia can improve poultry productivity while strengthening public health safeguards, reducing environmental pressure, and delivering inclusive livelihood gains.</w:t>
      </w:r>
    </w:p>
    <w:p w14:paraId="381D7CB9" w14:textId="77777777" w:rsidR="00A35A95" w:rsidRPr="00A35A95" w:rsidRDefault="00A35A95" w:rsidP="00A35A95">
      <w:pPr>
        <w:pStyle w:val="Heading2"/>
        <w:rPr>
          <w:lang w:val="en-GB"/>
        </w:rPr>
      </w:pPr>
      <w:r w:rsidRPr="00A35A95">
        <w:rPr>
          <w:lang w:val="en-GB"/>
        </w:rPr>
        <w:t>9. Limitations</w:t>
      </w:r>
    </w:p>
    <w:p w14:paraId="5E469E72" w14:textId="77777777" w:rsidR="00A35A95" w:rsidRDefault="00A35A95" w:rsidP="00A35A95">
      <w:pPr>
        <w:pStyle w:val="NormalWeb"/>
        <w:rPr>
          <w:lang w:val="en-GB"/>
        </w:rPr>
      </w:pPr>
      <w:r w:rsidRPr="00A35A95">
        <w:rPr>
          <w:lang w:val="en-GB"/>
        </w:rPr>
        <w:t xml:space="preserve">This review is based on peer-reviewed literature with identifiable DOIs and therefore may underrepresent operational program evidence and locally implemented innovations documented in non-peer reviewed sources. The heterogeneous nature of Ethiopia’s poultry systems also limits the generalizability of findings across all </w:t>
      </w:r>
      <w:proofErr w:type="spellStart"/>
      <w:r w:rsidRPr="00A35A95">
        <w:rPr>
          <w:lang w:val="en-GB"/>
        </w:rPr>
        <w:t>agro</w:t>
      </w:r>
      <w:proofErr w:type="spellEnd"/>
      <w:r w:rsidRPr="00A35A95">
        <w:rPr>
          <w:lang w:val="en-GB"/>
        </w:rPr>
        <w:t>-ecological zones and production scales. Finally, although sustainability assessment frameworks offer valuable guidance, their application to Ethiopia may require additional local data to parameterize environmental, economic, and health outcomes with high precision.</w:t>
      </w:r>
    </w:p>
    <w:p w14:paraId="000E866F" w14:textId="77777777" w:rsidR="00451B53" w:rsidRDefault="00451B53" w:rsidP="00A35A95">
      <w:pPr>
        <w:pStyle w:val="Heading2"/>
        <w:rPr>
          <w:lang w:val="en-GB"/>
        </w:rPr>
      </w:pPr>
    </w:p>
    <w:p w14:paraId="56396211" w14:textId="7945A66C" w:rsidR="00A35A95" w:rsidRPr="00A35A95" w:rsidRDefault="00A35A95" w:rsidP="00A35A95">
      <w:pPr>
        <w:pStyle w:val="Heading2"/>
        <w:rPr>
          <w:lang w:val="en-GB"/>
        </w:rPr>
      </w:pPr>
      <w:bookmarkStart w:id="1" w:name="_GoBack"/>
      <w:bookmarkEnd w:id="1"/>
      <w:r w:rsidRPr="00A35A95">
        <w:rPr>
          <w:lang w:val="en-GB"/>
        </w:rPr>
        <w:t xml:space="preserve">References </w:t>
      </w:r>
    </w:p>
    <w:p w14:paraId="7273FA2B" w14:textId="77777777" w:rsidR="00FA1C67" w:rsidRPr="00FA1C67" w:rsidRDefault="00FA1C67" w:rsidP="00FA1C67">
      <w:pPr>
        <w:pStyle w:val="NormalWeb"/>
        <w:rPr>
          <w:lang w:val="en-GB"/>
        </w:rPr>
      </w:pPr>
      <w:r w:rsidRPr="00FA1C67">
        <w:rPr>
          <w:color w:val="222222"/>
          <w:shd w:val="clear" w:color="auto" w:fill="FFFFFF"/>
        </w:rPr>
        <w:t>Abera, D., Abebe, A., &amp; Alebachew, H. (2024). Assessment of poultry feed and handling mechanisms of poultry production challenges in Benishangul-</w:t>
      </w:r>
      <w:proofErr w:type="spellStart"/>
      <w:r w:rsidRPr="00FA1C67">
        <w:rPr>
          <w:color w:val="222222"/>
          <w:shd w:val="clear" w:color="auto" w:fill="FFFFFF"/>
        </w:rPr>
        <w:t>Gumuz</w:t>
      </w:r>
      <w:proofErr w:type="spellEnd"/>
      <w:r w:rsidRPr="00FA1C67">
        <w:rPr>
          <w:color w:val="222222"/>
          <w:shd w:val="clear" w:color="auto" w:fill="FFFFFF"/>
        </w:rPr>
        <w:t xml:space="preserve"> Region, Western </w:t>
      </w:r>
      <w:r w:rsidRPr="00FA1C67">
        <w:rPr>
          <w:color w:val="222222"/>
          <w:shd w:val="clear" w:color="auto" w:fill="FFFFFF"/>
        </w:rPr>
        <w:lastRenderedPageBreak/>
        <w:t>Ethiopia. </w:t>
      </w:r>
      <w:r w:rsidRPr="00FA1C67">
        <w:rPr>
          <w:i/>
          <w:iCs/>
          <w:color w:val="222222"/>
          <w:shd w:val="clear" w:color="auto" w:fill="FFFFFF"/>
        </w:rPr>
        <w:t>Cogent Food &amp; Agriculture</w:t>
      </w:r>
      <w:r w:rsidRPr="00FA1C67">
        <w:rPr>
          <w:color w:val="222222"/>
          <w:shd w:val="clear" w:color="auto" w:fill="FFFFFF"/>
        </w:rPr>
        <w:t>, </w:t>
      </w:r>
      <w:r w:rsidRPr="00FA1C67">
        <w:rPr>
          <w:i/>
          <w:iCs/>
          <w:color w:val="222222"/>
          <w:shd w:val="clear" w:color="auto" w:fill="FFFFFF"/>
        </w:rPr>
        <w:t>10</w:t>
      </w:r>
      <w:r w:rsidRPr="00FA1C67">
        <w:rPr>
          <w:color w:val="222222"/>
          <w:shd w:val="clear" w:color="auto" w:fill="FFFFFF"/>
        </w:rPr>
        <w:t xml:space="preserve">(1), 2313254. </w:t>
      </w:r>
      <w:hyperlink r:id="rId8" w:history="1">
        <w:r w:rsidRPr="00FA1C67">
          <w:rPr>
            <w:rStyle w:val="Hyperlink"/>
            <w:lang w:val="en-GB"/>
          </w:rPr>
          <w:t>https://doi.org/10.1080/23311932.2024.2313254</w:t>
        </w:r>
      </w:hyperlink>
      <w:r w:rsidRPr="00FA1C67">
        <w:rPr>
          <w:lang w:val="en-GB"/>
        </w:rPr>
        <w:t xml:space="preserve"> </w:t>
      </w:r>
    </w:p>
    <w:p w14:paraId="66513536" w14:textId="77777777" w:rsidR="00FA1C67" w:rsidRPr="00FA1C67" w:rsidRDefault="00FA1C67" w:rsidP="00FA1C67">
      <w:pPr>
        <w:pStyle w:val="NormalWeb"/>
        <w:rPr>
          <w:lang w:val="en-GB"/>
        </w:rPr>
      </w:pPr>
      <w:r w:rsidRPr="00FA1C67">
        <w:rPr>
          <w:color w:val="222222"/>
          <w:shd w:val="clear" w:color="auto" w:fill="FFFFFF"/>
        </w:rPr>
        <w:t>Andretta, I., Hickmann, F. M., Remus, A., Franceschi, C. H., Mariani, A. B., Orso, C., ... &amp; Pomar, C. (2021). Environmental impacts of pig and poultry production: insights from a systematic review. </w:t>
      </w:r>
      <w:r w:rsidRPr="00FA1C67">
        <w:rPr>
          <w:i/>
          <w:iCs/>
          <w:color w:val="222222"/>
          <w:shd w:val="clear" w:color="auto" w:fill="FFFFFF"/>
        </w:rPr>
        <w:t>Frontiers in Veterinary Science</w:t>
      </w:r>
      <w:r w:rsidRPr="00FA1C67">
        <w:rPr>
          <w:color w:val="222222"/>
          <w:shd w:val="clear" w:color="auto" w:fill="FFFFFF"/>
        </w:rPr>
        <w:t>, </w:t>
      </w:r>
      <w:r w:rsidRPr="00FA1C67">
        <w:rPr>
          <w:i/>
          <w:iCs/>
          <w:color w:val="222222"/>
          <w:shd w:val="clear" w:color="auto" w:fill="FFFFFF"/>
        </w:rPr>
        <w:t>8</w:t>
      </w:r>
      <w:r w:rsidRPr="00FA1C67">
        <w:rPr>
          <w:color w:val="222222"/>
          <w:shd w:val="clear" w:color="auto" w:fill="FFFFFF"/>
        </w:rPr>
        <w:t xml:space="preserve">, 750733. </w:t>
      </w:r>
      <w:hyperlink r:id="rId9" w:history="1">
        <w:r w:rsidRPr="00FA1C67">
          <w:rPr>
            <w:rStyle w:val="Hyperlink"/>
            <w:lang w:val="en-GB"/>
          </w:rPr>
          <w:t>https://doi.org/10.3389/fvets.2021.750733</w:t>
        </w:r>
      </w:hyperlink>
      <w:r w:rsidRPr="00FA1C67">
        <w:rPr>
          <w:lang w:val="en-GB"/>
        </w:rPr>
        <w:t xml:space="preserve"> </w:t>
      </w:r>
    </w:p>
    <w:p w14:paraId="5473408B" w14:textId="77777777" w:rsidR="00FA1C67" w:rsidRPr="00FA1C67" w:rsidRDefault="00FA1C67" w:rsidP="00FA1C67">
      <w:pPr>
        <w:pStyle w:val="NormalWeb"/>
        <w:rPr>
          <w:lang w:val="en-GB"/>
        </w:rPr>
      </w:pPr>
      <w:proofErr w:type="spellStart"/>
      <w:r w:rsidRPr="00FA1C67">
        <w:rPr>
          <w:color w:val="222222"/>
          <w:shd w:val="clear" w:color="auto" w:fill="FFFFFF"/>
        </w:rPr>
        <w:t>Basazinew</w:t>
      </w:r>
      <w:proofErr w:type="spellEnd"/>
      <w:r w:rsidRPr="00FA1C67">
        <w:rPr>
          <w:color w:val="222222"/>
          <w:shd w:val="clear" w:color="auto" w:fill="FFFFFF"/>
        </w:rPr>
        <w:t xml:space="preserve">, E., Dejene, H., </w:t>
      </w:r>
      <w:proofErr w:type="spellStart"/>
      <w:r w:rsidRPr="00FA1C67">
        <w:rPr>
          <w:color w:val="222222"/>
          <w:shd w:val="clear" w:color="auto" w:fill="FFFFFF"/>
        </w:rPr>
        <w:t>Dagnaw</w:t>
      </w:r>
      <w:proofErr w:type="spellEnd"/>
      <w:r w:rsidRPr="00FA1C67">
        <w:rPr>
          <w:color w:val="222222"/>
          <w:shd w:val="clear" w:color="auto" w:fill="FFFFFF"/>
        </w:rPr>
        <w:t xml:space="preserve">, G. G., Lakew, A. Z., &amp; </w:t>
      </w:r>
      <w:proofErr w:type="spellStart"/>
      <w:r w:rsidRPr="00FA1C67">
        <w:rPr>
          <w:color w:val="222222"/>
          <w:shd w:val="clear" w:color="auto" w:fill="FFFFFF"/>
        </w:rPr>
        <w:t>Gessese</w:t>
      </w:r>
      <w:proofErr w:type="spellEnd"/>
      <w:r w:rsidRPr="00FA1C67">
        <w:rPr>
          <w:color w:val="222222"/>
          <w:shd w:val="clear" w:color="auto" w:fill="FFFFFF"/>
        </w:rPr>
        <w:t>, A. T. (2025). A systematic review and meta-analysis of salmonellosis in poultry farms in Ethiopia: prevalence, risk factors, and antimicrobial resistance. </w:t>
      </w:r>
      <w:r w:rsidRPr="00FA1C67">
        <w:rPr>
          <w:i/>
          <w:iCs/>
          <w:color w:val="222222"/>
          <w:shd w:val="clear" w:color="auto" w:fill="FFFFFF"/>
        </w:rPr>
        <w:t>Frontiers in Veterinary Science</w:t>
      </w:r>
      <w:r w:rsidRPr="00FA1C67">
        <w:rPr>
          <w:color w:val="222222"/>
          <w:shd w:val="clear" w:color="auto" w:fill="FFFFFF"/>
        </w:rPr>
        <w:t>, </w:t>
      </w:r>
      <w:r w:rsidRPr="00FA1C67">
        <w:rPr>
          <w:i/>
          <w:iCs/>
          <w:color w:val="222222"/>
          <w:shd w:val="clear" w:color="auto" w:fill="FFFFFF"/>
        </w:rPr>
        <w:t>12</w:t>
      </w:r>
      <w:r w:rsidRPr="00FA1C67">
        <w:rPr>
          <w:color w:val="222222"/>
          <w:shd w:val="clear" w:color="auto" w:fill="FFFFFF"/>
        </w:rPr>
        <w:t xml:space="preserve">, 1538963. </w:t>
      </w:r>
      <w:hyperlink r:id="rId10" w:history="1">
        <w:r w:rsidRPr="00FA1C67">
          <w:rPr>
            <w:rStyle w:val="Hyperlink"/>
            <w:shd w:val="clear" w:color="auto" w:fill="FFFFFF"/>
          </w:rPr>
          <w:t>https://doi.org/10.3389/fvets.2025.1538963</w:t>
        </w:r>
      </w:hyperlink>
      <w:r w:rsidRPr="00FA1C67">
        <w:rPr>
          <w:color w:val="222222"/>
          <w:shd w:val="clear" w:color="auto" w:fill="FFFFFF"/>
        </w:rPr>
        <w:t xml:space="preserve"> </w:t>
      </w:r>
    </w:p>
    <w:p w14:paraId="647FEBDC" w14:textId="77777777" w:rsidR="00FA1C67" w:rsidRPr="00FA1C67" w:rsidRDefault="00FA1C67" w:rsidP="00FA1C67">
      <w:pPr>
        <w:pStyle w:val="NormalWeb"/>
        <w:rPr>
          <w:lang w:val="en-GB"/>
        </w:rPr>
      </w:pPr>
      <w:r w:rsidRPr="00FA1C67">
        <w:rPr>
          <w:color w:val="222222"/>
          <w:shd w:val="clear" w:color="auto" w:fill="FFFFFF"/>
        </w:rPr>
        <w:t xml:space="preserve">Chebo, C., </w:t>
      </w:r>
      <w:proofErr w:type="spellStart"/>
      <w:r w:rsidRPr="00FA1C67">
        <w:rPr>
          <w:color w:val="222222"/>
          <w:shd w:val="clear" w:color="auto" w:fill="FFFFFF"/>
        </w:rPr>
        <w:t>Betsha</w:t>
      </w:r>
      <w:proofErr w:type="spellEnd"/>
      <w:r w:rsidRPr="00FA1C67">
        <w:rPr>
          <w:color w:val="222222"/>
          <w:shd w:val="clear" w:color="auto" w:fill="FFFFFF"/>
        </w:rPr>
        <w:t>, S., &amp; Melesse, A. (2022). Chicken genetic diversity, improvement strategies and impacts on egg productivity in Ethiopia: a review. </w:t>
      </w:r>
      <w:r w:rsidRPr="00FA1C67">
        <w:rPr>
          <w:i/>
          <w:iCs/>
          <w:color w:val="222222"/>
          <w:shd w:val="clear" w:color="auto" w:fill="FFFFFF"/>
        </w:rPr>
        <w:t>World's Poultry Science Journal</w:t>
      </w:r>
      <w:r w:rsidRPr="00FA1C67">
        <w:rPr>
          <w:color w:val="222222"/>
          <w:shd w:val="clear" w:color="auto" w:fill="FFFFFF"/>
        </w:rPr>
        <w:t>, </w:t>
      </w:r>
      <w:r w:rsidRPr="00FA1C67">
        <w:rPr>
          <w:i/>
          <w:iCs/>
          <w:color w:val="222222"/>
          <w:shd w:val="clear" w:color="auto" w:fill="FFFFFF"/>
        </w:rPr>
        <w:t>78</w:t>
      </w:r>
      <w:r w:rsidRPr="00FA1C67">
        <w:rPr>
          <w:color w:val="222222"/>
          <w:shd w:val="clear" w:color="auto" w:fill="FFFFFF"/>
        </w:rPr>
        <w:t xml:space="preserve">(3), 803-821. </w:t>
      </w:r>
      <w:hyperlink r:id="rId11" w:history="1">
        <w:r w:rsidRPr="00FA1C67">
          <w:rPr>
            <w:rStyle w:val="Hyperlink"/>
            <w:lang w:val="en-GB"/>
          </w:rPr>
          <w:t>https://doi.org/10.1080/00439339.2022.2067020</w:t>
        </w:r>
      </w:hyperlink>
      <w:r w:rsidRPr="00FA1C67">
        <w:rPr>
          <w:lang w:val="en-GB"/>
        </w:rPr>
        <w:t xml:space="preserve"> </w:t>
      </w:r>
    </w:p>
    <w:p w14:paraId="1A884F2F" w14:textId="77777777" w:rsidR="00FA1C67" w:rsidRPr="00FA1C67" w:rsidRDefault="00FA1C67" w:rsidP="00FA1C67">
      <w:pPr>
        <w:pStyle w:val="NormalWeb"/>
        <w:rPr>
          <w:lang w:val="en-GB"/>
        </w:rPr>
      </w:pPr>
      <w:r w:rsidRPr="00FA1C67">
        <w:rPr>
          <w:color w:val="222222"/>
          <w:shd w:val="clear" w:color="auto" w:fill="FFFFFF"/>
        </w:rPr>
        <w:t>Cheng, G., Ning, J., Ahmed, S., Huang, J., Ullah, R., An, B., ... &amp; Yuan, Z. (2019). Selection and dissemination of antimicrobial resistance in Agri-food production. </w:t>
      </w:r>
      <w:r w:rsidRPr="00FA1C67">
        <w:rPr>
          <w:i/>
          <w:iCs/>
          <w:color w:val="222222"/>
          <w:shd w:val="clear" w:color="auto" w:fill="FFFFFF"/>
        </w:rPr>
        <w:t>Antimicrobial Resistance &amp; Infection Control</w:t>
      </w:r>
      <w:r w:rsidRPr="00FA1C67">
        <w:rPr>
          <w:color w:val="222222"/>
          <w:shd w:val="clear" w:color="auto" w:fill="FFFFFF"/>
        </w:rPr>
        <w:t>, </w:t>
      </w:r>
      <w:r w:rsidRPr="00FA1C67">
        <w:rPr>
          <w:i/>
          <w:iCs/>
          <w:color w:val="222222"/>
          <w:shd w:val="clear" w:color="auto" w:fill="FFFFFF"/>
        </w:rPr>
        <w:t>8</w:t>
      </w:r>
      <w:r w:rsidRPr="00FA1C67">
        <w:rPr>
          <w:color w:val="222222"/>
          <w:shd w:val="clear" w:color="auto" w:fill="FFFFFF"/>
        </w:rPr>
        <w:t xml:space="preserve">(1), 158. </w:t>
      </w:r>
      <w:r w:rsidRPr="00FA1C67">
        <w:rPr>
          <w:lang w:val="en-GB"/>
        </w:rPr>
        <w:t>https://doi.org/10.1186/s13756-019-0623-2</w:t>
      </w:r>
    </w:p>
    <w:p w14:paraId="7A528601" w14:textId="77777777" w:rsidR="00FA1C67" w:rsidRPr="00FA1C67" w:rsidRDefault="00FA1C67" w:rsidP="00FA1C67">
      <w:pPr>
        <w:pStyle w:val="NormalWeb"/>
        <w:rPr>
          <w:color w:val="222222"/>
          <w:shd w:val="clear" w:color="auto" w:fill="FFFFFF"/>
        </w:rPr>
      </w:pPr>
      <w:r w:rsidRPr="00FA1C67">
        <w:rPr>
          <w:color w:val="222222"/>
          <w:shd w:val="clear" w:color="auto" w:fill="FFFFFF"/>
        </w:rPr>
        <w:t xml:space="preserve">Costantini, M., Ferrante, V., Guarino, M., &amp; </w:t>
      </w:r>
      <w:proofErr w:type="spellStart"/>
      <w:r w:rsidRPr="00FA1C67">
        <w:rPr>
          <w:color w:val="222222"/>
          <w:shd w:val="clear" w:color="auto" w:fill="FFFFFF"/>
        </w:rPr>
        <w:t>Bacenetti</w:t>
      </w:r>
      <w:proofErr w:type="spellEnd"/>
      <w:r w:rsidRPr="00FA1C67">
        <w:rPr>
          <w:color w:val="222222"/>
          <w:shd w:val="clear" w:color="auto" w:fill="FFFFFF"/>
        </w:rPr>
        <w:t>, J. (2021). Environmental sustainability assessment of poultry productions through life cycle approaches: A critical review. </w:t>
      </w:r>
      <w:r w:rsidRPr="00FA1C67">
        <w:rPr>
          <w:i/>
          <w:iCs/>
          <w:color w:val="222222"/>
          <w:shd w:val="clear" w:color="auto" w:fill="FFFFFF"/>
        </w:rPr>
        <w:t>Trends in Food Science &amp; Technology</w:t>
      </w:r>
      <w:r w:rsidRPr="00FA1C67">
        <w:rPr>
          <w:color w:val="222222"/>
          <w:shd w:val="clear" w:color="auto" w:fill="FFFFFF"/>
        </w:rPr>
        <w:t>, </w:t>
      </w:r>
      <w:r w:rsidRPr="00FA1C67">
        <w:rPr>
          <w:i/>
          <w:iCs/>
          <w:color w:val="222222"/>
          <w:shd w:val="clear" w:color="auto" w:fill="FFFFFF"/>
        </w:rPr>
        <w:t>110</w:t>
      </w:r>
      <w:r w:rsidRPr="00FA1C67">
        <w:rPr>
          <w:color w:val="222222"/>
          <w:shd w:val="clear" w:color="auto" w:fill="FFFFFF"/>
        </w:rPr>
        <w:t xml:space="preserve">, 201-212. </w:t>
      </w:r>
      <w:hyperlink r:id="rId12" w:history="1">
        <w:r w:rsidRPr="00FA1C67">
          <w:rPr>
            <w:rStyle w:val="Hyperlink"/>
            <w:lang w:val="en-GB"/>
          </w:rPr>
          <w:t>https://doi.org/10.1016/j.tifs.2021.01.086</w:t>
        </w:r>
      </w:hyperlink>
      <w:r w:rsidRPr="00FA1C67">
        <w:rPr>
          <w:lang w:val="en-GB"/>
        </w:rPr>
        <w:t xml:space="preserve"> </w:t>
      </w:r>
    </w:p>
    <w:p w14:paraId="4AEBBC97" w14:textId="77777777" w:rsidR="00FA1C67" w:rsidRPr="00FA1C67" w:rsidRDefault="00FA1C67" w:rsidP="00FA1C67">
      <w:pPr>
        <w:pStyle w:val="NormalWeb"/>
        <w:rPr>
          <w:lang w:val="en-GB"/>
        </w:rPr>
      </w:pPr>
      <w:r w:rsidRPr="00FA1C67">
        <w:rPr>
          <w:color w:val="222222"/>
          <w:shd w:val="clear" w:color="auto" w:fill="FFFFFF"/>
        </w:rPr>
        <w:t xml:space="preserve">Getahun, A., </w:t>
      </w:r>
      <w:proofErr w:type="spellStart"/>
      <w:r w:rsidRPr="00FA1C67">
        <w:rPr>
          <w:color w:val="222222"/>
          <w:shd w:val="clear" w:color="auto" w:fill="FFFFFF"/>
        </w:rPr>
        <w:t>Kechero</w:t>
      </w:r>
      <w:proofErr w:type="spellEnd"/>
      <w:r w:rsidRPr="00FA1C67">
        <w:rPr>
          <w:color w:val="222222"/>
          <w:shd w:val="clear" w:color="auto" w:fill="FFFFFF"/>
        </w:rPr>
        <w:t xml:space="preserve">, Y., Yemane, N., Dessie, T., &amp; </w:t>
      </w:r>
      <w:proofErr w:type="spellStart"/>
      <w:r w:rsidRPr="00FA1C67">
        <w:rPr>
          <w:color w:val="222222"/>
          <w:shd w:val="clear" w:color="auto" w:fill="FFFFFF"/>
        </w:rPr>
        <w:t>Esatu</w:t>
      </w:r>
      <w:proofErr w:type="spellEnd"/>
      <w:r w:rsidRPr="00FA1C67">
        <w:rPr>
          <w:color w:val="222222"/>
          <w:shd w:val="clear" w:color="auto" w:fill="FFFFFF"/>
        </w:rPr>
        <w:t>, W. (2025). Nutritional evaluation and potential of locally available alternative feed resources for sustainable poultry production: a case study of smallholder farms in central and Southern Ethiopia.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57</w:t>
      </w:r>
      <w:r w:rsidRPr="00FA1C67">
        <w:rPr>
          <w:color w:val="222222"/>
          <w:shd w:val="clear" w:color="auto" w:fill="FFFFFF"/>
        </w:rPr>
        <w:t xml:space="preserve">(7), 317. </w:t>
      </w:r>
      <w:hyperlink r:id="rId13" w:history="1">
        <w:r w:rsidRPr="00FA1C67">
          <w:rPr>
            <w:rStyle w:val="Hyperlink"/>
            <w:lang w:val="en-GB"/>
          </w:rPr>
          <w:t>https://doi.org/10.1007/s11250-025-04549-7</w:t>
        </w:r>
      </w:hyperlink>
      <w:r w:rsidRPr="00FA1C67">
        <w:rPr>
          <w:lang w:val="en-GB"/>
        </w:rPr>
        <w:t xml:space="preserve"> </w:t>
      </w:r>
    </w:p>
    <w:p w14:paraId="50AEB9CE" w14:textId="77777777" w:rsidR="00FA1C67" w:rsidRPr="00FA1C67" w:rsidRDefault="00FA1C67" w:rsidP="00FA1C67">
      <w:pPr>
        <w:pStyle w:val="NormalWeb"/>
        <w:rPr>
          <w:lang w:val="en-GB"/>
        </w:rPr>
      </w:pPr>
      <w:proofErr w:type="spellStart"/>
      <w:r w:rsidRPr="00FA1C67">
        <w:rPr>
          <w:color w:val="222222"/>
          <w:shd w:val="clear" w:color="auto" w:fill="FFFFFF"/>
        </w:rPr>
        <w:t>Kadawarage</w:t>
      </w:r>
      <w:proofErr w:type="spellEnd"/>
      <w:r w:rsidRPr="00FA1C67">
        <w:rPr>
          <w:color w:val="222222"/>
          <w:shd w:val="clear" w:color="auto" w:fill="FFFFFF"/>
        </w:rPr>
        <w:t xml:space="preserve">, R. W., </w:t>
      </w:r>
      <w:proofErr w:type="spellStart"/>
      <w:r w:rsidRPr="00FA1C67">
        <w:rPr>
          <w:color w:val="222222"/>
          <w:shd w:val="clear" w:color="auto" w:fill="FFFFFF"/>
        </w:rPr>
        <w:t>Dunislawska</w:t>
      </w:r>
      <w:proofErr w:type="spellEnd"/>
      <w:r w:rsidRPr="00FA1C67">
        <w:rPr>
          <w:color w:val="222222"/>
          <w:shd w:val="clear" w:color="auto" w:fill="FFFFFF"/>
        </w:rPr>
        <w:t>, A., &amp; Siwek, M. (2024). Ecological footprint of poultry production and effect of environment on poultry genes. </w:t>
      </w:r>
      <w:r w:rsidRPr="00FA1C67">
        <w:rPr>
          <w:i/>
          <w:iCs/>
          <w:color w:val="222222"/>
          <w:shd w:val="clear" w:color="auto" w:fill="FFFFFF"/>
        </w:rPr>
        <w:t>Physical Sciences Reviews</w:t>
      </w:r>
      <w:r w:rsidRPr="00FA1C67">
        <w:rPr>
          <w:color w:val="222222"/>
          <w:shd w:val="clear" w:color="auto" w:fill="FFFFFF"/>
        </w:rPr>
        <w:t>, </w:t>
      </w:r>
      <w:r w:rsidRPr="00FA1C67">
        <w:rPr>
          <w:i/>
          <w:iCs/>
          <w:color w:val="222222"/>
          <w:shd w:val="clear" w:color="auto" w:fill="FFFFFF"/>
        </w:rPr>
        <w:t>9</w:t>
      </w:r>
      <w:r w:rsidRPr="00FA1C67">
        <w:rPr>
          <w:color w:val="222222"/>
          <w:shd w:val="clear" w:color="auto" w:fill="FFFFFF"/>
        </w:rPr>
        <w:t xml:space="preserve">(2), 567-589. </w:t>
      </w:r>
      <w:hyperlink r:id="rId14" w:history="1">
        <w:r w:rsidRPr="00FA1C67">
          <w:rPr>
            <w:rStyle w:val="Hyperlink"/>
            <w:lang w:val="en-GB"/>
          </w:rPr>
          <w:t>https://doi.org/10.1515/psr-2021-0128</w:t>
        </w:r>
      </w:hyperlink>
      <w:r w:rsidRPr="00FA1C67">
        <w:rPr>
          <w:lang w:val="en-GB"/>
        </w:rPr>
        <w:t xml:space="preserve"> </w:t>
      </w:r>
    </w:p>
    <w:p w14:paraId="5A1B0294" w14:textId="77777777" w:rsidR="00FA1C67" w:rsidRPr="00FA1C67" w:rsidRDefault="00FA1C67" w:rsidP="00FA1C67">
      <w:pPr>
        <w:pStyle w:val="NormalWeb"/>
        <w:rPr>
          <w:lang w:val="en-GB"/>
        </w:rPr>
      </w:pPr>
      <w:proofErr w:type="spellStart"/>
      <w:r w:rsidRPr="00FA1C67">
        <w:rPr>
          <w:color w:val="222222"/>
          <w:shd w:val="clear" w:color="auto" w:fill="FFFFFF"/>
        </w:rPr>
        <w:t>Kassaw</w:t>
      </w:r>
      <w:proofErr w:type="spellEnd"/>
      <w:r w:rsidRPr="00FA1C67">
        <w:rPr>
          <w:color w:val="222222"/>
          <w:shd w:val="clear" w:color="auto" w:fill="FFFFFF"/>
        </w:rPr>
        <w:t xml:space="preserve">, T. S., </w:t>
      </w:r>
      <w:proofErr w:type="spellStart"/>
      <w:r w:rsidRPr="00FA1C67">
        <w:rPr>
          <w:color w:val="222222"/>
          <w:shd w:val="clear" w:color="auto" w:fill="FFFFFF"/>
        </w:rPr>
        <w:t>Megerssa</w:t>
      </w:r>
      <w:proofErr w:type="spellEnd"/>
      <w:r w:rsidRPr="00FA1C67">
        <w:rPr>
          <w:color w:val="222222"/>
          <w:shd w:val="clear" w:color="auto" w:fill="FFFFFF"/>
        </w:rPr>
        <w:t xml:space="preserve">, Y. C., &amp; </w:t>
      </w:r>
      <w:proofErr w:type="spellStart"/>
      <w:r w:rsidRPr="00FA1C67">
        <w:rPr>
          <w:color w:val="222222"/>
          <w:shd w:val="clear" w:color="auto" w:fill="FFFFFF"/>
        </w:rPr>
        <w:t>Woldemariyam</w:t>
      </w:r>
      <w:proofErr w:type="spellEnd"/>
      <w:r w:rsidRPr="00FA1C67">
        <w:rPr>
          <w:color w:val="222222"/>
          <w:shd w:val="clear" w:color="auto" w:fill="FFFFFF"/>
        </w:rPr>
        <w:t>, F. T. (2022). Occurrence of aflatoxins in poultry feed in selected chicken rearing villages of Bishoftu Ethiopia. </w:t>
      </w:r>
      <w:r w:rsidRPr="00FA1C67">
        <w:rPr>
          <w:i/>
          <w:iCs/>
          <w:color w:val="222222"/>
          <w:shd w:val="clear" w:color="auto" w:fill="FFFFFF"/>
        </w:rPr>
        <w:t>Veterinary Medicine: Research and Reports</w:t>
      </w:r>
      <w:r w:rsidRPr="00FA1C67">
        <w:rPr>
          <w:color w:val="222222"/>
          <w:shd w:val="clear" w:color="auto" w:fill="FFFFFF"/>
        </w:rPr>
        <w:t xml:space="preserve">, 277-286. </w:t>
      </w:r>
      <w:hyperlink r:id="rId15" w:history="1">
        <w:r w:rsidRPr="00FA1C67">
          <w:rPr>
            <w:rStyle w:val="Hyperlink"/>
            <w:lang w:val="en-GB"/>
          </w:rPr>
          <w:t>https://doi.org/10.2147/VMRR.S384148</w:t>
        </w:r>
      </w:hyperlink>
      <w:r w:rsidRPr="00FA1C67">
        <w:rPr>
          <w:lang w:val="en-GB"/>
        </w:rPr>
        <w:t xml:space="preserve"> </w:t>
      </w:r>
    </w:p>
    <w:p w14:paraId="593ED370" w14:textId="77777777" w:rsidR="00FA1C67" w:rsidRPr="00FA1C67" w:rsidRDefault="00FA1C67" w:rsidP="00FA1C67">
      <w:pPr>
        <w:pStyle w:val="NormalWeb"/>
        <w:rPr>
          <w:color w:val="222222"/>
          <w:shd w:val="clear" w:color="auto" w:fill="FFFFFF"/>
        </w:rPr>
      </w:pPr>
      <w:proofErr w:type="spellStart"/>
      <w:r w:rsidRPr="00FA1C67">
        <w:rPr>
          <w:color w:val="222222"/>
          <w:shd w:val="clear" w:color="auto" w:fill="FFFFFF"/>
        </w:rPr>
        <w:t>Kheiralipour</w:t>
      </w:r>
      <w:proofErr w:type="spellEnd"/>
      <w:r w:rsidRPr="00FA1C67">
        <w:rPr>
          <w:color w:val="222222"/>
          <w:shd w:val="clear" w:color="auto" w:fill="FFFFFF"/>
        </w:rPr>
        <w:t>, K., Rafiee, S., Karimi, M., Nadimi, M., &amp; Paliwal, J. (2024). The environmental impacts of commercial poultry production systems using life cycle assessment: a review. </w:t>
      </w:r>
      <w:r w:rsidRPr="00FA1C67">
        <w:rPr>
          <w:i/>
          <w:iCs/>
          <w:color w:val="222222"/>
          <w:shd w:val="clear" w:color="auto" w:fill="FFFFFF"/>
        </w:rPr>
        <w:t>World's Poultry Science Journal</w:t>
      </w:r>
      <w:r w:rsidRPr="00FA1C67">
        <w:rPr>
          <w:color w:val="222222"/>
          <w:shd w:val="clear" w:color="auto" w:fill="FFFFFF"/>
        </w:rPr>
        <w:t>, </w:t>
      </w:r>
      <w:r w:rsidRPr="00FA1C67">
        <w:rPr>
          <w:i/>
          <w:iCs/>
          <w:color w:val="222222"/>
          <w:shd w:val="clear" w:color="auto" w:fill="FFFFFF"/>
        </w:rPr>
        <w:t>80</w:t>
      </w:r>
      <w:r w:rsidRPr="00FA1C67">
        <w:rPr>
          <w:color w:val="222222"/>
          <w:shd w:val="clear" w:color="auto" w:fill="FFFFFF"/>
        </w:rPr>
        <w:t xml:space="preserve">(1), 33-54. </w:t>
      </w:r>
      <w:hyperlink r:id="rId16" w:history="1">
        <w:r w:rsidRPr="00FA1C67">
          <w:rPr>
            <w:rStyle w:val="Hyperlink"/>
            <w:lang w:val="en-GB"/>
          </w:rPr>
          <w:t>https://doi.org/10.1080/00439339.2023.2250326</w:t>
        </w:r>
      </w:hyperlink>
      <w:r w:rsidRPr="00FA1C67">
        <w:rPr>
          <w:lang w:val="en-GB"/>
        </w:rPr>
        <w:t xml:space="preserve"> </w:t>
      </w:r>
    </w:p>
    <w:p w14:paraId="5A424A33" w14:textId="77777777" w:rsidR="00FA1C67" w:rsidRPr="00FA1C67" w:rsidRDefault="00FA1C67" w:rsidP="00FA1C67">
      <w:pPr>
        <w:pStyle w:val="NormalWeb"/>
        <w:rPr>
          <w:color w:val="222222"/>
          <w:shd w:val="clear" w:color="auto" w:fill="FFFFFF"/>
        </w:rPr>
      </w:pPr>
      <w:r w:rsidRPr="00FA1C67">
        <w:rPr>
          <w:color w:val="222222"/>
          <w:shd w:val="clear" w:color="auto" w:fill="FFFFFF"/>
        </w:rPr>
        <w:t>Mesele, T. L. (2023). Reproduction and production performance of improved chickens, their production constraints, and opportunities under Ethiopian conditions.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55</w:t>
      </w:r>
      <w:r w:rsidRPr="00FA1C67">
        <w:rPr>
          <w:color w:val="222222"/>
          <w:shd w:val="clear" w:color="auto" w:fill="FFFFFF"/>
        </w:rPr>
        <w:t xml:space="preserve">(4), 245. </w:t>
      </w:r>
      <w:hyperlink r:id="rId17" w:history="1">
        <w:r w:rsidRPr="00FA1C67">
          <w:rPr>
            <w:rStyle w:val="Hyperlink"/>
            <w:lang w:val="en-GB"/>
          </w:rPr>
          <w:t>https://doi.org/10.1007/s11250-023-03653-w</w:t>
        </w:r>
      </w:hyperlink>
      <w:r w:rsidRPr="00FA1C67">
        <w:rPr>
          <w:lang w:val="en-GB"/>
        </w:rPr>
        <w:t xml:space="preserve"> </w:t>
      </w:r>
    </w:p>
    <w:p w14:paraId="3C25708D" w14:textId="77777777" w:rsidR="00FA1C67" w:rsidRPr="00FA1C67" w:rsidRDefault="00FA1C67" w:rsidP="00FA1C67">
      <w:pPr>
        <w:pStyle w:val="NormalWeb"/>
        <w:rPr>
          <w:color w:val="222222"/>
          <w:shd w:val="clear" w:color="auto" w:fill="FFFFFF"/>
        </w:rPr>
      </w:pPr>
      <w:r w:rsidRPr="00FA1C67">
        <w:rPr>
          <w:color w:val="222222"/>
          <w:shd w:val="clear" w:color="auto" w:fill="FFFFFF"/>
        </w:rPr>
        <w:lastRenderedPageBreak/>
        <w:t>Muluneh, B., Taye, M., Dessie, T., Wondim, D. S., Kebede, D., &amp; Tenagne, A. (2023). Morpho-biometric characterization of indigenous chicken ecotypes in north-western Ethiopia. </w:t>
      </w:r>
      <w:proofErr w:type="spellStart"/>
      <w:r w:rsidRPr="00FA1C67">
        <w:rPr>
          <w:i/>
          <w:iCs/>
          <w:color w:val="222222"/>
          <w:shd w:val="clear" w:color="auto" w:fill="FFFFFF"/>
        </w:rPr>
        <w:t>PLoS</w:t>
      </w:r>
      <w:proofErr w:type="spellEnd"/>
      <w:r w:rsidRPr="00FA1C67">
        <w:rPr>
          <w:i/>
          <w:iCs/>
          <w:color w:val="222222"/>
          <w:shd w:val="clear" w:color="auto" w:fill="FFFFFF"/>
        </w:rPr>
        <w:t xml:space="preserve"> One</w:t>
      </w:r>
      <w:r w:rsidRPr="00FA1C67">
        <w:rPr>
          <w:color w:val="222222"/>
          <w:shd w:val="clear" w:color="auto" w:fill="FFFFFF"/>
        </w:rPr>
        <w:t>, </w:t>
      </w:r>
      <w:r w:rsidRPr="00FA1C67">
        <w:rPr>
          <w:i/>
          <w:iCs/>
          <w:color w:val="222222"/>
          <w:shd w:val="clear" w:color="auto" w:fill="FFFFFF"/>
        </w:rPr>
        <w:t>18</w:t>
      </w:r>
      <w:r w:rsidRPr="00FA1C67">
        <w:rPr>
          <w:color w:val="222222"/>
          <w:shd w:val="clear" w:color="auto" w:fill="FFFFFF"/>
        </w:rPr>
        <w:t xml:space="preserve">(6), e0286299. </w:t>
      </w:r>
      <w:hyperlink r:id="rId18" w:history="1">
        <w:r w:rsidRPr="00FA1C67">
          <w:rPr>
            <w:rStyle w:val="Hyperlink"/>
            <w:lang w:val="en-GB"/>
          </w:rPr>
          <w:t>https://doi.org/10.1371/journal.pone.0286299</w:t>
        </w:r>
      </w:hyperlink>
      <w:r w:rsidRPr="00FA1C67">
        <w:rPr>
          <w:lang w:val="en-GB"/>
        </w:rPr>
        <w:t xml:space="preserve"> </w:t>
      </w:r>
      <w:r w:rsidRPr="00FA1C67">
        <w:rPr>
          <w:color w:val="222222"/>
          <w:shd w:val="clear" w:color="auto" w:fill="FFFFFF"/>
        </w:rPr>
        <w:t xml:space="preserve"> </w:t>
      </w:r>
    </w:p>
    <w:p w14:paraId="035BABE4" w14:textId="77777777" w:rsidR="00FA1C67" w:rsidRPr="00FA1C67" w:rsidRDefault="00FA1C67" w:rsidP="00FA1C67">
      <w:pPr>
        <w:pStyle w:val="NormalWeb"/>
        <w:rPr>
          <w:color w:val="222222"/>
          <w:shd w:val="clear" w:color="auto" w:fill="FFFFFF"/>
        </w:rPr>
      </w:pPr>
      <w:r w:rsidRPr="00FA1C67">
        <w:rPr>
          <w:color w:val="222222"/>
          <w:shd w:val="clear" w:color="auto" w:fill="FFFFFF"/>
        </w:rPr>
        <w:t>Poore, J., &amp; Nemecek, T. (2018). Reducing food’s environmental impacts through producers and consumers. </w:t>
      </w:r>
      <w:r w:rsidRPr="00FA1C67">
        <w:rPr>
          <w:i/>
          <w:iCs/>
          <w:color w:val="222222"/>
          <w:shd w:val="clear" w:color="auto" w:fill="FFFFFF"/>
        </w:rPr>
        <w:t>Science</w:t>
      </w:r>
      <w:r w:rsidRPr="00FA1C67">
        <w:rPr>
          <w:color w:val="222222"/>
          <w:shd w:val="clear" w:color="auto" w:fill="FFFFFF"/>
        </w:rPr>
        <w:t>, </w:t>
      </w:r>
      <w:r w:rsidRPr="00FA1C67">
        <w:rPr>
          <w:i/>
          <w:iCs/>
          <w:color w:val="222222"/>
          <w:shd w:val="clear" w:color="auto" w:fill="FFFFFF"/>
        </w:rPr>
        <w:t>360</w:t>
      </w:r>
      <w:r w:rsidRPr="00FA1C67">
        <w:rPr>
          <w:color w:val="222222"/>
          <w:shd w:val="clear" w:color="auto" w:fill="FFFFFF"/>
        </w:rPr>
        <w:t xml:space="preserve">(6392), 987-992. </w:t>
      </w:r>
      <w:hyperlink r:id="rId19" w:tgtFrame="_new" w:history="1">
        <w:r w:rsidRPr="00FA1C67">
          <w:rPr>
            <w:rStyle w:val="Hyperlink"/>
            <w:lang w:val="en-GB"/>
          </w:rPr>
          <w:t>https://doi.org/10.1126/science.aaq0216</w:t>
        </w:r>
      </w:hyperlink>
      <w:r w:rsidRPr="00FA1C67">
        <w:rPr>
          <w:lang w:val="en-GB"/>
        </w:rPr>
        <w:t xml:space="preserve"> </w:t>
      </w:r>
    </w:p>
    <w:p w14:paraId="6EDDF50F" w14:textId="77777777" w:rsidR="00FA1C67" w:rsidRPr="00FA1C67" w:rsidRDefault="00FA1C67" w:rsidP="00FA1C67">
      <w:pPr>
        <w:pStyle w:val="NormalWeb"/>
        <w:rPr>
          <w:color w:val="222222"/>
          <w:shd w:val="clear" w:color="auto" w:fill="FFFFFF"/>
        </w:rPr>
      </w:pPr>
      <w:r w:rsidRPr="00FA1C67">
        <w:rPr>
          <w:color w:val="222222"/>
          <w:shd w:val="clear" w:color="auto" w:fill="FFFFFF"/>
        </w:rPr>
        <w:t xml:space="preserve">Rocchi, L., </w:t>
      </w:r>
      <w:proofErr w:type="spellStart"/>
      <w:r w:rsidRPr="00FA1C67">
        <w:rPr>
          <w:color w:val="222222"/>
          <w:shd w:val="clear" w:color="auto" w:fill="FFFFFF"/>
        </w:rPr>
        <w:t>Paolotti</w:t>
      </w:r>
      <w:proofErr w:type="spellEnd"/>
      <w:r w:rsidRPr="00FA1C67">
        <w:rPr>
          <w:color w:val="222222"/>
          <w:shd w:val="clear" w:color="auto" w:fill="FFFFFF"/>
        </w:rPr>
        <w:t>, L., Rosati, A., Boggia, A., &amp; Castellini, C. (2019). Assessing the sustainability of different poultry production systems: A multicriteria approach. </w:t>
      </w:r>
      <w:r w:rsidRPr="00FA1C67">
        <w:rPr>
          <w:i/>
          <w:iCs/>
          <w:color w:val="222222"/>
          <w:shd w:val="clear" w:color="auto" w:fill="FFFFFF"/>
        </w:rPr>
        <w:t>Journal of cleaner production</w:t>
      </w:r>
      <w:r w:rsidRPr="00FA1C67">
        <w:rPr>
          <w:color w:val="222222"/>
          <w:shd w:val="clear" w:color="auto" w:fill="FFFFFF"/>
        </w:rPr>
        <w:t>, </w:t>
      </w:r>
      <w:r w:rsidRPr="00FA1C67">
        <w:rPr>
          <w:i/>
          <w:iCs/>
          <w:color w:val="222222"/>
          <w:shd w:val="clear" w:color="auto" w:fill="FFFFFF"/>
        </w:rPr>
        <w:t>211</w:t>
      </w:r>
      <w:r w:rsidRPr="00FA1C67">
        <w:rPr>
          <w:color w:val="222222"/>
          <w:shd w:val="clear" w:color="auto" w:fill="FFFFFF"/>
        </w:rPr>
        <w:t xml:space="preserve">, 103-114. </w:t>
      </w:r>
      <w:hyperlink r:id="rId20" w:history="1">
        <w:r w:rsidRPr="00FA1C67">
          <w:rPr>
            <w:rStyle w:val="Hyperlink"/>
            <w:lang w:val="en-GB"/>
          </w:rPr>
          <w:t>https://doi.org/10.1016/j.jclepro.2018.11.013</w:t>
        </w:r>
      </w:hyperlink>
      <w:r w:rsidRPr="00FA1C67">
        <w:rPr>
          <w:lang w:val="en-GB"/>
        </w:rPr>
        <w:t xml:space="preserve"> </w:t>
      </w:r>
    </w:p>
    <w:p w14:paraId="540F393C" w14:textId="77777777" w:rsidR="00FA1C67" w:rsidRPr="00FA1C67" w:rsidRDefault="00FA1C67" w:rsidP="00FA1C67">
      <w:pPr>
        <w:pStyle w:val="NormalWeb"/>
        <w:rPr>
          <w:color w:val="222222"/>
          <w:shd w:val="clear" w:color="auto" w:fill="FFFFFF"/>
        </w:rPr>
      </w:pPr>
      <w:r w:rsidRPr="00FA1C67">
        <w:rPr>
          <w:color w:val="222222"/>
          <w:shd w:val="clear" w:color="auto" w:fill="FFFFFF"/>
        </w:rPr>
        <w:t>Tilman, D., &amp; Clark, M. (2014). Global diets link environmental sustainability and human health. </w:t>
      </w:r>
      <w:r w:rsidRPr="00FA1C67">
        <w:rPr>
          <w:i/>
          <w:iCs/>
          <w:color w:val="222222"/>
          <w:shd w:val="clear" w:color="auto" w:fill="FFFFFF"/>
        </w:rPr>
        <w:t>Nature</w:t>
      </w:r>
      <w:r w:rsidRPr="00FA1C67">
        <w:rPr>
          <w:color w:val="222222"/>
          <w:shd w:val="clear" w:color="auto" w:fill="FFFFFF"/>
        </w:rPr>
        <w:t>, </w:t>
      </w:r>
      <w:r w:rsidRPr="00FA1C67">
        <w:rPr>
          <w:i/>
          <w:iCs/>
          <w:color w:val="222222"/>
          <w:shd w:val="clear" w:color="auto" w:fill="FFFFFF"/>
        </w:rPr>
        <w:t>515</w:t>
      </w:r>
      <w:r w:rsidRPr="00FA1C67">
        <w:rPr>
          <w:color w:val="222222"/>
          <w:shd w:val="clear" w:color="auto" w:fill="FFFFFF"/>
        </w:rPr>
        <w:t xml:space="preserve">(7528), 518-522. </w:t>
      </w:r>
      <w:hyperlink r:id="rId21" w:history="1">
        <w:r w:rsidRPr="00FA1C67">
          <w:rPr>
            <w:rStyle w:val="Hyperlink"/>
            <w:lang w:val="en-GB"/>
          </w:rPr>
          <w:t>https://doi.org/10.1038/nature13959</w:t>
        </w:r>
      </w:hyperlink>
      <w:r w:rsidRPr="00FA1C67">
        <w:rPr>
          <w:lang w:val="en-GB"/>
        </w:rPr>
        <w:t xml:space="preserve"> </w:t>
      </w:r>
    </w:p>
    <w:p w14:paraId="67138524" w14:textId="77777777" w:rsidR="00FA1C67" w:rsidRPr="00FA1C67" w:rsidRDefault="00FA1C67" w:rsidP="00FA1C67">
      <w:pPr>
        <w:pStyle w:val="NormalWeb"/>
        <w:rPr>
          <w:lang w:val="en-GB"/>
        </w:rPr>
      </w:pPr>
      <w:proofErr w:type="spellStart"/>
      <w:r w:rsidRPr="00FA1C67">
        <w:rPr>
          <w:color w:val="222222"/>
          <w:shd w:val="clear" w:color="auto" w:fill="FFFFFF"/>
        </w:rPr>
        <w:t>Waktole</w:t>
      </w:r>
      <w:proofErr w:type="spellEnd"/>
      <w:r w:rsidRPr="00FA1C67">
        <w:rPr>
          <w:color w:val="222222"/>
          <w:shd w:val="clear" w:color="auto" w:fill="FFFFFF"/>
        </w:rPr>
        <w:t xml:space="preserve">, H., Ayele, Y., </w:t>
      </w:r>
      <w:proofErr w:type="spellStart"/>
      <w:r w:rsidRPr="00FA1C67">
        <w:rPr>
          <w:color w:val="222222"/>
          <w:shd w:val="clear" w:color="auto" w:fill="FFFFFF"/>
        </w:rPr>
        <w:t>Ayalkibet</w:t>
      </w:r>
      <w:proofErr w:type="spellEnd"/>
      <w:r w:rsidRPr="00FA1C67">
        <w:rPr>
          <w:color w:val="222222"/>
          <w:shd w:val="clear" w:color="auto" w:fill="FFFFFF"/>
        </w:rPr>
        <w:t xml:space="preserve">, Y., Teshome, T., Muluneh, T., Ayane, S., Borena, B. M., Abayneh, T., Deresse, G., Asefa, Z., </w:t>
      </w:r>
      <w:proofErr w:type="spellStart"/>
      <w:r w:rsidRPr="00FA1C67">
        <w:rPr>
          <w:color w:val="222222"/>
          <w:shd w:val="clear" w:color="auto" w:fill="FFFFFF"/>
        </w:rPr>
        <w:t>Eguale</w:t>
      </w:r>
      <w:proofErr w:type="spellEnd"/>
      <w:r w:rsidRPr="00FA1C67">
        <w:rPr>
          <w:color w:val="222222"/>
          <w:shd w:val="clear" w:color="auto" w:fill="FFFFFF"/>
        </w:rPr>
        <w:t xml:space="preserve">, T., Amenu, K., Ashenafi, H., &amp; </w:t>
      </w:r>
      <w:proofErr w:type="spellStart"/>
      <w:r w:rsidRPr="00FA1C67">
        <w:rPr>
          <w:color w:val="222222"/>
          <w:shd w:val="clear" w:color="auto" w:fill="FFFFFF"/>
        </w:rPr>
        <w:t>Antonissen</w:t>
      </w:r>
      <w:proofErr w:type="spellEnd"/>
      <w:r w:rsidRPr="00FA1C67">
        <w:rPr>
          <w:color w:val="222222"/>
          <w:shd w:val="clear" w:color="auto" w:fill="FFFFFF"/>
        </w:rPr>
        <w:t>, G. (2024). Prevalence, Molecular Detection, and Antimicrobial Resistance of </w:t>
      </w:r>
      <w:r w:rsidRPr="00FA1C67">
        <w:rPr>
          <w:i/>
          <w:iCs/>
          <w:color w:val="222222"/>
          <w:shd w:val="clear" w:color="auto" w:fill="FFFFFF"/>
        </w:rPr>
        <w:t>Salmonella</w:t>
      </w:r>
      <w:r w:rsidRPr="00FA1C67">
        <w:rPr>
          <w:color w:val="222222"/>
          <w:shd w:val="clear" w:color="auto" w:fill="FFFFFF"/>
        </w:rPr>
        <w:t> Isolates from Poultry Farms across Central Ethiopia: A Cross-Sectional Study in Urban and Peri-Urban Areas. </w:t>
      </w:r>
      <w:r w:rsidRPr="00FA1C67">
        <w:rPr>
          <w:rStyle w:val="Emphasis"/>
          <w:color w:val="222222"/>
          <w:shd w:val="clear" w:color="auto" w:fill="FFFFFF"/>
        </w:rPr>
        <w:t>Microorganisms</w:t>
      </w:r>
      <w:r w:rsidRPr="00FA1C67">
        <w:rPr>
          <w:color w:val="222222"/>
          <w:shd w:val="clear" w:color="auto" w:fill="FFFFFF"/>
        </w:rPr>
        <w:t>, </w:t>
      </w:r>
      <w:r w:rsidRPr="00FA1C67">
        <w:rPr>
          <w:rStyle w:val="Emphasis"/>
          <w:color w:val="222222"/>
          <w:shd w:val="clear" w:color="auto" w:fill="FFFFFF"/>
        </w:rPr>
        <w:t>12</w:t>
      </w:r>
      <w:r w:rsidRPr="00FA1C67">
        <w:rPr>
          <w:color w:val="222222"/>
          <w:shd w:val="clear" w:color="auto" w:fill="FFFFFF"/>
        </w:rPr>
        <w:t xml:space="preserve">(4), 767. </w:t>
      </w:r>
      <w:hyperlink r:id="rId22" w:history="1">
        <w:r w:rsidRPr="00FA1C67">
          <w:rPr>
            <w:rStyle w:val="Hyperlink"/>
            <w:shd w:val="clear" w:color="auto" w:fill="FFFFFF"/>
          </w:rPr>
          <w:t>https://doi.org/10.3390/microorganisms12040767</w:t>
        </w:r>
      </w:hyperlink>
      <w:r w:rsidRPr="00FA1C67">
        <w:rPr>
          <w:color w:val="222222"/>
          <w:shd w:val="clear" w:color="auto" w:fill="FFFFFF"/>
        </w:rPr>
        <w:t xml:space="preserve"> </w:t>
      </w:r>
    </w:p>
    <w:p w14:paraId="72E7A7D1" w14:textId="77777777" w:rsidR="00FA1C67" w:rsidRPr="00FA1C67" w:rsidRDefault="00FA1C67" w:rsidP="00FA1C67">
      <w:pPr>
        <w:pStyle w:val="NormalWeb"/>
        <w:rPr>
          <w:lang w:val="en-GB"/>
        </w:rPr>
      </w:pPr>
      <w:r w:rsidRPr="00FA1C67">
        <w:rPr>
          <w:color w:val="222222"/>
          <w:shd w:val="clear" w:color="auto" w:fill="FFFFFF"/>
        </w:rPr>
        <w:t xml:space="preserve">Zegeye, A., Temesgen, W., Molla, W., </w:t>
      </w:r>
      <w:proofErr w:type="spellStart"/>
      <w:r w:rsidRPr="00FA1C67">
        <w:rPr>
          <w:color w:val="222222"/>
          <w:shd w:val="clear" w:color="auto" w:fill="FFFFFF"/>
        </w:rPr>
        <w:t>Setotaw</w:t>
      </w:r>
      <w:proofErr w:type="spellEnd"/>
      <w:r w:rsidRPr="00FA1C67">
        <w:rPr>
          <w:color w:val="222222"/>
          <w:shd w:val="clear" w:color="auto" w:fill="FFFFFF"/>
        </w:rPr>
        <w:t>, H., &amp; Lakew, M. (2022). Epidemiology of Newcastle disease in chickens of Ethiopia: a systematic review and meta-analysis.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54</w:t>
      </w:r>
      <w:r w:rsidRPr="00FA1C67">
        <w:rPr>
          <w:color w:val="222222"/>
          <w:shd w:val="clear" w:color="auto" w:fill="FFFFFF"/>
        </w:rPr>
        <w:t xml:space="preserve">(5), 328. </w:t>
      </w:r>
      <w:hyperlink r:id="rId23" w:history="1">
        <w:r w:rsidRPr="00FA1C67">
          <w:rPr>
            <w:rStyle w:val="Hyperlink"/>
            <w:lang w:val="en-GB"/>
          </w:rPr>
          <w:t>https://doi.org/10.1007/s11250-022-03330-4</w:t>
        </w:r>
      </w:hyperlink>
    </w:p>
    <w:p w14:paraId="3C1DF2CA" w14:textId="77777777" w:rsidR="00FA1C67" w:rsidRPr="00FA1C67" w:rsidRDefault="00FA1C67" w:rsidP="00FA1C67">
      <w:pPr>
        <w:pStyle w:val="NormalWeb"/>
        <w:rPr>
          <w:lang w:val="en-GB"/>
        </w:rPr>
      </w:pPr>
      <w:r w:rsidRPr="00FA1C67">
        <w:rPr>
          <w:color w:val="222222"/>
          <w:shd w:val="clear" w:color="auto" w:fill="FFFFFF"/>
        </w:rPr>
        <w:t xml:space="preserve">Zeru, F., Adamu, H., </w:t>
      </w:r>
      <w:proofErr w:type="spellStart"/>
      <w:r w:rsidRPr="00FA1C67">
        <w:rPr>
          <w:color w:val="222222"/>
          <w:shd w:val="clear" w:color="auto" w:fill="FFFFFF"/>
        </w:rPr>
        <w:t>Woldearegay</w:t>
      </w:r>
      <w:proofErr w:type="spellEnd"/>
      <w:r w:rsidRPr="00FA1C67">
        <w:rPr>
          <w:color w:val="222222"/>
          <w:shd w:val="clear" w:color="auto" w:fill="FFFFFF"/>
        </w:rPr>
        <w:t xml:space="preserve">, Y. H., Sisay Tessema, T., Hansson, I., &amp; </w:t>
      </w:r>
      <w:proofErr w:type="spellStart"/>
      <w:r w:rsidRPr="00FA1C67">
        <w:rPr>
          <w:color w:val="222222"/>
          <w:shd w:val="clear" w:color="auto" w:fill="FFFFFF"/>
        </w:rPr>
        <w:t>Boqvist</w:t>
      </w:r>
      <w:proofErr w:type="spellEnd"/>
      <w:r w:rsidRPr="00FA1C67">
        <w:rPr>
          <w:color w:val="222222"/>
          <w:shd w:val="clear" w:color="auto" w:fill="FFFFFF"/>
        </w:rPr>
        <w:t>, S. (2025). Occurrence, risk factors and antimicrobial resistance of Campylobacter from poultry and humans in central Ethiopia: A one health approach. </w:t>
      </w:r>
      <w:r w:rsidRPr="00FA1C67">
        <w:rPr>
          <w:i/>
          <w:iCs/>
          <w:color w:val="222222"/>
          <w:shd w:val="clear" w:color="auto" w:fill="FFFFFF"/>
        </w:rPr>
        <w:t>PLOS Neglected Tropical Diseases</w:t>
      </w:r>
      <w:r w:rsidRPr="00FA1C67">
        <w:rPr>
          <w:color w:val="222222"/>
          <w:shd w:val="clear" w:color="auto" w:fill="FFFFFF"/>
        </w:rPr>
        <w:t>, </w:t>
      </w:r>
      <w:r w:rsidRPr="00FA1C67">
        <w:rPr>
          <w:i/>
          <w:iCs/>
          <w:color w:val="222222"/>
          <w:shd w:val="clear" w:color="auto" w:fill="FFFFFF"/>
        </w:rPr>
        <w:t>19</w:t>
      </w:r>
      <w:r w:rsidRPr="00FA1C67">
        <w:rPr>
          <w:color w:val="222222"/>
          <w:shd w:val="clear" w:color="auto" w:fill="FFFFFF"/>
        </w:rPr>
        <w:t xml:space="preserve">(8), e0012916. </w:t>
      </w:r>
      <w:hyperlink r:id="rId24" w:history="1">
        <w:r w:rsidRPr="00FA1C67">
          <w:rPr>
            <w:rStyle w:val="Hyperlink"/>
            <w:lang w:val="en-GB"/>
          </w:rPr>
          <w:t>https://doi.org/10.1371/journal.pntd.0012916</w:t>
        </w:r>
      </w:hyperlink>
      <w:r w:rsidRPr="00FA1C67">
        <w:rPr>
          <w:lang w:val="en-GB"/>
        </w:rPr>
        <w:t xml:space="preserve"> </w:t>
      </w:r>
      <w:r w:rsidRPr="00FA1C67">
        <w:rPr>
          <w:color w:val="222222"/>
          <w:shd w:val="clear" w:color="auto" w:fill="FFFFFF"/>
        </w:rPr>
        <w:t xml:space="preserve"> </w:t>
      </w:r>
    </w:p>
    <w:p w14:paraId="63F7FE95" w14:textId="77777777" w:rsidR="005F1FE6" w:rsidRPr="00A35A95" w:rsidRDefault="005F1FE6" w:rsidP="00D90471">
      <w:pPr>
        <w:rPr>
          <w:lang w:val="en-GB"/>
        </w:rPr>
      </w:pPr>
    </w:p>
    <w:sectPr w:rsidR="005F1FE6" w:rsidRPr="00A35A95" w:rsidSect="00CB6EB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1AD3" w14:textId="77777777" w:rsidR="00A330B9" w:rsidRDefault="00A330B9" w:rsidP="004D29FC">
      <w:pPr>
        <w:spacing w:after="0" w:line="240" w:lineRule="auto"/>
      </w:pPr>
      <w:r>
        <w:separator/>
      </w:r>
    </w:p>
  </w:endnote>
  <w:endnote w:type="continuationSeparator" w:id="0">
    <w:p w14:paraId="31D80634" w14:textId="77777777" w:rsidR="00A330B9" w:rsidRDefault="00A330B9" w:rsidP="004D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817E" w14:textId="77777777" w:rsidR="004D29FC" w:rsidRDefault="004D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C35A" w14:textId="77777777" w:rsidR="004D29FC" w:rsidRDefault="004D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763" w14:textId="77777777" w:rsidR="004D29FC" w:rsidRDefault="004D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F3AD" w14:textId="77777777" w:rsidR="00A330B9" w:rsidRDefault="00A330B9" w:rsidP="004D29FC">
      <w:pPr>
        <w:spacing w:after="0" w:line="240" w:lineRule="auto"/>
      </w:pPr>
      <w:r>
        <w:separator/>
      </w:r>
    </w:p>
  </w:footnote>
  <w:footnote w:type="continuationSeparator" w:id="0">
    <w:p w14:paraId="1FA16F53" w14:textId="77777777" w:rsidR="00A330B9" w:rsidRDefault="00A330B9" w:rsidP="004D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5484" w14:textId="4F514621" w:rsidR="004D29FC" w:rsidRDefault="004D29FC">
    <w:pPr>
      <w:pStyle w:val="Header"/>
    </w:pPr>
    <w:r>
      <w:rPr>
        <w:noProof/>
      </w:rPr>
      <w:pict w14:anchorId="52743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E234" w14:textId="27200F6D" w:rsidR="004D29FC" w:rsidRDefault="004D29FC">
    <w:pPr>
      <w:pStyle w:val="Header"/>
    </w:pPr>
    <w:r>
      <w:rPr>
        <w:noProof/>
      </w:rPr>
      <w:pict w14:anchorId="69C7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2566" w14:textId="37E8ABB9" w:rsidR="004D29FC" w:rsidRDefault="004D29FC">
    <w:pPr>
      <w:pStyle w:val="Header"/>
    </w:pPr>
    <w:r>
      <w:rPr>
        <w:noProof/>
      </w:rPr>
      <w:pict w14:anchorId="28C8B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6"/>
  </w:num>
  <w:num w:numId="5">
    <w:abstractNumId w:val="21"/>
  </w:num>
  <w:num w:numId="6">
    <w:abstractNumId w:val="8"/>
  </w:num>
  <w:num w:numId="7">
    <w:abstractNumId w:val="2"/>
  </w:num>
  <w:num w:numId="8">
    <w:abstractNumId w:val="36"/>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9"/>
  </w:num>
  <w:num w:numId="17">
    <w:abstractNumId w:val="33"/>
  </w:num>
  <w:num w:numId="18">
    <w:abstractNumId w:val="31"/>
  </w:num>
  <w:num w:numId="19">
    <w:abstractNumId w:val="29"/>
  </w:num>
  <w:num w:numId="20">
    <w:abstractNumId w:val="13"/>
  </w:num>
  <w:num w:numId="21">
    <w:abstractNumId w:val="23"/>
  </w:num>
  <w:num w:numId="22">
    <w:abstractNumId w:val="27"/>
  </w:num>
  <w:num w:numId="23">
    <w:abstractNumId w:val="0"/>
  </w:num>
  <w:num w:numId="24">
    <w:abstractNumId w:val="35"/>
  </w:num>
  <w:num w:numId="25">
    <w:abstractNumId w:val="4"/>
  </w:num>
  <w:num w:numId="26">
    <w:abstractNumId w:val="20"/>
  </w:num>
  <w:num w:numId="27">
    <w:abstractNumId w:val="28"/>
  </w:num>
  <w:num w:numId="28">
    <w:abstractNumId w:val="26"/>
  </w:num>
  <w:num w:numId="29">
    <w:abstractNumId w:val="14"/>
  </w:num>
  <w:num w:numId="30">
    <w:abstractNumId w:val="34"/>
  </w:num>
  <w:num w:numId="31">
    <w:abstractNumId w:val="12"/>
  </w:num>
  <w:num w:numId="32">
    <w:abstractNumId w:val="32"/>
  </w:num>
  <w:num w:numId="33">
    <w:abstractNumId w:val="3"/>
  </w:num>
  <w:num w:numId="34">
    <w:abstractNumId w:val="24"/>
  </w:num>
  <w:num w:numId="35">
    <w:abstractNumId w:val="18"/>
  </w:num>
  <w:num w:numId="36">
    <w:abstractNumId w:val="30"/>
  </w:num>
  <w:num w:numId="3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2A54"/>
    <w:rsid w:val="000A79B2"/>
    <w:rsid w:val="000B75EF"/>
    <w:rsid w:val="000C4F0E"/>
    <w:rsid w:val="000D461E"/>
    <w:rsid w:val="000D6AAA"/>
    <w:rsid w:val="000D7028"/>
    <w:rsid w:val="000E67D1"/>
    <w:rsid w:val="000E709D"/>
    <w:rsid w:val="000F27AA"/>
    <w:rsid w:val="00114147"/>
    <w:rsid w:val="001261CC"/>
    <w:rsid w:val="00126ADF"/>
    <w:rsid w:val="001276CD"/>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46BC3"/>
    <w:rsid w:val="00257AC1"/>
    <w:rsid w:val="00260455"/>
    <w:rsid w:val="00260B1D"/>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426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51B53"/>
    <w:rsid w:val="0045531D"/>
    <w:rsid w:val="00456E20"/>
    <w:rsid w:val="004615AF"/>
    <w:rsid w:val="004711B7"/>
    <w:rsid w:val="004A16BD"/>
    <w:rsid w:val="004A508F"/>
    <w:rsid w:val="004A5427"/>
    <w:rsid w:val="004A586B"/>
    <w:rsid w:val="004B02DF"/>
    <w:rsid w:val="004C1A63"/>
    <w:rsid w:val="004C6306"/>
    <w:rsid w:val="004C7547"/>
    <w:rsid w:val="004D29FC"/>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C2C46"/>
    <w:rsid w:val="009D05A9"/>
    <w:rsid w:val="009D0B9D"/>
    <w:rsid w:val="009D13F6"/>
    <w:rsid w:val="009D5BA5"/>
    <w:rsid w:val="009E5244"/>
    <w:rsid w:val="009F0120"/>
    <w:rsid w:val="009F1BAB"/>
    <w:rsid w:val="00A00B22"/>
    <w:rsid w:val="00A029C3"/>
    <w:rsid w:val="00A2270F"/>
    <w:rsid w:val="00A24B38"/>
    <w:rsid w:val="00A27BF4"/>
    <w:rsid w:val="00A32ED4"/>
    <w:rsid w:val="00A330B9"/>
    <w:rsid w:val="00A35A95"/>
    <w:rsid w:val="00A478B2"/>
    <w:rsid w:val="00A50845"/>
    <w:rsid w:val="00A5299F"/>
    <w:rsid w:val="00A54719"/>
    <w:rsid w:val="00A57A87"/>
    <w:rsid w:val="00A62C46"/>
    <w:rsid w:val="00A64590"/>
    <w:rsid w:val="00A7055A"/>
    <w:rsid w:val="00A8506E"/>
    <w:rsid w:val="00A94EEF"/>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D30E0"/>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626"/>
    <w:rsid w:val="00E97F4E"/>
    <w:rsid w:val="00EA45FD"/>
    <w:rsid w:val="00EC266D"/>
    <w:rsid w:val="00EC4D6C"/>
    <w:rsid w:val="00EE2E7D"/>
    <w:rsid w:val="00EF4D40"/>
    <w:rsid w:val="00EF4D87"/>
    <w:rsid w:val="00F13040"/>
    <w:rsid w:val="00F133C3"/>
    <w:rsid w:val="00F278AB"/>
    <w:rsid w:val="00F36C5B"/>
    <w:rsid w:val="00F43253"/>
    <w:rsid w:val="00F43CC2"/>
    <w:rsid w:val="00F45317"/>
    <w:rsid w:val="00F4728A"/>
    <w:rsid w:val="00F6047F"/>
    <w:rsid w:val="00F71DDF"/>
    <w:rsid w:val="00F754E8"/>
    <w:rsid w:val="00FA03AB"/>
    <w:rsid w:val="00FA1C67"/>
    <w:rsid w:val="00FA5C8B"/>
    <w:rsid w:val="00FA7321"/>
    <w:rsid w:val="00FB1450"/>
    <w:rsid w:val="00FB6475"/>
    <w:rsid w:val="00FC1A30"/>
    <w:rsid w:val="00FC3FB3"/>
    <w:rsid w:val="00FD1C43"/>
    <w:rsid w:val="00FD402F"/>
    <w:rsid w:val="00FD51BB"/>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24ED5"/>
  <w15:docId w15:val="{70C04D7A-AF4B-4074-A4C1-686E30AB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er">
    <w:name w:val="header"/>
    <w:basedOn w:val="Normal"/>
    <w:link w:val="HeaderChar"/>
    <w:uiPriority w:val="99"/>
    <w:unhideWhenUsed/>
    <w:rsid w:val="004D2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F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D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FC"/>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32.2024.2313254" TargetMode="External"/><Relationship Id="rId13" Type="http://schemas.openxmlformats.org/officeDocument/2006/relationships/hyperlink" Target="https://doi.org/10.1007/s11250-025-04549-7" TargetMode="External"/><Relationship Id="rId18" Type="http://schemas.openxmlformats.org/officeDocument/2006/relationships/hyperlink" Target="https://doi.org/10.1371/journal.pone.028629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38/nature13959" TargetMode="External"/><Relationship Id="rId7" Type="http://schemas.openxmlformats.org/officeDocument/2006/relationships/endnotes" Target="endnotes.xml"/><Relationship Id="rId12" Type="http://schemas.openxmlformats.org/officeDocument/2006/relationships/hyperlink" Target="https://doi.org/10.1016/j.tifs.2021.01.086" TargetMode="External"/><Relationship Id="rId17" Type="http://schemas.openxmlformats.org/officeDocument/2006/relationships/hyperlink" Target="https://doi.org/10.1007/s11250-023-03653-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0439339.2023.2250326" TargetMode="External"/><Relationship Id="rId20" Type="http://schemas.openxmlformats.org/officeDocument/2006/relationships/hyperlink" Target="https://doi.org/10.1016/j.jclepro.2018.11.0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439339.2022.2067020" TargetMode="External"/><Relationship Id="rId24" Type="http://schemas.openxmlformats.org/officeDocument/2006/relationships/hyperlink" Target="https://doi.org/10.1371/journal.pntd.00129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47/VMRR.S384148" TargetMode="External"/><Relationship Id="rId23" Type="http://schemas.openxmlformats.org/officeDocument/2006/relationships/hyperlink" Target="https://doi.org/10.1007/s11250-022-03330-4" TargetMode="External"/><Relationship Id="rId28" Type="http://schemas.openxmlformats.org/officeDocument/2006/relationships/footer" Target="footer2.xml"/><Relationship Id="rId10" Type="http://schemas.openxmlformats.org/officeDocument/2006/relationships/hyperlink" Target="https://doi.org/10.3389/fvets.2025.1538963" TargetMode="External"/><Relationship Id="rId19" Type="http://schemas.openxmlformats.org/officeDocument/2006/relationships/hyperlink" Target="https://doi.org/10.1126/science.aaq02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89/fvets.2021.750733" TargetMode="External"/><Relationship Id="rId14" Type="http://schemas.openxmlformats.org/officeDocument/2006/relationships/hyperlink" Target="https://doi.org/10.1515/psr-2021-0128" TargetMode="External"/><Relationship Id="rId22" Type="http://schemas.openxmlformats.org/officeDocument/2006/relationships/hyperlink" Target="https://doi.org/10.3390/microorganisms1204076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49F3A-72D8-4EC0-B5CA-E48DC6D6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13</Pages>
  <Words>6292</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102</cp:revision>
  <cp:lastPrinted>2025-12-13T07:14:00Z</cp:lastPrinted>
  <dcterms:created xsi:type="dcterms:W3CDTF">2025-09-24T12:44:00Z</dcterms:created>
  <dcterms:modified xsi:type="dcterms:W3CDTF">2026-01-14T11:07:00Z</dcterms:modified>
</cp:coreProperties>
</file>