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4C278" w14:textId="73B7DD88" w:rsidR="00D2476E" w:rsidRDefault="00AD42B7" w:rsidP="00494EB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Impact of Irrigation Regimes and </w:t>
      </w:r>
      <w:r w:rsidR="00F23409">
        <w:rPr>
          <w:rFonts w:ascii="Times New Roman" w:hAnsi="Times New Roman" w:cs="Times New Roman"/>
          <w:b/>
          <w:bCs/>
          <w:sz w:val="24"/>
          <w:szCs w:val="24"/>
        </w:rPr>
        <w:t xml:space="preserve">Organic </w:t>
      </w:r>
      <w:r w:rsidR="00BD0543">
        <w:rPr>
          <w:rFonts w:ascii="Times New Roman" w:hAnsi="Times New Roman" w:cs="Times New Roman"/>
          <w:b/>
          <w:bCs/>
          <w:sz w:val="24"/>
          <w:szCs w:val="24"/>
        </w:rPr>
        <w:t xml:space="preserve">Soil </w:t>
      </w:r>
      <w:r>
        <w:rPr>
          <w:rFonts w:ascii="Times New Roman" w:hAnsi="Times New Roman" w:cs="Times New Roman"/>
          <w:b/>
          <w:bCs/>
          <w:sz w:val="24"/>
          <w:szCs w:val="24"/>
        </w:rPr>
        <w:t xml:space="preserve">Amendment Techniques </w:t>
      </w:r>
      <w:r w:rsidR="00D02CBE">
        <w:rPr>
          <w:rFonts w:ascii="Times New Roman" w:hAnsi="Times New Roman" w:cs="Times New Roman"/>
          <w:b/>
          <w:bCs/>
          <w:sz w:val="24"/>
          <w:szCs w:val="24"/>
        </w:rPr>
        <w:t xml:space="preserve">on </w:t>
      </w:r>
      <w:r w:rsidR="00BD0543">
        <w:rPr>
          <w:rFonts w:ascii="Times New Roman" w:hAnsi="Times New Roman" w:cs="Times New Roman"/>
          <w:b/>
          <w:bCs/>
          <w:sz w:val="24"/>
          <w:szCs w:val="24"/>
        </w:rPr>
        <w:t>Growth</w:t>
      </w:r>
      <w:r w:rsidR="00D31AA6">
        <w:rPr>
          <w:rFonts w:ascii="Times New Roman" w:hAnsi="Times New Roman" w:cs="Times New Roman"/>
          <w:b/>
          <w:bCs/>
          <w:sz w:val="24"/>
          <w:szCs w:val="24"/>
        </w:rPr>
        <w:t xml:space="preserve"> and </w:t>
      </w:r>
      <w:r>
        <w:rPr>
          <w:rFonts w:ascii="Times New Roman" w:hAnsi="Times New Roman" w:cs="Times New Roman"/>
          <w:b/>
          <w:bCs/>
          <w:sz w:val="24"/>
          <w:szCs w:val="24"/>
        </w:rPr>
        <w:t>Yield of</w:t>
      </w:r>
      <w:r w:rsidRPr="008C4B99">
        <w:rPr>
          <w:rFonts w:ascii="Times New Roman" w:hAnsi="Times New Roman" w:cs="Times New Roman"/>
          <w:b/>
          <w:bCs/>
          <w:sz w:val="24"/>
          <w:szCs w:val="24"/>
        </w:rPr>
        <w:t xml:space="preserve"> </w:t>
      </w:r>
      <w:r>
        <w:rPr>
          <w:rFonts w:ascii="Times New Roman" w:hAnsi="Times New Roman" w:cs="Times New Roman"/>
          <w:b/>
          <w:bCs/>
          <w:sz w:val="24"/>
          <w:szCs w:val="24"/>
        </w:rPr>
        <w:t>Garden Egg</w:t>
      </w:r>
      <w:r w:rsidR="00954446">
        <w:rPr>
          <w:rFonts w:ascii="Times New Roman" w:hAnsi="Times New Roman" w:cs="Times New Roman"/>
          <w:b/>
          <w:bCs/>
          <w:sz w:val="24"/>
          <w:szCs w:val="24"/>
        </w:rPr>
        <w:t xml:space="preserve"> </w:t>
      </w:r>
      <w:r w:rsidR="00E5264B">
        <w:rPr>
          <w:rFonts w:ascii="Times New Roman" w:hAnsi="Times New Roman" w:cs="Times New Roman"/>
          <w:b/>
          <w:bCs/>
          <w:sz w:val="24"/>
          <w:szCs w:val="24"/>
        </w:rPr>
        <w:t>(</w:t>
      </w:r>
      <w:r w:rsidR="00E5264B" w:rsidRPr="00E5264B">
        <w:rPr>
          <w:rFonts w:ascii="Times New Roman" w:hAnsi="Times New Roman" w:cs="Times New Roman"/>
          <w:b/>
          <w:bCs/>
          <w:i/>
          <w:iCs/>
          <w:sz w:val="24"/>
          <w:szCs w:val="24"/>
        </w:rPr>
        <w:t xml:space="preserve">Solanum </w:t>
      </w:r>
      <w:proofErr w:type="spellStart"/>
      <w:r w:rsidR="00E5264B" w:rsidRPr="00E5264B">
        <w:rPr>
          <w:rFonts w:ascii="Times New Roman" w:hAnsi="Times New Roman" w:cs="Times New Roman"/>
          <w:b/>
          <w:bCs/>
          <w:i/>
          <w:iCs/>
          <w:sz w:val="24"/>
          <w:szCs w:val="24"/>
        </w:rPr>
        <w:t>aethiopicum</w:t>
      </w:r>
      <w:proofErr w:type="spellEnd"/>
      <w:r w:rsidR="00E5264B">
        <w:rPr>
          <w:rFonts w:ascii="Times New Roman" w:hAnsi="Times New Roman" w:cs="Times New Roman"/>
          <w:b/>
          <w:bCs/>
          <w:sz w:val="24"/>
          <w:szCs w:val="24"/>
        </w:rPr>
        <w:t>)</w:t>
      </w:r>
      <w:r w:rsidR="00E5264B" w:rsidRPr="00E5264B">
        <w:rPr>
          <w:rFonts w:ascii="Times New Roman" w:hAnsi="Times New Roman" w:cs="Times New Roman"/>
          <w:b/>
          <w:bCs/>
          <w:sz w:val="24"/>
          <w:szCs w:val="24"/>
        </w:rPr>
        <w:t xml:space="preserve"> </w:t>
      </w:r>
      <w:r w:rsidR="00954446">
        <w:rPr>
          <w:rFonts w:ascii="Times New Roman" w:hAnsi="Times New Roman" w:cs="Times New Roman"/>
          <w:b/>
          <w:bCs/>
          <w:sz w:val="24"/>
          <w:szCs w:val="24"/>
        </w:rPr>
        <w:t>in Northern Ghana</w:t>
      </w:r>
    </w:p>
    <w:p w14:paraId="62B5B8C5" w14:textId="77777777" w:rsidR="00FE1ADB" w:rsidRDefault="00FE1ADB" w:rsidP="000202AA">
      <w:pPr>
        <w:spacing w:before="100" w:beforeAutospacing="1" w:after="0" w:line="240" w:lineRule="auto"/>
        <w:jc w:val="both"/>
        <w:rPr>
          <w:rFonts w:ascii="Times New Roman" w:hAnsi="Times New Roman" w:cs="Times New Roman"/>
          <w:b/>
          <w:bCs/>
          <w:sz w:val="24"/>
          <w:szCs w:val="24"/>
        </w:rPr>
      </w:pPr>
    </w:p>
    <w:p w14:paraId="3A6485CD" w14:textId="77777777" w:rsidR="00FE1ADB" w:rsidRDefault="00FE1ADB" w:rsidP="000202AA">
      <w:pPr>
        <w:spacing w:before="100" w:beforeAutospacing="1" w:after="0" w:line="240" w:lineRule="auto"/>
        <w:jc w:val="both"/>
        <w:rPr>
          <w:rFonts w:ascii="Times New Roman" w:hAnsi="Times New Roman" w:cs="Times New Roman"/>
          <w:b/>
          <w:bCs/>
          <w:sz w:val="24"/>
          <w:szCs w:val="24"/>
        </w:rPr>
      </w:pPr>
    </w:p>
    <w:p w14:paraId="2707466E" w14:textId="707E5A8B" w:rsidR="000202AA" w:rsidRDefault="000202AA" w:rsidP="000202AA">
      <w:pPr>
        <w:spacing w:before="100" w:beforeAutospacing="1" w:after="0" w:line="240" w:lineRule="auto"/>
        <w:jc w:val="both"/>
        <w:rPr>
          <w:rFonts w:ascii="Times New Roman" w:hAnsi="Times New Roman" w:cs="Times New Roman"/>
          <w:b/>
          <w:bCs/>
          <w:sz w:val="24"/>
          <w:szCs w:val="24"/>
        </w:rPr>
      </w:pPr>
      <w:r w:rsidRPr="000328C1">
        <w:rPr>
          <w:rFonts w:ascii="Times New Roman" w:hAnsi="Times New Roman" w:cs="Times New Roman"/>
          <w:b/>
          <w:bCs/>
          <w:sz w:val="24"/>
          <w:szCs w:val="24"/>
        </w:rPr>
        <w:t>ABSTRACT</w:t>
      </w:r>
    </w:p>
    <w:p w14:paraId="47E9A681" w14:textId="50A6C45E" w:rsidR="002E764B" w:rsidRPr="00BC057A" w:rsidRDefault="002E764B" w:rsidP="003A029C">
      <w:pPr>
        <w:spacing w:after="100" w:afterAutospacing="1" w:line="240" w:lineRule="auto"/>
        <w:jc w:val="both"/>
        <w:rPr>
          <w:rFonts w:ascii="Times New Roman" w:eastAsia="Times New Roman" w:hAnsi="Times New Roman" w:cs="Times New Roman"/>
          <w:sz w:val="24"/>
          <w:szCs w:val="24"/>
        </w:rPr>
      </w:pPr>
      <w:r w:rsidRPr="00BC057A">
        <w:rPr>
          <w:rFonts w:ascii="Times New Roman" w:eastAsia="Times New Roman" w:hAnsi="Times New Roman" w:cs="Times New Roman"/>
          <w:sz w:val="24"/>
          <w:szCs w:val="24"/>
        </w:rPr>
        <w:t>The pot experiment was designed to assess the impact of biochar and poultry manure in combination with water-saving irrigation techniques on the soil's physicochemical properties, water use efficiency (WUE), and the growth and yield of garden egg (</w:t>
      </w:r>
      <w:r w:rsidRPr="00BC057A">
        <w:rPr>
          <w:rFonts w:ascii="Times New Roman" w:eastAsia="Times New Roman" w:hAnsi="Times New Roman" w:cs="Times New Roman"/>
          <w:i/>
          <w:iCs/>
          <w:sz w:val="24"/>
          <w:szCs w:val="24"/>
        </w:rPr>
        <w:t xml:space="preserve">Solanum </w:t>
      </w:r>
      <w:proofErr w:type="spellStart"/>
      <w:r w:rsidR="00DB1890" w:rsidRPr="00DB1890">
        <w:rPr>
          <w:rFonts w:ascii="Times New Roman" w:eastAsia="Times New Roman" w:hAnsi="Times New Roman" w:cs="Times New Roman"/>
          <w:i/>
          <w:iCs/>
          <w:sz w:val="24"/>
          <w:szCs w:val="24"/>
        </w:rPr>
        <w:t>aethiopicum</w:t>
      </w:r>
      <w:proofErr w:type="spellEnd"/>
      <w:r w:rsidRPr="00BC057A">
        <w:rPr>
          <w:rFonts w:ascii="Times New Roman" w:eastAsia="Times New Roman" w:hAnsi="Times New Roman" w:cs="Times New Roman"/>
          <w:sz w:val="24"/>
          <w:szCs w:val="24"/>
        </w:rPr>
        <w:t>). The irrigation treatments included regulated deficit irrigation at 70% crop water requirement (RDI 70), sustained deficit irrigation at 70% crop water requirement (SDI 70), and full irrigation at 100% crop water requirement (FI 100). The amendment treatments consisted of three different types of organic amendments: groundnut shell biochar (B), poultry manure (PM), and a combination of both (PMB), with a control group (NPMB) that received no amendments.</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Application of the PMB amendment significantly improved soil quality indicators, including pH, electrical conductivity (EC), total organic carbon (TOC), available water content (AWC), and key macronutrients such as total nitrogen content (TNC), potassium (K), phosphorus (P), calcium (Ca), and magnesium (Mg), when compared to individual applications of B, PM, and the NPMB control.</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The inclusion of biochar (B) notably enhanced soil hydraulic conductivity and reduced bulk density relative to other treatments, contributing to improved soil structure and water retention.</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The highest yield production (27.79 tons/ha) was observed under full irrigation (FI100) with the PMB amendment. This was statistically similar to the yield observed under regulated deficit irrigation (RDI 70) with PMB (27.75 tons/ha)</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The lowest yield (5.41 tons/ha) was recorded under sustained deficit irrigation (SDI 70) in the NPMB treatment, highlighting the negative effect of insufficient water availability combined with the lack of organic amendments.</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 xml:space="preserve">The highest water </w:t>
      </w:r>
      <w:proofErr w:type="gramStart"/>
      <w:r w:rsidRPr="00BC057A">
        <w:rPr>
          <w:rFonts w:ascii="Times New Roman" w:eastAsia="Times New Roman" w:hAnsi="Times New Roman" w:cs="Times New Roman"/>
          <w:sz w:val="24"/>
          <w:szCs w:val="24"/>
        </w:rPr>
        <w:t>use</w:t>
      </w:r>
      <w:proofErr w:type="gramEnd"/>
      <w:r w:rsidRPr="00BC057A">
        <w:rPr>
          <w:rFonts w:ascii="Times New Roman" w:eastAsia="Times New Roman" w:hAnsi="Times New Roman" w:cs="Times New Roman"/>
          <w:sz w:val="24"/>
          <w:szCs w:val="24"/>
        </w:rPr>
        <w:t xml:space="preserve"> efficiency (WUE) (4.82 kg/m³) was observed under the RDI 70 treatment with PMB, indicating that water-saving irrigation techniques, when combined with the appropriate amendments, can enhance the efficiency of water use in garden egg cultivation.</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Conversely, the lowest WUE (0.98 kg/m³) was recorded under FI100 in the NPMB treatment, demonstrating that excessive irrigation without the addition of organic amendments leads to inefficient water use.</w:t>
      </w:r>
    </w:p>
    <w:p w14:paraId="55EDECAD" w14:textId="7BAFDB1C" w:rsidR="00FB63FB" w:rsidRPr="00AD6585" w:rsidRDefault="007609BD" w:rsidP="00AD6585">
      <w:pPr>
        <w:spacing w:after="160" w:line="278" w:lineRule="auto"/>
        <w:rPr>
          <w:rFonts w:ascii="Times New Roman" w:eastAsia="Times New Roman" w:hAnsi="Times New Roman" w:cs="Times New Roman"/>
          <w:sz w:val="24"/>
          <w:szCs w:val="24"/>
        </w:rPr>
      </w:pPr>
      <w:r w:rsidRPr="007609BD">
        <w:rPr>
          <w:rFonts w:ascii="Times New Roman" w:eastAsia="Times New Roman" w:hAnsi="Times New Roman" w:cs="Times New Roman"/>
          <w:b/>
          <w:bCs/>
          <w:sz w:val="24"/>
          <w:szCs w:val="24"/>
        </w:rPr>
        <w:t>Keyword</w:t>
      </w:r>
      <w:r>
        <w:rPr>
          <w:rFonts w:ascii="Times New Roman" w:eastAsia="Times New Roman" w:hAnsi="Times New Roman" w:cs="Times New Roman"/>
          <w:b/>
          <w:bCs/>
          <w:sz w:val="24"/>
          <w:szCs w:val="24"/>
        </w:rPr>
        <w:t>s</w:t>
      </w:r>
      <w:r w:rsidRPr="007609BD">
        <w:rPr>
          <w:rFonts w:ascii="Times New Roman" w:eastAsia="Times New Roman" w:hAnsi="Times New Roman" w:cs="Times New Roman"/>
          <w:b/>
          <w:bCs/>
          <w:sz w:val="24"/>
          <w:szCs w:val="24"/>
        </w:rPr>
        <w:t>:</w:t>
      </w:r>
      <w:r w:rsidRPr="007609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7609BD">
        <w:rPr>
          <w:rFonts w:ascii="Times New Roman" w:eastAsia="Times New Roman" w:hAnsi="Times New Roman" w:cs="Times New Roman"/>
          <w:sz w:val="24"/>
          <w:szCs w:val="24"/>
        </w:rPr>
        <w:t xml:space="preserve">arden egg, </w:t>
      </w:r>
      <w:r>
        <w:rPr>
          <w:rFonts w:ascii="Times New Roman" w:eastAsia="Times New Roman" w:hAnsi="Times New Roman" w:cs="Times New Roman"/>
          <w:sz w:val="24"/>
          <w:szCs w:val="24"/>
        </w:rPr>
        <w:t>i</w:t>
      </w:r>
      <w:r w:rsidRPr="007609BD">
        <w:rPr>
          <w:rFonts w:ascii="Times New Roman" w:eastAsia="Times New Roman" w:hAnsi="Times New Roman" w:cs="Times New Roman"/>
          <w:sz w:val="24"/>
          <w:szCs w:val="24"/>
        </w:rPr>
        <w:t xml:space="preserve">rrigation regimes, </w:t>
      </w:r>
      <w:r>
        <w:rPr>
          <w:rFonts w:ascii="Times New Roman" w:eastAsia="Times New Roman" w:hAnsi="Times New Roman" w:cs="Times New Roman"/>
          <w:sz w:val="24"/>
          <w:szCs w:val="24"/>
        </w:rPr>
        <w:t>organic soil amendments techniques, s</w:t>
      </w:r>
      <w:r w:rsidRPr="007609BD">
        <w:rPr>
          <w:rFonts w:ascii="Times New Roman" w:eastAsia="Times New Roman" w:hAnsi="Times New Roman" w:cs="Times New Roman"/>
          <w:sz w:val="24"/>
          <w:szCs w:val="24"/>
        </w:rPr>
        <w:t>oil physi</w:t>
      </w:r>
      <w:r>
        <w:rPr>
          <w:rFonts w:ascii="Times New Roman" w:eastAsia="Times New Roman" w:hAnsi="Times New Roman" w:cs="Times New Roman"/>
          <w:sz w:val="24"/>
          <w:szCs w:val="24"/>
        </w:rPr>
        <w:t>c</w:t>
      </w:r>
      <w:r w:rsidRPr="007609BD">
        <w:rPr>
          <w:rFonts w:ascii="Times New Roman" w:eastAsia="Times New Roman" w:hAnsi="Times New Roman" w:cs="Times New Roman"/>
          <w:sz w:val="24"/>
          <w:szCs w:val="24"/>
        </w:rPr>
        <w:t>ochemical properties, and water use efficiency</w:t>
      </w:r>
    </w:p>
    <w:p w14:paraId="2E3AA474" w14:textId="5D4CFAC4" w:rsidR="00FB63FB" w:rsidRPr="002D35F9" w:rsidRDefault="00AF146E" w:rsidP="00AF146E">
      <w:pPr>
        <w:spacing w:after="0"/>
        <w:jc w:val="both"/>
        <w:rPr>
          <w:rFonts w:ascii="Times New Roman" w:hAnsi="Times New Roman" w:cs="Times New Roman"/>
          <w:b/>
          <w:bCs/>
          <w:sz w:val="24"/>
          <w:szCs w:val="24"/>
        </w:rPr>
      </w:pPr>
      <w:r w:rsidRPr="002D35F9">
        <w:rPr>
          <w:rFonts w:ascii="Times New Roman" w:hAnsi="Times New Roman" w:cs="Times New Roman"/>
          <w:b/>
          <w:bCs/>
          <w:sz w:val="24"/>
          <w:szCs w:val="24"/>
        </w:rPr>
        <w:t>INTRODUCTION</w:t>
      </w:r>
    </w:p>
    <w:p w14:paraId="539488A6" w14:textId="77777777" w:rsidR="00E4224B" w:rsidRPr="00E4224B" w:rsidRDefault="00E4224B" w:rsidP="000D7612">
      <w:pPr>
        <w:spacing w:after="0"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The Gilo group garden egg (</w:t>
      </w:r>
      <w:r w:rsidRPr="00E4224B">
        <w:rPr>
          <w:rFonts w:ascii="Times New Roman" w:eastAsia="Times New Roman" w:hAnsi="Times New Roman" w:cs="Times New Roman"/>
          <w:i/>
          <w:iCs/>
          <w:sz w:val="24"/>
          <w:szCs w:val="24"/>
        </w:rPr>
        <w:t xml:space="preserve">Solanum </w:t>
      </w:r>
      <w:proofErr w:type="spellStart"/>
      <w:r w:rsidRPr="00E4224B">
        <w:rPr>
          <w:rFonts w:ascii="Times New Roman" w:eastAsia="Times New Roman" w:hAnsi="Times New Roman" w:cs="Times New Roman"/>
          <w:i/>
          <w:iCs/>
          <w:sz w:val="24"/>
          <w:szCs w:val="24"/>
        </w:rPr>
        <w:t>aethiopicum</w:t>
      </w:r>
      <w:proofErr w:type="spellEnd"/>
      <w:r w:rsidRPr="00E4224B">
        <w:rPr>
          <w:rFonts w:ascii="Times New Roman" w:eastAsia="Times New Roman" w:hAnsi="Times New Roman" w:cs="Times New Roman"/>
          <w:sz w:val="24"/>
          <w:szCs w:val="24"/>
        </w:rPr>
        <w:t xml:space="preserve">) is widely cultivated by Ghanaian farmers and is indigenous to tropical Africa (Olubunmi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2017). Its fresh weight consists of 92.7% moisture, 1.4% protein, 1.3% fiber, 0.3% fat, 0.3% minerals, and the remaining 4% is composed of various carbohydrates and vitamins (A and C). Similarly, eggplant contains significant nutrients such as dietary fiber, folate, ascorbic acid, vitamin K, niacin, vitamin B6, pantothenic acid, potassium, iron, magnesium, manganese, phosphorus, and copper (Olubunmi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2017). In Ghana, it is a primary source of income for many rural households, particularly in the forest zone (Darko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2019).</w:t>
      </w:r>
    </w:p>
    <w:p w14:paraId="044B3627" w14:textId="48923D58"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lastRenderedPageBreak/>
        <w:t>However, northern Ghana faces challenges due to its short rainy season, exacerbated by the effects of climate change (</w:t>
      </w:r>
      <w:proofErr w:type="spellStart"/>
      <w:r w:rsidRPr="00E4224B">
        <w:rPr>
          <w:rFonts w:ascii="Times New Roman" w:eastAsia="Times New Roman" w:hAnsi="Times New Roman" w:cs="Times New Roman"/>
          <w:sz w:val="24"/>
          <w:szCs w:val="24"/>
        </w:rPr>
        <w:t>Gbangou</w:t>
      </w:r>
      <w:proofErr w:type="spellEnd"/>
      <w:r w:rsidRPr="00E4224B">
        <w:rPr>
          <w:rFonts w:ascii="Times New Roman" w:eastAsia="Times New Roman" w:hAnsi="Times New Roman" w:cs="Times New Roman"/>
          <w:sz w:val="24"/>
          <w:szCs w:val="24"/>
        </w:rPr>
        <w:t xml:space="preserve">, 2020). The climate in Northern Ghana, influenced by the West African monsoon winds, creates a unimodal rainfall pattern, which is often insufficient to meet year-round food requirements. This leads to food insecurity for nearly four to five months each year. The unpredictable rainfall significantly impacts agriculture, which is the primary livelihood for most rural households (Nyamekye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2021). Farmers relying on rainfed agriculture often struggle to produce efficiently, further contributing to food insecurity (</w:t>
      </w:r>
      <w:proofErr w:type="spellStart"/>
      <w:r w:rsidRPr="00E4224B">
        <w:rPr>
          <w:rFonts w:ascii="Times New Roman" w:eastAsia="Times New Roman" w:hAnsi="Times New Roman" w:cs="Times New Roman"/>
          <w:sz w:val="24"/>
          <w:szCs w:val="24"/>
        </w:rPr>
        <w:t>Dakpalah</w:t>
      </w:r>
      <w:proofErr w:type="spellEnd"/>
      <w:r w:rsidRPr="00E4224B">
        <w:rPr>
          <w:rFonts w:ascii="Times New Roman" w:eastAsia="Times New Roman" w:hAnsi="Times New Roman" w:cs="Times New Roman"/>
          <w:sz w:val="24"/>
          <w:szCs w:val="24"/>
        </w:rPr>
        <w:t xml:space="preserv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2018).</w:t>
      </w:r>
    </w:p>
    <w:p w14:paraId="54693495" w14:textId="27133E35"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 xml:space="preserve">Irrigation is an essential technique to mitigate these challenges in </w:t>
      </w:r>
      <w:r w:rsidR="00760576">
        <w:rPr>
          <w:rFonts w:ascii="Times New Roman" w:eastAsia="Times New Roman" w:hAnsi="Times New Roman" w:cs="Times New Roman"/>
          <w:sz w:val="24"/>
          <w:szCs w:val="24"/>
        </w:rPr>
        <w:t>n</w:t>
      </w:r>
      <w:r w:rsidRPr="00E4224B">
        <w:rPr>
          <w:rFonts w:ascii="Times New Roman" w:eastAsia="Times New Roman" w:hAnsi="Times New Roman" w:cs="Times New Roman"/>
          <w:sz w:val="24"/>
          <w:szCs w:val="24"/>
        </w:rPr>
        <w:t>orthern Ghana (Baldwin and Stwalley, 2022). Technological farming practices, including improved irrigation and soil amendment techniques, can enhance agricultural productivity and improve food security. The use of deficit irrigation, which reduces water application below the crop’s full evapotranspiration (ET) needs, is one such strategy that optimizes water use efficiency (WUE) and reduces overall irrigation requirements (</w:t>
      </w:r>
      <w:proofErr w:type="spellStart"/>
      <w:r w:rsidRPr="00E4224B">
        <w:rPr>
          <w:rFonts w:ascii="Times New Roman" w:eastAsia="Times New Roman" w:hAnsi="Times New Roman" w:cs="Times New Roman"/>
          <w:sz w:val="24"/>
          <w:szCs w:val="24"/>
        </w:rPr>
        <w:t>Alomran</w:t>
      </w:r>
      <w:proofErr w:type="spellEnd"/>
      <w:r w:rsidRPr="00E4224B">
        <w:rPr>
          <w:rFonts w:ascii="Times New Roman" w:eastAsia="Times New Roman" w:hAnsi="Times New Roman" w:cs="Times New Roman"/>
          <w:sz w:val="24"/>
          <w:szCs w:val="24"/>
        </w:rPr>
        <w:t xml:space="preserve"> and </w:t>
      </w:r>
      <w:proofErr w:type="spellStart"/>
      <w:r w:rsidRPr="00E4224B">
        <w:rPr>
          <w:rFonts w:ascii="Times New Roman" w:eastAsia="Times New Roman" w:hAnsi="Times New Roman" w:cs="Times New Roman"/>
          <w:sz w:val="24"/>
          <w:szCs w:val="24"/>
        </w:rPr>
        <w:t>Louki</w:t>
      </w:r>
      <w:proofErr w:type="spellEnd"/>
      <w:r w:rsidRPr="00E4224B">
        <w:rPr>
          <w:rFonts w:ascii="Times New Roman" w:eastAsia="Times New Roman" w:hAnsi="Times New Roman" w:cs="Times New Roman"/>
          <w:sz w:val="24"/>
          <w:szCs w:val="24"/>
        </w:rPr>
        <w:t xml:space="preserve">, 2011; Zhao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2019). This strategy, which applies water at a reduced rate during non-critical growth stages and full irrigation during critical plant development stages, has been recognized as a sustainable approach to water management (Capra and </w:t>
      </w:r>
      <w:proofErr w:type="spellStart"/>
      <w:r w:rsidRPr="00E4224B">
        <w:rPr>
          <w:rFonts w:ascii="Times New Roman" w:eastAsia="Times New Roman" w:hAnsi="Times New Roman" w:cs="Times New Roman"/>
          <w:sz w:val="24"/>
          <w:szCs w:val="24"/>
        </w:rPr>
        <w:t>Consoli</w:t>
      </w:r>
      <w:proofErr w:type="spellEnd"/>
      <w:r w:rsidRPr="00E4224B">
        <w:rPr>
          <w:rFonts w:ascii="Times New Roman" w:eastAsia="Times New Roman" w:hAnsi="Times New Roman" w:cs="Times New Roman"/>
          <w:sz w:val="24"/>
          <w:szCs w:val="24"/>
        </w:rPr>
        <w:t xml:space="preserve">, 2015; </w:t>
      </w:r>
      <w:proofErr w:type="spellStart"/>
      <w:r w:rsidRPr="00E4224B">
        <w:rPr>
          <w:rFonts w:ascii="Times New Roman" w:eastAsia="Times New Roman" w:hAnsi="Times New Roman" w:cs="Times New Roman"/>
          <w:sz w:val="24"/>
          <w:szCs w:val="24"/>
        </w:rPr>
        <w:t>Abdalltif</w:t>
      </w:r>
      <w:proofErr w:type="spellEnd"/>
      <w:r w:rsidRPr="00E4224B">
        <w:rPr>
          <w:rFonts w:ascii="Times New Roman" w:eastAsia="Times New Roman" w:hAnsi="Times New Roman" w:cs="Times New Roman"/>
          <w:sz w:val="24"/>
          <w:szCs w:val="24"/>
        </w:rPr>
        <w:t>, 2018).</w:t>
      </w:r>
    </w:p>
    <w:p w14:paraId="63131DBB" w14:textId="68BFD479"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 xml:space="preserve">Incorporating soil amendments, such as biochar, can further enhance water use efficiency and improve soil fertility. Biochar, a highly effective soil amendment, has been shown to promote soil fertility, aid in carbon sequestration, and enhance water retention and nutrient availability, particularly in sandy loam soils with low fertility (Gwenzi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2015</w:t>
      </w:r>
      <w:r w:rsidR="00D15167">
        <w:rPr>
          <w:rFonts w:ascii="Times New Roman" w:eastAsia="Times New Roman" w:hAnsi="Times New Roman" w:cs="Times New Roman"/>
          <w:sz w:val="24"/>
          <w:szCs w:val="24"/>
        </w:rPr>
        <w:t>).</w:t>
      </w:r>
      <w:r w:rsidRPr="00E4224B">
        <w:rPr>
          <w:rFonts w:ascii="Times New Roman" w:eastAsia="Times New Roman" w:hAnsi="Times New Roman" w:cs="Times New Roman"/>
          <w:sz w:val="24"/>
          <w:szCs w:val="24"/>
        </w:rPr>
        <w:t xml:space="preserve"> Biochar’s macropore structure and surface properties, such as pH, cation exchange capacity (CEC), and surface group functionality, contribute to its water retention and nutrient adsorption capacity. These properties create a conducive environment for soil microorganisms, including mycorrhizae and bacteria, which further improve soil structure and nutrient cycling</w:t>
      </w:r>
      <w:r w:rsidR="00D15167">
        <w:rPr>
          <w:rFonts w:ascii="Times New Roman" w:eastAsia="Times New Roman" w:hAnsi="Times New Roman" w:cs="Times New Roman"/>
          <w:sz w:val="24"/>
          <w:szCs w:val="24"/>
        </w:rPr>
        <w:t xml:space="preserve"> (</w:t>
      </w:r>
      <w:proofErr w:type="spellStart"/>
      <w:r w:rsidR="00D15167" w:rsidRPr="00E4224B">
        <w:rPr>
          <w:rFonts w:ascii="Times New Roman" w:eastAsia="Times New Roman" w:hAnsi="Times New Roman" w:cs="Times New Roman"/>
          <w:sz w:val="24"/>
          <w:szCs w:val="24"/>
        </w:rPr>
        <w:t>Kätterer</w:t>
      </w:r>
      <w:proofErr w:type="spellEnd"/>
      <w:r w:rsidR="00D15167" w:rsidRPr="00E4224B">
        <w:rPr>
          <w:rFonts w:ascii="Times New Roman" w:eastAsia="Times New Roman" w:hAnsi="Times New Roman" w:cs="Times New Roman"/>
          <w:sz w:val="24"/>
          <w:szCs w:val="24"/>
        </w:rPr>
        <w:t xml:space="preserve"> </w:t>
      </w:r>
      <w:r w:rsidR="00D15167" w:rsidRPr="00E4224B">
        <w:rPr>
          <w:rFonts w:ascii="Times New Roman" w:eastAsia="Times New Roman" w:hAnsi="Times New Roman" w:cs="Times New Roman"/>
          <w:i/>
          <w:iCs/>
          <w:sz w:val="24"/>
          <w:szCs w:val="24"/>
        </w:rPr>
        <w:t>et al.,</w:t>
      </w:r>
      <w:r w:rsidR="00D15167" w:rsidRPr="00E4224B">
        <w:rPr>
          <w:rFonts w:ascii="Times New Roman" w:eastAsia="Times New Roman" w:hAnsi="Times New Roman" w:cs="Times New Roman"/>
          <w:sz w:val="24"/>
          <w:szCs w:val="24"/>
        </w:rPr>
        <w:t xml:space="preserve"> 2019).</w:t>
      </w:r>
    </w:p>
    <w:p w14:paraId="6F687475" w14:textId="77777777"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The combination of biochar and poultry manure offers a promising integrated soil fertility management system. Poultry manure is rich in essential nutrients like nitrogen (N), phosphorus (P), potassium (K), calcium (Ca), magnesium (Mg), sulfur (S), manganese (Mn), copper (Cu), zinc (Zn), chlorine (Cl), boron (B), iron (Fe), and molybdenum (Mo). The nutrient composition of poultry manure varies depending on factors such as the age of the poultry, the type of feed, water intake, and cleaning practices (Solomon and Lehmann, 2019). When combined, biochar and poultry manure can significantly enhance soil fertility and promote higher garden egg yields by providing both macronutrients and micronutrients necessary for plant growth.</w:t>
      </w:r>
    </w:p>
    <w:p w14:paraId="1548B16E" w14:textId="77777777"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The integration of deficit irrigation strategies with organic amendments such as biochar and poultry manure can substantially improve soil fertility, increase water use efficiency, and boost agricultural productivity, especially in Northern Ghana, where climate-induced water scarcity is a persistent challenge. These innovative techniques offer a pathway to improving food security and livelihoods for rural farmers in the region.</w:t>
      </w:r>
    </w:p>
    <w:p w14:paraId="223F8134" w14:textId="24D6AF64" w:rsidR="00605E9A" w:rsidRDefault="004412E3" w:rsidP="001A1039">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2866AB08" w14:textId="22E19DCB" w:rsidR="00E168A5" w:rsidRPr="00E168A5" w:rsidRDefault="00E168A5" w:rsidP="00182E54">
      <w:pPr>
        <w:spacing w:after="0" w:line="240" w:lineRule="auto"/>
        <w:jc w:val="both"/>
        <w:rPr>
          <w:rFonts w:ascii="Times New Roman" w:eastAsia="Times New Roman" w:hAnsi="Times New Roman" w:cs="Times New Roman"/>
          <w:b/>
          <w:bCs/>
          <w:sz w:val="24"/>
          <w:szCs w:val="24"/>
        </w:rPr>
      </w:pPr>
      <w:r w:rsidRPr="00E168A5">
        <w:rPr>
          <w:rFonts w:ascii="Times New Roman" w:eastAsia="Times New Roman" w:hAnsi="Times New Roman" w:cs="Times New Roman"/>
          <w:b/>
          <w:bCs/>
          <w:sz w:val="24"/>
          <w:szCs w:val="24"/>
        </w:rPr>
        <w:t>Study Area</w:t>
      </w:r>
    </w:p>
    <w:p w14:paraId="5D47E16D" w14:textId="6F71708F" w:rsidR="002C7D5D" w:rsidRDefault="002C7D5D" w:rsidP="00E168A5">
      <w:pPr>
        <w:spacing w:after="0" w:line="240" w:lineRule="auto"/>
        <w:jc w:val="both"/>
        <w:rPr>
          <w:rFonts w:ascii="Times New Roman" w:eastAsia="Times New Roman" w:hAnsi="Times New Roman" w:cs="Times New Roman"/>
          <w:sz w:val="24"/>
          <w:szCs w:val="24"/>
        </w:rPr>
      </w:pPr>
      <w:r w:rsidRPr="002C7D5D">
        <w:rPr>
          <w:rFonts w:ascii="Times New Roman" w:eastAsia="Times New Roman" w:hAnsi="Times New Roman" w:cs="Times New Roman"/>
          <w:sz w:val="24"/>
          <w:szCs w:val="24"/>
        </w:rPr>
        <w:t xml:space="preserve">The study was conducted at the Experimental Field of the West African Centre for Water, Irrigation, and Sustainable Agriculture (WACWISA) at Nyankpala Campus, located in the </w:t>
      </w:r>
      <w:r w:rsidRPr="002C7D5D">
        <w:rPr>
          <w:rFonts w:ascii="Times New Roman" w:eastAsia="Times New Roman" w:hAnsi="Times New Roman" w:cs="Times New Roman"/>
          <w:sz w:val="24"/>
          <w:szCs w:val="24"/>
        </w:rPr>
        <w:lastRenderedPageBreak/>
        <w:t xml:space="preserve">Northern Region of Ghana. Nyankpala Campus is situated in the Guinea Savanna </w:t>
      </w:r>
      <w:proofErr w:type="spellStart"/>
      <w:r w:rsidRPr="002C7D5D">
        <w:rPr>
          <w:rFonts w:ascii="Times New Roman" w:eastAsia="Times New Roman" w:hAnsi="Times New Roman" w:cs="Times New Roman"/>
          <w:sz w:val="24"/>
          <w:szCs w:val="24"/>
        </w:rPr>
        <w:t>Agro</w:t>
      </w:r>
      <w:proofErr w:type="spellEnd"/>
      <w:r w:rsidRPr="002C7D5D">
        <w:rPr>
          <w:rFonts w:ascii="Times New Roman" w:eastAsia="Times New Roman" w:hAnsi="Times New Roman" w:cs="Times New Roman"/>
          <w:sz w:val="24"/>
          <w:szCs w:val="24"/>
        </w:rPr>
        <w:t>-ecological Zone, approximately 16 km west of Tamale, with coordinates at latitude 09º 25' N and longitude 0º 58' W, and an elevation of 200 meters above sea level. The climate of Northern Ghana is characterized by a unimodal rainfall pattern, with total annual rainfall ranging from 1000 to 1200 mm. The rainy season typically lasts between 140 and 190 days, with peak rainfall occurring in August and September. The period from November to May is notably dry, presenting significant challenges for water availability in both household and agricultural sectors</w:t>
      </w:r>
      <w:r w:rsidR="002C041A">
        <w:rPr>
          <w:rFonts w:ascii="Times New Roman" w:eastAsia="Times New Roman" w:hAnsi="Times New Roman" w:cs="Times New Roman"/>
          <w:sz w:val="24"/>
          <w:szCs w:val="24"/>
        </w:rPr>
        <w:t xml:space="preserve"> (SARI, 2014)</w:t>
      </w:r>
      <w:r w:rsidRPr="002C7D5D">
        <w:rPr>
          <w:rFonts w:ascii="Times New Roman" w:eastAsia="Times New Roman" w:hAnsi="Times New Roman" w:cs="Times New Roman"/>
          <w:sz w:val="24"/>
          <w:szCs w:val="24"/>
        </w:rPr>
        <w:t xml:space="preserve">. A map of the study area is presented in Figure </w:t>
      </w:r>
      <w:r>
        <w:rPr>
          <w:rFonts w:ascii="Times New Roman" w:eastAsia="Times New Roman" w:hAnsi="Times New Roman" w:cs="Times New Roman"/>
          <w:sz w:val="24"/>
          <w:szCs w:val="24"/>
        </w:rPr>
        <w:t>1</w:t>
      </w:r>
      <w:r w:rsidRPr="002C7D5D">
        <w:rPr>
          <w:rFonts w:ascii="Times New Roman" w:eastAsia="Times New Roman" w:hAnsi="Times New Roman" w:cs="Times New Roman"/>
          <w:sz w:val="24"/>
          <w:szCs w:val="24"/>
        </w:rPr>
        <w:t>.</w:t>
      </w:r>
    </w:p>
    <w:p w14:paraId="41D144F7" w14:textId="77777777" w:rsidR="00AD41B6" w:rsidRPr="002C7D5D" w:rsidRDefault="00AD41B6" w:rsidP="00E168A5">
      <w:pPr>
        <w:spacing w:after="0" w:line="240" w:lineRule="auto"/>
        <w:jc w:val="both"/>
        <w:rPr>
          <w:rFonts w:ascii="Times New Roman" w:eastAsia="Times New Roman" w:hAnsi="Times New Roman" w:cs="Times New Roman"/>
          <w:sz w:val="24"/>
          <w:szCs w:val="24"/>
        </w:rPr>
      </w:pPr>
    </w:p>
    <w:p w14:paraId="66130F03" w14:textId="77777777" w:rsidR="002C7D5D" w:rsidRPr="002C7D5D" w:rsidRDefault="002C7D5D" w:rsidP="00F30A5F">
      <w:pPr>
        <w:spacing w:after="0"/>
        <w:jc w:val="both"/>
        <w:rPr>
          <w:rFonts w:ascii="Times New Roman" w:hAnsi="Times New Roman" w:cs="Times New Roman"/>
          <w:sz w:val="24"/>
          <w:szCs w:val="24"/>
        </w:rPr>
      </w:pPr>
      <w:r w:rsidRPr="002C7D5D">
        <w:rPr>
          <w:rFonts w:ascii="Times New Roman" w:hAnsi="Times New Roman" w:cs="Times New Roman"/>
          <w:noProof/>
          <w:sz w:val="24"/>
          <w:szCs w:val="24"/>
        </w:rPr>
        <w:drawing>
          <wp:inline distT="0" distB="0" distL="0" distR="0" wp14:anchorId="52620798" wp14:editId="15CA3CD8">
            <wp:extent cx="5943600" cy="34480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pic:spPr>
                </pic:pic>
              </a:graphicData>
            </a:graphic>
          </wp:inline>
        </w:drawing>
      </w:r>
    </w:p>
    <w:p w14:paraId="16A4948F" w14:textId="16A12620" w:rsidR="00086820" w:rsidRDefault="002C7D5D" w:rsidP="00F30A5F">
      <w:pPr>
        <w:spacing w:after="0" w:line="240" w:lineRule="auto"/>
        <w:rPr>
          <w:rFonts w:ascii="Times New Roman" w:hAnsi="Times New Roman" w:cs="Times New Roman"/>
          <w:iCs/>
          <w:sz w:val="24"/>
          <w:szCs w:val="24"/>
        </w:rPr>
      </w:pPr>
      <w:bookmarkStart w:id="0" w:name="_Toc141885046"/>
      <w:bookmarkStart w:id="1" w:name="_Toc141926259"/>
      <w:r w:rsidRPr="002C7D5D">
        <w:rPr>
          <w:rFonts w:ascii="Times New Roman" w:hAnsi="Times New Roman"/>
          <w:b/>
          <w:iCs/>
          <w:sz w:val="24"/>
          <w:szCs w:val="18"/>
        </w:rPr>
        <w:t xml:space="preserve">Figure </w:t>
      </w:r>
      <w:r w:rsidRPr="002C7D5D">
        <w:rPr>
          <w:rFonts w:ascii="Times New Roman" w:hAnsi="Times New Roman"/>
          <w:b/>
          <w:iCs/>
          <w:sz w:val="24"/>
          <w:szCs w:val="18"/>
        </w:rPr>
        <w:fldChar w:fldCharType="begin"/>
      </w:r>
      <w:r w:rsidRPr="002C7D5D">
        <w:rPr>
          <w:rFonts w:ascii="Times New Roman" w:hAnsi="Times New Roman"/>
          <w:b/>
          <w:iCs/>
          <w:sz w:val="24"/>
          <w:szCs w:val="18"/>
        </w:rPr>
        <w:instrText xml:space="preserve"> SEQ Figure_3. \* ARABIC </w:instrText>
      </w:r>
      <w:r w:rsidRPr="002C7D5D">
        <w:rPr>
          <w:rFonts w:ascii="Times New Roman" w:hAnsi="Times New Roman"/>
          <w:b/>
          <w:iCs/>
          <w:sz w:val="24"/>
          <w:szCs w:val="18"/>
        </w:rPr>
        <w:fldChar w:fldCharType="separate"/>
      </w:r>
      <w:r w:rsidR="00743553">
        <w:rPr>
          <w:rFonts w:ascii="Times New Roman" w:hAnsi="Times New Roman"/>
          <w:b/>
          <w:iCs/>
          <w:noProof/>
          <w:sz w:val="24"/>
          <w:szCs w:val="18"/>
        </w:rPr>
        <w:t>1</w:t>
      </w:r>
      <w:r w:rsidRPr="002C7D5D">
        <w:rPr>
          <w:rFonts w:ascii="Times New Roman" w:hAnsi="Times New Roman"/>
          <w:b/>
          <w:iCs/>
          <w:noProof/>
          <w:sz w:val="24"/>
          <w:szCs w:val="18"/>
        </w:rPr>
        <w:fldChar w:fldCharType="end"/>
      </w:r>
      <w:r w:rsidRPr="002C7D5D">
        <w:rPr>
          <w:rFonts w:ascii="Times New Roman" w:hAnsi="Times New Roman" w:cs="Times New Roman"/>
          <w:b/>
          <w:bCs/>
          <w:iCs/>
          <w:sz w:val="24"/>
          <w:szCs w:val="24"/>
        </w:rPr>
        <w:t xml:space="preserve">: </w:t>
      </w:r>
      <w:r w:rsidRPr="00F30A5F">
        <w:rPr>
          <w:rFonts w:ascii="Times New Roman" w:hAnsi="Times New Roman" w:cs="Times New Roman"/>
          <w:iCs/>
          <w:sz w:val="24"/>
          <w:szCs w:val="24"/>
        </w:rPr>
        <w:t xml:space="preserve">Map of </w:t>
      </w:r>
      <w:r w:rsidR="00AD41B6" w:rsidRPr="00F30A5F">
        <w:rPr>
          <w:rFonts w:ascii="Times New Roman" w:hAnsi="Times New Roman" w:cs="Times New Roman"/>
          <w:iCs/>
          <w:sz w:val="24"/>
          <w:szCs w:val="24"/>
        </w:rPr>
        <w:t>Study Area-</w:t>
      </w:r>
      <w:r w:rsidRPr="00F30A5F">
        <w:rPr>
          <w:rFonts w:ascii="Times New Roman" w:hAnsi="Times New Roman" w:cs="Times New Roman"/>
          <w:iCs/>
          <w:sz w:val="24"/>
          <w:szCs w:val="24"/>
        </w:rPr>
        <w:t>WACWISA Experimental Field</w:t>
      </w:r>
      <w:bookmarkEnd w:id="0"/>
      <w:bookmarkEnd w:id="1"/>
    </w:p>
    <w:p w14:paraId="3ECB968C" w14:textId="77777777" w:rsidR="00F30A5F" w:rsidRPr="002E1AF7" w:rsidRDefault="00F30A5F" w:rsidP="00F30A5F">
      <w:pPr>
        <w:spacing w:after="0" w:line="240" w:lineRule="auto"/>
        <w:rPr>
          <w:rFonts w:ascii="Times New Roman" w:hAnsi="Times New Roman" w:cs="Times New Roman"/>
          <w:bCs/>
          <w:iCs/>
          <w:sz w:val="24"/>
          <w:szCs w:val="24"/>
        </w:rPr>
      </w:pPr>
    </w:p>
    <w:p w14:paraId="1FB04292" w14:textId="1F87EC71" w:rsidR="003A4B69" w:rsidRPr="001E1F80" w:rsidRDefault="003A4B69" w:rsidP="003A4B69">
      <w:pPr>
        <w:spacing w:after="0" w:line="240" w:lineRule="auto"/>
        <w:jc w:val="both"/>
        <w:rPr>
          <w:rFonts w:ascii="Times New Roman" w:hAnsi="Times New Roman" w:cs="Times New Roman"/>
          <w:b/>
          <w:bCs/>
          <w:sz w:val="24"/>
          <w:szCs w:val="24"/>
        </w:rPr>
      </w:pPr>
      <w:r w:rsidRPr="001E1F80">
        <w:rPr>
          <w:rFonts w:ascii="Times New Roman" w:hAnsi="Times New Roman" w:cs="Times New Roman"/>
          <w:b/>
          <w:bCs/>
          <w:sz w:val="24"/>
          <w:szCs w:val="24"/>
        </w:rPr>
        <w:t>Experiment</w:t>
      </w:r>
      <w:r>
        <w:rPr>
          <w:rFonts w:ascii="Times New Roman" w:hAnsi="Times New Roman" w:cs="Times New Roman"/>
          <w:b/>
          <w:bCs/>
          <w:sz w:val="24"/>
          <w:szCs w:val="24"/>
        </w:rPr>
        <w:t>al Design, Treatment and Layout</w:t>
      </w:r>
      <w:r w:rsidRPr="001E1F80">
        <w:rPr>
          <w:rFonts w:ascii="Times New Roman" w:hAnsi="Times New Roman" w:cs="Times New Roman"/>
          <w:b/>
          <w:bCs/>
          <w:sz w:val="24"/>
          <w:szCs w:val="24"/>
        </w:rPr>
        <w:t xml:space="preserve"> </w:t>
      </w:r>
    </w:p>
    <w:p w14:paraId="47F69AA7" w14:textId="77777777" w:rsidR="003A4B69" w:rsidRDefault="003A4B69" w:rsidP="003A4B69">
      <w:pPr>
        <w:spacing w:after="0" w:line="240" w:lineRule="auto"/>
        <w:jc w:val="both"/>
        <w:rPr>
          <w:rFonts w:ascii="Times New Roman" w:hAnsi="Times New Roman" w:cs="Times New Roman"/>
          <w:sz w:val="24"/>
          <w:szCs w:val="24"/>
        </w:rPr>
      </w:pPr>
      <w:r w:rsidRPr="00833537">
        <w:rPr>
          <w:rFonts w:ascii="Times New Roman" w:hAnsi="Times New Roman" w:cs="Times New Roman"/>
          <w:sz w:val="24"/>
          <w:szCs w:val="24"/>
        </w:rPr>
        <w:t>The experiment utilized the local Gilo variety of garden egg (</w:t>
      </w:r>
      <w:r w:rsidRPr="002B555C">
        <w:rPr>
          <w:rFonts w:ascii="Times New Roman" w:hAnsi="Times New Roman" w:cs="Times New Roman"/>
          <w:i/>
          <w:iCs/>
          <w:sz w:val="24"/>
          <w:szCs w:val="24"/>
        </w:rPr>
        <w:t xml:space="preserve">Solanum </w:t>
      </w:r>
      <w:proofErr w:type="spellStart"/>
      <w:r w:rsidRPr="002B555C">
        <w:rPr>
          <w:rFonts w:ascii="Times New Roman" w:hAnsi="Times New Roman" w:cs="Times New Roman"/>
          <w:i/>
          <w:iCs/>
          <w:sz w:val="24"/>
          <w:szCs w:val="24"/>
        </w:rPr>
        <w:t>aethiopicum</w:t>
      </w:r>
      <w:proofErr w:type="spellEnd"/>
      <w:r w:rsidRPr="00833537">
        <w:rPr>
          <w:rFonts w:ascii="Times New Roman" w:hAnsi="Times New Roman" w:cs="Times New Roman"/>
          <w:sz w:val="24"/>
          <w:szCs w:val="24"/>
        </w:rPr>
        <w:t>) and was conducted in pots, each filled with 12 kg of soil. The irrigation regimes were applied as follows:</w:t>
      </w:r>
    </w:p>
    <w:p w14:paraId="5A97DAAC" w14:textId="77777777" w:rsidR="003A4B69" w:rsidRPr="00412342" w:rsidRDefault="003A4B69" w:rsidP="003A4B69">
      <w:pPr>
        <w:pStyle w:val="ListParagraph"/>
        <w:numPr>
          <w:ilvl w:val="0"/>
          <w:numId w:val="4"/>
        </w:numPr>
        <w:spacing w:after="0" w:line="240" w:lineRule="auto"/>
        <w:jc w:val="both"/>
        <w:rPr>
          <w:rFonts w:ascii="Times New Roman" w:hAnsi="Times New Roman" w:cs="Times New Roman"/>
          <w:sz w:val="24"/>
          <w:szCs w:val="24"/>
        </w:rPr>
      </w:pPr>
      <w:r w:rsidRPr="00412342">
        <w:rPr>
          <w:rFonts w:ascii="Times New Roman" w:hAnsi="Times New Roman" w:cs="Times New Roman"/>
          <w:sz w:val="24"/>
          <w:szCs w:val="24"/>
        </w:rPr>
        <w:t>Regulated Deficit Irrigation (RDI) at 70% CWR: Water deficit was applied only during non-critical growth stages, specifically during crop development and fruit enlargement.</w:t>
      </w:r>
    </w:p>
    <w:p w14:paraId="0EACE8CE" w14:textId="77777777" w:rsidR="003A4B69" w:rsidRPr="00412342" w:rsidRDefault="003A4B69" w:rsidP="003A4B69">
      <w:pPr>
        <w:pStyle w:val="ListParagraph"/>
        <w:numPr>
          <w:ilvl w:val="0"/>
          <w:numId w:val="4"/>
        </w:numPr>
        <w:spacing w:after="0" w:line="240" w:lineRule="auto"/>
        <w:jc w:val="both"/>
        <w:rPr>
          <w:rFonts w:ascii="Times New Roman" w:hAnsi="Times New Roman" w:cs="Times New Roman"/>
          <w:sz w:val="24"/>
          <w:szCs w:val="24"/>
        </w:rPr>
      </w:pPr>
      <w:r w:rsidRPr="00412342">
        <w:rPr>
          <w:rFonts w:ascii="Times New Roman" w:hAnsi="Times New Roman" w:cs="Times New Roman"/>
          <w:sz w:val="24"/>
          <w:szCs w:val="24"/>
        </w:rPr>
        <w:t>Full Irrigation (FI) at 100% CWR: Water was applied to meet full evapotranspiration during critical growth stages, such as seedling establishment, flowering, and fruiting.</w:t>
      </w:r>
    </w:p>
    <w:p w14:paraId="1A6BE507" w14:textId="77777777" w:rsidR="003A4B69" w:rsidRPr="00412342" w:rsidRDefault="003A4B69" w:rsidP="003A4B69">
      <w:pPr>
        <w:pStyle w:val="ListParagraph"/>
        <w:numPr>
          <w:ilvl w:val="0"/>
          <w:numId w:val="4"/>
        </w:numPr>
        <w:spacing w:after="0" w:line="240" w:lineRule="auto"/>
        <w:jc w:val="both"/>
        <w:rPr>
          <w:rFonts w:ascii="Times New Roman" w:hAnsi="Times New Roman" w:cs="Times New Roman"/>
          <w:sz w:val="24"/>
          <w:szCs w:val="24"/>
        </w:rPr>
      </w:pPr>
      <w:r w:rsidRPr="00412342">
        <w:rPr>
          <w:rFonts w:ascii="Times New Roman" w:hAnsi="Times New Roman" w:cs="Times New Roman"/>
          <w:sz w:val="24"/>
          <w:szCs w:val="24"/>
        </w:rPr>
        <w:t>Sustained Deficit Irrigation (SDI) at 70% CWR: Water deficit was applied throughout all growth stages, both critical and non-critical.</w:t>
      </w:r>
    </w:p>
    <w:p w14:paraId="383E0E3E" w14:textId="77777777" w:rsidR="003A4B69" w:rsidRDefault="003A4B69" w:rsidP="003A4B69">
      <w:pPr>
        <w:spacing w:after="0" w:line="240" w:lineRule="auto"/>
        <w:jc w:val="both"/>
        <w:rPr>
          <w:rFonts w:ascii="Times New Roman" w:hAnsi="Times New Roman"/>
          <w:b/>
          <w:bCs/>
          <w:sz w:val="24"/>
        </w:rPr>
      </w:pPr>
      <w:r w:rsidRPr="00833537">
        <w:rPr>
          <w:rFonts w:ascii="Times New Roman" w:hAnsi="Times New Roman" w:cs="Times New Roman"/>
          <w:sz w:val="24"/>
          <w:szCs w:val="24"/>
        </w:rPr>
        <w:t>The combination of three (3) irrigation regimes and four (4) soil amendment techniques resulted in 12 treatment combinations, which were replicated three (3) times in a split-plot design, totaling 36 experimental pots. These treatments were used to evaluate the effects of different irrigation regimes and soil amendments on the growth and yield of garden egg.</w:t>
      </w:r>
      <w:r>
        <w:rPr>
          <w:rFonts w:ascii="Times New Roman" w:hAnsi="Times New Roman" w:cs="Times New Roman"/>
          <w:sz w:val="24"/>
          <w:szCs w:val="24"/>
        </w:rPr>
        <w:t xml:space="preserve"> </w:t>
      </w:r>
      <w:r w:rsidRPr="00833537">
        <w:rPr>
          <w:rFonts w:ascii="Times New Roman" w:hAnsi="Times New Roman" w:cs="Times New Roman"/>
          <w:sz w:val="24"/>
          <w:szCs w:val="24"/>
        </w:rPr>
        <w:t>The treatments and experimental design are outlined in Table 1, while the field layout is depicted in Figure 2.</w:t>
      </w:r>
      <w:r w:rsidRPr="004D2F9F">
        <w:rPr>
          <w:rFonts w:ascii="Times New Roman" w:hAnsi="Times New Roman"/>
          <w:b/>
          <w:bCs/>
          <w:sz w:val="24"/>
        </w:rPr>
        <w:t xml:space="preserve"> </w:t>
      </w:r>
    </w:p>
    <w:p w14:paraId="3FB52C0D" w14:textId="77777777" w:rsidR="003A4B69" w:rsidRDefault="003A4B69" w:rsidP="003A4B69">
      <w:pPr>
        <w:spacing w:after="0" w:line="240" w:lineRule="auto"/>
        <w:jc w:val="both"/>
        <w:rPr>
          <w:rFonts w:ascii="Times New Roman" w:hAnsi="Times New Roman"/>
          <w:b/>
          <w:bCs/>
          <w:sz w:val="24"/>
        </w:rPr>
      </w:pPr>
    </w:p>
    <w:p w14:paraId="2467CC29" w14:textId="358C81E6" w:rsidR="003A4B69" w:rsidRPr="00F30A5F" w:rsidRDefault="003A4B69" w:rsidP="003A4B69">
      <w:pPr>
        <w:spacing w:after="0" w:line="240" w:lineRule="auto"/>
        <w:jc w:val="both"/>
        <w:rPr>
          <w:rFonts w:ascii="Times New Roman" w:hAnsi="Times New Roman" w:cs="Times New Roman"/>
          <w:sz w:val="24"/>
          <w:szCs w:val="24"/>
        </w:rPr>
      </w:pPr>
      <w:r w:rsidRPr="004D2F9F">
        <w:rPr>
          <w:rFonts w:ascii="Times New Roman" w:hAnsi="Times New Roman"/>
          <w:b/>
          <w:bCs/>
          <w:sz w:val="24"/>
        </w:rPr>
        <w:t xml:space="preserve">Table </w:t>
      </w:r>
      <w:r w:rsidRPr="004D2F9F">
        <w:rPr>
          <w:rFonts w:ascii="Times New Roman" w:hAnsi="Times New Roman"/>
          <w:b/>
          <w:bCs/>
          <w:sz w:val="24"/>
        </w:rPr>
        <w:fldChar w:fldCharType="begin"/>
      </w:r>
      <w:r w:rsidRPr="004D2F9F">
        <w:rPr>
          <w:rFonts w:ascii="Times New Roman" w:hAnsi="Times New Roman"/>
          <w:b/>
          <w:bCs/>
          <w:sz w:val="24"/>
        </w:rPr>
        <w:instrText xml:space="preserve"> SEQ Table_3. \* ARABIC </w:instrText>
      </w:r>
      <w:r w:rsidRPr="004D2F9F">
        <w:rPr>
          <w:rFonts w:ascii="Times New Roman" w:hAnsi="Times New Roman"/>
          <w:b/>
          <w:bCs/>
          <w:sz w:val="24"/>
        </w:rPr>
        <w:fldChar w:fldCharType="separate"/>
      </w:r>
      <w:r w:rsidR="00743553">
        <w:rPr>
          <w:rFonts w:ascii="Times New Roman" w:hAnsi="Times New Roman"/>
          <w:b/>
          <w:bCs/>
          <w:noProof/>
          <w:sz w:val="24"/>
        </w:rPr>
        <w:t>1</w:t>
      </w:r>
      <w:r w:rsidRPr="004D2F9F">
        <w:rPr>
          <w:rFonts w:ascii="Times New Roman" w:hAnsi="Times New Roman"/>
          <w:b/>
          <w:bCs/>
          <w:noProof/>
          <w:sz w:val="24"/>
        </w:rPr>
        <w:fldChar w:fldCharType="end"/>
      </w:r>
      <w:r w:rsidRPr="004D2F9F">
        <w:rPr>
          <w:rFonts w:ascii="Times New Roman" w:hAnsi="Times New Roman" w:cs="Times New Roman"/>
          <w:b/>
          <w:bCs/>
          <w:sz w:val="24"/>
          <w:szCs w:val="24"/>
        </w:rPr>
        <w:t xml:space="preserve">: </w:t>
      </w:r>
      <w:r w:rsidRPr="00F30A5F">
        <w:rPr>
          <w:rFonts w:ascii="Times New Roman" w:hAnsi="Times New Roman" w:cs="Times New Roman"/>
          <w:sz w:val="24"/>
          <w:szCs w:val="24"/>
        </w:rPr>
        <w:t xml:space="preserve">Experimental Treatments </w:t>
      </w:r>
    </w:p>
    <w:tbl>
      <w:tblPr>
        <w:tblW w:w="9450" w:type="dxa"/>
        <w:tblInd w:w="90" w:type="dxa"/>
        <w:tblLayout w:type="fixed"/>
        <w:tblLook w:val="04A0" w:firstRow="1" w:lastRow="0" w:firstColumn="1" w:lastColumn="0" w:noHBand="0" w:noVBand="1"/>
      </w:tblPr>
      <w:tblGrid>
        <w:gridCol w:w="630"/>
        <w:gridCol w:w="3510"/>
        <w:gridCol w:w="1980"/>
        <w:gridCol w:w="1620"/>
        <w:gridCol w:w="1710"/>
      </w:tblGrid>
      <w:tr w:rsidR="003A4B69" w:rsidRPr="004D2F9F" w14:paraId="139EA5BA" w14:textId="77777777" w:rsidTr="00D3390E">
        <w:tc>
          <w:tcPr>
            <w:tcW w:w="630" w:type="dxa"/>
            <w:tcBorders>
              <w:top w:val="single" w:sz="4" w:space="0" w:color="auto"/>
              <w:bottom w:val="single" w:sz="4" w:space="0" w:color="auto"/>
            </w:tcBorders>
          </w:tcPr>
          <w:p w14:paraId="3D1007C7" w14:textId="77777777" w:rsidR="003A4B69" w:rsidRPr="004D2F9F" w:rsidRDefault="003A4B69" w:rsidP="00D3390E">
            <w:pPr>
              <w:spacing w:after="0" w:line="24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lastRenderedPageBreak/>
              <w:t>Trt</w:t>
            </w:r>
            <w:proofErr w:type="spellEnd"/>
            <w:r>
              <w:rPr>
                <w:rFonts w:ascii="Times New Roman" w:hAnsi="Times New Roman" w:cs="Times New Roman"/>
                <w:b/>
                <w:bCs/>
                <w:sz w:val="20"/>
                <w:szCs w:val="20"/>
              </w:rPr>
              <w:t>.</w:t>
            </w:r>
          </w:p>
        </w:tc>
        <w:tc>
          <w:tcPr>
            <w:tcW w:w="3510" w:type="dxa"/>
            <w:tcBorders>
              <w:top w:val="single" w:sz="4" w:space="0" w:color="auto"/>
              <w:bottom w:val="single" w:sz="4" w:space="0" w:color="auto"/>
            </w:tcBorders>
          </w:tcPr>
          <w:p w14:paraId="2B0730B1" w14:textId="77777777" w:rsidR="003A4B69" w:rsidRPr="004D2F9F" w:rsidRDefault="003A4B69" w:rsidP="00D3390E">
            <w:pPr>
              <w:spacing w:after="0" w:line="240" w:lineRule="auto"/>
              <w:jc w:val="both"/>
              <w:rPr>
                <w:rFonts w:ascii="Times New Roman" w:hAnsi="Times New Roman" w:cs="Times New Roman"/>
                <w:b/>
                <w:bCs/>
                <w:sz w:val="20"/>
                <w:szCs w:val="20"/>
              </w:rPr>
            </w:pPr>
            <w:r w:rsidRPr="004D2F9F">
              <w:rPr>
                <w:rFonts w:ascii="Times New Roman" w:hAnsi="Times New Roman" w:cs="Times New Roman"/>
                <w:b/>
                <w:bCs/>
                <w:sz w:val="20"/>
                <w:szCs w:val="20"/>
              </w:rPr>
              <w:t>Irrigation Regime</w:t>
            </w:r>
          </w:p>
        </w:tc>
        <w:tc>
          <w:tcPr>
            <w:tcW w:w="1980" w:type="dxa"/>
            <w:tcBorders>
              <w:top w:val="single" w:sz="4" w:space="0" w:color="auto"/>
              <w:bottom w:val="single" w:sz="4" w:space="0" w:color="auto"/>
            </w:tcBorders>
          </w:tcPr>
          <w:p w14:paraId="4DE3B025" w14:textId="77777777" w:rsidR="003A4B69" w:rsidRPr="004D2F9F" w:rsidRDefault="003A4B69" w:rsidP="00D3390E">
            <w:pPr>
              <w:spacing w:after="0" w:line="240" w:lineRule="auto"/>
              <w:jc w:val="both"/>
              <w:rPr>
                <w:rFonts w:ascii="Times New Roman" w:hAnsi="Times New Roman" w:cs="Times New Roman"/>
                <w:b/>
                <w:bCs/>
                <w:sz w:val="20"/>
                <w:szCs w:val="20"/>
              </w:rPr>
            </w:pPr>
            <w:r w:rsidRPr="004D2F9F">
              <w:rPr>
                <w:rFonts w:ascii="Times New Roman" w:hAnsi="Times New Roman" w:cs="Times New Roman"/>
                <w:b/>
                <w:bCs/>
                <w:sz w:val="20"/>
                <w:szCs w:val="20"/>
              </w:rPr>
              <w:t>Biochar (B)+Soil</w:t>
            </w:r>
          </w:p>
        </w:tc>
        <w:tc>
          <w:tcPr>
            <w:tcW w:w="1620" w:type="dxa"/>
            <w:tcBorders>
              <w:top w:val="single" w:sz="4" w:space="0" w:color="auto"/>
              <w:bottom w:val="single" w:sz="4" w:space="0" w:color="auto"/>
            </w:tcBorders>
          </w:tcPr>
          <w:p w14:paraId="32E95DF9" w14:textId="77777777" w:rsidR="003A4B69" w:rsidRPr="004D2F9F" w:rsidRDefault="003A4B69" w:rsidP="00D3390E">
            <w:pPr>
              <w:spacing w:after="0" w:line="240" w:lineRule="auto"/>
              <w:rPr>
                <w:rFonts w:ascii="Times New Roman" w:hAnsi="Times New Roman" w:cs="Times New Roman"/>
                <w:b/>
                <w:bCs/>
                <w:sz w:val="20"/>
                <w:szCs w:val="20"/>
              </w:rPr>
            </w:pPr>
            <w:r w:rsidRPr="004D2F9F">
              <w:rPr>
                <w:rFonts w:ascii="Times New Roman" w:hAnsi="Times New Roman" w:cs="Times New Roman"/>
                <w:b/>
                <w:bCs/>
                <w:sz w:val="20"/>
                <w:szCs w:val="20"/>
              </w:rPr>
              <w:t>Poultry Manure (</w:t>
            </w:r>
            <w:proofErr w:type="gramStart"/>
            <w:r w:rsidRPr="004D2F9F">
              <w:rPr>
                <w:rFonts w:ascii="Times New Roman" w:hAnsi="Times New Roman" w:cs="Times New Roman"/>
                <w:b/>
                <w:bCs/>
                <w:sz w:val="20"/>
                <w:szCs w:val="20"/>
              </w:rPr>
              <w:t>PM )</w:t>
            </w:r>
            <w:proofErr w:type="gramEnd"/>
            <w:r w:rsidRPr="004D2F9F">
              <w:rPr>
                <w:rFonts w:ascii="Times New Roman" w:hAnsi="Times New Roman" w:cs="Times New Roman"/>
                <w:b/>
                <w:bCs/>
                <w:sz w:val="20"/>
                <w:szCs w:val="20"/>
              </w:rPr>
              <w:t xml:space="preserve"> + Soil</w:t>
            </w:r>
          </w:p>
        </w:tc>
        <w:tc>
          <w:tcPr>
            <w:tcW w:w="1710" w:type="dxa"/>
            <w:tcBorders>
              <w:top w:val="single" w:sz="4" w:space="0" w:color="auto"/>
              <w:bottom w:val="single" w:sz="4" w:space="0" w:color="auto"/>
            </w:tcBorders>
          </w:tcPr>
          <w:p w14:paraId="3DC6EDD4" w14:textId="77777777" w:rsidR="003A4B69" w:rsidRPr="004D2F9F" w:rsidRDefault="003A4B69" w:rsidP="00D3390E">
            <w:pPr>
              <w:spacing w:after="0" w:line="240" w:lineRule="auto"/>
              <w:jc w:val="both"/>
              <w:rPr>
                <w:rFonts w:ascii="Times New Roman" w:hAnsi="Times New Roman" w:cs="Times New Roman"/>
                <w:b/>
                <w:bCs/>
                <w:sz w:val="20"/>
                <w:szCs w:val="20"/>
              </w:rPr>
            </w:pPr>
            <w:r w:rsidRPr="004D2F9F">
              <w:rPr>
                <w:rFonts w:ascii="Times New Roman" w:hAnsi="Times New Roman" w:cs="Times New Roman"/>
                <w:b/>
                <w:bCs/>
                <w:sz w:val="20"/>
                <w:szCs w:val="20"/>
              </w:rPr>
              <w:t>Combination</w:t>
            </w:r>
          </w:p>
        </w:tc>
      </w:tr>
      <w:tr w:rsidR="003A4B69" w:rsidRPr="004D2F9F" w14:paraId="3ADE4741" w14:textId="77777777" w:rsidTr="00D3390E">
        <w:tc>
          <w:tcPr>
            <w:tcW w:w="630" w:type="dxa"/>
            <w:tcBorders>
              <w:top w:val="single" w:sz="4" w:space="0" w:color="auto"/>
            </w:tcBorders>
          </w:tcPr>
          <w:p w14:paraId="48487D87"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w:t>
            </w:r>
          </w:p>
        </w:tc>
        <w:tc>
          <w:tcPr>
            <w:tcW w:w="3510" w:type="dxa"/>
            <w:tcBorders>
              <w:top w:val="single" w:sz="4" w:space="0" w:color="auto"/>
            </w:tcBorders>
          </w:tcPr>
          <w:p w14:paraId="20047D49"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Borders>
              <w:top w:val="single" w:sz="4" w:space="0" w:color="auto"/>
            </w:tcBorders>
          </w:tcPr>
          <w:p w14:paraId="674719C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 xml:space="preserve"> 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Borders>
              <w:top w:val="single" w:sz="4" w:space="0" w:color="auto"/>
            </w:tcBorders>
          </w:tcPr>
          <w:p w14:paraId="2DB5EE3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Borders>
              <w:top w:val="single" w:sz="4" w:space="0" w:color="auto"/>
            </w:tcBorders>
          </w:tcPr>
          <w:p w14:paraId="377FBF6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PMB</w:t>
            </w:r>
          </w:p>
        </w:tc>
      </w:tr>
      <w:tr w:rsidR="003A4B69" w:rsidRPr="004D2F9F" w14:paraId="57D9FAAF" w14:textId="77777777" w:rsidTr="00D3390E">
        <w:tc>
          <w:tcPr>
            <w:tcW w:w="630" w:type="dxa"/>
          </w:tcPr>
          <w:p w14:paraId="7C605FFA"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T2</w:t>
            </w:r>
          </w:p>
        </w:tc>
        <w:tc>
          <w:tcPr>
            <w:tcW w:w="3510" w:type="dxa"/>
          </w:tcPr>
          <w:p w14:paraId="184EF215"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Pr>
          <w:p w14:paraId="27A9D7A3"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39C2510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6EAC021D"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NPMB</w:t>
            </w:r>
          </w:p>
        </w:tc>
      </w:tr>
      <w:tr w:rsidR="003A4B69" w:rsidRPr="004D2F9F" w14:paraId="035100F0" w14:textId="77777777" w:rsidTr="00D3390E">
        <w:tc>
          <w:tcPr>
            <w:tcW w:w="630" w:type="dxa"/>
          </w:tcPr>
          <w:p w14:paraId="6072F7F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T3</w:t>
            </w:r>
          </w:p>
        </w:tc>
        <w:tc>
          <w:tcPr>
            <w:tcW w:w="3510" w:type="dxa"/>
          </w:tcPr>
          <w:p w14:paraId="35A0C51C"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Pr>
          <w:p w14:paraId="73B683FB"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 /pot</w:t>
            </w:r>
          </w:p>
        </w:tc>
        <w:tc>
          <w:tcPr>
            <w:tcW w:w="1620" w:type="dxa"/>
          </w:tcPr>
          <w:p w14:paraId="3BF238F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567FE3B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PM</w:t>
            </w:r>
          </w:p>
        </w:tc>
      </w:tr>
      <w:tr w:rsidR="003A4B69" w:rsidRPr="004D2F9F" w14:paraId="73A32E9A" w14:textId="77777777" w:rsidTr="00D3390E">
        <w:tc>
          <w:tcPr>
            <w:tcW w:w="630" w:type="dxa"/>
          </w:tcPr>
          <w:p w14:paraId="559DB5E7"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T4</w:t>
            </w:r>
          </w:p>
        </w:tc>
        <w:tc>
          <w:tcPr>
            <w:tcW w:w="3510" w:type="dxa"/>
          </w:tcPr>
          <w:p w14:paraId="1E583A09"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Pr>
          <w:p w14:paraId="39B730F4"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43DDD7A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30A6374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B</w:t>
            </w:r>
          </w:p>
        </w:tc>
      </w:tr>
      <w:tr w:rsidR="003A4B69" w:rsidRPr="004D2F9F" w14:paraId="16238634" w14:textId="77777777" w:rsidTr="00D3390E">
        <w:tc>
          <w:tcPr>
            <w:tcW w:w="630" w:type="dxa"/>
          </w:tcPr>
          <w:p w14:paraId="563FB04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T5</w:t>
            </w:r>
          </w:p>
        </w:tc>
        <w:tc>
          <w:tcPr>
            <w:tcW w:w="3510" w:type="dxa"/>
          </w:tcPr>
          <w:p w14:paraId="645B323E"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19A35E2D"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2B609C2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345403D3"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SDI and B</w:t>
            </w:r>
          </w:p>
        </w:tc>
      </w:tr>
      <w:tr w:rsidR="003A4B69" w:rsidRPr="004D2F9F" w14:paraId="1397A89A" w14:textId="77777777" w:rsidTr="00D3390E">
        <w:tc>
          <w:tcPr>
            <w:tcW w:w="630" w:type="dxa"/>
          </w:tcPr>
          <w:p w14:paraId="6BE0367B"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T6</w:t>
            </w:r>
          </w:p>
        </w:tc>
        <w:tc>
          <w:tcPr>
            <w:tcW w:w="3510" w:type="dxa"/>
          </w:tcPr>
          <w:p w14:paraId="1396F25D"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20DC9FF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4AF2B4A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5C0A562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SDI and NPMB</w:t>
            </w:r>
          </w:p>
        </w:tc>
      </w:tr>
      <w:tr w:rsidR="003A4B69" w:rsidRPr="004D2F9F" w14:paraId="0FBC2F23" w14:textId="77777777" w:rsidTr="00D3390E">
        <w:tc>
          <w:tcPr>
            <w:tcW w:w="630" w:type="dxa"/>
          </w:tcPr>
          <w:p w14:paraId="3C2BE9A6"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T7</w:t>
            </w:r>
          </w:p>
        </w:tc>
        <w:tc>
          <w:tcPr>
            <w:tcW w:w="3510" w:type="dxa"/>
          </w:tcPr>
          <w:p w14:paraId="7BAF46A4"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0E35EA68"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 kg biochar/pot</w:t>
            </w:r>
          </w:p>
        </w:tc>
        <w:tc>
          <w:tcPr>
            <w:tcW w:w="1620" w:type="dxa"/>
          </w:tcPr>
          <w:p w14:paraId="456E4FC1"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 /pot</w:t>
            </w:r>
          </w:p>
        </w:tc>
        <w:tc>
          <w:tcPr>
            <w:tcW w:w="1710" w:type="dxa"/>
          </w:tcPr>
          <w:p w14:paraId="33F66CE4"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SDI and PM</w:t>
            </w:r>
          </w:p>
        </w:tc>
      </w:tr>
      <w:tr w:rsidR="003A4B69" w:rsidRPr="004D2F9F" w14:paraId="622C7895" w14:textId="77777777" w:rsidTr="00D3390E">
        <w:tc>
          <w:tcPr>
            <w:tcW w:w="630" w:type="dxa"/>
          </w:tcPr>
          <w:p w14:paraId="4169100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T8</w:t>
            </w:r>
          </w:p>
        </w:tc>
        <w:tc>
          <w:tcPr>
            <w:tcW w:w="3510" w:type="dxa"/>
          </w:tcPr>
          <w:p w14:paraId="7699C7B8"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048FC77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1AE50B1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5FE7FEF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DI and PMB</w:t>
            </w:r>
          </w:p>
        </w:tc>
      </w:tr>
      <w:tr w:rsidR="003A4B69" w:rsidRPr="004D2F9F" w14:paraId="1B034109" w14:textId="77777777" w:rsidTr="00D3390E">
        <w:tc>
          <w:tcPr>
            <w:tcW w:w="630" w:type="dxa"/>
          </w:tcPr>
          <w:p w14:paraId="5F1AD0D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T9</w:t>
            </w:r>
          </w:p>
        </w:tc>
        <w:tc>
          <w:tcPr>
            <w:tcW w:w="3510" w:type="dxa"/>
          </w:tcPr>
          <w:p w14:paraId="22CA5A04"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Pr>
          <w:p w14:paraId="47EC0EBD"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45FE46D8"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46F0B2A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NPMB</w:t>
            </w:r>
          </w:p>
        </w:tc>
      </w:tr>
      <w:tr w:rsidR="003A4B69" w:rsidRPr="004D2F9F" w14:paraId="1E9D8712" w14:textId="77777777" w:rsidTr="00D3390E">
        <w:tc>
          <w:tcPr>
            <w:tcW w:w="630" w:type="dxa"/>
          </w:tcPr>
          <w:p w14:paraId="66E2B3D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T10</w:t>
            </w:r>
          </w:p>
        </w:tc>
        <w:tc>
          <w:tcPr>
            <w:tcW w:w="3510" w:type="dxa"/>
          </w:tcPr>
          <w:p w14:paraId="221AE49A"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Pr>
          <w:p w14:paraId="7CC0AE13"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06E30FB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4FDE4F8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PM</w:t>
            </w:r>
          </w:p>
        </w:tc>
      </w:tr>
      <w:tr w:rsidR="003A4B69" w:rsidRPr="004D2F9F" w14:paraId="6AEFE7B5" w14:textId="77777777" w:rsidTr="00D3390E">
        <w:tc>
          <w:tcPr>
            <w:tcW w:w="630" w:type="dxa"/>
          </w:tcPr>
          <w:p w14:paraId="1C538AA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T11</w:t>
            </w:r>
          </w:p>
        </w:tc>
        <w:tc>
          <w:tcPr>
            <w:tcW w:w="3510" w:type="dxa"/>
          </w:tcPr>
          <w:p w14:paraId="4BFA8BE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Pr>
          <w:p w14:paraId="65D5B39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620" w:type="dxa"/>
          </w:tcPr>
          <w:p w14:paraId="5258B606"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Pr>
          <w:p w14:paraId="304BE729"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B</w:t>
            </w:r>
          </w:p>
        </w:tc>
      </w:tr>
      <w:tr w:rsidR="003A4B69" w:rsidRPr="004D2F9F" w14:paraId="55490EAC" w14:textId="77777777" w:rsidTr="00D3390E">
        <w:tc>
          <w:tcPr>
            <w:tcW w:w="630" w:type="dxa"/>
            <w:tcBorders>
              <w:bottom w:val="single" w:sz="4" w:space="0" w:color="auto"/>
            </w:tcBorders>
          </w:tcPr>
          <w:p w14:paraId="10990677"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T12</w:t>
            </w:r>
          </w:p>
        </w:tc>
        <w:tc>
          <w:tcPr>
            <w:tcW w:w="3510" w:type="dxa"/>
            <w:tcBorders>
              <w:bottom w:val="single" w:sz="4" w:space="0" w:color="auto"/>
            </w:tcBorders>
          </w:tcPr>
          <w:p w14:paraId="5999B28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Borders>
              <w:bottom w:val="single" w:sz="4" w:space="0" w:color="auto"/>
            </w:tcBorders>
          </w:tcPr>
          <w:p w14:paraId="786216AA"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 /pot</w:t>
            </w:r>
          </w:p>
        </w:tc>
        <w:tc>
          <w:tcPr>
            <w:tcW w:w="1620" w:type="dxa"/>
            <w:tcBorders>
              <w:bottom w:val="single" w:sz="4" w:space="0" w:color="auto"/>
            </w:tcBorders>
          </w:tcPr>
          <w:p w14:paraId="660C781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proofErr w:type="gramStart"/>
            <w:r w:rsidRPr="004D2F9F">
              <w:rPr>
                <w:rFonts w:ascii="Times New Roman" w:hAnsi="Times New Roman" w:cs="Times New Roman"/>
              </w:rPr>
              <w:t>v:v</w:t>
            </w:r>
            <w:proofErr w:type="spellEnd"/>
            <w:proofErr w:type="gramEnd"/>
            <w:r w:rsidRPr="004D2F9F">
              <w:rPr>
                <w:rFonts w:ascii="Times New Roman" w:hAnsi="Times New Roman" w:cs="Times New Roman"/>
              </w:rPr>
              <w:t>)/pot</w:t>
            </w:r>
          </w:p>
        </w:tc>
        <w:tc>
          <w:tcPr>
            <w:tcW w:w="1710" w:type="dxa"/>
            <w:tcBorders>
              <w:bottom w:val="single" w:sz="4" w:space="0" w:color="auto"/>
            </w:tcBorders>
          </w:tcPr>
          <w:p w14:paraId="0768A9D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PMB</w:t>
            </w:r>
          </w:p>
        </w:tc>
      </w:tr>
    </w:tbl>
    <w:p w14:paraId="6EC4CDB3" w14:textId="77777777" w:rsidR="003A4B69" w:rsidRDefault="003A4B69" w:rsidP="003A4B69">
      <w:pPr>
        <w:spacing w:after="0" w:line="240" w:lineRule="auto"/>
        <w:jc w:val="both"/>
        <w:rPr>
          <w:rFonts w:ascii="Times New Roman" w:hAnsi="Times New Roman" w:cs="Times New Roman"/>
          <w:sz w:val="24"/>
          <w:szCs w:val="24"/>
        </w:rPr>
      </w:pPr>
    </w:p>
    <w:p w14:paraId="0F14377A" w14:textId="77777777" w:rsidR="003A4B69" w:rsidRDefault="003A4B69" w:rsidP="003A4B69">
      <w:pPr>
        <w:spacing w:after="0" w:line="240" w:lineRule="auto"/>
        <w:jc w:val="both"/>
        <w:rPr>
          <w:rFonts w:ascii="Times New Roman" w:hAnsi="Times New Roman" w:cs="Times New Roman"/>
          <w:b/>
          <w:bCs/>
          <w:sz w:val="24"/>
          <w:szCs w:val="24"/>
        </w:rPr>
      </w:pPr>
      <w:r w:rsidRPr="00E217D5">
        <w:rPr>
          <w:noProof/>
        </w:rPr>
        <w:drawing>
          <wp:inline distT="0" distB="0" distL="0" distR="0" wp14:anchorId="5DE62239" wp14:editId="0E6A8405">
            <wp:extent cx="5819775" cy="4005105"/>
            <wp:effectExtent l="19050" t="19050" r="9525" b="146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3278" cy="4021280"/>
                    </a:xfrm>
                    <a:prstGeom prst="rect">
                      <a:avLst/>
                    </a:prstGeom>
                    <a:noFill/>
                    <a:ln w="19050">
                      <a:solidFill>
                        <a:sysClr val="windowText" lastClr="000000"/>
                      </a:solidFill>
                    </a:ln>
                  </pic:spPr>
                </pic:pic>
              </a:graphicData>
            </a:graphic>
          </wp:inline>
        </w:drawing>
      </w:r>
    </w:p>
    <w:p w14:paraId="179A1421" w14:textId="77777777" w:rsidR="001547C1" w:rsidRDefault="003A4B69" w:rsidP="001547C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Figure 2:</w:t>
      </w:r>
      <w:r w:rsidRPr="00BE4FA7">
        <w:t xml:space="preserve"> </w:t>
      </w:r>
      <w:r w:rsidRPr="00F30A5F">
        <w:rPr>
          <w:rFonts w:ascii="Times New Roman" w:hAnsi="Times New Roman" w:cs="Times New Roman"/>
          <w:sz w:val="24"/>
          <w:szCs w:val="24"/>
        </w:rPr>
        <w:t>Field Experimental Layout</w:t>
      </w:r>
      <w:r w:rsidRPr="00BE4FA7">
        <w:rPr>
          <w:rFonts w:ascii="Times New Roman" w:hAnsi="Times New Roman" w:cs="Times New Roman"/>
          <w:b/>
          <w:bCs/>
          <w:sz w:val="24"/>
          <w:szCs w:val="24"/>
        </w:rPr>
        <w:t xml:space="preserve"> </w:t>
      </w:r>
    </w:p>
    <w:p w14:paraId="308A8406" w14:textId="24E59BE3" w:rsidR="0033412B" w:rsidRPr="001547C1" w:rsidRDefault="002B555C" w:rsidP="001547C1">
      <w:pPr>
        <w:spacing w:after="0" w:line="240" w:lineRule="auto"/>
        <w:jc w:val="both"/>
        <w:rPr>
          <w:rFonts w:ascii="Times New Roman" w:hAnsi="Times New Roman" w:cs="Times New Roman"/>
          <w:sz w:val="24"/>
          <w:szCs w:val="24"/>
        </w:rPr>
      </w:pPr>
      <w:r w:rsidRPr="002B555C">
        <w:rPr>
          <w:rFonts w:ascii="Times New Roman" w:hAnsi="Times New Roman" w:cs="Times New Roman"/>
          <w:b/>
          <w:bCs/>
          <w:sz w:val="24"/>
          <w:szCs w:val="24"/>
        </w:rPr>
        <w:t>Groundnut Shell Biochar Preparation</w:t>
      </w:r>
    </w:p>
    <w:p w14:paraId="6B5F0EC1" w14:textId="7D6729BB" w:rsidR="0033412B" w:rsidRDefault="0033412B" w:rsidP="001167C4">
      <w:pPr>
        <w:spacing w:after="100" w:afterAutospacing="1" w:line="240" w:lineRule="auto"/>
        <w:jc w:val="both"/>
        <w:rPr>
          <w:rFonts w:ascii="Times New Roman" w:eastAsia="Times New Roman" w:hAnsi="Times New Roman" w:cs="Times New Roman"/>
          <w:sz w:val="24"/>
          <w:szCs w:val="24"/>
        </w:rPr>
      </w:pPr>
      <w:r w:rsidRPr="0033412B">
        <w:rPr>
          <w:rFonts w:ascii="Times New Roman" w:eastAsia="Times New Roman" w:hAnsi="Times New Roman" w:cs="Times New Roman"/>
          <w:sz w:val="24"/>
          <w:szCs w:val="24"/>
        </w:rPr>
        <w:t xml:space="preserve">Groundnut shells were collected from the Nyankpala Groundnut Shelling Unit. </w:t>
      </w:r>
      <w:r w:rsidR="00D47D29" w:rsidRPr="00CD7ACF">
        <w:rPr>
          <w:rFonts w:ascii="Times New Roman" w:eastAsia="Times New Roman" w:hAnsi="Times New Roman" w:cs="Times New Roman"/>
          <w:sz w:val="24"/>
          <w:szCs w:val="24"/>
        </w:rPr>
        <w:t xml:space="preserve">The biochar was produced using a </w:t>
      </w:r>
      <w:proofErr w:type="spellStart"/>
      <w:r w:rsidR="00D47D29" w:rsidRPr="00CD7ACF">
        <w:rPr>
          <w:rFonts w:ascii="Times New Roman" w:eastAsia="Times New Roman" w:hAnsi="Times New Roman" w:cs="Times New Roman"/>
          <w:sz w:val="24"/>
          <w:szCs w:val="24"/>
        </w:rPr>
        <w:t>Cuntan</w:t>
      </w:r>
      <w:proofErr w:type="spellEnd"/>
      <w:r w:rsidR="00D47D29" w:rsidRPr="00CD7ACF">
        <w:rPr>
          <w:rFonts w:ascii="Times New Roman" w:eastAsia="Times New Roman" w:hAnsi="Times New Roman" w:cs="Times New Roman"/>
          <w:sz w:val="24"/>
          <w:szCs w:val="24"/>
        </w:rPr>
        <w:t xml:space="preserve"> char apparatus, where slow pyrolysis was conducted at temperatures between 250°C and 300°C.</w:t>
      </w:r>
      <w:r w:rsidR="00D47D29">
        <w:rPr>
          <w:rFonts w:ascii="Times New Roman" w:eastAsia="Times New Roman" w:hAnsi="Times New Roman" w:cs="Times New Roman"/>
          <w:sz w:val="24"/>
          <w:szCs w:val="24"/>
        </w:rPr>
        <w:t xml:space="preserve"> </w:t>
      </w:r>
      <w:r w:rsidRPr="0033412B">
        <w:rPr>
          <w:rFonts w:ascii="Times New Roman" w:eastAsia="Times New Roman" w:hAnsi="Times New Roman" w:cs="Times New Roman"/>
          <w:sz w:val="24"/>
          <w:szCs w:val="24"/>
        </w:rPr>
        <w:t>Groundnut shells were chosen for biochar production due to the high performance of their biochar in crop production. In a study by Camara-Williams (2019), pot and field experiments conducted in Ghana demonstrated that groundnut shell biochar resulted in the highest number of 126 nodules and increased production in the Quarshie variety of soybeans, outperforming other amendments like rice straw biochar, rock phosphate, and calcium carbonate. Plate 1 illustrates the biochar production process used in this experiment.</w:t>
      </w:r>
    </w:p>
    <w:p w14:paraId="565B50B3" w14:textId="21FF47F7" w:rsidR="0033412B" w:rsidRPr="0033412B" w:rsidRDefault="0033412B" w:rsidP="0033412B">
      <w:pPr>
        <w:spacing w:after="0" w:line="240" w:lineRule="auto"/>
        <w:rPr>
          <w:rFonts w:ascii="Times New Roman" w:hAnsi="Times New Roman" w:cs="Times New Roman"/>
          <w:b/>
          <w:bCs/>
          <w:sz w:val="24"/>
          <w:szCs w:val="24"/>
        </w:rPr>
      </w:pPr>
      <w:r w:rsidRPr="003C06CD">
        <w:rPr>
          <w:rFonts w:ascii="Times New Roman" w:eastAsia="Calibri" w:hAnsi="Times New Roman" w:cs="Times New Roman"/>
          <w:noProof/>
          <w:sz w:val="24"/>
        </w:rPr>
        <w:lastRenderedPageBreak/>
        <w:drawing>
          <wp:inline distT="0" distB="0" distL="0" distR="0" wp14:anchorId="5978A2F3" wp14:editId="1DF757BE">
            <wp:extent cx="4724400" cy="3007183"/>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8829" cy="3010002"/>
                    </a:xfrm>
                    <a:prstGeom prst="rect">
                      <a:avLst/>
                    </a:prstGeom>
                    <a:noFill/>
                    <a:ln>
                      <a:noFill/>
                    </a:ln>
                  </pic:spPr>
                </pic:pic>
              </a:graphicData>
            </a:graphic>
          </wp:inline>
        </w:drawing>
      </w:r>
    </w:p>
    <w:p w14:paraId="781C20A4" w14:textId="7B2F6B3E" w:rsidR="0033412B" w:rsidRDefault="0033412B" w:rsidP="002E1AF7">
      <w:pPr>
        <w:spacing w:line="240" w:lineRule="auto"/>
        <w:rPr>
          <w:rFonts w:ascii="Times New Roman" w:hAnsi="Times New Roman" w:cs="Times New Roman"/>
          <w:b/>
          <w:bCs/>
          <w:sz w:val="24"/>
          <w:szCs w:val="24"/>
        </w:rPr>
      </w:pPr>
      <w:r>
        <w:rPr>
          <w:rFonts w:ascii="Times New Roman" w:hAnsi="Times New Roman" w:cs="Times New Roman"/>
          <w:b/>
          <w:bCs/>
          <w:sz w:val="24"/>
          <w:szCs w:val="24"/>
        </w:rPr>
        <w:t>Plate 1:</w:t>
      </w:r>
      <w:r w:rsidRPr="0033412B">
        <w:t xml:space="preserve"> </w:t>
      </w:r>
      <w:r w:rsidRPr="00D74F58">
        <w:rPr>
          <w:rFonts w:ascii="Times New Roman" w:hAnsi="Times New Roman" w:cs="Times New Roman"/>
          <w:sz w:val="24"/>
          <w:szCs w:val="24"/>
        </w:rPr>
        <w:t xml:space="preserve">Biochar Production Using </w:t>
      </w:r>
      <w:proofErr w:type="spellStart"/>
      <w:r w:rsidRPr="00D74F58">
        <w:rPr>
          <w:rFonts w:ascii="Times New Roman" w:hAnsi="Times New Roman" w:cs="Times New Roman"/>
          <w:sz w:val="24"/>
          <w:szCs w:val="24"/>
        </w:rPr>
        <w:t>Cuntan</w:t>
      </w:r>
      <w:proofErr w:type="spellEnd"/>
      <w:r w:rsidRPr="00D74F58">
        <w:rPr>
          <w:rFonts w:ascii="Times New Roman" w:hAnsi="Times New Roman" w:cs="Times New Roman"/>
          <w:sz w:val="24"/>
          <w:szCs w:val="24"/>
        </w:rPr>
        <w:t>-charring Apparatus</w:t>
      </w:r>
    </w:p>
    <w:p w14:paraId="25B71560" w14:textId="73230EBC" w:rsidR="0033412B" w:rsidRPr="0033412B" w:rsidRDefault="0033412B" w:rsidP="0033412B">
      <w:pPr>
        <w:spacing w:after="0" w:line="240" w:lineRule="auto"/>
        <w:jc w:val="both"/>
        <w:rPr>
          <w:rFonts w:ascii="Times New Roman" w:hAnsi="Times New Roman" w:cs="Times New Roman"/>
          <w:b/>
          <w:bCs/>
          <w:sz w:val="24"/>
          <w:szCs w:val="24"/>
        </w:rPr>
      </w:pPr>
      <w:r w:rsidRPr="0033412B">
        <w:rPr>
          <w:rFonts w:ascii="Times New Roman" w:hAnsi="Times New Roman" w:cs="Times New Roman"/>
          <w:b/>
          <w:bCs/>
          <w:sz w:val="24"/>
          <w:szCs w:val="24"/>
        </w:rPr>
        <w:t>Poultry Manure</w:t>
      </w:r>
      <w:r w:rsidR="00EE15C0">
        <w:rPr>
          <w:rFonts w:ascii="Times New Roman" w:hAnsi="Times New Roman" w:cs="Times New Roman"/>
          <w:b/>
          <w:bCs/>
          <w:sz w:val="24"/>
          <w:szCs w:val="24"/>
        </w:rPr>
        <w:t xml:space="preserve"> Acquisition</w:t>
      </w:r>
    </w:p>
    <w:p w14:paraId="4467C576" w14:textId="5552A9D6" w:rsidR="0033412B" w:rsidRDefault="0033412B" w:rsidP="0033412B">
      <w:pPr>
        <w:spacing w:after="0" w:line="240" w:lineRule="auto"/>
        <w:jc w:val="both"/>
        <w:rPr>
          <w:rFonts w:ascii="Times New Roman" w:hAnsi="Times New Roman" w:cs="Times New Roman"/>
          <w:sz w:val="24"/>
          <w:szCs w:val="24"/>
        </w:rPr>
      </w:pPr>
      <w:r w:rsidRPr="0033412B">
        <w:rPr>
          <w:rFonts w:ascii="Times New Roman" w:hAnsi="Times New Roman" w:cs="Times New Roman"/>
          <w:sz w:val="24"/>
          <w:szCs w:val="24"/>
        </w:rPr>
        <w:t>Poultry manure was sourced from the UDS Poultry Farm and mixed with soil</w:t>
      </w:r>
      <w:r w:rsidR="00337F51">
        <w:rPr>
          <w:rFonts w:ascii="Times New Roman" w:hAnsi="Times New Roman" w:cs="Times New Roman"/>
          <w:sz w:val="24"/>
          <w:szCs w:val="24"/>
        </w:rPr>
        <w:t xml:space="preserve"> at the prescribed rate (Table 1)</w:t>
      </w:r>
      <w:r w:rsidRPr="0033412B">
        <w:rPr>
          <w:rFonts w:ascii="Times New Roman" w:hAnsi="Times New Roman" w:cs="Times New Roman"/>
          <w:sz w:val="24"/>
          <w:szCs w:val="24"/>
        </w:rPr>
        <w:t>, allowing for a two-week decomposition period before transplanting. Poultry manure is recognized as a valuable organic fertilizer due to its ability to enhance soil productivity and promote crop growth. It is often considered superior to other organic manures, such as goat manure or cow dung, due to its higher nutrient content and more effective impact on plant growth. Poultry manure was specifically chosen for this study based on its proven performance in improving soil fertility and supporting healthy crop development.</w:t>
      </w:r>
    </w:p>
    <w:p w14:paraId="5EB3D15C" w14:textId="77777777" w:rsidR="00EE15C0" w:rsidRPr="0033412B" w:rsidRDefault="00EE15C0" w:rsidP="0033412B">
      <w:pPr>
        <w:spacing w:after="0" w:line="240" w:lineRule="auto"/>
        <w:jc w:val="both"/>
        <w:rPr>
          <w:rFonts w:ascii="Times New Roman" w:hAnsi="Times New Roman" w:cs="Times New Roman"/>
          <w:b/>
          <w:bCs/>
          <w:sz w:val="24"/>
          <w:szCs w:val="24"/>
        </w:rPr>
      </w:pPr>
    </w:p>
    <w:p w14:paraId="5529D8E1" w14:textId="686BEDDE" w:rsidR="002E1AF7" w:rsidRDefault="007F1330" w:rsidP="00D47D2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Characterization of </w:t>
      </w:r>
      <w:r w:rsidR="00DE52AD">
        <w:rPr>
          <w:rFonts w:ascii="Times New Roman" w:hAnsi="Times New Roman" w:cs="Times New Roman"/>
          <w:b/>
          <w:bCs/>
          <w:sz w:val="24"/>
          <w:szCs w:val="24"/>
        </w:rPr>
        <w:t xml:space="preserve">Experimental </w:t>
      </w:r>
      <w:r w:rsidR="00605E9A" w:rsidRPr="00C76E2B">
        <w:rPr>
          <w:rFonts w:ascii="Times New Roman" w:hAnsi="Times New Roman" w:cs="Times New Roman"/>
          <w:b/>
          <w:bCs/>
          <w:sz w:val="24"/>
          <w:szCs w:val="24"/>
        </w:rPr>
        <w:t xml:space="preserve">Soil, Biochar and Poultry Manure </w:t>
      </w:r>
    </w:p>
    <w:p w14:paraId="1DB26711" w14:textId="12A3C41A" w:rsidR="00CD7ACF" w:rsidRPr="00CD7ACF" w:rsidRDefault="00CD7ACF" w:rsidP="00D47D29">
      <w:pPr>
        <w:spacing w:after="0" w:line="240" w:lineRule="auto"/>
        <w:jc w:val="both"/>
        <w:rPr>
          <w:rFonts w:ascii="Times New Roman" w:eastAsia="Times New Roman" w:hAnsi="Times New Roman" w:cs="Times New Roman"/>
          <w:sz w:val="24"/>
          <w:szCs w:val="24"/>
        </w:rPr>
      </w:pPr>
      <w:r w:rsidRPr="00CD7ACF">
        <w:rPr>
          <w:rFonts w:ascii="Times New Roman" w:eastAsia="Times New Roman" w:hAnsi="Times New Roman" w:cs="Times New Roman"/>
          <w:sz w:val="24"/>
          <w:szCs w:val="24"/>
        </w:rPr>
        <w:t xml:space="preserve">Soil samples were </w:t>
      </w:r>
      <w:r w:rsidR="0012732A">
        <w:rPr>
          <w:rFonts w:ascii="Times New Roman" w:eastAsia="Times New Roman" w:hAnsi="Times New Roman" w:cs="Times New Roman"/>
          <w:sz w:val="24"/>
          <w:szCs w:val="24"/>
        </w:rPr>
        <w:t xml:space="preserve">collected from the field, </w:t>
      </w:r>
      <w:r w:rsidRPr="00CD7ACF">
        <w:rPr>
          <w:rFonts w:ascii="Times New Roman" w:eastAsia="Times New Roman" w:hAnsi="Times New Roman" w:cs="Times New Roman"/>
          <w:sz w:val="24"/>
          <w:szCs w:val="24"/>
        </w:rPr>
        <w:t>air-dried and sieved through a 2mm mesh before undergoing standard characterization procedures. Soil texture was determined using the hydrometer method (</w:t>
      </w:r>
      <w:proofErr w:type="spellStart"/>
      <w:r w:rsidRPr="00CD7ACF">
        <w:rPr>
          <w:rFonts w:ascii="Times New Roman" w:eastAsia="Times New Roman" w:hAnsi="Times New Roman" w:cs="Times New Roman"/>
          <w:sz w:val="24"/>
          <w:szCs w:val="24"/>
        </w:rPr>
        <w:t>Orhan</w:t>
      </w:r>
      <w:proofErr w:type="spellEnd"/>
      <w:r w:rsidRPr="00CD7ACF">
        <w:rPr>
          <w:rFonts w:ascii="Times New Roman" w:eastAsia="Times New Roman" w:hAnsi="Times New Roman" w:cs="Times New Roman"/>
          <w:sz w:val="24"/>
          <w:szCs w:val="24"/>
        </w:rPr>
        <w:t xml:space="preserve"> and </w:t>
      </w:r>
      <w:proofErr w:type="spellStart"/>
      <w:r w:rsidRPr="00CD7ACF">
        <w:rPr>
          <w:rFonts w:ascii="Times New Roman" w:eastAsia="Times New Roman" w:hAnsi="Times New Roman" w:cs="Times New Roman"/>
          <w:sz w:val="24"/>
          <w:szCs w:val="24"/>
        </w:rPr>
        <w:t>Kılınç</w:t>
      </w:r>
      <w:proofErr w:type="spellEnd"/>
      <w:r w:rsidRPr="00CD7ACF">
        <w:rPr>
          <w:rFonts w:ascii="Times New Roman" w:eastAsia="Times New Roman" w:hAnsi="Times New Roman" w:cs="Times New Roman"/>
          <w:sz w:val="24"/>
          <w:szCs w:val="24"/>
        </w:rPr>
        <w:t xml:space="preserve">, 2020). A digital pH meter and EC meter were employed to measure the soil pH and electrical conductivity (EC), using a 1:2.5 soil-to-distilled water ratio as described by Haque </w:t>
      </w:r>
      <w:r w:rsidRPr="00073BC0">
        <w:rPr>
          <w:rFonts w:ascii="Times New Roman" w:eastAsia="Times New Roman" w:hAnsi="Times New Roman" w:cs="Times New Roman"/>
          <w:i/>
          <w:iCs/>
          <w:sz w:val="24"/>
          <w:szCs w:val="24"/>
        </w:rPr>
        <w:t>et al.</w:t>
      </w:r>
      <w:r w:rsidRPr="00CD7ACF">
        <w:rPr>
          <w:rFonts w:ascii="Times New Roman" w:eastAsia="Times New Roman" w:hAnsi="Times New Roman" w:cs="Times New Roman"/>
          <w:sz w:val="24"/>
          <w:szCs w:val="24"/>
        </w:rPr>
        <w:t xml:space="preserve"> (2021). Total carbon content was determined using the Walkley-Black wet oxidation method (</w:t>
      </w:r>
      <w:proofErr w:type="spellStart"/>
      <w:r w:rsidRPr="00CD7ACF">
        <w:rPr>
          <w:rFonts w:ascii="Times New Roman" w:eastAsia="Times New Roman" w:hAnsi="Times New Roman" w:cs="Times New Roman"/>
          <w:sz w:val="24"/>
          <w:szCs w:val="24"/>
        </w:rPr>
        <w:t>Glosolan</w:t>
      </w:r>
      <w:proofErr w:type="spellEnd"/>
      <w:r w:rsidRPr="00CD7ACF">
        <w:rPr>
          <w:rFonts w:ascii="Times New Roman" w:eastAsia="Times New Roman" w:hAnsi="Times New Roman" w:cs="Times New Roman"/>
          <w:sz w:val="24"/>
          <w:szCs w:val="24"/>
        </w:rPr>
        <w:t>, 2019).</w:t>
      </w:r>
    </w:p>
    <w:p w14:paraId="04E671B4" w14:textId="3E1FD62D" w:rsidR="003A23EF" w:rsidRPr="00BA5560" w:rsidRDefault="003A23EF" w:rsidP="0005221F">
      <w:pPr>
        <w:spacing w:before="100" w:beforeAutospacing="1" w:after="0" w:line="240" w:lineRule="auto"/>
        <w:jc w:val="both"/>
        <w:rPr>
          <w:rFonts w:ascii="Times New Roman" w:eastAsia="Times New Roman" w:hAnsi="Times New Roman" w:cs="Times New Roman"/>
          <w:b/>
          <w:bCs/>
          <w:sz w:val="24"/>
          <w:szCs w:val="24"/>
        </w:rPr>
      </w:pPr>
      <w:r w:rsidRPr="00BA5560">
        <w:rPr>
          <w:rFonts w:ascii="Times New Roman" w:eastAsia="Times New Roman" w:hAnsi="Times New Roman" w:cs="Times New Roman"/>
          <w:b/>
          <w:bCs/>
          <w:sz w:val="24"/>
          <w:szCs w:val="24"/>
        </w:rPr>
        <w:t>Determination of Water Re</w:t>
      </w:r>
      <w:r w:rsidR="00BA5560" w:rsidRPr="00BA5560">
        <w:rPr>
          <w:rFonts w:ascii="Times New Roman" w:eastAsia="Times New Roman" w:hAnsi="Times New Roman" w:cs="Times New Roman"/>
          <w:b/>
          <w:bCs/>
          <w:sz w:val="24"/>
          <w:szCs w:val="24"/>
        </w:rPr>
        <w:t>tention</w:t>
      </w:r>
      <w:r w:rsidRPr="00BA5560">
        <w:rPr>
          <w:rFonts w:ascii="Times New Roman" w:eastAsia="Times New Roman" w:hAnsi="Times New Roman" w:cs="Times New Roman"/>
          <w:b/>
          <w:bCs/>
          <w:sz w:val="24"/>
          <w:szCs w:val="24"/>
        </w:rPr>
        <w:t xml:space="preserve"> </w:t>
      </w:r>
      <w:r w:rsidR="00BA5560" w:rsidRPr="00BA5560">
        <w:rPr>
          <w:rFonts w:ascii="Times New Roman" w:eastAsia="Times New Roman" w:hAnsi="Times New Roman" w:cs="Times New Roman"/>
          <w:b/>
          <w:bCs/>
          <w:sz w:val="24"/>
          <w:szCs w:val="24"/>
        </w:rPr>
        <w:t>Characteristics</w:t>
      </w:r>
    </w:p>
    <w:p w14:paraId="6028AB66" w14:textId="516C57E2" w:rsidR="00CD7ACF" w:rsidRPr="00CD7ACF" w:rsidRDefault="00CD7ACF" w:rsidP="00182E54">
      <w:pPr>
        <w:spacing w:after="100" w:afterAutospacing="1" w:line="240" w:lineRule="auto"/>
        <w:jc w:val="both"/>
        <w:rPr>
          <w:rFonts w:ascii="Times New Roman" w:eastAsia="Times New Roman" w:hAnsi="Times New Roman" w:cs="Times New Roman"/>
          <w:sz w:val="24"/>
          <w:szCs w:val="24"/>
        </w:rPr>
      </w:pPr>
      <w:r w:rsidRPr="00CD7ACF">
        <w:rPr>
          <w:rFonts w:ascii="Times New Roman" w:eastAsia="Times New Roman" w:hAnsi="Times New Roman" w:cs="Times New Roman"/>
          <w:sz w:val="24"/>
          <w:szCs w:val="24"/>
        </w:rPr>
        <w:t>Water retention characteristics, including the permanent wilting point and field capacity</w:t>
      </w:r>
      <w:r w:rsidR="006360E2">
        <w:rPr>
          <w:rFonts w:ascii="Times New Roman" w:eastAsia="Times New Roman" w:hAnsi="Times New Roman" w:cs="Times New Roman"/>
          <w:sz w:val="24"/>
          <w:szCs w:val="24"/>
        </w:rPr>
        <w:t xml:space="preserve"> of the soil</w:t>
      </w:r>
      <w:r w:rsidRPr="00CD7ACF">
        <w:rPr>
          <w:rFonts w:ascii="Times New Roman" w:eastAsia="Times New Roman" w:hAnsi="Times New Roman" w:cs="Times New Roman"/>
          <w:sz w:val="24"/>
          <w:szCs w:val="24"/>
        </w:rPr>
        <w:t xml:space="preserve"> were determined using the software developed by Keith Saxton in cooperation with the Department of Biological Systems Engineering (</w:t>
      </w:r>
      <w:proofErr w:type="spellStart"/>
      <w:r w:rsidRPr="00CD7ACF">
        <w:rPr>
          <w:rFonts w:ascii="Times New Roman" w:eastAsia="Times New Roman" w:hAnsi="Times New Roman" w:cs="Times New Roman"/>
          <w:sz w:val="24"/>
          <w:szCs w:val="24"/>
        </w:rPr>
        <w:t>Oyeogbe</w:t>
      </w:r>
      <w:proofErr w:type="spellEnd"/>
      <w:r w:rsidRPr="00CD7ACF">
        <w:rPr>
          <w:rFonts w:ascii="Times New Roman" w:eastAsia="Times New Roman" w:hAnsi="Times New Roman" w:cs="Times New Roman"/>
          <w:sz w:val="24"/>
          <w:szCs w:val="24"/>
        </w:rPr>
        <w:t xml:space="preserve"> and </w:t>
      </w:r>
      <w:proofErr w:type="spellStart"/>
      <w:r w:rsidRPr="00CD7ACF">
        <w:rPr>
          <w:rFonts w:ascii="Times New Roman" w:eastAsia="Times New Roman" w:hAnsi="Times New Roman" w:cs="Times New Roman"/>
          <w:sz w:val="24"/>
          <w:szCs w:val="24"/>
        </w:rPr>
        <w:t>Oluwasemire</w:t>
      </w:r>
      <w:proofErr w:type="spellEnd"/>
      <w:r w:rsidRPr="00CD7ACF">
        <w:rPr>
          <w:rFonts w:ascii="Times New Roman" w:eastAsia="Times New Roman" w:hAnsi="Times New Roman" w:cs="Times New Roman"/>
          <w:sz w:val="24"/>
          <w:szCs w:val="24"/>
        </w:rPr>
        <w:t xml:space="preserve">, 2013). Total nitrogen </w:t>
      </w:r>
      <w:r w:rsidR="006360E2">
        <w:rPr>
          <w:rFonts w:ascii="Times New Roman" w:eastAsia="Times New Roman" w:hAnsi="Times New Roman" w:cs="Times New Roman"/>
          <w:sz w:val="24"/>
          <w:szCs w:val="24"/>
        </w:rPr>
        <w:t xml:space="preserve">soil, biochar and poultry manure </w:t>
      </w:r>
      <w:r w:rsidRPr="00CD7ACF">
        <w:rPr>
          <w:rFonts w:ascii="Times New Roman" w:eastAsia="Times New Roman" w:hAnsi="Times New Roman" w:cs="Times New Roman"/>
          <w:sz w:val="24"/>
          <w:szCs w:val="24"/>
        </w:rPr>
        <w:t>was quantified with a CNS elemental analyzer (</w:t>
      </w:r>
      <w:r w:rsidR="00250942" w:rsidRPr="00CD7ACF">
        <w:rPr>
          <w:rFonts w:ascii="Times New Roman" w:eastAsia="Times New Roman" w:hAnsi="Times New Roman" w:cs="Times New Roman"/>
          <w:sz w:val="24"/>
          <w:szCs w:val="24"/>
        </w:rPr>
        <w:t>COSTECH</w:t>
      </w:r>
      <w:r w:rsidRPr="00CD7ACF">
        <w:rPr>
          <w:rFonts w:ascii="Times New Roman" w:eastAsia="Times New Roman" w:hAnsi="Times New Roman" w:cs="Times New Roman"/>
          <w:sz w:val="24"/>
          <w:szCs w:val="24"/>
        </w:rPr>
        <w:t>, 2015), and available phosphorus in the soil was measured using the Bray method (Bray, 1995). The cation exchange capacity (CEC) and exchangeable cations, including potassium, calcium, and magnesium, were determined by the NH4OAc leaching method (Agung, 1986), with analysis conducted using atomic absorption spectrometry (AAS) (</w:t>
      </w:r>
      <w:proofErr w:type="spellStart"/>
      <w:r w:rsidRPr="00CD7ACF">
        <w:rPr>
          <w:rFonts w:ascii="Times New Roman" w:eastAsia="Times New Roman" w:hAnsi="Times New Roman" w:cs="Times New Roman"/>
          <w:sz w:val="24"/>
          <w:szCs w:val="24"/>
        </w:rPr>
        <w:t>Gumbara</w:t>
      </w:r>
      <w:proofErr w:type="spellEnd"/>
      <w:r w:rsidRPr="00CD7ACF">
        <w:rPr>
          <w:rFonts w:ascii="Times New Roman" w:eastAsia="Times New Roman" w:hAnsi="Times New Roman" w:cs="Times New Roman"/>
          <w:sz w:val="24"/>
          <w:szCs w:val="24"/>
        </w:rPr>
        <w:t xml:space="preserve"> </w:t>
      </w:r>
      <w:r w:rsidRPr="008716A2">
        <w:rPr>
          <w:rFonts w:ascii="Times New Roman" w:eastAsia="Times New Roman" w:hAnsi="Times New Roman" w:cs="Times New Roman"/>
          <w:i/>
          <w:iCs/>
          <w:sz w:val="24"/>
          <w:szCs w:val="24"/>
        </w:rPr>
        <w:t>et al.,</w:t>
      </w:r>
      <w:r w:rsidRPr="00CD7ACF">
        <w:rPr>
          <w:rFonts w:ascii="Times New Roman" w:eastAsia="Times New Roman" w:hAnsi="Times New Roman" w:cs="Times New Roman"/>
          <w:sz w:val="24"/>
          <w:szCs w:val="24"/>
        </w:rPr>
        <w:t xml:space="preserve"> 2019).</w:t>
      </w:r>
    </w:p>
    <w:p w14:paraId="4018F7E7" w14:textId="65B5D9C1" w:rsidR="00CD7ACF" w:rsidRPr="00CD7ACF" w:rsidRDefault="00CD7ACF" w:rsidP="003D5DAD">
      <w:pPr>
        <w:spacing w:after="0" w:line="240" w:lineRule="auto"/>
        <w:jc w:val="both"/>
        <w:rPr>
          <w:rFonts w:ascii="Times New Roman" w:eastAsia="Times New Roman" w:hAnsi="Times New Roman" w:cs="Times New Roman"/>
          <w:sz w:val="24"/>
          <w:szCs w:val="24"/>
        </w:rPr>
      </w:pPr>
      <w:r w:rsidRPr="00CD7ACF">
        <w:rPr>
          <w:rFonts w:ascii="Times New Roman" w:eastAsia="Times New Roman" w:hAnsi="Times New Roman" w:cs="Times New Roman"/>
          <w:sz w:val="24"/>
          <w:szCs w:val="24"/>
        </w:rPr>
        <w:lastRenderedPageBreak/>
        <w:t xml:space="preserve">For soil infiltration measurements, a Tension Disk Infiltrometer (also known as the mini-disk infiltration method) was used to assess unsaturated hydraulic conductivity. The measurements were based on the Simunek-Wooding method developed by Šimůnek </w:t>
      </w:r>
      <w:r w:rsidRPr="0001620A">
        <w:rPr>
          <w:rFonts w:ascii="Times New Roman" w:eastAsia="Times New Roman" w:hAnsi="Times New Roman" w:cs="Times New Roman"/>
          <w:i/>
          <w:iCs/>
          <w:sz w:val="24"/>
          <w:szCs w:val="24"/>
        </w:rPr>
        <w:t>et al.</w:t>
      </w:r>
      <w:r w:rsidRPr="00CD7ACF">
        <w:rPr>
          <w:rFonts w:ascii="Times New Roman" w:eastAsia="Times New Roman" w:hAnsi="Times New Roman" w:cs="Times New Roman"/>
          <w:sz w:val="24"/>
          <w:szCs w:val="24"/>
        </w:rPr>
        <w:t xml:space="preserve"> (1998), using the following </w:t>
      </w:r>
      <w:r w:rsidR="0022479E">
        <w:rPr>
          <w:rFonts w:ascii="Times New Roman" w:eastAsia="Times New Roman" w:hAnsi="Times New Roman" w:cs="Times New Roman"/>
          <w:sz w:val="24"/>
          <w:szCs w:val="24"/>
        </w:rPr>
        <w:t>E</w:t>
      </w:r>
      <w:r w:rsidRPr="00CD7ACF">
        <w:rPr>
          <w:rFonts w:ascii="Times New Roman" w:eastAsia="Times New Roman" w:hAnsi="Times New Roman" w:cs="Times New Roman"/>
          <w:sz w:val="24"/>
          <w:szCs w:val="24"/>
        </w:rPr>
        <w:t>quations</w:t>
      </w:r>
      <w:r w:rsidR="0022479E">
        <w:rPr>
          <w:rFonts w:ascii="Times New Roman" w:eastAsia="Times New Roman" w:hAnsi="Times New Roman" w:cs="Times New Roman"/>
          <w:sz w:val="24"/>
          <w:szCs w:val="24"/>
        </w:rPr>
        <w:t xml:space="preserve"> 1</w:t>
      </w:r>
      <w:r w:rsidRPr="00CD7ACF">
        <w:rPr>
          <w:rFonts w:ascii="Times New Roman" w:eastAsia="Times New Roman" w:hAnsi="Times New Roman" w:cs="Times New Roman"/>
          <w:sz w:val="24"/>
          <w:szCs w:val="24"/>
        </w:rPr>
        <w:t xml:space="preserve"> and 2</w:t>
      </w:r>
      <w:r w:rsidR="0022479E">
        <w:rPr>
          <w:rFonts w:ascii="Times New Roman" w:eastAsia="Times New Roman" w:hAnsi="Times New Roman" w:cs="Times New Roman"/>
          <w:sz w:val="24"/>
          <w:szCs w:val="24"/>
        </w:rPr>
        <w:t xml:space="preserve"> </w:t>
      </w:r>
      <w:r w:rsidRPr="00CD7ACF">
        <w:rPr>
          <w:rFonts w:ascii="Times New Roman" w:eastAsia="Times New Roman" w:hAnsi="Times New Roman" w:cs="Times New Roman"/>
          <w:sz w:val="24"/>
          <w:szCs w:val="24"/>
        </w:rPr>
        <w:t>for soil infiltration and unsaturated hydraulic conductivity determination. These methods ensured comprehensive analysis of the soil's physicochemical properties and its response to different amendments.</w:t>
      </w:r>
    </w:p>
    <w:p w14:paraId="0489B5E1" w14:textId="5066B6DF" w:rsidR="009D4511" w:rsidRDefault="009D4511" w:rsidP="003D5DAD">
      <w:pPr>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I=c2t+c1</m:t>
        </m:r>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t </m:t>
            </m:r>
          </m:e>
        </m:rad>
      </m:oMath>
      <w:r w:rsidRPr="00AF50D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8D70F1">
        <w:rPr>
          <w:rFonts w:ascii="Times New Roman" w:eastAsiaTheme="minorEastAsia" w:hAnsi="Times New Roman" w:cs="Times New Roman"/>
          <w:sz w:val="24"/>
          <w:szCs w:val="24"/>
        </w:rPr>
        <w:t xml:space="preserve">. </w:t>
      </w:r>
      <w:r w:rsidR="0012732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0012732A">
        <w:rPr>
          <w:rFonts w:ascii="Times New Roman" w:eastAsiaTheme="minorEastAsia" w:hAnsi="Times New Roman" w:cs="Times New Roman"/>
          <w:sz w:val="24"/>
          <w:szCs w:val="24"/>
        </w:rPr>
        <w:t>)</w:t>
      </w:r>
    </w:p>
    <w:p w14:paraId="32133582" w14:textId="0504801A" w:rsidR="009D4511" w:rsidRDefault="009D4511" w:rsidP="003D5DA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C1</m:t>
            </m:r>
          </m:num>
          <m:den>
            <m:r>
              <w:rPr>
                <w:rFonts w:ascii="Cambria Math" w:eastAsiaTheme="minorEastAsia" w:hAnsi="Cambria Math" w:cs="Times New Roman"/>
                <w:sz w:val="24"/>
                <w:szCs w:val="24"/>
              </w:rPr>
              <m:t>A</m:t>
            </m:r>
          </m:den>
        </m:f>
      </m:oMath>
      <w:r>
        <w:rPr>
          <w:rFonts w:ascii="Times New Roman" w:eastAsiaTheme="minorEastAsia" w:hAnsi="Times New Roman" w:cs="Times New Roman"/>
          <w:sz w:val="24"/>
          <w:szCs w:val="24"/>
        </w:rPr>
        <w:t>………………………………………</w:t>
      </w:r>
      <w:r w:rsidR="00C61872">
        <w:rPr>
          <w:rFonts w:ascii="Times New Roman" w:eastAsiaTheme="minorEastAsia" w:hAnsi="Times New Roman" w:cs="Times New Roman"/>
          <w:sz w:val="24"/>
          <w:szCs w:val="24"/>
        </w:rPr>
        <w:t xml:space="preserve"> </w:t>
      </w:r>
      <w:r w:rsidR="0012732A">
        <w:rPr>
          <w:rFonts w:ascii="Times New Roman" w:eastAsiaTheme="minorEastAsia" w:hAnsi="Times New Roman" w:cs="Times New Roman"/>
          <w:sz w:val="24"/>
          <w:szCs w:val="24"/>
        </w:rPr>
        <w:t>(</w:t>
      </w:r>
      <w:r w:rsidR="00393821">
        <w:rPr>
          <w:rFonts w:ascii="Times New Roman" w:eastAsiaTheme="minorEastAsia" w:hAnsi="Times New Roman" w:cs="Times New Roman"/>
          <w:sz w:val="24"/>
          <w:szCs w:val="24"/>
        </w:rPr>
        <w:t>2</w:t>
      </w:r>
      <w:r w:rsidR="0012732A">
        <w:rPr>
          <w:rFonts w:ascii="Times New Roman" w:eastAsiaTheme="minorEastAsia" w:hAnsi="Times New Roman" w:cs="Times New Roman"/>
          <w:sz w:val="24"/>
          <w:szCs w:val="24"/>
        </w:rPr>
        <w:t>)</w:t>
      </w:r>
    </w:p>
    <w:p w14:paraId="0D5E3A87" w14:textId="62C979BE" w:rsidR="009C2959" w:rsidRPr="0012732A" w:rsidRDefault="0012732A" w:rsidP="001A103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sidR="001E1F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D4511" w:rsidRPr="00AF50DA">
        <w:rPr>
          <w:rFonts w:ascii="Times New Roman" w:eastAsiaTheme="minorEastAsia" w:hAnsi="Times New Roman" w:cs="Times New Roman"/>
          <w:sz w:val="24"/>
          <w:szCs w:val="24"/>
        </w:rPr>
        <w:t>I</w:t>
      </w:r>
      <w:r w:rsidR="00FD5526">
        <w:rPr>
          <w:rFonts w:ascii="Times New Roman" w:eastAsiaTheme="minorEastAsia" w:hAnsi="Times New Roman" w:cs="Times New Roman"/>
          <w:sz w:val="24"/>
          <w:szCs w:val="24"/>
        </w:rPr>
        <w:t xml:space="preserve"> and K</w:t>
      </w:r>
      <w:r>
        <w:rPr>
          <w:rFonts w:ascii="Times New Roman" w:eastAsiaTheme="minorEastAsia" w:hAnsi="Times New Roman" w:cs="Times New Roman"/>
          <w:sz w:val="24"/>
          <w:szCs w:val="24"/>
        </w:rPr>
        <w:t xml:space="preserve"> are </w:t>
      </w:r>
      <w:r w:rsidR="009D4511" w:rsidRPr="00AF50DA">
        <w:rPr>
          <w:rFonts w:ascii="Times New Roman" w:eastAsiaTheme="minorEastAsia" w:hAnsi="Times New Roman" w:cs="Times New Roman"/>
          <w:sz w:val="24"/>
          <w:szCs w:val="24"/>
        </w:rPr>
        <w:t>soil infiltration capacity</w:t>
      </w:r>
      <w:r w:rsidR="00FD5526">
        <w:rPr>
          <w:rFonts w:ascii="Times New Roman" w:eastAsiaTheme="minorEastAsia" w:hAnsi="Times New Roman" w:cs="Times New Roman"/>
          <w:sz w:val="24"/>
          <w:szCs w:val="24"/>
        </w:rPr>
        <w:t xml:space="preserve"> and hydraulic conductivity</w:t>
      </w:r>
      <w:r>
        <w:rPr>
          <w:rFonts w:ascii="Times New Roman" w:eastAsiaTheme="minorEastAsia" w:hAnsi="Times New Roman" w:cs="Times New Roman"/>
          <w:sz w:val="24"/>
          <w:szCs w:val="24"/>
        </w:rPr>
        <w:t>, respectively</w:t>
      </w:r>
      <w:r w:rsidR="00FD5526">
        <w:rPr>
          <w:rFonts w:ascii="Times New Roman" w:eastAsiaTheme="minorEastAsia" w:hAnsi="Times New Roman" w:cs="Times New Roman"/>
          <w:sz w:val="24"/>
          <w:szCs w:val="24"/>
        </w:rPr>
        <w:t xml:space="preserve"> (cm/sec)</w:t>
      </w:r>
      <w:r>
        <w:rPr>
          <w:rFonts w:ascii="Times New Roman" w:eastAsiaTheme="minorEastAsia" w:hAnsi="Times New Roman" w:cs="Times New Roman"/>
          <w:sz w:val="24"/>
          <w:szCs w:val="24"/>
        </w:rPr>
        <w:t xml:space="preserve">, </w:t>
      </w:r>
      <w:r w:rsidR="009D4511" w:rsidRPr="00AF50DA">
        <w:rPr>
          <w:rFonts w:ascii="Times New Roman" w:hAnsi="Times New Roman" w:cs="Times New Roman"/>
          <w:sz w:val="24"/>
          <w:szCs w:val="24"/>
        </w:rPr>
        <w:t>C1 is the slope of the cumulative infiltration curve versus the square root of time</w:t>
      </w:r>
      <w:r w:rsidR="008D70F1">
        <w:rPr>
          <w:rFonts w:ascii="Times New Roman" w:hAnsi="Times New Roman" w:cs="Times New Roman"/>
          <w:sz w:val="24"/>
          <w:szCs w:val="24"/>
        </w:rPr>
        <w:t xml:space="preserve">, and </w:t>
      </w:r>
      <w:r w:rsidR="008D70F1" w:rsidRPr="00AF50DA">
        <w:rPr>
          <w:rFonts w:ascii="Times New Roman" w:hAnsi="Times New Roman" w:cs="Times New Roman"/>
          <w:sz w:val="24"/>
          <w:szCs w:val="24"/>
        </w:rPr>
        <w:t>C2 (m min-1 relates to k)</w:t>
      </w:r>
      <w:r w:rsidR="008D70F1">
        <w:rPr>
          <w:rFonts w:ascii="Times New Roman" w:hAnsi="Times New Roman" w:cs="Times New Roman"/>
          <w:sz w:val="24"/>
          <w:szCs w:val="24"/>
        </w:rPr>
        <w:t>.</w:t>
      </w:r>
    </w:p>
    <w:p w14:paraId="023A4523" w14:textId="77777777" w:rsidR="00393821" w:rsidRPr="00393821" w:rsidRDefault="00393821" w:rsidP="00393821">
      <w:pPr>
        <w:spacing w:after="0" w:line="240" w:lineRule="auto"/>
        <w:jc w:val="both"/>
        <w:rPr>
          <w:rFonts w:ascii="Times New Roman" w:hAnsi="Times New Roman" w:cs="Times New Roman"/>
          <w:sz w:val="24"/>
          <w:szCs w:val="24"/>
        </w:rPr>
      </w:pPr>
    </w:p>
    <w:p w14:paraId="177E37C4" w14:textId="671DE862" w:rsidR="001167C4" w:rsidRPr="001167C4" w:rsidRDefault="001167C4" w:rsidP="001167C4">
      <w:pPr>
        <w:keepNext/>
        <w:keepLines/>
        <w:spacing w:after="0" w:line="240" w:lineRule="auto"/>
        <w:ind w:left="576" w:hanging="576"/>
        <w:jc w:val="both"/>
        <w:outlineLvl w:val="1"/>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Determination of </w:t>
      </w:r>
      <w:r w:rsidRPr="001167C4">
        <w:rPr>
          <w:rFonts w:ascii="Times New Roman" w:eastAsia="Times New Roman" w:hAnsi="Times New Roman" w:cs="Times New Roman"/>
          <w:b/>
          <w:sz w:val="24"/>
          <w:szCs w:val="26"/>
        </w:rPr>
        <w:t>Crop Water Requirement</w:t>
      </w:r>
      <w:r>
        <w:rPr>
          <w:rFonts w:ascii="Times New Roman" w:eastAsia="Times New Roman" w:hAnsi="Times New Roman" w:cs="Times New Roman"/>
          <w:b/>
          <w:sz w:val="24"/>
          <w:szCs w:val="26"/>
        </w:rPr>
        <w:t xml:space="preserve"> of Garden Egg</w:t>
      </w:r>
    </w:p>
    <w:p w14:paraId="602E13BF" w14:textId="034BA355" w:rsidR="001167C4" w:rsidRPr="001167C4" w:rsidRDefault="001167C4" w:rsidP="00116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167C4">
        <w:rPr>
          <w:rFonts w:ascii="Times New Roman" w:eastAsia="Times New Roman" w:hAnsi="Times New Roman" w:cs="Times New Roman"/>
          <w:sz w:val="24"/>
          <w:szCs w:val="24"/>
        </w:rPr>
        <w:t>he daily reference crop evapotranspiration (</w:t>
      </w:r>
      <w:proofErr w:type="spellStart"/>
      <w:r w:rsidRPr="001167C4">
        <w:rPr>
          <w:rFonts w:ascii="Times New Roman" w:eastAsia="Times New Roman" w:hAnsi="Times New Roman" w:cs="Times New Roman"/>
          <w:sz w:val="24"/>
          <w:szCs w:val="24"/>
        </w:rPr>
        <w:t>ETo</w:t>
      </w:r>
      <w:proofErr w:type="spellEnd"/>
      <w:r w:rsidRPr="001167C4">
        <w:rPr>
          <w:rFonts w:ascii="Times New Roman" w:eastAsia="Times New Roman" w:hAnsi="Times New Roman" w:cs="Times New Roman"/>
          <w:sz w:val="24"/>
          <w:szCs w:val="24"/>
        </w:rPr>
        <w:t xml:space="preserve">) was determined using weather data collected from the weather station located at the WACWISA </w:t>
      </w:r>
      <w:r>
        <w:rPr>
          <w:rFonts w:ascii="Times New Roman" w:eastAsia="Times New Roman" w:hAnsi="Times New Roman" w:cs="Times New Roman"/>
          <w:sz w:val="24"/>
          <w:szCs w:val="24"/>
        </w:rPr>
        <w:t>E</w:t>
      </w:r>
      <w:r w:rsidRPr="001167C4">
        <w:rPr>
          <w:rFonts w:ascii="Times New Roman" w:eastAsia="Times New Roman" w:hAnsi="Times New Roman" w:cs="Times New Roman"/>
          <w:sz w:val="24"/>
          <w:szCs w:val="24"/>
        </w:rPr>
        <w:t xml:space="preserve">xperimental </w:t>
      </w:r>
      <w:r>
        <w:rPr>
          <w:rFonts w:ascii="Times New Roman" w:eastAsia="Times New Roman" w:hAnsi="Times New Roman" w:cs="Times New Roman"/>
          <w:sz w:val="24"/>
          <w:szCs w:val="24"/>
        </w:rPr>
        <w:t>F</w:t>
      </w:r>
      <w:r w:rsidRPr="001167C4">
        <w:rPr>
          <w:rFonts w:ascii="Times New Roman" w:eastAsia="Times New Roman" w:hAnsi="Times New Roman" w:cs="Times New Roman"/>
          <w:sz w:val="24"/>
          <w:szCs w:val="24"/>
        </w:rPr>
        <w:t>ield. To adjust the crop water requirement (CWR) for localized drip irrigation systems, the equation proposed by Keller and Bliesner (1990) was applied. This equation accounts for the ground cover (Pd) of the specific crop, which typically ranges from 70% to 100%, depending on the crop type and its expected ground cover. However, many researchers prefer using a ground cover value of 95%.</w:t>
      </w:r>
      <w:r>
        <w:rPr>
          <w:rFonts w:ascii="Times New Roman" w:eastAsia="Times New Roman" w:hAnsi="Times New Roman" w:cs="Times New Roman"/>
          <w:sz w:val="24"/>
          <w:szCs w:val="24"/>
        </w:rPr>
        <w:t xml:space="preserve"> </w:t>
      </w:r>
      <w:r w:rsidRPr="001167C4">
        <w:rPr>
          <w:rFonts w:ascii="Times New Roman" w:eastAsia="Times New Roman" w:hAnsi="Times New Roman" w:cs="Times New Roman"/>
          <w:sz w:val="24"/>
          <w:szCs w:val="24"/>
        </w:rPr>
        <w:t>The adjusted CWR was then calculated using the formula provided in Equation 3.</w:t>
      </w:r>
    </w:p>
    <w:p w14:paraId="62B87368" w14:textId="1F7DB253" w:rsidR="001167C4" w:rsidRPr="001167C4" w:rsidRDefault="001167C4" w:rsidP="001167C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Td = Ud x [0.1 (Pd)</w:t>
      </w:r>
      <w:r w:rsidRPr="001167C4">
        <w:rPr>
          <w:rFonts w:ascii="Times New Roman" w:eastAsia="Calibri" w:hAnsi="Times New Roman" w:cs="Times New Roman"/>
          <w:sz w:val="24"/>
          <w:szCs w:val="24"/>
          <w:vertAlign w:val="superscript"/>
        </w:rPr>
        <w:t>0.5</w:t>
      </w:r>
      <w:r w:rsidRPr="00445B39">
        <w:rPr>
          <w:rFonts w:ascii="Times New Roman" w:eastAsia="Calibri" w:hAnsi="Times New Roman" w:cs="Times New Roman"/>
          <w:sz w:val="24"/>
          <w:szCs w:val="24"/>
        </w:rPr>
        <w:t>]</w:t>
      </w:r>
      <w:r w:rsidRPr="001167C4">
        <w:rPr>
          <w:rFonts w:ascii="Times New Roman" w:eastAsia="Calibri" w:hAnsi="Times New Roman" w:cs="Times New Roman"/>
          <w:sz w:val="24"/>
          <w:szCs w:val="24"/>
        </w:rPr>
        <w:t xml:space="preserve"> …………</w:t>
      </w:r>
      <w:r w:rsidR="00191562">
        <w:rPr>
          <w:rFonts w:ascii="Times New Roman" w:eastAsia="Calibri" w:hAnsi="Times New Roman" w:cs="Times New Roman"/>
          <w:sz w:val="24"/>
          <w:szCs w:val="24"/>
        </w:rPr>
        <w:t>...</w:t>
      </w:r>
      <w:r w:rsidRPr="001167C4">
        <w:rPr>
          <w:rFonts w:ascii="Times New Roman" w:eastAsia="Calibri" w:hAnsi="Times New Roman" w:cs="Times New Roman"/>
          <w:sz w:val="24"/>
          <w:szCs w:val="24"/>
        </w:rPr>
        <w:t>……</w:t>
      </w:r>
      <w:r w:rsidR="00191562">
        <w:rPr>
          <w:rFonts w:ascii="Times New Roman" w:eastAsia="Calibri" w:hAnsi="Times New Roman" w:cs="Times New Roman"/>
          <w:sz w:val="24"/>
          <w:szCs w:val="24"/>
        </w:rPr>
        <w:t>.</w:t>
      </w:r>
      <w:r w:rsidR="0001620A">
        <w:rPr>
          <w:rFonts w:ascii="Times New Roman" w:eastAsia="Calibri" w:hAnsi="Times New Roman" w:cs="Times New Roman"/>
          <w:sz w:val="24"/>
          <w:szCs w:val="24"/>
        </w:rPr>
        <w:t>...</w:t>
      </w:r>
      <w:r w:rsidRPr="001167C4">
        <w:rPr>
          <w:rFonts w:ascii="Times New Roman" w:eastAsia="Calibri" w:hAnsi="Times New Roman" w:cs="Times New Roman"/>
          <w:sz w:val="24"/>
          <w:szCs w:val="24"/>
        </w:rPr>
        <w:t>…</w:t>
      </w:r>
      <w:r w:rsidR="0001620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191562">
        <w:rPr>
          <w:rFonts w:ascii="Times New Roman" w:eastAsia="Calibri" w:hAnsi="Times New Roman" w:cs="Times New Roman"/>
          <w:sz w:val="24"/>
          <w:szCs w:val="24"/>
        </w:rPr>
        <w:t>3</w:t>
      </w:r>
      <w:r>
        <w:rPr>
          <w:rFonts w:ascii="Times New Roman" w:eastAsia="Calibri" w:hAnsi="Times New Roman" w:cs="Times New Roman"/>
          <w:sz w:val="24"/>
          <w:szCs w:val="24"/>
        </w:rPr>
        <w:t>)</w:t>
      </w:r>
    </w:p>
    <w:p w14:paraId="68E5B573" w14:textId="6CC4F185" w:rsidR="001167C4" w:rsidRPr="001167C4" w:rsidRDefault="001167C4" w:rsidP="001167C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Where</w:t>
      </w:r>
      <w:r>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Td - CWR-localized,</w:t>
      </w:r>
      <w:r>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CWR (localized) - Estimated CWR-crop at peak demand for localized irrigation,</w:t>
      </w:r>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Ud - Conventionally estimated peak CWR-crop, and   Pd - Percentage ground cover (%).</w:t>
      </w:r>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 xml:space="preserve">The crop coefficient (Kc) values for garden eggs were considered to determine the crop water requirement at different stages of growth. The Kc value for the initial stage was 0.45, for the crop development stage it was 0.75, for the mid-season stage it was 1.15, and for the late harvesting stage it was 1.10. These Kc values were utilized to calculate the water requirement for each specific growth stage of the garden egg crop. </w:t>
      </w:r>
    </w:p>
    <w:p w14:paraId="4F6EE47A" w14:textId="6711E95C" w:rsidR="001167C4" w:rsidRPr="001167C4" w:rsidRDefault="001167C4" w:rsidP="001167C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 xml:space="preserve"> </w:t>
      </w:r>
      <m:oMath>
        <m:r>
          <w:rPr>
            <w:rFonts w:ascii="Cambria Math" w:eastAsia="Calibri" w:hAnsi="Cambria Math" w:cs="Times New Roman"/>
            <w:sz w:val="24"/>
            <w:szCs w:val="24"/>
          </w:rPr>
          <m:t>ETcrop = ETo × kc</m:t>
        </m:r>
      </m:oMath>
      <w:r w:rsidR="004472CF">
        <w:rPr>
          <w:rFonts w:ascii="Times New Roman" w:eastAsia="Calibri" w:hAnsi="Times New Roman" w:cs="Times New Roman"/>
          <w:sz w:val="24"/>
          <w:szCs w:val="24"/>
        </w:rPr>
        <w:t xml:space="preserve"> …………</w:t>
      </w:r>
      <w:r w:rsidR="00191562">
        <w:rPr>
          <w:rFonts w:ascii="Times New Roman" w:eastAsia="Calibri" w:hAnsi="Times New Roman" w:cs="Times New Roman"/>
          <w:sz w:val="24"/>
          <w:szCs w:val="24"/>
        </w:rPr>
        <w:t>……..</w:t>
      </w:r>
      <w:r w:rsidR="004472CF">
        <w:rPr>
          <w:rFonts w:ascii="Times New Roman" w:eastAsia="Calibri" w:hAnsi="Times New Roman" w:cs="Times New Roman"/>
          <w:sz w:val="24"/>
          <w:szCs w:val="24"/>
        </w:rPr>
        <w:t>…</w:t>
      </w:r>
      <w:r w:rsidR="00191562">
        <w:rPr>
          <w:rFonts w:ascii="Times New Roman" w:eastAsia="Calibri" w:hAnsi="Times New Roman" w:cs="Times New Roman"/>
          <w:sz w:val="24"/>
          <w:szCs w:val="24"/>
        </w:rPr>
        <w:t>.</w:t>
      </w:r>
      <w:r w:rsidR="004472CF">
        <w:rPr>
          <w:rFonts w:ascii="Times New Roman" w:eastAsia="Calibri" w:hAnsi="Times New Roman" w:cs="Times New Roman"/>
          <w:sz w:val="24"/>
          <w:szCs w:val="24"/>
        </w:rPr>
        <w:t>.. (</w:t>
      </w:r>
      <w:r w:rsidR="00191562">
        <w:rPr>
          <w:rFonts w:ascii="Times New Roman" w:eastAsia="Calibri" w:hAnsi="Times New Roman" w:cs="Times New Roman"/>
          <w:sz w:val="24"/>
          <w:szCs w:val="24"/>
        </w:rPr>
        <w:t>4</w:t>
      </w:r>
      <w:r w:rsidR="004472CF">
        <w:rPr>
          <w:rFonts w:ascii="Times New Roman" w:eastAsia="Calibri" w:hAnsi="Times New Roman" w:cs="Times New Roman"/>
          <w:sz w:val="24"/>
          <w:szCs w:val="24"/>
        </w:rPr>
        <w:t>)</w:t>
      </w:r>
    </w:p>
    <w:p w14:paraId="07F2E323" w14:textId="784C9E8E" w:rsidR="00552FEE" w:rsidRDefault="001167C4" w:rsidP="00182E5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Where</w:t>
      </w:r>
      <w:r w:rsidR="004472CF">
        <w:rPr>
          <w:rFonts w:ascii="Times New Roman" w:eastAsia="Calibri" w:hAnsi="Times New Roman" w:cs="Times New Roman"/>
          <w:sz w:val="24"/>
          <w:szCs w:val="24"/>
        </w:rPr>
        <w:t xml:space="preserve">; </w:t>
      </w:r>
      <w:proofErr w:type="spellStart"/>
      <w:r w:rsidR="004472CF">
        <w:rPr>
          <w:rFonts w:ascii="Times New Roman" w:eastAsia="Calibri" w:hAnsi="Times New Roman" w:cs="Times New Roman"/>
          <w:sz w:val="24"/>
          <w:szCs w:val="24"/>
        </w:rPr>
        <w:t>ETcrop</w:t>
      </w:r>
      <w:proofErr w:type="spellEnd"/>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w:t>
      </w:r>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crop water requirement, which represents the amount of water needed by the crop on a daily basis, measured in millimeters per day (mm/day)</w:t>
      </w:r>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Kc</w:t>
      </w:r>
      <w:r w:rsidR="00182E54">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is a factor that accounts for the water needs of a particular crop compared to the reference evapotranspiration (</w:t>
      </w:r>
      <w:proofErr w:type="spellStart"/>
      <w:r w:rsidRPr="001167C4">
        <w:rPr>
          <w:rFonts w:ascii="Times New Roman" w:eastAsia="Calibri" w:hAnsi="Times New Roman" w:cs="Times New Roman"/>
          <w:sz w:val="24"/>
          <w:szCs w:val="24"/>
        </w:rPr>
        <w:t>ETo</w:t>
      </w:r>
      <w:proofErr w:type="spellEnd"/>
      <w:r w:rsidRPr="001167C4">
        <w:rPr>
          <w:rFonts w:ascii="Times New Roman" w:eastAsia="Calibri" w:hAnsi="Times New Roman" w:cs="Times New Roman"/>
          <w:sz w:val="24"/>
          <w:szCs w:val="24"/>
        </w:rPr>
        <w:t>)</w:t>
      </w:r>
      <w:r w:rsidR="004472CF">
        <w:rPr>
          <w:rFonts w:ascii="Times New Roman" w:eastAsia="Calibri" w:hAnsi="Times New Roman" w:cs="Times New Roman"/>
          <w:sz w:val="24"/>
          <w:szCs w:val="24"/>
        </w:rPr>
        <w:t xml:space="preserve">, and </w:t>
      </w:r>
      <w:proofErr w:type="spellStart"/>
      <w:r w:rsidRPr="001167C4">
        <w:rPr>
          <w:rFonts w:ascii="Times New Roman" w:eastAsia="Calibri" w:hAnsi="Times New Roman" w:cs="Times New Roman"/>
          <w:sz w:val="24"/>
          <w:szCs w:val="24"/>
        </w:rPr>
        <w:t>E</w:t>
      </w:r>
      <w:r w:rsidR="004472CF">
        <w:rPr>
          <w:rFonts w:ascii="Times New Roman" w:eastAsia="Calibri" w:hAnsi="Times New Roman" w:cs="Times New Roman"/>
          <w:sz w:val="24"/>
          <w:szCs w:val="24"/>
        </w:rPr>
        <w:t>T</w:t>
      </w:r>
      <w:r w:rsidRPr="001167C4">
        <w:rPr>
          <w:rFonts w:ascii="Times New Roman" w:eastAsia="Calibri" w:hAnsi="Times New Roman" w:cs="Times New Roman"/>
          <w:sz w:val="24"/>
          <w:szCs w:val="24"/>
        </w:rPr>
        <w:t>o</w:t>
      </w:r>
      <w:proofErr w:type="spellEnd"/>
      <w:r w:rsidRPr="001167C4">
        <w:rPr>
          <w:rFonts w:ascii="Times New Roman" w:eastAsia="Calibri" w:hAnsi="Times New Roman" w:cs="Times New Roman"/>
          <w:sz w:val="24"/>
          <w:szCs w:val="24"/>
        </w:rPr>
        <w:t xml:space="preserve">- represents the overall evapotranspiration in a given area, also measured in millimeters (mm). By using the appropriate Kc value and combining it with the reference </w:t>
      </w:r>
      <w:proofErr w:type="spellStart"/>
      <w:r w:rsidRPr="001167C4">
        <w:rPr>
          <w:rFonts w:ascii="Times New Roman" w:eastAsia="Calibri" w:hAnsi="Times New Roman" w:cs="Times New Roman"/>
          <w:sz w:val="24"/>
          <w:szCs w:val="24"/>
        </w:rPr>
        <w:t>ETo</w:t>
      </w:r>
      <w:proofErr w:type="spellEnd"/>
      <w:r w:rsidRPr="001167C4">
        <w:rPr>
          <w:rFonts w:ascii="Times New Roman" w:eastAsia="Calibri" w:hAnsi="Times New Roman" w:cs="Times New Roman"/>
          <w:sz w:val="24"/>
          <w:szCs w:val="24"/>
        </w:rPr>
        <w:t>, the CWR-crop was calculated to determine the daily water requirement for garden egg.</w:t>
      </w:r>
    </w:p>
    <w:p w14:paraId="70EED30B" w14:textId="77777777" w:rsidR="00182E54" w:rsidRPr="00182E54" w:rsidRDefault="00182E54" w:rsidP="00182E54">
      <w:pPr>
        <w:spacing w:after="0" w:line="240" w:lineRule="auto"/>
        <w:jc w:val="both"/>
        <w:rPr>
          <w:rFonts w:ascii="Times New Roman" w:eastAsia="Calibri" w:hAnsi="Times New Roman" w:cs="Times New Roman"/>
          <w:sz w:val="24"/>
          <w:szCs w:val="24"/>
        </w:rPr>
      </w:pPr>
    </w:p>
    <w:p w14:paraId="7AD244B3" w14:textId="51862246" w:rsidR="00552FEE" w:rsidRPr="00552FEE" w:rsidRDefault="00552FEE" w:rsidP="003C7908">
      <w:pPr>
        <w:keepNext/>
        <w:keepLines/>
        <w:spacing w:after="0" w:line="240" w:lineRule="auto"/>
        <w:outlineLvl w:val="0"/>
        <w:rPr>
          <w:rFonts w:ascii="Times New Roman" w:eastAsia="Times New Roman" w:hAnsi="Times New Roman" w:cs="Times New Roman"/>
          <w:b/>
          <w:sz w:val="24"/>
          <w:szCs w:val="32"/>
        </w:rPr>
      </w:pPr>
      <w:r w:rsidRPr="00552FEE">
        <w:rPr>
          <w:rFonts w:ascii="Times New Roman" w:eastAsia="Times New Roman" w:hAnsi="Times New Roman" w:cs="Times New Roman"/>
          <w:b/>
          <w:sz w:val="24"/>
          <w:szCs w:val="32"/>
        </w:rPr>
        <w:t xml:space="preserve">Layout of Drip Irrigation System </w:t>
      </w:r>
    </w:p>
    <w:p w14:paraId="1C55DBAE" w14:textId="10DCF11C" w:rsidR="00552FEE" w:rsidRPr="00552FEE" w:rsidRDefault="00552FEE" w:rsidP="00552FEE">
      <w:pPr>
        <w:spacing w:line="240" w:lineRule="auto"/>
        <w:jc w:val="both"/>
        <w:rPr>
          <w:rFonts w:ascii="Times New Roman" w:eastAsia="Calibri" w:hAnsi="Times New Roman" w:cs="Times New Roman"/>
          <w:sz w:val="24"/>
          <w:szCs w:val="24"/>
        </w:rPr>
      </w:pPr>
      <w:r w:rsidRPr="00552FEE">
        <w:rPr>
          <w:rFonts w:ascii="Times New Roman" w:eastAsia="Calibri" w:hAnsi="Times New Roman" w:cs="Times New Roman"/>
          <w:sz w:val="24"/>
          <w:szCs w:val="24"/>
        </w:rPr>
        <w:t xml:space="preserve">Drip irrigation system </w:t>
      </w:r>
      <w:r>
        <w:rPr>
          <w:rFonts w:ascii="Times New Roman" w:eastAsia="Calibri" w:hAnsi="Times New Roman" w:cs="Times New Roman"/>
          <w:sz w:val="24"/>
          <w:szCs w:val="24"/>
        </w:rPr>
        <w:t xml:space="preserve">was used for the experiment. </w:t>
      </w:r>
      <w:r w:rsidRPr="00552FEE">
        <w:rPr>
          <w:rFonts w:ascii="Times New Roman" w:eastAsia="Calibri" w:hAnsi="Times New Roman" w:cs="Times New Roman"/>
          <w:sz w:val="24"/>
          <w:szCs w:val="24"/>
        </w:rPr>
        <w:t xml:space="preserve">The drip-lines were placed on the pots and kept straight with pegs at the ends as represented by </w:t>
      </w:r>
      <w:r w:rsidR="00FD7457">
        <w:rPr>
          <w:rFonts w:ascii="Times New Roman" w:eastAsia="Calibri" w:hAnsi="Times New Roman" w:cs="Times New Roman"/>
          <w:sz w:val="24"/>
          <w:szCs w:val="24"/>
        </w:rPr>
        <w:t>P</w:t>
      </w:r>
      <w:r w:rsidRPr="00552FEE">
        <w:rPr>
          <w:rFonts w:ascii="Times New Roman" w:eastAsia="Calibri" w:hAnsi="Times New Roman" w:cs="Times New Roman"/>
          <w:sz w:val="24"/>
          <w:szCs w:val="24"/>
        </w:rPr>
        <w:t xml:space="preserve">late </w:t>
      </w:r>
      <w:r w:rsidR="00EE19A1">
        <w:rPr>
          <w:rFonts w:ascii="Times New Roman" w:eastAsia="Calibri" w:hAnsi="Times New Roman" w:cs="Times New Roman"/>
          <w:sz w:val="24"/>
          <w:szCs w:val="24"/>
        </w:rPr>
        <w:t>2</w:t>
      </w:r>
      <w:r w:rsidRPr="00552FEE">
        <w:rPr>
          <w:rFonts w:ascii="Times New Roman" w:eastAsia="Calibri" w:hAnsi="Times New Roman" w:cs="Times New Roman"/>
          <w:sz w:val="24"/>
          <w:szCs w:val="24"/>
        </w:rPr>
        <w:t xml:space="preserve">. After the irrigation system has been installed, water distribution unit was tested in the field with catch cans and 36 catch cans were used according to the number of pots and system operated in period of 30 minutes to determine the distribution uniformity. </w:t>
      </w:r>
    </w:p>
    <w:p w14:paraId="24D97515" w14:textId="77777777" w:rsidR="00552FEE" w:rsidRPr="00552FEE" w:rsidRDefault="00552FEE" w:rsidP="00DF6D17">
      <w:pPr>
        <w:spacing w:before="240" w:after="0" w:line="240" w:lineRule="auto"/>
        <w:jc w:val="center"/>
        <w:rPr>
          <w:rFonts w:ascii="Times New Roman" w:eastAsia="Calibri" w:hAnsi="Times New Roman" w:cs="Times New Roman"/>
          <w:sz w:val="24"/>
          <w:szCs w:val="24"/>
        </w:rPr>
      </w:pPr>
      <w:r w:rsidRPr="00552FEE">
        <w:rPr>
          <w:rFonts w:ascii="Times New Roman" w:eastAsia="Calibri" w:hAnsi="Times New Roman" w:cs="Times New Roman"/>
          <w:noProof/>
          <w:sz w:val="24"/>
        </w:rPr>
        <w:lastRenderedPageBreak/>
        <w:drawing>
          <wp:inline distT="0" distB="0" distL="0" distR="0" wp14:anchorId="144B1441" wp14:editId="58F22187">
            <wp:extent cx="5943600" cy="28194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37C58610" w14:textId="5A655B3D" w:rsidR="00DB41C5" w:rsidRDefault="00552FEE" w:rsidP="00DF6D17">
      <w:pPr>
        <w:spacing w:after="0" w:line="240" w:lineRule="auto"/>
        <w:rPr>
          <w:rFonts w:ascii="Times New Roman" w:eastAsia="Calibri" w:hAnsi="Times New Roman" w:cs="Times New Roman"/>
          <w:iCs/>
          <w:sz w:val="24"/>
          <w:szCs w:val="24"/>
        </w:rPr>
      </w:pPr>
      <w:bookmarkStart w:id="2" w:name="_Toc143732903"/>
      <w:r w:rsidRPr="00552FEE">
        <w:rPr>
          <w:rFonts w:ascii="Times New Roman" w:eastAsia="Calibri" w:hAnsi="Times New Roman" w:cs="Times New Roman"/>
          <w:b/>
          <w:iCs/>
          <w:sz w:val="24"/>
          <w:szCs w:val="18"/>
        </w:rPr>
        <w:t xml:space="preserve">Plate </w:t>
      </w:r>
      <w:r w:rsidR="0060712E">
        <w:rPr>
          <w:rFonts w:ascii="Times New Roman" w:eastAsia="Calibri" w:hAnsi="Times New Roman" w:cs="Times New Roman"/>
          <w:b/>
          <w:iCs/>
          <w:sz w:val="24"/>
          <w:szCs w:val="18"/>
        </w:rPr>
        <w:t>2</w:t>
      </w:r>
      <w:r w:rsidRPr="00552FEE">
        <w:rPr>
          <w:rFonts w:ascii="Times New Roman" w:eastAsia="Calibri" w:hAnsi="Times New Roman" w:cs="Times New Roman"/>
          <w:b/>
          <w:iCs/>
          <w:sz w:val="24"/>
          <w:szCs w:val="18"/>
        </w:rPr>
        <w:t>:</w:t>
      </w:r>
      <w:r w:rsidRPr="00552FEE">
        <w:rPr>
          <w:rFonts w:ascii="Times New Roman" w:eastAsia="Calibri" w:hAnsi="Times New Roman" w:cs="Times New Roman"/>
          <w:b/>
          <w:bCs/>
          <w:iCs/>
          <w:sz w:val="24"/>
          <w:szCs w:val="24"/>
        </w:rPr>
        <w:t xml:space="preserve"> </w:t>
      </w:r>
      <w:r w:rsidRPr="00DF6D17">
        <w:rPr>
          <w:rFonts w:ascii="Times New Roman" w:eastAsia="Calibri" w:hAnsi="Times New Roman" w:cs="Times New Roman"/>
          <w:iCs/>
          <w:sz w:val="24"/>
          <w:szCs w:val="24"/>
        </w:rPr>
        <w:t>Layout of Drip Irrigation System at the Fiel</w:t>
      </w:r>
      <w:bookmarkEnd w:id="2"/>
      <w:r w:rsidR="00DB41C5" w:rsidRPr="00DF6D17">
        <w:rPr>
          <w:rFonts w:ascii="Times New Roman" w:eastAsia="Calibri" w:hAnsi="Times New Roman" w:cs="Times New Roman"/>
          <w:iCs/>
          <w:sz w:val="24"/>
          <w:szCs w:val="24"/>
        </w:rPr>
        <w:t>d</w:t>
      </w:r>
    </w:p>
    <w:p w14:paraId="2C0BC7F6" w14:textId="77777777" w:rsidR="00DF6D17" w:rsidRPr="00DF6D17" w:rsidRDefault="00DF6D17" w:rsidP="00DF6D17">
      <w:pPr>
        <w:spacing w:after="0" w:line="240" w:lineRule="auto"/>
        <w:rPr>
          <w:rFonts w:ascii="Times New Roman" w:eastAsia="Calibri" w:hAnsi="Times New Roman" w:cs="Times New Roman"/>
          <w:iCs/>
          <w:sz w:val="24"/>
          <w:szCs w:val="24"/>
        </w:rPr>
      </w:pPr>
    </w:p>
    <w:p w14:paraId="6A20236A" w14:textId="5ED8EC63" w:rsidR="00DB41C5" w:rsidRPr="00DB41C5" w:rsidRDefault="00DB41C5" w:rsidP="00DB41C5">
      <w:pPr>
        <w:keepNext/>
        <w:keepLines/>
        <w:spacing w:after="0" w:line="240" w:lineRule="auto"/>
        <w:ind w:left="576" w:hanging="576"/>
        <w:jc w:val="both"/>
        <w:outlineLvl w:val="1"/>
        <w:rPr>
          <w:rFonts w:ascii="Times New Roman" w:eastAsia="Times New Roman" w:hAnsi="Times New Roman" w:cs="Times New Roman"/>
          <w:b/>
          <w:sz w:val="24"/>
          <w:szCs w:val="26"/>
        </w:rPr>
      </w:pPr>
      <w:r w:rsidRPr="00DB41C5">
        <w:rPr>
          <w:rFonts w:ascii="Times New Roman" w:eastAsia="Times New Roman" w:hAnsi="Times New Roman" w:cs="Times New Roman"/>
          <w:b/>
          <w:sz w:val="24"/>
          <w:szCs w:val="26"/>
        </w:rPr>
        <w:t>Test</w:t>
      </w:r>
      <w:r w:rsidR="00003840">
        <w:rPr>
          <w:rFonts w:ascii="Times New Roman" w:eastAsia="Times New Roman" w:hAnsi="Times New Roman" w:cs="Times New Roman"/>
          <w:b/>
          <w:sz w:val="24"/>
          <w:szCs w:val="26"/>
        </w:rPr>
        <w:t>ing</w:t>
      </w:r>
      <w:r w:rsidRPr="00DB41C5">
        <w:rPr>
          <w:rFonts w:ascii="Times New Roman" w:eastAsia="Times New Roman" w:hAnsi="Times New Roman" w:cs="Times New Roman"/>
          <w:b/>
          <w:sz w:val="24"/>
          <w:szCs w:val="26"/>
        </w:rPr>
        <w:t xml:space="preserve"> of </w:t>
      </w:r>
      <w:r>
        <w:rPr>
          <w:rFonts w:ascii="Times New Roman" w:eastAsia="Times New Roman" w:hAnsi="Times New Roman" w:cs="Times New Roman"/>
          <w:b/>
          <w:sz w:val="24"/>
          <w:szCs w:val="26"/>
        </w:rPr>
        <w:t xml:space="preserve">Drip </w:t>
      </w:r>
      <w:r w:rsidRPr="00DB41C5">
        <w:rPr>
          <w:rFonts w:ascii="Times New Roman" w:eastAsia="Times New Roman" w:hAnsi="Times New Roman" w:cs="Times New Roman"/>
          <w:b/>
          <w:sz w:val="24"/>
          <w:szCs w:val="26"/>
        </w:rPr>
        <w:t>Irrigation System</w:t>
      </w:r>
    </w:p>
    <w:p w14:paraId="6DFB8148" w14:textId="23942F64" w:rsidR="00DB41C5" w:rsidRPr="00DB41C5" w:rsidRDefault="00DB41C5" w:rsidP="00DB41C5">
      <w:pPr>
        <w:spacing w:after="0" w:line="240" w:lineRule="auto"/>
        <w:jc w:val="both"/>
        <w:rPr>
          <w:rFonts w:ascii="Times New Roman" w:eastAsia="Calibri" w:hAnsi="Times New Roman" w:cs="Times New Roman"/>
          <w:sz w:val="24"/>
          <w:szCs w:val="24"/>
        </w:rPr>
      </w:pPr>
      <w:r w:rsidRPr="00DB41C5">
        <w:rPr>
          <w:rFonts w:ascii="Times New Roman" w:eastAsia="Calibri" w:hAnsi="Times New Roman" w:cs="Times New Roman"/>
          <w:sz w:val="24"/>
          <w:szCs w:val="24"/>
        </w:rPr>
        <w:t xml:space="preserve">The efficiency of the drip irrigation system varies between  90% and 95% when properly designed, installed and managed </w:t>
      </w:r>
      <w:r w:rsidRPr="00DB41C5">
        <w:rPr>
          <w:rFonts w:ascii="Times New Roman" w:eastAsia="Calibri" w:hAnsi="Times New Roman" w:cs="Times New Roman"/>
          <w:sz w:val="24"/>
          <w:szCs w:val="24"/>
        </w:rPr>
        <w:fldChar w:fldCharType="begin" w:fldLock="1"/>
      </w:r>
      <w:r w:rsidRPr="00DB41C5">
        <w:rPr>
          <w:rFonts w:ascii="Times New Roman" w:eastAsia="Calibri" w:hAnsi="Times New Roman" w:cs="Times New Roman"/>
          <w:sz w:val="24"/>
          <w:szCs w:val="24"/>
        </w:rPr>
        <w:instrText>ADDIN CSL_CITATION {"citationItems":[{"id":"ITEM-1","itemData":{"DOI":"10.4236/cweee.2021.102006","ISSN":"2168-1562","abstract":"This study was conducted to evaluate the water application uniformity for a drip irrigation system, considering the water quality and the duration of usage. The uniformity parameters, Emission Uniformity (EU %) and Uniformity Coefficient (UC %) were determined for the drip irrigation system installed over a year of performance. The procedures are based on taking measurements of emitter discharge along selected driplines on a sub-main. The catch can be identified as L1A, L1B, L1C, L1D, same for L2A to L2D, L3A to L3D and L4A to L4D. This gave a total of sixteen (16) measurement positions as there were 4 driplines. Results indicated that the uniformity of water application was 90% indicating that the emitter was still good after a year of installation. The average discharge rate was 0.57 l/h. The uniformity coefficient (UC %) for the gravity-fed drip irrigation system was 78%, indicating good water application and was quite significant for the evaluation of the uniform distribution of water for the design. The expansion of this irrigation method in rural communities could contribute to relevant water savings in most areas of the Upper West Region of Ghana.","author":[{"dropping-particle":"","family":"Darimani","given":"Hamidatu S.","non-dropping-particle":"","parse-names":false,"suffix":""},{"dropping-particle":"","family":"Kpoda","given":"Neolli","non-dropping-particle":"","parse-names":false,"suffix":""},{"dropping-particle":"","family":"Suleman","given":"Sumaila M.","non-dropping-particle":"","parse-names":false,"suffix":""},{"dropping-particle":"","family":"Luut","given":"Alhassan","non-dropping-particle":"","parse-names":false,"suffix":""}],"container-title":"Computational Water, Energy, and Environmental Engineering","id":"ITEM-1","issue":"02","issued":{"date-parts":[["2021"]]},"page":"82-94","title":"Field Performance Evaluation of a Small-Scale Drip Irrigation System Installed in the Upper West Region of Ghana","type":"article-journal","volume":"10"},"uris":["http://www.mendeley.com/documents/?uuid=169de2f0-2589-4022-b8c6-d6f17f5f2df4"]}],"mendeley":{"formattedCitation":"(Darimani et al., 2021)","plainTextFormattedCitation":"(Darimani et al., 2021)","previouslyFormattedCitation":"(Darimani et al., 2021)"},"properties":{"noteIndex":0},"schema":"https://github.com/citation-style-language/schema/raw/master/csl-citation.json"}</w:instrText>
      </w:r>
      <w:r w:rsidRPr="00DB41C5">
        <w:rPr>
          <w:rFonts w:ascii="Times New Roman" w:eastAsia="Calibri" w:hAnsi="Times New Roman" w:cs="Times New Roman"/>
          <w:sz w:val="24"/>
          <w:szCs w:val="24"/>
        </w:rPr>
        <w:fldChar w:fldCharType="separate"/>
      </w:r>
      <w:r w:rsidRPr="00DB41C5">
        <w:rPr>
          <w:rFonts w:ascii="Times New Roman" w:eastAsia="Calibri" w:hAnsi="Times New Roman" w:cs="Times New Roman"/>
          <w:noProof/>
          <w:sz w:val="24"/>
          <w:szCs w:val="24"/>
        </w:rPr>
        <w:t xml:space="preserve">(Darimani </w:t>
      </w:r>
      <w:r w:rsidRPr="00DB41C5">
        <w:rPr>
          <w:rFonts w:ascii="Times New Roman" w:eastAsia="Calibri" w:hAnsi="Times New Roman" w:cs="Times New Roman"/>
          <w:i/>
          <w:iCs/>
          <w:noProof/>
          <w:sz w:val="24"/>
          <w:szCs w:val="24"/>
        </w:rPr>
        <w:t>et al</w:t>
      </w:r>
      <w:r w:rsidRPr="00DB41C5">
        <w:rPr>
          <w:rFonts w:ascii="Times New Roman" w:eastAsia="Calibri" w:hAnsi="Times New Roman" w:cs="Times New Roman"/>
          <w:noProof/>
          <w:sz w:val="24"/>
          <w:szCs w:val="24"/>
        </w:rPr>
        <w:t>., 2021)</w:t>
      </w:r>
      <w:r w:rsidRPr="00DB41C5">
        <w:rPr>
          <w:rFonts w:ascii="Times New Roman" w:eastAsia="Calibri" w:hAnsi="Times New Roman" w:cs="Times New Roman"/>
          <w:sz w:val="24"/>
          <w:szCs w:val="24"/>
        </w:rPr>
        <w:fldChar w:fldCharType="end"/>
      </w:r>
      <w:r w:rsidRPr="00DB41C5">
        <w:rPr>
          <w:rFonts w:ascii="Times New Roman" w:eastAsia="Calibri" w:hAnsi="Times New Roman" w:cs="Times New Roman"/>
          <w:sz w:val="24"/>
          <w:szCs w:val="24"/>
        </w:rPr>
        <w:t xml:space="preserve">. </w:t>
      </w:r>
      <w:bookmarkStart w:id="3" w:name="_Toc141184683"/>
      <w:bookmarkStart w:id="4" w:name="_Toc141337398"/>
      <w:bookmarkStart w:id="5" w:name="_Toc141882006"/>
      <w:r w:rsidRPr="00DB41C5">
        <w:rPr>
          <w:rFonts w:ascii="Times New Roman" w:eastAsia="Calibri" w:hAnsi="Times New Roman" w:cs="Times New Roman"/>
          <w:sz w:val="24"/>
        </w:rPr>
        <w:t xml:space="preserve">Data obtained from 36 catch cans were used to test performance of irrigation system installed in the field experiment by considering </w:t>
      </w:r>
      <w:r w:rsidR="009E545E">
        <w:rPr>
          <w:rFonts w:ascii="Times New Roman" w:eastAsia="Calibri" w:hAnsi="Times New Roman" w:cs="Times New Roman"/>
          <w:sz w:val="24"/>
        </w:rPr>
        <w:t>emitter discharge rate</w:t>
      </w:r>
      <w:r w:rsidR="00305B31">
        <w:rPr>
          <w:rFonts w:ascii="Times New Roman" w:eastAsia="Calibri" w:hAnsi="Times New Roman" w:cs="Times New Roman"/>
          <w:sz w:val="24"/>
        </w:rPr>
        <w:t xml:space="preserve"> (</w:t>
      </w:r>
      <w:proofErr w:type="spellStart"/>
      <w:r w:rsidR="00305B31">
        <w:rPr>
          <w:rFonts w:ascii="Times New Roman" w:eastAsia="Calibri" w:hAnsi="Times New Roman" w:cs="Times New Roman"/>
          <w:sz w:val="24"/>
        </w:rPr>
        <w:t>Qa</w:t>
      </w:r>
      <w:proofErr w:type="spellEnd"/>
      <w:r w:rsidR="00305B31">
        <w:rPr>
          <w:rFonts w:ascii="Times New Roman" w:eastAsia="Calibri" w:hAnsi="Times New Roman" w:cs="Times New Roman"/>
          <w:sz w:val="24"/>
        </w:rPr>
        <w:t>)</w:t>
      </w:r>
      <w:r w:rsidR="009E545E">
        <w:rPr>
          <w:rFonts w:ascii="Times New Roman" w:eastAsia="Calibri" w:hAnsi="Times New Roman" w:cs="Times New Roman"/>
          <w:sz w:val="24"/>
        </w:rPr>
        <w:t>, u</w:t>
      </w:r>
      <w:r w:rsidRPr="00DB41C5">
        <w:rPr>
          <w:rFonts w:ascii="Times New Roman" w:eastAsia="Calibri" w:hAnsi="Times New Roman" w:cs="Times New Roman"/>
          <w:sz w:val="24"/>
        </w:rPr>
        <w:t xml:space="preserve">niformity of water distribution </w:t>
      </w:r>
      <w:r w:rsidR="00305B31">
        <w:rPr>
          <w:rFonts w:ascii="Times New Roman" w:eastAsia="Calibri" w:hAnsi="Times New Roman" w:cs="Times New Roman"/>
          <w:sz w:val="24"/>
        </w:rPr>
        <w:t xml:space="preserve">(DU) </w:t>
      </w:r>
      <w:r w:rsidRPr="00DB41C5">
        <w:rPr>
          <w:rFonts w:ascii="Times New Roman" w:eastAsia="Calibri" w:hAnsi="Times New Roman" w:cs="Times New Roman"/>
          <w:sz w:val="24"/>
        </w:rPr>
        <w:t>and uniformity coefficient</w:t>
      </w:r>
      <w:r w:rsidR="00305B31">
        <w:rPr>
          <w:rFonts w:ascii="Times New Roman" w:eastAsia="Calibri" w:hAnsi="Times New Roman" w:cs="Times New Roman"/>
          <w:sz w:val="24"/>
        </w:rPr>
        <w:t xml:space="preserve"> (UC)</w:t>
      </w:r>
      <w:r w:rsidRPr="00DB41C5">
        <w:rPr>
          <w:rFonts w:ascii="Times New Roman" w:eastAsia="Calibri" w:hAnsi="Times New Roman" w:cs="Times New Roman"/>
          <w:sz w:val="24"/>
        </w:rPr>
        <w:t>.</w:t>
      </w:r>
      <w:bookmarkEnd w:id="3"/>
      <w:bookmarkEnd w:id="4"/>
      <w:bookmarkEnd w:id="5"/>
      <w:r w:rsidRPr="00DB41C5">
        <w:rPr>
          <w:rFonts w:ascii="Times New Roman" w:eastAsia="Calibri" w:hAnsi="Times New Roman" w:cs="Times New Roman"/>
          <w:sz w:val="24"/>
        </w:rPr>
        <w:t xml:space="preserve"> </w:t>
      </w:r>
    </w:p>
    <w:p w14:paraId="64C2A0FC" w14:textId="0BC7A260" w:rsidR="00DB385A" w:rsidRPr="00DB385A" w:rsidRDefault="00DB385A" w:rsidP="00DB385A">
      <w:pPr>
        <w:spacing w:after="0" w:line="240" w:lineRule="auto"/>
        <w:jc w:val="both"/>
        <w:rPr>
          <w:rFonts w:ascii="Times New Roman" w:eastAsia="Times New Roman" w:hAnsi="Times New Roman" w:cs="Times New Roman"/>
          <w:sz w:val="24"/>
          <w:szCs w:val="24"/>
        </w:rPr>
      </w:pPr>
      <w:r w:rsidRPr="00DB385A">
        <w:rPr>
          <w:rFonts w:ascii="Times New Roman" w:eastAsia="Times New Roman" w:hAnsi="Times New Roman" w:cs="Times New Roman"/>
          <w:sz w:val="24"/>
          <w:szCs w:val="24"/>
        </w:rPr>
        <w:t>The average emitter discharge (</w:t>
      </w:r>
      <w:proofErr w:type="spellStart"/>
      <w:r w:rsidRPr="00DB385A">
        <w:rPr>
          <w:rFonts w:ascii="Times New Roman" w:eastAsia="Times New Roman" w:hAnsi="Times New Roman" w:cs="Times New Roman"/>
          <w:sz w:val="24"/>
          <w:szCs w:val="24"/>
        </w:rPr>
        <w:t>Qa</w:t>
      </w:r>
      <w:proofErr w:type="spellEnd"/>
      <w:r w:rsidRPr="00DB385A">
        <w:rPr>
          <w:rFonts w:ascii="Times New Roman" w:eastAsia="Times New Roman" w:hAnsi="Times New Roman" w:cs="Times New Roman"/>
          <w:sz w:val="24"/>
          <w:szCs w:val="24"/>
        </w:rPr>
        <w:t xml:space="preserve">) was obtained by using Equation </w:t>
      </w:r>
      <w:r w:rsidR="00197336">
        <w:rPr>
          <w:rFonts w:ascii="Times New Roman" w:eastAsia="Times New Roman" w:hAnsi="Times New Roman" w:cs="Times New Roman"/>
          <w:sz w:val="24"/>
          <w:szCs w:val="24"/>
        </w:rPr>
        <w:t>5</w:t>
      </w:r>
      <w:r w:rsidRPr="00DB385A">
        <w:rPr>
          <w:rFonts w:ascii="Times New Roman" w:eastAsia="Times New Roman" w:hAnsi="Times New Roman" w:cs="Times New Roman"/>
          <w:sz w:val="24"/>
          <w:szCs w:val="24"/>
        </w:rPr>
        <w:t xml:space="preserve"> </w:t>
      </w:r>
      <w:r w:rsidRPr="00DB385A">
        <w:rPr>
          <w:rFonts w:ascii="Times New Roman" w:eastAsia="Times New Roman" w:hAnsi="Times New Roman" w:cs="Times New Roman"/>
          <w:sz w:val="24"/>
          <w:szCs w:val="24"/>
        </w:rPr>
        <w:fldChar w:fldCharType="begin" w:fldLock="1"/>
      </w:r>
      <w:r w:rsidRPr="00DB385A">
        <w:rPr>
          <w:rFonts w:ascii="Times New Roman" w:eastAsia="Times New Roman" w:hAnsi="Times New Roman" w:cs="Times New Roman"/>
          <w:sz w:val="24"/>
          <w:szCs w:val="24"/>
        </w:rPr>
        <w:instrText>ADDIN CSL_CITATION {"citationItems":[{"id":"ITEM-1","itemData":{"DOI":"10.4236/cweee.2021.102006","ISSN":"2168-1562","abstract":"This study was conducted to evaluate the water application uniformity for a drip irrigation system, considering the water quality and the duration of usage. The uniformity parameters, Emission Uniformity (EU %) and Uniformity Coefficient (UC %) were determined for the drip irrigation system installed over a year of performance. The procedures are based on taking measurements of emitter discharge along selected driplines on a sub-main. The catch can be identified as L1A, L1B, L1C, L1D, same for L2A to L2D, L3A to L3D and L4A to L4D. This gave a total of sixteen (16) measurement positions as there were 4 driplines. Results indicated that the uniformity of water application was 90% indicating that the emitter was still good after a year of installation. The average discharge rate was 0.57 l/h. The uniformity coefficient (UC %) for the gravity-fed drip irrigation system was 78%, indicating good water application and was quite significant for the evaluation of the uniform distribution of water for the design. The expansion of this irrigation method in rural communities could contribute to relevant water savings in most areas of the Upper West Region of Ghana.","author":[{"dropping-particle":"","family":"Darimani","given":"Hamidatu S.","non-dropping-particle":"","parse-names":false,"suffix":""},{"dropping-particle":"","family":"Kpoda","given":"Neolli","non-dropping-particle":"","parse-names":false,"suffix":""},{"dropping-particle":"","family":"Suleman","given":"Sumaila M.","non-dropping-particle":"","parse-names":false,"suffix":""},{"dropping-particle":"","family":"Luut","given":"Alhassan","non-dropping-particle":"","parse-names":false,"suffix":""}],"container-title":"Computational Water, Energy, and Environmental Engineering","id":"ITEM-1","issue":"02","issued":{"date-parts":[["2021"]]},"page":"82-94","title":"Field Performance Evaluation of a Small-Scale Drip Irrigation System Installed in the Upper West Region of Ghana","type":"article-journal","volume":"10"},"uris":["http://www.mendeley.com/documents/?uuid=169de2f0-2589-4022-b8c6-d6f17f5f2df4"]}],"mendeley":{"formattedCitation":"(Darimani et al., 2021)","manualFormatting":"as given by Darimani et al.(2021)","plainTextFormattedCitation":"(Darimani et al., 2021)","previouslyFormattedCitation":"(Darimani et al., 2021)"},"properties":{"noteIndex":0},"schema":"https://github.com/citation-style-language/schema/raw/master/csl-citation.json"}</w:instrText>
      </w:r>
      <w:r w:rsidRPr="00DB385A">
        <w:rPr>
          <w:rFonts w:ascii="Times New Roman" w:eastAsia="Times New Roman" w:hAnsi="Times New Roman" w:cs="Times New Roman"/>
          <w:sz w:val="24"/>
          <w:szCs w:val="24"/>
        </w:rPr>
        <w:fldChar w:fldCharType="separate"/>
      </w:r>
      <w:r w:rsidRPr="00DB385A">
        <w:rPr>
          <w:rFonts w:ascii="Times New Roman" w:eastAsia="Times New Roman" w:hAnsi="Times New Roman" w:cs="Times New Roman"/>
          <w:noProof/>
          <w:sz w:val="24"/>
          <w:szCs w:val="24"/>
        </w:rPr>
        <w:t>as given by Darimani</w:t>
      </w:r>
      <w:r w:rsidRPr="00DB385A">
        <w:rPr>
          <w:rFonts w:ascii="Times New Roman" w:eastAsia="Times New Roman" w:hAnsi="Times New Roman" w:cs="Times New Roman"/>
          <w:i/>
          <w:iCs/>
          <w:noProof/>
          <w:sz w:val="24"/>
          <w:szCs w:val="24"/>
        </w:rPr>
        <w:t xml:space="preserve"> et al.</w:t>
      </w:r>
      <w:r w:rsidR="00197336">
        <w:rPr>
          <w:rFonts w:ascii="Times New Roman" w:eastAsia="Times New Roman" w:hAnsi="Times New Roman" w:cs="Times New Roman"/>
          <w:i/>
          <w:iCs/>
          <w:noProof/>
          <w:sz w:val="24"/>
          <w:szCs w:val="24"/>
        </w:rPr>
        <w:t xml:space="preserve"> </w:t>
      </w:r>
      <w:r w:rsidRPr="00DB385A">
        <w:rPr>
          <w:rFonts w:ascii="Times New Roman" w:eastAsia="Times New Roman" w:hAnsi="Times New Roman" w:cs="Times New Roman"/>
          <w:noProof/>
          <w:sz w:val="24"/>
          <w:szCs w:val="24"/>
        </w:rPr>
        <w:t>(2021)</w:t>
      </w:r>
      <w:r w:rsidRPr="00DB385A">
        <w:rPr>
          <w:rFonts w:ascii="Times New Roman" w:eastAsia="Times New Roman" w:hAnsi="Times New Roman" w:cs="Times New Roman"/>
          <w:sz w:val="24"/>
          <w:szCs w:val="24"/>
        </w:rPr>
        <w:fldChar w:fldCharType="end"/>
      </w:r>
      <w:r w:rsidRPr="00DB385A">
        <w:rPr>
          <w:rFonts w:ascii="Times New Roman" w:eastAsia="Times New Roman" w:hAnsi="Times New Roman" w:cs="Times New Roman"/>
          <w:sz w:val="24"/>
          <w:szCs w:val="24"/>
        </w:rPr>
        <w:t>.</w:t>
      </w:r>
    </w:p>
    <w:p w14:paraId="19A6C315" w14:textId="47A89612" w:rsidR="00DB385A" w:rsidRPr="00DB385A" w:rsidRDefault="00DB385A" w:rsidP="00DB385A">
      <w:pPr>
        <w:spacing w:after="0" w:line="240" w:lineRule="auto"/>
        <w:jc w:val="both"/>
        <w:rPr>
          <w:rFonts w:ascii="Times New Roman" w:eastAsia="Times New Roman" w:hAnsi="Times New Roman" w:cs="Times New Roman"/>
          <w:sz w:val="24"/>
          <w:szCs w:val="24"/>
        </w:rPr>
      </w:pPr>
      <w:proofErr w:type="spellStart"/>
      <w:r w:rsidRPr="00DB385A">
        <w:rPr>
          <w:rFonts w:ascii="Times New Roman" w:eastAsia="Times New Roman" w:hAnsi="Times New Roman" w:cs="Times New Roman"/>
          <w:sz w:val="24"/>
          <w:szCs w:val="24"/>
        </w:rPr>
        <w:t>Qa</w:t>
      </w:r>
      <w:proofErr w:type="spellEnd"/>
      <w:r w:rsidR="00343D58">
        <w:rPr>
          <w:rFonts w:ascii="Times New Roman" w:eastAsia="Times New Roman" w:hAnsi="Times New Roman" w:cs="Times New Roman"/>
          <w:sz w:val="24"/>
          <w:szCs w:val="24"/>
        </w:rPr>
        <w:t xml:space="preserve"> </w:t>
      </w:r>
      <w:r w:rsidRPr="00DB385A">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r>
              <w:rPr>
                <w:rFonts w:ascii="Cambria Math" w:eastAsia="Times New Roman" w:hAnsi="Cambria Math" w:cs="Times New Roman"/>
                <w:sz w:val="24"/>
                <w:szCs w:val="24"/>
              </w:rPr>
              <m:t>qi</m:t>
            </m:r>
          </m:e>
        </m:nary>
      </m:oMath>
      <w:r w:rsidR="001973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9733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4547B191" w14:textId="25F06697" w:rsidR="00DB385A" w:rsidRPr="00DB385A" w:rsidRDefault="00DB385A" w:rsidP="00DB385A">
      <w:pPr>
        <w:tabs>
          <w:tab w:val="left" w:pos="2864"/>
        </w:tabs>
        <w:spacing w:after="0" w:line="240" w:lineRule="auto"/>
        <w:jc w:val="both"/>
        <w:rPr>
          <w:rFonts w:ascii="Times New Roman" w:eastAsia="Calibri" w:hAnsi="Times New Roman" w:cs="Times New Roman"/>
          <w:sz w:val="24"/>
          <w:szCs w:val="24"/>
        </w:rPr>
      </w:pPr>
      <w:r w:rsidRPr="00DB385A">
        <w:rPr>
          <w:rFonts w:ascii="Times New Roman" w:eastAsia="Calibri" w:hAnsi="Times New Roman" w:cs="Times New Roman"/>
          <w:sz w:val="24"/>
          <w:szCs w:val="24"/>
        </w:rPr>
        <w:t>Where</w:t>
      </w:r>
      <w:r>
        <w:rPr>
          <w:rFonts w:ascii="Times New Roman" w:eastAsia="Calibri" w:hAnsi="Times New Roman" w:cs="Times New Roman"/>
          <w:sz w:val="24"/>
          <w:szCs w:val="24"/>
        </w:rPr>
        <w:t xml:space="preserve">; </w:t>
      </w:r>
      <w:proofErr w:type="spellStart"/>
      <w:r w:rsidRPr="00DB385A">
        <w:rPr>
          <w:rFonts w:ascii="Times New Roman" w:eastAsia="Times New Roman" w:hAnsi="Times New Roman" w:cs="Times New Roman"/>
          <w:sz w:val="24"/>
          <w:szCs w:val="24"/>
        </w:rPr>
        <w:t>Qa</w:t>
      </w:r>
      <w:proofErr w:type="spellEnd"/>
      <w:r w:rsidRPr="00DB38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B385A">
        <w:rPr>
          <w:rFonts w:ascii="Times New Roman" w:eastAsia="Times New Roman" w:hAnsi="Times New Roman" w:cs="Times New Roman"/>
          <w:sz w:val="24"/>
          <w:szCs w:val="24"/>
        </w:rPr>
        <w:t xml:space="preserve"> emitter discharge(l/</w:t>
      </w:r>
      <w:proofErr w:type="spellStart"/>
      <w:r w:rsidRPr="00DB385A">
        <w:rPr>
          <w:rFonts w:ascii="Times New Roman" w:eastAsia="Times New Roman" w:hAnsi="Times New Roman" w:cs="Times New Roman"/>
          <w:sz w:val="24"/>
          <w:szCs w:val="24"/>
        </w:rPr>
        <w:t>hr</w:t>
      </w:r>
      <w:proofErr w:type="spellEnd"/>
      <w:r w:rsidRPr="00DB385A">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DB385A">
        <w:rPr>
          <w:rFonts w:ascii="Times New Roman" w:eastAsia="Calibri" w:hAnsi="Times New Roman" w:cs="Times New Roman"/>
          <w:sz w:val="24"/>
          <w:szCs w:val="24"/>
        </w:rPr>
        <w:t xml:space="preserve">qi </w:t>
      </w:r>
      <w:r>
        <w:rPr>
          <w:rFonts w:ascii="Times New Roman" w:eastAsia="Calibri" w:hAnsi="Times New Roman" w:cs="Times New Roman"/>
          <w:sz w:val="24"/>
          <w:szCs w:val="24"/>
        </w:rPr>
        <w:t>-</w:t>
      </w:r>
      <w:r w:rsidRPr="00DB385A">
        <w:rPr>
          <w:rFonts w:ascii="Times New Roman" w:eastAsia="Calibri" w:hAnsi="Times New Roman" w:cs="Times New Roman"/>
          <w:sz w:val="24"/>
          <w:szCs w:val="24"/>
        </w:rPr>
        <w:t xml:space="preserve"> flow rate of the emitter(l/h), and n </w:t>
      </w:r>
      <w:r>
        <w:rPr>
          <w:rFonts w:ascii="Times New Roman" w:eastAsia="Calibri" w:hAnsi="Times New Roman" w:cs="Times New Roman"/>
          <w:sz w:val="24"/>
          <w:szCs w:val="24"/>
        </w:rPr>
        <w:t>-</w:t>
      </w:r>
      <w:r w:rsidRPr="00DB385A">
        <w:rPr>
          <w:rFonts w:ascii="Times New Roman" w:eastAsia="Calibri" w:hAnsi="Times New Roman" w:cs="Times New Roman"/>
          <w:sz w:val="24"/>
          <w:szCs w:val="24"/>
        </w:rPr>
        <w:t xml:space="preserve"> total number of emitters.</w:t>
      </w:r>
    </w:p>
    <w:p w14:paraId="30D6A000" w14:textId="5D8DD507" w:rsidR="002E3794" w:rsidRPr="002E3794" w:rsidRDefault="002E3794" w:rsidP="002E3794">
      <w:pPr>
        <w:shd w:val="clear" w:color="auto" w:fill="FFFFFF"/>
        <w:spacing w:after="0" w:line="240" w:lineRule="auto"/>
        <w:ind w:right="720"/>
        <w:jc w:val="both"/>
        <w:rPr>
          <w:rFonts w:ascii="Times New Roman" w:eastAsia="Times New Roman" w:hAnsi="Times New Roman" w:cs="Times New Roman"/>
          <w:b/>
          <w:sz w:val="24"/>
          <w:szCs w:val="24"/>
        </w:rPr>
      </w:pPr>
      <w:r w:rsidRPr="002E3794">
        <w:rPr>
          <w:rFonts w:ascii="Times New Roman" w:eastAsia="Calibri" w:hAnsi="Times New Roman" w:cs="Times New Roman"/>
          <w:sz w:val="24"/>
          <w:szCs w:val="24"/>
        </w:rPr>
        <w:t xml:space="preserve">The Equations </w:t>
      </w:r>
      <w:r w:rsidR="00197336">
        <w:rPr>
          <w:rFonts w:ascii="Times New Roman" w:eastAsia="Calibri" w:hAnsi="Times New Roman" w:cs="Times New Roman"/>
          <w:sz w:val="24"/>
          <w:szCs w:val="24"/>
        </w:rPr>
        <w:t>6</w:t>
      </w:r>
      <w:r w:rsidRPr="002E3794">
        <w:rPr>
          <w:rFonts w:ascii="Times New Roman" w:eastAsia="Calibri" w:hAnsi="Times New Roman" w:cs="Times New Roman"/>
          <w:sz w:val="24"/>
          <w:szCs w:val="24"/>
        </w:rPr>
        <w:t xml:space="preserve"> and </w:t>
      </w:r>
      <w:r w:rsidR="00197336">
        <w:rPr>
          <w:rFonts w:ascii="Times New Roman" w:eastAsia="Calibri" w:hAnsi="Times New Roman" w:cs="Times New Roman"/>
          <w:sz w:val="24"/>
          <w:szCs w:val="24"/>
        </w:rPr>
        <w:t>7</w:t>
      </w:r>
      <w:r w:rsidRPr="002E3794">
        <w:rPr>
          <w:rFonts w:ascii="Times New Roman" w:eastAsia="Calibri" w:hAnsi="Times New Roman" w:cs="Times New Roman"/>
          <w:sz w:val="24"/>
          <w:szCs w:val="24"/>
        </w:rPr>
        <w:t xml:space="preserve"> were used to determine the distribution uniformity of the drip irrigation system.</w:t>
      </w:r>
    </w:p>
    <w:p w14:paraId="34C4DBCB" w14:textId="1855093D" w:rsidR="002E3794" w:rsidRPr="002E3794" w:rsidRDefault="002E3794" w:rsidP="002E3794">
      <w:pPr>
        <w:shd w:val="clear" w:color="auto" w:fill="FFFFFF"/>
        <w:spacing w:after="0" w:line="240" w:lineRule="auto"/>
        <w:ind w:right="720"/>
        <w:jc w:val="both"/>
        <w:rPr>
          <w:rFonts w:ascii="Times New Roman" w:eastAsia="Times New Roman" w:hAnsi="Times New Roman" w:cs="Times New Roman"/>
          <w:sz w:val="24"/>
          <w:szCs w:val="24"/>
          <w:lang w:val="de-DE"/>
        </w:rPr>
      </w:pPr>
      <w:r w:rsidRPr="002E3794">
        <w:rPr>
          <w:rFonts w:ascii="Times New Roman" w:eastAsia="Times New Roman" w:hAnsi="Times New Roman" w:cs="Times New Roman"/>
          <w:sz w:val="24"/>
          <w:szCs w:val="24"/>
          <w:lang w:val="de-DE"/>
        </w:rPr>
        <w:t>DU (%)</w:t>
      </w:r>
      <m:oMath>
        <m:r>
          <w:rPr>
            <w:rFonts w:ascii="Cambria Math" w:eastAsia="Times New Roman" w:hAnsi="Cambria Math" w:cs="Times New Roman"/>
            <w:sz w:val="24"/>
            <w:szCs w:val="24"/>
            <w:lang w:val="de-DE"/>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average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volume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lowest</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quater</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catc</m:t>
            </m:r>
            <m:r>
              <w:rPr>
                <w:rFonts w:ascii="Cambria Math" w:eastAsia="Times New Roman" w:hAnsi="Cambria Math" w:cs="Times New Roman"/>
                <w:sz w:val="24"/>
                <w:szCs w:val="24"/>
                <w:lang w:val="de-DE"/>
              </w:rPr>
              <m:t xml:space="preserve">h </m:t>
            </m:r>
            <m:r>
              <w:rPr>
                <w:rFonts w:ascii="Cambria Math" w:eastAsia="Times New Roman" w:hAnsi="Cambria Math" w:cs="Times New Roman"/>
                <w:sz w:val="24"/>
                <w:szCs w:val="24"/>
              </w:rPr>
              <m:t>can</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measurement</m:t>
            </m:r>
          </m:num>
          <m:den>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average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volume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catc</m:t>
            </m:r>
            <m:r>
              <w:rPr>
                <w:rFonts w:ascii="Cambria Math" w:eastAsia="Times New Roman" w:hAnsi="Cambria Math" w:cs="Times New Roman"/>
                <w:sz w:val="24"/>
                <w:szCs w:val="24"/>
                <w:lang w:val="de-DE"/>
              </w:rPr>
              <m:t xml:space="preserve">h </m:t>
            </m:r>
            <m:r>
              <w:rPr>
                <w:rFonts w:ascii="Cambria Math" w:eastAsia="Times New Roman" w:hAnsi="Cambria Math" w:cs="Times New Roman"/>
                <w:sz w:val="24"/>
                <w:szCs w:val="24"/>
              </w:rPr>
              <m:t>can</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measurement</m:t>
            </m:r>
          </m:den>
        </m:f>
      </m:oMath>
      <w:r w:rsidRPr="002E3794">
        <w:rPr>
          <w:rFonts w:ascii="Times New Roman" w:eastAsia="Times New Roman" w:hAnsi="Times New Roman" w:cs="Times New Roman"/>
          <w:sz w:val="24"/>
          <w:szCs w:val="24"/>
          <w:lang w:val="de-DE"/>
        </w:rPr>
        <w:t>×100..</w:t>
      </w:r>
      <w:r w:rsidR="00197336">
        <w:rPr>
          <w:rFonts w:ascii="Times New Roman" w:eastAsia="Times New Roman" w:hAnsi="Times New Roman" w:cs="Times New Roman"/>
          <w:sz w:val="24"/>
          <w:szCs w:val="24"/>
          <w:lang w:val="de-DE"/>
        </w:rPr>
        <w:t>......</w:t>
      </w:r>
      <w:r w:rsidRPr="002E3794">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sidR="00197336">
        <w:rPr>
          <w:rFonts w:ascii="Times New Roman" w:eastAsia="Times New Roman" w:hAnsi="Times New Roman" w:cs="Times New Roman"/>
          <w:sz w:val="24"/>
          <w:szCs w:val="24"/>
          <w:lang w:val="de-DE"/>
        </w:rPr>
        <w:t>6</w:t>
      </w:r>
      <w:r>
        <w:rPr>
          <w:rFonts w:ascii="Times New Roman" w:eastAsia="Times New Roman" w:hAnsi="Times New Roman" w:cs="Times New Roman"/>
          <w:sz w:val="24"/>
          <w:szCs w:val="24"/>
          <w:lang w:val="de-DE"/>
        </w:rPr>
        <w:t>)</w:t>
      </w:r>
    </w:p>
    <w:p w14:paraId="08A4D965" w14:textId="717A4B31" w:rsidR="00552FEE" w:rsidRPr="00552FEE" w:rsidRDefault="002E3794" w:rsidP="002E3794">
      <w:pPr>
        <w:spacing w:line="240" w:lineRule="auto"/>
        <w:jc w:val="both"/>
        <w:rPr>
          <w:rFonts w:ascii="Times New Roman" w:hAnsi="Times New Roman" w:cs="Times New Roman"/>
          <w:sz w:val="24"/>
          <w:szCs w:val="24"/>
        </w:rPr>
      </w:pPr>
      <w:r w:rsidRPr="003C06CD">
        <w:rPr>
          <w:rFonts w:ascii="Times New Roman" w:eastAsia="Calibri" w:hAnsi="Times New Roman" w:cs="Times New Roman"/>
          <w:sz w:val="24"/>
          <w:szCs w:val="24"/>
          <w:lang w:val="de-DE"/>
        </w:rPr>
        <w:t>DU (%) = 100 [Q</w:t>
      </w:r>
      <w:r w:rsidRPr="003C06CD">
        <w:rPr>
          <w:rFonts w:ascii="Times New Roman" w:eastAsia="Calibri" w:hAnsi="Times New Roman" w:cs="Times New Roman"/>
          <w:sz w:val="24"/>
          <w:szCs w:val="24"/>
          <w:vertAlign w:val="superscript"/>
          <w:lang w:val="de-DE"/>
        </w:rPr>
        <w:t>25</w:t>
      </w:r>
      <w:r w:rsidRPr="003C06CD">
        <w:rPr>
          <w:rFonts w:ascii="Times New Roman" w:eastAsia="Calibri" w:hAnsi="Times New Roman" w:cs="Times New Roman"/>
          <w:sz w:val="24"/>
          <w:szCs w:val="24"/>
          <w:lang w:val="de-DE"/>
        </w:rPr>
        <w:t>/Qav] ................</w:t>
      </w:r>
      <w:r w:rsidR="00343D58">
        <w:rPr>
          <w:rFonts w:ascii="Times New Roman" w:eastAsia="Calibri" w:hAnsi="Times New Roman" w:cs="Times New Roman"/>
          <w:sz w:val="24"/>
          <w:szCs w:val="24"/>
          <w:lang w:val="de-DE"/>
        </w:rPr>
        <w:t>..</w:t>
      </w:r>
      <w:r w:rsidRPr="003C06CD">
        <w:rPr>
          <w:rFonts w:ascii="Times New Roman" w:eastAsia="Calibri" w:hAnsi="Times New Roman" w:cs="Times New Roman"/>
          <w:sz w:val="24"/>
          <w:szCs w:val="24"/>
          <w:lang w:val="de-DE"/>
        </w:rPr>
        <w:t>.....</w:t>
      </w:r>
      <w:r>
        <w:rPr>
          <w:rFonts w:ascii="Times New Roman" w:eastAsia="Calibri" w:hAnsi="Times New Roman" w:cs="Times New Roman"/>
          <w:sz w:val="24"/>
          <w:szCs w:val="24"/>
          <w:lang w:val="de-DE"/>
        </w:rPr>
        <w:t>(</w:t>
      </w:r>
      <w:r w:rsidR="00197336">
        <w:rPr>
          <w:rFonts w:ascii="Times New Roman" w:eastAsia="Calibri" w:hAnsi="Times New Roman" w:cs="Times New Roman"/>
          <w:sz w:val="24"/>
          <w:szCs w:val="24"/>
          <w:lang w:val="de-DE"/>
        </w:rPr>
        <w:t>7)</w:t>
      </w:r>
    </w:p>
    <w:p w14:paraId="07715C13" w14:textId="10763382" w:rsidR="002E3794" w:rsidRPr="002E3794" w:rsidRDefault="002E3794" w:rsidP="002E3794">
      <w:pPr>
        <w:spacing w:after="0" w:line="240" w:lineRule="auto"/>
        <w:jc w:val="both"/>
        <w:rPr>
          <w:rFonts w:ascii="Times New Roman" w:eastAsia="Calibri" w:hAnsi="Times New Roman" w:cs="Times New Roman"/>
          <w:sz w:val="24"/>
          <w:szCs w:val="24"/>
        </w:rPr>
      </w:pPr>
      <w:r w:rsidRPr="002E3794">
        <w:rPr>
          <w:rFonts w:ascii="Times New Roman" w:eastAsia="Calibri" w:hAnsi="Times New Roman" w:cs="Times New Roman"/>
          <w:sz w:val="24"/>
          <w:szCs w:val="24"/>
        </w:rPr>
        <w:t xml:space="preserve">Uniformity Coefficient was also calculated by using </w:t>
      </w:r>
      <w:r>
        <w:rPr>
          <w:rFonts w:ascii="Times New Roman" w:eastAsia="Calibri" w:hAnsi="Times New Roman" w:cs="Times New Roman"/>
          <w:sz w:val="24"/>
          <w:szCs w:val="24"/>
        </w:rPr>
        <w:t>E</w:t>
      </w:r>
      <w:r w:rsidRPr="002E3794">
        <w:rPr>
          <w:rFonts w:ascii="Times New Roman" w:eastAsia="Calibri" w:hAnsi="Times New Roman" w:cs="Times New Roman"/>
          <w:sz w:val="24"/>
          <w:szCs w:val="24"/>
        </w:rPr>
        <w:t xml:space="preserve">quation </w:t>
      </w:r>
      <w:r w:rsidR="00197336">
        <w:rPr>
          <w:rFonts w:ascii="Times New Roman" w:eastAsia="Calibri" w:hAnsi="Times New Roman" w:cs="Times New Roman"/>
          <w:sz w:val="24"/>
          <w:szCs w:val="24"/>
        </w:rPr>
        <w:t>8</w:t>
      </w:r>
      <w:r w:rsidRPr="002E3794">
        <w:rPr>
          <w:rFonts w:ascii="Times New Roman" w:eastAsia="Calibri" w:hAnsi="Times New Roman" w:cs="Times New Roman"/>
          <w:sz w:val="24"/>
          <w:szCs w:val="24"/>
        </w:rPr>
        <w:t>:</w:t>
      </w:r>
    </w:p>
    <w:p w14:paraId="22E5F981" w14:textId="28E00604" w:rsidR="002E3794" w:rsidRPr="002E3794" w:rsidRDefault="002E3794" w:rsidP="002E3794">
      <w:pPr>
        <w:shd w:val="clear" w:color="auto" w:fill="FFFFFF"/>
        <w:spacing w:before="240" w:after="0" w:line="240" w:lineRule="auto"/>
        <w:ind w:right="720"/>
        <w:jc w:val="both"/>
        <w:rPr>
          <w:rFonts w:ascii="Times New Roman" w:eastAsia="Times New Roman" w:hAnsi="Times New Roman" w:cs="Times New Roman"/>
          <w:sz w:val="24"/>
          <w:szCs w:val="24"/>
        </w:rPr>
      </w:pPr>
      <m:oMath>
        <m:r>
          <w:rPr>
            <w:rFonts w:ascii="Cambria Math" w:eastAsia="Calibri" w:hAnsi="Cambria Math" w:cs="Times New Roman"/>
            <w:sz w:val="24"/>
            <w:szCs w:val="24"/>
          </w:rPr>
          <m:t>UC=100</m:t>
        </m:r>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nqa</m:t>
                </m:r>
              </m:den>
            </m:f>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qi-qa</m:t>
                    </m:r>
                  </m:e>
                </m:d>
              </m:e>
            </m:nary>
          </m:e>
        </m:d>
      </m:oMath>
      <w:r w:rsidRPr="002E3794">
        <w:rPr>
          <w:rFonts w:ascii="Times New Roman" w:eastAsia="Times New Roman" w:hAnsi="Times New Roman" w:cs="Times New Roman"/>
          <w:sz w:val="24"/>
          <w:szCs w:val="24"/>
        </w:rPr>
        <w:t>…</w:t>
      </w:r>
      <w:r w:rsidR="00405E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97336">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5D0FBB6C" w14:textId="7D84E0BD" w:rsidR="002E3794" w:rsidRDefault="002E3794" w:rsidP="002E3794">
      <w:pPr>
        <w:shd w:val="clear" w:color="auto" w:fill="FFFFFF"/>
        <w:spacing w:after="0" w:line="240" w:lineRule="auto"/>
        <w:ind w:right="720"/>
        <w:jc w:val="both"/>
        <w:rPr>
          <w:rFonts w:ascii="Times New Roman" w:eastAsia="Times New Roman" w:hAnsi="Times New Roman" w:cs="Times New Roman"/>
          <w:sz w:val="24"/>
          <w:szCs w:val="24"/>
        </w:rPr>
      </w:pPr>
      <w:r w:rsidRPr="002E3794">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w:t>
      </w:r>
      <w:proofErr w:type="spellStart"/>
      <w:r w:rsidRPr="002E3794">
        <w:rPr>
          <w:rFonts w:ascii="Times New Roman" w:eastAsia="Times New Roman" w:hAnsi="Times New Roman" w:cs="Times New Roman"/>
          <w:sz w:val="24"/>
          <w:szCs w:val="24"/>
        </w:rPr>
        <w:t>q</w:t>
      </w:r>
      <w:r w:rsidRPr="002E3794">
        <w:rPr>
          <w:rFonts w:ascii="Times New Roman" w:eastAsia="Times New Roman" w:hAnsi="Times New Roman" w:cs="Times New Roman"/>
          <w:sz w:val="24"/>
          <w:szCs w:val="24"/>
          <w:vertAlign w:val="subscript"/>
        </w:rPr>
        <w:t>a</w:t>
      </w:r>
      <w:proofErr w:type="spellEnd"/>
      <w:r w:rsidRPr="002E3794">
        <w:rPr>
          <w:rFonts w:ascii="Times New Roman" w:eastAsia="Times New Roman" w:hAnsi="Times New Roman" w:cs="Times New Roman"/>
          <w:sz w:val="24"/>
          <w:szCs w:val="24"/>
          <w:vertAlign w:val="subscript"/>
        </w:rPr>
        <w:t xml:space="preserve"> </w:t>
      </w:r>
      <w:r w:rsidRPr="002E3794">
        <w:rPr>
          <w:rFonts w:ascii="Times New Roman" w:eastAsia="Times New Roman" w:hAnsi="Times New Roman" w:cs="Times New Roman"/>
          <w:sz w:val="24"/>
          <w:szCs w:val="24"/>
        </w:rPr>
        <w:t>- average of emitter flow tested during experiment (l/h),</w:t>
      </w:r>
      <w:r>
        <w:rPr>
          <w:rFonts w:ascii="Times New Roman" w:eastAsia="Calibri" w:hAnsi="Times New Roman" w:cs="Times New Roman"/>
          <w:sz w:val="24"/>
          <w:szCs w:val="24"/>
        </w:rPr>
        <w:t xml:space="preserve"> </w:t>
      </w:r>
      <w:r w:rsidRPr="002E3794">
        <w:rPr>
          <w:rFonts w:ascii="Times New Roman" w:eastAsia="Times New Roman" w:hAnsi="Times New Roman" w:cs="Times New Roman"/>
          <w:sz w:val="24"/>
          <w:szCs w:val="24"/>
        </w:rPr>
        <w:t>n - number of emitters under consideration, and</w:t>
      </w:r>
      <w:r>
        <w:rPr>
          <w:rFonts w:ascii="Times New Roman" w:eastAsia="Calibri" w:hAnsi="Times New Roman" w:cs="Times New Roman"/>
          <w:sz w:val="24"/>
          <w:szCs w:val="24"/>
        </w:rPr>
        <w:t xml:space="preserve"> </w:t>
      </w:r>
      <w:r w:rsidRPr="002E3794">
        <w:rPr>
          <w:rFonts w:ascii="Times New Roman" w:eastAsia="Times New Roman" w:hAnsi="Times New Roman" w:cs="Times New Roman"/>
          <w:sz w:val="24"/>
          <w:szCs w:val="24"/>
        </w:rPr>
        <w:t xml:space="preserve">qi -each flow-rate measured in catch can (l/h). </w:t>
      </w:r>
    </w:p>
    <w:p w14:paraId="0BD21714" w14:textId="77777777" w:rsidR="005621B1" w:rsidRPr="002E3794" w:rsidRDefault="005621B1" w:rsidP="002E3794">
      <w:pPr>
        <w:shd w:val="clear" w:color="auto" w:fill="FFFFFF"/>
        <w:spacing w:after="0" w:line="240" w:lineRule="auto"/>
        <w:ind w:right="720"/>
        <w:jc w:val="both"/>
        <w:rPr>
          <w:rFonts w:ascii="Times New Roman" w:eastAsia="Calibri" w:hAnsi="Times New Roman" w:cs="Times New Roman"/>
          <w:sz w:val="24"/>
          <w:szCs w:val="24"/>
        </w:rPr>
      </w:pPr>
    </w:p>
    <w:p w14:paraId="29366F66" w14:textId="4BB3AD5A" w:rsidR="00E77BD9" w:rsidRPr="00E77BD9" w:rsidRDefault="000B2573" w:rsidP="00E77BD9">
      <w:pPr>
        <w:keepNext/>
        <w:keepLines/>
        <w:spacing w:after="0" w:line="240" w:lineRule="auto"/>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Determination of </w:t>
      </w:r>
      <w:r w:rsidR="00E77BD9" w:rsidRPr="00E77BD9">
        <w:rPr>
          <w:rFonts w:ascii="Times New Roman" w:eastAsia="Times New Roman" w:hAnsi="Times New Roman" w:cs="Times New Roman"/>
          <w:b/>
          <w:sz w:val="24"/>
          <w:szCs w:val="24"/>
        </w:rPr>
        <w:t>Crop Water Use Efficiency</w:t>
      </w:r>
    </w:p>
    <w:p w14:paraId="285C66E9" w14:textId="3A03CC8C" w:rsidR="00E77BD9" w:rsidRPr="00E77BD9" w:rsidRDefault="00E77BD9" w:rsidP="000B3ABF">
      <w:pPr>
        <w:spacing w:after="0" w:line="240" w:lineRule="auto"/>
        <w:jc w:val="both"/>
        <w:rPr>
          <w:rFonts w:ascii="Times New Roman" w:eastAsia="Calibri" w:hAnsi="Times New Roman" w:cs="Times New Roman"/>
          <w:sz w:val="24"/>
        </w:rPr>
      </w:pPr>
      <w:r w:rsidRPr="00E77BD9">
        <w:rPr>
          <w:rFonts w:ascii="Times New Roman" w:eastAsia="Calibri" w:hAnsi="Times New Roman" w:cs="Times New Roman"/>
          <w:sz w:val="24"/>
        </w:rPr>
        <w:t xml:space="preserve">Water use efficiency (WUE) was determined by calculating the ratio of the yield obtained to the amount of water utilized as represented by </w:t>
      </w:r>
      <w:r w:rsidR="00ED34AD">
        <w:rPr>
          <w:rFonts w:ascii="Times New Roman" w:eastAsia="Calibri" w:hAnsi="Times New Roman" w:cs="Times New Roman"/>
          <w:sz w:val="24"/>
        </w:rPr>
        <w:t>E</w:t>
      </w:r>
      <w:r w:rsidRPr="00E77BD9">
        <w:rPr>
          <w:rFonts w:ascii="Times New Roman" w:eastAsia="Calibri" w:hAnsi="Times New Roman" w:cs="Times New Roman"/>
          <w:sz w:val="24"/>
        </w:rPr>
        <w:t xml:space="preserve">quation </w:t>
      </w:r>
      <w:r w:rsidR="00197336">
        <w:rPr>
          <w:rFonts w:ascii="Times New Roman" w:eastAsia="Calibri" w:hAnsi="Times New Roman" w:cs="Times New Roman"/>
          <w:sz w:val="24"/>
        </w:rPr>
        <w:t>9</w:t>
      </w:r>
      <w:r w:rsidRPr="00E77BD9">
        <w:rPr>
          <w:rFonts w:ascii="Times New Roman" w:eastAsia="Calibri" w:hAnsi="Times New Roman" w:cs="Times New Roman"/>
          <w:sz w:val="24"/>
        </w:rPr>
        <w:t>. This measurement used to assess the efficiency with water utilized in relation to the crop yield. By quantifying the relationship between water consumption and crop productivity, and expressed in kilograms per cubic meters (m</w:t>
      </w:r>
      <w:r w:rsidRPr="00E77BD9">
        <w:rPr>
          <w:rFonts w:ascii="Times New Roman" w:eastAsia="Calibri" w:hAnsi="Times New Roman" w:cs="Times New Roman"/>
          <w:sz w:val="24"/>
          <w:vertAlign w:val="superscript"/>
        </w:rPr>
        <w:t>3</w:t>
      </w:r>
      <w:r w:rsidRPr="00E77BD9">
        <w:rPr>
          <w:rFonts w:ascii="Times New Roman" w:eastAsia="Calibri" w:hAnsi="Times New Roman" w:cs="Times New Roman"/>
          <w:sz w:val="24"/>
        </w:rPr>
        <w:t xml:space="preserve">).  </w:t>
      </w:r>
    </w:p>
    <w:p w14:paraId="7BE4BDBA" w14:textId="6B3F1AE9" w:rsidR="00E77BD9" w:rsidRPr="00E77BD9" w:rsidRDefault="00E77BD9" w:rsidP="000B3ABF">
      <w:pPr>
        <w:shd w:val="clear" w:color="auto" w:fill="FFFFFF"/>
        <w:spacing w:after="0" w:line="240" w:lineRule="auto"/>
        <w:jc w:val="both"/>
        <w:rPr>
          <w:rFonts w:ascii="Times New Roman" w:eastAsia="Times New Roman" w:hAnsi="Times New Roman" w:cs="Times New Roman"/>
          <w:b/>
          <w:sz w:val="24"/>
          <w:szCs w:val="24"/>
        </w:rPr>
      </w:pPr>
      <w:r w:rsidRPr="00E77BD9">
        <w:rPr>
          <w:rFonts w:ascii="Times New Roman" w:eastAsia="Times New Roman" w:hAnsi="Times New Roman" w:cs="Times New Roman"/>
          <w:sz w:val="24"/>
          <w:szCs w:val="24"/>
        </w:rPr>
        <w:t xml:space="preserve">WUE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TY</m:t>
            </m:r>
          </m:num>
          <m:den>
            <m:r>
              <w:rPr>
                <w:rFonts w:ascii="Cambria Math" w:eastAsia="Times New Roman" w:hAnsi="Cambria Math" w:cs="Times New Roman"/>
                <w:sz w:val="24"/>
                <w:szCs w:val="24"/>
              </w:rPr>
              <m:t>ETc</m:t>
            </m:r>
          </m:den>
        </m:f>
      </m:oMath>
      <w:r w:rsidRPr="00E77B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B3C2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D0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97336">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5067ED44" w14:textId="4A3AD138" w:rsidR="00552FEE" w:rsidRPr="00E77BD9" w:rsidRDefault="00E77BD9" w:rsidP="000B3AB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E77BD9">
        <w:rPr>
          <w:rFonts w:ascii="Times New Roman" w:eastAsia="Times New Roman" w:hAnsi="Times New Roman" w:cs="Times New Roman"/>
          <w:sz w:val="24"/>
          <w:szCs w:val="24"/>
        </w:rPr>
        <w:t>Y-Total yield (ton/ha)</w:t>
      </w:r>
      <w:r>
        <w:rPr>
          <w:rFonts w:ascii="Times New Roman" w:eastAsia="Times New Roman" w:hAnsi="Times New Roman" w:cs="Times New Roman"/>
          <w:sz w:val="24"/>
          <w:szCs w:val="24"/>
        </w:rPr>
        <w:t xml:space="preserve"> </w:t>
      </w:r>
      <w:r w:rsidR="000B3ABF">
        <w:rPr>
          <w:rFonts w:ascii="Times New Roman" w:eastAsia="Times New Roman" w:hAnsi="Times New Roman" w:cs="Times New Roman"/>
          <w:sz w:val="24"/>
          <w:szCs w:val="24"/>
        </w:rPr>
        <w:t xml:space="preserve">and </w:t>
      </w:r>
      <w:proofErr w:type="spellStart"/>
      <w:r w:rsidR="000B3ABF">
        <w:rPr>
          <w:rFonts w:ascii="Times New Roman" w:eastAsia="Times New Roman" w:hAnsi="Times New Roman" w:cs="Times New Roman"/>
          <w:sz w:val="24"/>
          <w:szCs w:val="24"/>
        </w:rPr>
        <w:t>ETc</w:t>
      </w:r>
      <w:proofErr w:type="spellEnd"/>
      <w:r w:rsidR="0030438D">
        <w:rPr>
          <w:rFonts w:ascii="Times New Roman" w:eastAsia="Times New Roman" w:hAnsi="Times New Roman" w:cs="Times New Roman"/>
          <w:sz w:val="24"/>
          <w:szCs w:val="24"/>
        </w:rPr>
        <w:t xml:space="preserve"> </w:t>
      </w:r>
      <w:r w:rsidRPr="003C06CD">
        <w:rPr>
          <w:rFonts w:ascii="Times New Roman" w:eastAsia="Times New Roman" w:hAnsi="Times New Roman" w:cs="Times New Roman"/>
          <w:sz w:val="24"/>
          <w:szCs w:val="24"/>
        </w:rPr>
        <w:t>-</w:t>
      </w:r>
      <w:r w:rsidR="0030438D">
        <w:rPr>
          <w:rFonts w:ascii="Times New Roman" w:eastAsia="Times New Roman" w:hAnsi="Times New Roman" w:cs="Times New Roman"/>
          <w:sz w:val="24"/>
          <w:szCs w:val="24"/>
        </w:rPr>
        <w:t xml:space="preserve"> </w:t>
      </w:r>
      <w:r w:rsidRPr="003C06CD">
        <w:rPr>
          <w:rFonts w:ascii="Times New Roman" w:eastAsia="Times New Roman" w:hAnsi="Times New Roman" w:cs="Times New Roman"/>
          <w:sz w:val="24"/>
          <w:szCs w:val="24"/>
        </w:rPr>
        <w:t xml:space="preserve">Seasonal crop water consumption </w:t>
      </w:r>
      <w:r w:rsidRPr="003C06CD">
        <w:rPr>
          <w:rFonts w:ascii="Times New Roman" w:eastAsia="Calibri" w:hAnsi="Times New Roman" w:cs="Times New Roman"/>
          <w:sz w:val="24"/>
        </w:rPr>
        <w:t>(kg/m</w:t>
      </w:r>
      <w:r w:rsidRPr="003C06CD">
        <w:rPr>
          <w:rFonts w:ascii="Times New Roman" w:eastAsia="Calibri" w:hAnsi="Times New Roman" w:cs="Times New Roman"/>
          <w:sz w:val="24"/>
          <w:vertAlign w:val="superscript"/>
        </w:rPr>
        <w:t>3</w:t>
      </w:r>
      <w:r w:rsidRPr="003C06CD">
        <w:rPr>
          <w:rFonts w:ascii="Times New Roman" w:eastAsia="Calibri" w:hAnsi="Times New Roman" w:cs="Times New Roman"/>
          <w:sz w:val="24"/>
        </w:rPr>
        <w:t>).</w:t>
      </w:r>
    </w:p>
    <w:p w14:paraId="0F76DBAD" w14:textId="77777777" w:rsidR="00552FEE" w:rsidRDefault="00552FEE" w:rsidP="001A1039">
      <w:pPr>
        <w:spacing w:line="240" w:lineRule="auto"/>
        <w:jc w:val="both"/>
        <w:rPr>
          <w:rFonts w:ascii="Times New Roman" w:hAnsi="Times New Roman" w:cs="Times New Roman"/>
          <w:i/>
          <w:iCs/>
          <w:sz w:val="24"/>
          <w:szCs w:val="24"/>
        </w:rPr>
      </w:pPr>
    </w:p>
    <w:p w14:paraId="116DEBB1" w14:textId="3026130C" w:rsidR="00FA3167" w:rsidRDefault="003D65CE" w:rsidP="001A103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Agronomic Practices</w:t>
      </w:r>
    </w:p>
    <w:p w14:paraId="31478299" w14:textId="1F1C2A42" w:rsidR="008734BA" w:rsidRPr="008734BA" w:rsidRDefault="008734BA" w:rsidP="001A1039">
      <w:pPr>
        <w:spacing w:line="240" w:lineRule="auto"/>
        <w:jc w:val="both"/>
        <w:rPr>
          <w:rFonts w:ascii="Times New Roman" w:hAnsi="Times New Roman" w:cs="Times New Roman"/>
          <w:sz w:val="24"/>
          <w:szCs w:val="24"/>
        </w:rPr>
      </w:pPr>
      <w:r w:rsidRPr="008734BA">
        <w:rPr>
          <w:rFonts w:ascii="Times New Roman" w:hAnsi="Times New Roman" w:cs="Times New Roman"/>
          <w:sz w:val="24"/>
          <w:szCs w:val="24"/>
        </w:rPr>
        <w:t>The agronomic practices implemented are outlined below.</w:t>
      </w:r>
    </w:p>
    <w:p w14:paraId="58546CEE" w14:textId="4FABAEBC" w:rsidR="003D65CE" w:rsidRPr="00496118" w:rsidRDefault="003D65CE" w:rsidP="003D65CE">
      <w:pPr>
        <w:spacing w:after="0" w:line="240" w:lineRule="auto"/>
        <w:jc w:val="both"/>
        <w:rPr>
          <w:rFonts w:ascii="Times New Roman" w:hAnsi="Times New Roman" w:cs="Times New Roman"/>
          <w:b/>
          <w:bCs/>
          <w:i/>
          <w:iCs/>
          <w:sz w:val="24"/>
          <w:szCs w:val="24"/>
        </w:rPr>
      </w:pPr>
      <w:r w:rsidRPr="00496118">
        <w:rPr>
          <w:rFonts w:ascii="Times New Roman" w:hAnsi="Times New Roman" w:cs="Times New Roman"/>
          <w:b/>
          <w:bCs/>
          <w:i/>
          <w:iCs/>
          <w:sz w:val="24"/>
          <w:szCs w:val="24"/>
        </w:rPr>
        <w:t>Nursery Preparation</w:t>
      </w:r>
    </w:p>
    <w:p w14:paraId="565C9319" w14:textId="1604E52C" w:rsidR="003D65CE" w:rsidRDefault="003D65CE" w:rsidP="003D65CE">
      <w:pPr>
        <w:spacing w:after="0" w:line="240" w:lineRule="auto"/>
        <w:jc w:val="both"/>
        <w:rPr>
          <w:rFonts w:ascii="Times New Roman" w:eastAsia="Times New Roman" w:hAnsi="Times New Roman" w:cs="Times New Roman"/>
          <w:sz w:val="24"/>
          <w:szCs w:val="24"/>
        </w:rPr>
      </w:pPr>
      <w:r w:rsidRPr="003D65CE">
        <w:rPr>
          <w:rFonts w:ascii="Times New Roman" w:eastAsia="Times New Roman" w:hAnsi="Times New Roman" w:cs="Times New Roman"/>
          <w:sz w:val="24"/>
          <w:szCs w:val="24"/>
        </w:rPr>
        <w:t>On 6</w:t>
      </w:r>
      <w:r w:rsidR="005D088D" w:rsidRPr="005D088D">
        <w:rPr>
          <w:rFonts w:ascii="Times New Roman" w:eastAsia="Times New Roman" w:hAnsi="Times New Roman" w:cs="Times New Roman"/>
          <w:sz w:val="24"/>
          <w:szCs w:val="24"/>
          <w:vertAlign w:val="superscript"/>
        </w:rPr>
        <w:t>th</w:t>
      </w:r>
      <w:r w:rsidR="005D088D">
        <w:rPr>
          <w:rFonts w:ascii="Times New Roman" w:eastAsia="Times New Roman" w:hAnsi="Times New Roman" w:cs="Times New Roman"/>
          <w:sz w:val="24"/>
          <w:szCs w:val="24"/>
        </w:rPr>
        <w:t xml:space="preserve"> </w:t>
      </w:r>
      <w:r w:rsidR="005D088D" w:rsidRPr="003D65CE">
        <w:rPr>
          <w:rFonts w:ascii="Times New Roman" w:eastAsia="Times New Roman" w:hAnsi="Times New Roman" w:cs="Times New Roman"/>
          <w:sz w:val="24"/>
          <w:szCs w:val="24"/>
        </w:rPr>
        <w:t>February</w:t>
      </w:r>
      <w:r w:rsidRPr="003D65CE">
        <w:rPr>
          <w:rFonts w:ascii="Times New Roman" w:eastAsia="Times New Roman" w:hAnsi="Times New Roman" w:cs="Times New Roman"/>
          <w:sz w:val="24"/>
          <w:szCs w:val="24"/>
        </w:rPr>
        <w:t xml:space="preserve"> 2023, nursery beds were prepared by sowing 20g of garden egg seeds, which were then covered with a thin layer of straw mulch to retain moisture and regulate soil temperature for uniform germination. Garden egg seedlings emerged 7 days after planting (DAP). After emergence, the mulch was removed, and the seedlings were allowed to establish for 4 weeks under a shade constructed with grasses and hanging sticks. The seedlings were watered twice daily until they developed three true leaves, indicating readiness for transplanting.</w:t>
      </w:r>
    </w:p>
    <w:p w14:paraId="40B89541" w14:textId="77777777" w:rsidR="003D65CE" w:rsidRDefault="003D65CE" w:rsidP="003D65CE">
      <w:pPr>
        <w:spacing w:after="0" w:line="240" w:lineRule="auto"/>
        <w:jc w:val="both"/>
        <w:rPr>
          <w:rFonts w:ascii="Times New Roman" w:eastAsia="Times New Roman" w:hAnsi="Times New Roman" w:cs="Times New Roman"/>
          <w:sz w:val="24"/>
          <w:szCs w:val="24"/>
        </w:rPr>
      </w:pPr>
    </w:p>
    <w:p w14:paraId="0E2C9182" w14:textId="3584A646" w:rsidR="003D65CE" w:rsidRPr="00496118" w:rsidRDefault="003D65CE" w:rsidP="003D65CE">
      <w:pPr>
        <w:spacing w:after="0" w:line="240" w:lineRule="auto"/>
        <w:jc w:val="both"/>
        <w:rPr>
          <w:rFonts w:ascii="Times New Roman" w:hAnsi="Times New Roman" w:cs="Times New Roman"/>
          <w:b/>
          <w:bCs/>
          <w:i/>
          <w:iCs/>
          <w:sz w:val="24"/>
          <w:szCs w:val="24"/>
        </w:rPr>
      </w:pPr>
      <w:r w:rsidRPr="00496118">
        <w:rPr>
          <w:rFonts w:ascii="Times New Roman" w:hAnsi="Times New Roman" w:cs="Times New Roman"/>
          <w:b/>
          <w:bCs/>
          <w:i/>
          <w:iCs/>
          <w:sz w:val="24"/>
          <w:szCs w:val="24"/>
        </w:rPr>
        <w:t>Field Preparation</w:t>
      </w:r>
    </w:p>
    <w:p w14:paraId="008E8B6D" w14:textId="77777777" w:rsidR="003D65CE" w:rsidRDefault="003D65CE" w:rsidP="003D65CE">
      <w:pPr>
        <w:spacing w:after="0" w:line="240" w:lineRule="auto"/>
        <w:jc w:val="both"/>
        <w:rPr>
          <w:rFonts w:ascii="Times New Roman" w:eastAsia="Times New Roman" w:hAnsi="Times New Roman" w:cs="Times New Roman"/>
          <w:sz w:val="24"/>
          <w:szCs w:val="24"/>
        </w:rPr>
      </w:pPr>
      <w:r w:rsidRPr="003D65CE">
        <w:rPr>
          <w:rFonts w:ascii="Times New Roman" w:eastAsia="Times New Roman" w:hAnsi="Times New Roman" w:cs="Times New Roman"/>
          <w:sz w:val="24"/>
          <w:szCs w:val="24"/>
        </w:rPr>
        <w:t>The field was prepared by cleaning and installing drip lines across the field. Holes were dug to a depth of 0.4 m to flatten the pots to the level of the drip lines. Each hole was positioned under an emitter, with garden egg plants spaced 60 cm apart within and between rows according to emitter spacing.</w:t>
      </w:r>
    </w:p>
    <w:p w14:paraId="71C08424" w14:textId="77777777" w:rsidR="003D65CE" w:rsidRDefault="003D65CE" w:rsidP="003D65CE">
      <w:pPr>
        <w:spacing w:after="0" w:line="240" w:lineRule="auto"/>
        <w:jc w:val="both"/>
        <w:rPr>
          <w:rFonts w:ascii="Times New Roman" w:eastAsia="Times New Roman" w:hAnsi="Times New Roman" w:cs="Times New Roman"/>
          <w:sz w:val="24"/>
          <w:szCs w:val="24"/>
        </w:rPr>
      </w:pPr>
    </w:p>
    <w:p w14:paraId="09CF1071" w14:textId="0A85F6CA" w:rsidR="003D65CE" w:rsidRPr="00496118" w:rsidRDefault="003D65CE" w:rsidP="003D65CE">
      <w:pPr>
        <w:spacing w:after="0" w:line="240" w:lineRule="auto"/>
        <w:jc w:val="both"/>
        <w:rPr>
          <w:rFonts w:ascii="Times New Roman" w:eastAsia="Times New Roman" w:hAnsi="Times New Roman" w:cs="Times New Roman"/>
          <w:b/>
          <w:bCs/>
          <w:i/>
          <w:iCs/>
          <w:sz w:val="24"/>
          <w:szCs w:val="24"/>
        </w:rPr>
      </w:pPr>
      <w:r w:rsidRPr="00496118">
        <w:rPr>
          <w:rFonts w:ascii="Times New Roman" w:eastAsia="Times New Roman" w:hAnsi="Times New Roman" w:cs="Times New Roman"/>
          <w:b/>
          <w:bCs/>
          <w:i/>
          <w:iCs/>
          <w:sz w:val="24"/>
          <w:szCs w:val="24"/>
        </w:rPr>
        <w:t>Transplanting</w:t>
      </w:r>
    </w:p>
    <w:p w14:paraId="4596FB73" w14:textId="5EB7238C" w:rsidR="003D65CE" w:rsidRPr="003D65CE" w:rsidRDefault="003D65CE" w:rsidP="003D65CE">
      <w:pPr>
        <w:spacing w:after="0" w:line="240" w:lineRule="auto"/>
        <w:jc w:val="both"/>
        <w:rPr>
          <w:rFonts w:ascii="Times New Roman" w:eastAsia="Times New Roman" w:hAnsi="Times New Roman" w:cs="Times New Roman"/>
          <w:b/>
          <w:bCs/>
          <w:sz w:val="24"/>
          <w:szCs w:val="24"/>
        </w:rPr>
      </w:pPr>
      <w:r w:rsidRPr="003D65CE">
        <w:rPr>
          <w:rFonts w:ascii="Times New Roman" w:eastAsia="Times New Roman" w:hAnsi="Times New Roman" w:cs="Times New Roman"/>
          <w:sz w:val="24"/>
          <w:szCs w:val="24"/>
        </w:rPr>
        <w:t>Bucket pots with dimensions of 40 cm depth, 35 cm top diameter, and 20 cm bottom diameter were used for the experiment. The pots were perforated at the bottom for water drainage and filled with 12kg of pre-prepared soil mixture. After 2 weeks of preparation, the pots were arranged according to a split-plot design. One seedling was transplanted into each pot, and water was applied at 100% CWR until the seedlings were established. Straw mulch was used to retain soil moisture, and regular hand weeding was conducted. Seedlings were monitored for adaptability, and weaker seedlings were replaced. Different irrigation regimes were implemented once the seedlings were fully established.</w:t>
      </w:r>
    </w:p>
    <w:p w14:paraId="115A2001" w14:textId="77777777" w:rsidR="003D65CE" w:rsidRPr="003D65CE" w:rsidRDefault="003D65CE" w:rsidP="003D65CE">
      <w:pPr>
        <w:spacing w:after="0" w:line="240" w:lineRule="auto"/>
        <w:jc w:val="both"/>
        <w:rPr>
          <w:rFonts w:ascii="Times New Roman" w:hAnsi="Times New Roman" w:cs="Times New Roman"/>
          <w:b/>
          <w:bCs/>
          <w:sz w:val="24"/>
          <w:szCs w:val="24"/>
        </w:rPr>
      </w:pPr>
    </w:p>
    <w:p w14:paraId="0BBA1EDD" w14:textId="6DB0BC9F" w:rsidR="00C61CE2" w:rsidRPr="00496118" w:rsidRDefault="00F419F8" w:rsidP="00E72B0D">
      <w:pPr>
        <w:spacing w:after="0" w:line="240" w:lineRule="auto"/>
        <w:jc w:val="both"/>
        <w:rPr>
          <w:rFonts w:ascii="Times New Roman" w:hAnsi="Times New Roman" w:cs="Times New Roman"/>
          <w:b/>
          <w:bCs/>
          <w:i/>
          <w:iCs/>
          <w:sz w:val="24"/>
          <w:szCs w:val="24"/>
        </w:rPr>
      </w:pPr>
      <w:r w:rsidRPr="00496118">
        <w:rPr>
          <w:rFonts w:ascii="Times New Roman" w:hAnsi="Times New Roman" w:cs="Times New Roman"/>
          <w:b/>
          <w:bCs/>
          <w:i/>
          <w:iCs/>
          <w:sz w:val="24"/>
          <w:szCs w:val="24"/>
        </w:rPr>
        <w:t>Plant Growth and Yield Data Collection</w:t>
      </w:r>
    </w:p>
    <w:p w14:paraId="098B5648" w14:textId="1D114DAF" w:rsidR="00544C4C" w:rsidRPr="00544C4C" w:rsidRDefault="00544C4C" w:rsidP="00544C4C">
      <w:p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 xml:space="preserve">To assess the impact of irrigation regimes and soil amendment techniques on the growth and yield of garden egg plants, various growth </w:t>
      </w:r>
      <w:r>
        <w:rPr>
          <w:rFonts w:ascii="Times New Roman" w:eastAsia="Times New Roman" w:hAnsi="Times New Roman" w:cs="Times New Roman"/>
          <w:sz w:val="24"/>
          <w:szCs w:val="24"/>
        </w:rPr>
        <w:t xml:space="preserve">as well as yield </w:t>
      </w:r>
      <w:r w:rsidRPr="00544C4C">
        <w:rPr>
          <w:rFonts w:ascii="Times New Roman" w:eastAsia="Times New Roman" w:hAnsi="Times New Roman" w:cs="Times New Roman"/>
          <w:sz w:val="24"/>
          <w:szCs w:val="24"/>
        </w:rPr>
        <w:t xml:space="preserve">parameters were measured at two-week intervals starting from two weeks after transplanting. The parameters included plant height, stem girth, number of branches, leaf area index, and </w:t>
      </w:r>
      <w:r>
        <w:rPr>
          <w:rFonts w:ascii="Times New Roman" w:eastAsia="Times New Roman" w:hAnsi="Times New Roman" w:cs="Times New Roman"/>
          <w:sz w:val="24"/>
          <w:szCs w:val="24"/>
        </w:rPr>
        <w:t>yield</w:t>
      </w:r>
      <w:r w:rsidRPr="00544C4C">
        <w:rPr>
          <w:rFonts w:ascii="Times New Roman" w:eastAsia="Times New Roman" w:hAnsi="Times New Roman" w:cs="Times New Roman"/>
          <w:sz w:val="24"/>
          <w:szCs w:val="24"/>
        </w:rPr>
        <w:t>.</w:t>
      </w:r>
    </w:p>
    <w:p w14:paraId="4179B2B7"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Plant Height: Measured from the base of the stem to the top of the apical meristem using a folding long rule during the growth, flowering, and fruiting stages.</w:t>
      </w:r>
    </w:p>
    <w:p w14:paraId="74C9F6E9"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Stem Girth: Measured at the base of the stem using an automated vernier caliper during the growth, flowering, and fruiting stages.</w:t>
      </w:r>
    </w:p>
    <w:p w14:paraId="03124016"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Number of Branches: Counted during the growth, flowering, and fruiting stages.</w:t>
      </w:r>
    </w:p>
    <w:p w14:paraId="6E312DC8"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Plant Chlorophyll: Chlorophyll content was assessed using an SPAD Chlorophyll meter (KONICA MINOLTA INC, USA) at the growth, flowering, and fruiting stages. Four leaves per plant were selected for measurement.</w:t>
      </w:r>
    </w:p>
    <w:p w14:paraId="6FB64EC9"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 xml:space="preserve">Leaf Area Index: Measured using a portable leaf area index (PAR/LAI) </w:t>
      </w:r>
      <w:proofErr w:type="spellStart"/>
      <w:r w:rsidRPr="00544C4C">
        <w:rPr>
          <w:rFonts w:ascii="Times New Roman" w:eastAsia="Times New Roman" w:hAnsi="Times New Roman" w:cs="Times New Roman"/>
          <w:sz w:val="24"/>
          <w:szCs w:val="24"/>
        </w:rPr>
        <w:t>Ceptometer</w:t>
      </w:r>
      <w:proofErr w:type="spellEnd"/>
      <w:r w:rsidRPr="00544C4C">
        <w:rPr>
          <w:rFonts w:ascii="Times New Roman" w:eastAsia="Times New Roman" w:hAnsi="Times New Roman" w:cs="Times New Roman"/>
          <w:sz w:val="24"/>
          <w:szCs w:val="24"/>
        </w:rPr>
        <w:t xml:space="preserve"> during the growth, flowering, and fruiting stages.</w:t>
      </w:r>
    </w:p>
    <w:p w14:paraId="1C77489D" w14:textId="0117DA5B" w:rsidR="00F178C4"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lastRenderedPageBreak/>
        <w:t>Yield Data: After harvest, the fresh weight of garden eggs from each of the 36 pots was measured using a sensitive electronic balance and expressed in tons per hectare.</w:t>
      </w:r>
    </w:p>
    <w:p w14:paraId="0DDE6535" w14:textId="77777777" w:rsidR="00EC628D" w:rsidRDefault="00EC628D" w:rsidP="00FD067C">
      <w:pPr>
        <w:shd w:val="clear" w:color="auto" w:fill="FFFFFF"/>
        <w:spacing w:after="0" w:line="240" w:lineRule="auto"/>
        <w:jc w:val="both"/>
        <w:rPr>
          <w:rFonts w:ascii="Times New Roman" w:hAnsi="Times New Roman" w:cs="Times New Roman"/>
          <w:b/>
          <w:bCs/>
          <w:sz w:val="24"/>
          <w:szCs w:val="24"/>
        </w:rPr>
      </w:pPr>
    </w:p>
    <w:p w14:paraId="2B3A87E3" w14:textId="0869C3A1" w:rsidR="001351F5" w:rsidRPr="00544C4C" w:rsidRDefault="00544C4C" w:rsidP="00FD067C">
      <w:pPr>
        <w:shd w:val="clear" w:color="auto" w:fill="FFFFFF"/>
        <w:spacing w:after="0" w:line="240" w:lineRule="auto"/>
        <w:jc w:val="both"/>
        <w:rPr>
          <w:rFonts w:ascii="Times New Roman" w:hAnsi="Times New Roman" w:cs="Times New Roman"/>
          <w:b/>
          <w:bCs/>
          <w:sz w:val="24"/>
          <w:szCs w:val="24"/>
        </w:rPr>
      </w:pPr>
      <w:r w:rsidRPr="00544C4C">
        <w:rPr>
          <w:rFonts w:ascii="Times New Roman" w:hAnsi="Times New Roman" w:cs="Times New Roman"/>
          <w:b/>
          <w:bCs/>
          <w:sz w:val="24"/>
          <w:szCs w:val="24"/>
        </w:rPr>
        <w:t>Data</w:t>
      </w:r>
      <w:r w:rsidR="00115E62" w:rsidRPr="00544C4C">
        <w:rPr>
          <w:rFonts w:ascii="Times New Roman" w:hAnsi="Times New Roman" w:cs="Times New Roman"/>
          <w:b/>
          <w:bCs/>
          <w:sz w:val="24"/>
          <w:szCs w:val="24"/>
        </w:rPr>
        <w:t xml:space="preserve"> Analysis </w:t>
      </w:r>
    </w:p>
    <w:p w14:paraId="1838A7F4" w14:textId="00D43D2F" w:rsidR="006C07C4" w:rsidRDefault="001351F5" w:rsidP="00FD067C">
      <w:pPr>
        <w:spacing w:after="0" w:line="240" w:lineRule="auto"/>
        <w:jc w:val="both"/>
        <w:rPr>
          <w:rFonts w:ascii="Times New Roman" w:hAnsi="Times New Roman" w:cs="Times New Roman"/>
          <w:sz w:val="24"/>
          <w:szCs w:val="24"/>
        </w:rPr>
      </w:pPr>
      <w:r w:rsidRPr="006309E1">
        <w:rPr>
          <w:rFonts w:ascii="Times New Roman" w:hAnsi="Times New Roman" w:cs="Times New Roman"/>
          <w:sz w:val="24"/>
          <w:szCs w:val="24"/>
        </w:rPr>
        <w:t>An analysis of variance (ANOVA)</w:t>
      </w:r>
      <w:r w:rsidR="006309E1" w:rsidRPr="006309E1">
        <w:rPr>
          <w:rFonts w:ascii="Times New Roman" w:hAnsi="Times New Roman" w:cs="Times New Roman"/>
          <w:sz w:val="24"/>
          <w:szCs w:val="24"/>
        </w:rPr>
        <w:t xml:space="preserve"> using the GenStat statistical package 12</w:t>
      </w:r>
      <w:r w:rsidR="006309E1" w:rsidRPr="006309E1">
        <w:rPr>
          <w:rFonts w:ascii="Times New Roman" w:hAnsi="Times New Roman" w:cs="Times New Roman"/>
          <w:sz w:val="24"/>
          <w:szCs w:val="24"/>
          <w:vertAlign w:val="superscript"/>
        </w:rPr>
        <w:t>th</w:t>
      </w:r>
      <w:r w:rsidR="006309E1" w:rsidRPr="006309E1">
        <w:rPr>
          <w:rFonts w:ascii="Times New Roman" w:hAnsi="Times New Roman" w:cs="Times New Roman"/>
          <w:sz w:val="24"/>
          <w:szCs w:val="24"/>
        </w:rPr>
        <w:t xml:space="preserve"> Edition was</w:t>
      </w:r>
      <w:r w:rsidRPr="006309E1">
        <w:rPr>
          <w:rFonts w:ascii="Times New Roman" w:hAnsi="Times New Roman" w:cs="Times New Roman"/>
          <w:sz w:val="24"/>
          <w:szCs w:val="24"/>
        </w:rPr>
        <w:t xml:space="preserve"> used to determine the statistical difference among various </w:t>
      </w:r>
      <w:r w:rsidR="006309E1" w:rsidRPr="006309E1">
        <w:rPr>
          <w:rFonts w:ascii="Times New Roman" w:hAnsi="Times New Roman" w:cs="Times New Roman"/>
          <w:sz w:val="24"/>
          <w:szCs w:val="24"/>
        </w:rPr>
        <w:t>Parameter such as plant height, stem diameter, chlorophyll content, leaf area index and number of branches were measured, recorded</w:t>
      </w:r>
      <w:r w:rsidR="00742217">
        <w:rPr>
          <w:rFonts w:ascii="Times New Roman" w:hAnsi="Times New Roman" w:cs="Times New Roman"/>
          <w:sz w:val="24"/>
          <w:szCs w:val="24"/>
        </w:rPr>
        <w:t>,</w:t>
      </w:r>
      <w:r w:rsidR="006309E1" w:rsidRPr="006309E1">
        <w:rPr>
          <w:rFonts w:ascii="Times New Roman" w:hAnsi="Times New Roman" w:cs="Times New Roman"/>
          <w:sz w:val="24"/>
          <w:szCs w:val="24"/>
        </w:rPr>
        <w:t xml:space="preserve"> weight of harvested in (</w:t>
      </w:r>
      <w:r w:rsidR="00742217">
        <w:rPr>
          <w:rFonts w:ascii="Times New Roman" w:hAnsi="Times New Roman" w:cs="Times New Roman"/>
          <w:sz w:val="24"/>
          <w:szCs w:val="24"/>
        </w:rPr>
        <w:t>tons</w:t>
      </w:r>
      <w:r w:rsidR="006309E1" w:rsidRPr="006309E1">
        <w:rPr>
          <w:rFonts w:ascii="Times New Roman" w:hAnsi="Times New Roman" w:cs="Times New Roman"/>
          <w:sz w:val="24"/>
          <w:szCs w:val="24"/>
        </w:rPr>
        <w:t xml:space="preserve">) and water use efficiency </w:t>
      </w:r>
      <w:r w:rsidR="00742217">
        <w:rPr>
          <w:rFonts w:ascii="Times New Roman" w:hAnsi="Times New Roman" w:cs="Times New Roman"/>
          <w:sz w:val="24"/>
          <w:szCs w:val="24"/>
        </w:rPr>
        <w:t>(</w:t>
      </w:r>
      <w:r w:rsidR="00742217" w:rsidRPr="00C61872">
        <w:rPr>
          <w:rFonts w:ascii="Times New Roman" w:hAnsi="Times New Roman" w:cs="Times New Roman"/>
          <w:sz w:val="24"/>
          <w:szCs w:val="24"/>
        </w:rPr>
        <w:t>kg/</w:t>
      </w:r>
      <w:r w:rsidR="00742217" w:rsidRPr="00742217">
        <w:rPr>
          <w:rFonts w:ascii="Times New Roman" w:hAnsi="Times New Roman" w:cs="Times New Roman"/>
          <w:sz w:val="24"/>
          <w:szCs w:val="24"/>
        </w:rPr>
        <w:t>m</w:t>
      </w:r>
      <w:r w:rsidR="00742217" w:rsidRPr="00742217">
        <w:rPr>
          <w:rFonts w:ascii="Times New Roman" w:hAnsi="Times New Roman" w:cs="Times New Roman"/>
          <w:sz w:val="24"/>
          <w:szCs w:val="24"/>
          <w:vertAlign w:val="superscript"/>
        </w:rPr>
        <w:t>3</w:t>
      </w:r>
      <w:r w:rsidR="00742217">
        <w:rPr>
          <w:rFonts w:ascii="Times New Roman" w:hAnsi="Times New Roman" w:cs="Times New Roman"/>
          <w:sz w:val="24"/>
          <w:szCs w:val="24"/>
        </w:rPr>
        <w:t xml:space="preserve">) </w:t>
      </w:r>
      <w:r w:rsidR="006309E1" w:rsidRPr="00742217">
        <w:rPr>
          <w:rFonts w:ascii="Times New Roman" w:hAnsi="Times New Roman" w:cs="Times New Roman"/>
          <w:sz w:val="24"/>
          <w:szCs w:val="24"/>
        </w:rPr>
        <w:t>were</w:t>
      </w:r>
      <w:r w:rsidR="006309E1" w:rsidRPr="006309E1">
        <w:rPr>
          <w:rFonts w:ascii="Times New Roman" w:hAnsi="Times New Roman" w:cs="Times New Roman"/>
          <w:sz w:val="24"/>
          <w:szCs w:val="24"/>
        </w:rPr>
        <w:t xml:space="preserve"> also analyzed.</w:t>
      </w:r>
    </w:p>
    <w:p w14:paraId="32617253" w14:textId="77777777" w:rsidR="00F178C4" w:rsidRDefault="00F178C4" w:rsidP="00FD067C">
      <w:pPr>
        <w:spacing w:after="0" w:line="480" w:lineRule="auto"/>
        <w:jc w:val="both"/>
        <w:rPr>
          <w:rFonts w:ascii="Times New Roman" w:hAnsi="Times New Roman" w:cs="Times New Roman"/>
          <w:b/>
          <w:bCs/>
          <w:sz w:val="24"/>
          <w:szCs w:val="24"/>
        </w:rPr>
      </w:pPr>
    </w:p>
    <w:p w14:paraId="6BD8D2CE" w14:textId="2A985591" w:rsidR="001A1039" w:rsidRDefault="00496118" w:rsidP="00FD067C">
      <w:pPr>
        <w:spacing w:after="0" w:line="480" w:lineRule="auto"/>
        <w:jc w:val="both"/>
        <w:rPr>
          <w:rFonts w:ascii="Times New Roman" w:hAnsi="Times New Roman" w:cs="Times New Roman"/>
          <w:b/>
          <w:bCs/>
          <w:sz w:val="24"/>
          <w:szCs w:val="24"/>
        </w:rPr>
      </w:pPr>
      <w:r w:rsidRPr="00F178C4">
        <w:rPr>
          <w:rFonts w:ascii="Times New Roman" w:hAnsi="Times New Roman" w:cs="Times New Roman"/>
          <w:b/>
          <w:bCs/>
          <w:sz w:val="24"/>
          <w:szCs w:val="24"/>
        </w:rPr>
        <w:t>RESULT</w:t>
      </w:r>
      <w:r>
        <w:rPr>
          <w:rFonts w:ascii="Times New Roman" w:hAnsi="Times New Roman" w:cs="Times New Roman"/>
          <w:b/>
          <w:bCs/>
          <w:sz w:val="24"/>
          <w:szCs w:val="24"/>
        </w:rPr>
        <w:t>S AND DISCUSSION</w:t>
      </w:r>
    </w:p>
    <w:p w14:paraId="5B704BA9" w14:textId="77777777" w:rsidR="000A2522" w:rsidRPr="000A2522" w:rsidRDefault="000A2522" w:rsidP="000A2522">
      <w:pPr>
        <w:spacing w:after="0" w:line="240" w:lineRule="auto"/>
        <w:jc w:val="both"/>
        <w:outlineLvl w:val="3"/>
        <w:rPr>
          <w:rFonts w:ascii="Times New Roman" w:eastAsia="Times New Roman" w:hAnsi="Times New Roman" w:cs="Times New Roman"/>
          <w:b/>
          <w:bCs/>
          <w:sz w:val="24"/>
          <w:szCs w:val="24"/>
        </w:rPr>
      </w:pPr>
      <w:r w:rsidRPr="000A2522">
        <w:rPr>
          <w:rFonts w:ascii="Times New Roman" w:eastAsia="Times New Roman" w:hAnsi="Times New Roman" w:cs="Times New Roman"/>
          <w:b/>
          <w:bCs/>
          <w:sz w:val="24"/>
          <w:szCs w:val="24"/>
        </w:rPr>
        <w:t>Soil Physicochemical Properties of the Experimental Soil</w:t>
      </w:r>
    </w:p>
    <w:p w14:paraId="7E1382A2" w14:textId="77777777" w:rsidR="000A2522" w:rsidRDefault="000A2522" w:rsidP="000A2522">
      <w:pPr>
        <w:spacing w:after="0" w:line="240" w:lineRule="auto"/>
        <w:jc w:val="both"/>
        <w:rPr>
          <w:rFonts w:ascii="Times New Roman" w:eastAsia="Times New Roman" w:hAnsi="Times New Roman" w:cs="Times New Roman"/>
          <w:sz w:val="24"/>
          <w:szCs w:val="24"/>
        </w:rPr>
      </w:pPr>
      <w:r w:rsidRPr="000A2522">
        <w:rPr>
          <w:rFonts w:ascii="Times New Roman" w:eastAsia="Times New Roman" w:hAnsi="Times New Roman" w:cs="Times New Roman"/>
          <w:sz w:val="24"/>
          <w:szCs w:val="24"/>
        </w:rPr>
        <w:t>The physical and chemical properties of the soil were assessed before and after the application of various amendment techniques to evaluate their impact.</w:t>
      </w:r>
    </w:p>
    <w:p w14:paraId="562E66EF" w14:textId="77777777" w:rsidR="000A2522" w:rsidRPr="000A2522" w:rsidRDefault="000A2522" w:rsidP="000A2522">
      <w:pPr>
        <w:spacing w:after="0" w:line="240" w:lineRule="auto"/>
        <w:jc w:val="both"/>
        <w:rPr>
          <w:rFonts w:ascii="Times New Roman" w:eastAsia="Times New Roman" w:hAnsi="Times New Roman" w:cs="Times New Roman"/>
          <w:sz w:val="24"/>
          <w:szCs w:val="24"/>
        </w:rPr>
      </w:pPr>
    </w:p>
    <w:p w14:paraId="3BA2F692" w14:textId="496C1D24" w:rsidR="0035414B" w:rsidRDefault="0035414B" w:rsidP="000A252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Soil Physical Properties</w:t>
      </w:r>
    </w:p>
    <w:p w14:paraId="50C1A948" w14:textId="77777777" w:rsidR="0005487B" w:rsidRDefault="0005487B" w:rsidP="000A2522">
      <w:pPr>
        <w:spacing w:after="0" w:line="240" w:lineRule="auto"/>
        <w:jc w:val="both"/>
        <w:rPr>
          <w:rFonts w:ascii="Times New Roman" w:eastAsia="Times New Roman" w:hAnsi="Times New Roman" w:cs="Times New Roman"/>
          <w:b/>
          <w:bCs/>
          <w:sz w:val="24"/>
          <w:szCs w:val="24"/>
        </w:rPr>
      </w:pPr>
    </w:p>
    <w:p w14:paraId="4D8784CD" w14:textId="16EA754E" w:rsidR="000A2522" w:rsidRPr="000A2522" w:rsidRDefault="000A2522" w:rsidP="000A2522">
      <w:pPr>
        <w:spacing w:after="0" w:line="240" w:lineRule="auto"/>
        <w:jc w:val="both"/>
        <w:rPr>
          <w:rFonts w:ascii="Times New Roman" w:eastAsia="Times New Roman" w:hAnsi="Times New Roman" w:cs="Times New Roman"/>
          <w:sz w:val="24"/>
          <w:szCs w:val="24"/>
        </w:rPr>
      </w:pPr>
      <w:r w:rsidRPr="000A2522">
        <w:rPr>
          <w:rFonts w:ascii="Times New Roman" w:eastAsia="Times New Roman" w:hAnsi="Times New Roman" w:cs="Times New Roman"/>
          <w:b/>
          <w:bCs/>
          <w:sz w:val="24"/>
          <w:szCs w:val="24"/>
        </w:rPr>
        <w:t>Soil Texture and Organic Content</w:t>
      </w:r>
    </w:p>
    <w:p w14:paraId="3857ADC8" w14:textId="12E59116" w:rsidR="000A2522" w:rsidRPr="000A2522" w:rsidRDefault="000A2522" w:rsidP="003D548F">
      <w:pPr>
        <w:spacing w:after="100" w:afterAutospacing="1" w:line="240" w:lineRule="auto"/>
        <w:jc w:val="both"/>
        <w:rPr>
          <w:rFonts w:ascii="Times New Roman" w:eastAsia="Times New Roman" w:hAnsi="Times New Roman" w:cs="Times New Roman"/>
          <w:sz w:val="24"/>
          <w:szCs w:val="24"/>
        </w:rPr>
      </w:pPr>
      <w:r w:rsidRPr="000A2522">
        <w:rPr>
          <w:rFonts w:ascii="Times New Roman" w:eastAsia="Times New Roman" w:hAnsi="Times New Roman" w:cs="Times New Roman"/>
          <w:sz w:val="24"/>
          <w:szCs w:val="24"/>
        </w:rPr>
        <w:t>The initial particle size distribution of the soil consisted of 72.16% sand, 5.88% clay, and 21.96% silt, classifying the soil as sandy loam according to the USDA soil texture triangle. The initial soil organic carbon content was 2.21%, corresponding to an organic matter content of 4.67%.</w:t>
      </w:r>
      <w:r w:rsidR="003D548F">
        <w:rPr>
          <w:rFonts w:ascii="Times New Roman" w:eastAsia="Times New Roman" w:hAnsi="Times New Roman" w:cs="Times New Roman"/>
          <w:sz w:val="24"/>
          <w:szCs w:val="24"/>
        </w:rPr>
        <w:t xml:space="preserve"> </w:t>
      </w:r>
      <w:r w:rsidRPr="000A2522">
        <w:rPr>
          <w:rFonts w:ascii="Times New Roman" w:eastAsia="Times New Roman" w:hAnsi="Times New Roman" w:cs="Times New Roman"/>
          <w:sz w:val="24"/>
          <w:szCs w:val="24"/>
        </w:rPr>
        <w:t>Following the experiment, the combined application of poultry manure and biochar produced the highest organic carbon content (5.71%), followed by biochar alone (5.11%), with poultry manure alone resulting in the lowest increase (4.31%).</w:t>
      </w:r>
      <w:r w:rsidR="003D548F">
        <w:rPr>
          <w:rFonts w:ascii="Times New Roman" w:eastAsia="Times New Roman" w:hAnsi="Times New Roman" w:cs="Times New Roman"/>
          <w:sz w:val="24"/>
          <w:szCs w:val="24"/>
        </w:rPr>
        <w:t xml:space="preserve"> </w:t>
      </w:r>
      <w:r w:rsidRPr="000A2522">
        <w:rPr>
          <w:rFonts w:ascii="Times New Roman" w:eastAsia="Times New Roman" w:hAnsi="Times New Roman" w:cs="Times New Roman"/>
          <w:sz w:val="24"/>
          <w:szCs w:val="24"/>
        </w:rPr>
        <w:t>The combination of poultry manure and biochar increased clay content from 5.88% to 7.92%, while decreasing sand content from 72.16% to 67.16%, and increasing silt content to 24.92%. Poultry manure alone raised clay content slightly to 5.92%, and biochar alone showed a similar trend (5.88% to 5.92%). Sand content was reduced to 68.12% and 68.16% under biochar and poultry manure treatments, respectively. Biochar improved silt content to 26.11%, while poultry manure increased it to 25.92%.</w:t>
      </w:r>
      <w:r w:rsidR="003D548F">
        <w:rPr>
          <w:rFonts w:ascii="Times New Roman" w:eastAsia="Times New Roman" w:hAnsi="Times New Roman" w:cs="Times New Roman"/>
          <w:sz w:val="24"/>
          <w:szCs w:val="24"/>
        </w:rPr>
        <w:t xml:space="preserve"> </w:t>
      </w:r>
      <w:r w:rsidRPr="000A2522">
        <w:rPr>
          <w:rFonts w:ascii="Times New Roman" w:eastAsia="Times New Roman" w:hAnsi="Times New Roman" w:cs="Times New Roman"/>
          <w:sz w:val="24"/>
          <w:szCs w:val="24"/>
        </w:rPr>
        <w:t xml:space="preserve">These results suggest that the reduction in sand content and the increase in clay and silt content were influenced by the enhanced presence of organic matter and organic carbon. This is consistent with findings by </w:t>
      </w:r>
      <w:proofErr w:type="spellStart"/>
      <w:r w:rsidRPr="000A2522">
        <w:rPr>
          <w:rFonts w:ascii="Times New Roman" w:eastAsia="Times New Roman" w:hAnsi="Times New Roman" w:cs="Times New Roman"/>
          <w:sz w:val="24"/>
          <w:szCs w:val="24"/>
        </w:rPr>
        <w:t>Yandong</w:t>
      </w:r>
      <w:proofErr w:type="spellEnd"/>
      <w:r w:rsidRPr="000A2522">
        <w:rPr>
          <w:rFonts w:ascii="Times New Roman" w:eastAsia="Times New Roman" w:hAnsi="Times New Roman" w:cs="Times New Roman"/>
          <w:sz w:val="24"/>
          <w:szCs w:val="24"/>
        </w:rPr>
        <w:t xml:space="preserve"> </w:t>
      </w:r>
      <w:r w:rsidRPr="000A2522">
        <w:rPr>
          <w:rFonts w:ascii="Times New Roman" w:eastAsia="Times New Roman" w:hAnsi="Times New Roman" w:cs="Times New Roman"/>
          <w:i/>
          <w:iCs/>
          <w:sz w:val="24"/>
          <w:szCs w:val="24"/>
        </w:rPr>
        <w:t>et al.</w:t>
      </w:r>
      <w:r w:rsidRPr="000A2522">
        <w:rPr>
          <w:rFonts w:ascii="Times New Roman" w:eastAsia="Times New Roman" w:hAnsi="Times New Roman" w:cs="Times New Roman"/>
          <w:sz w:val="24"/>
          <w:szCs w:val="24"/>
        </w:rPr>
        <w:t xml:space="preserve"> (2023), who reported that the combination of biochar and conventional fertilizers increased clay and silt content, decreased sand content, and enhanced soil organic matter and carbon. According to </w:t>
      </w:r>
      <w:proofErr w:type="spellStart"/>
      <w:r w:rsidRPr="000A2522">
        <w:rPr>
          <w:rFonts w:ascii="Times New Roman" w:eastAsia="Times New Roman" w:hAnsi="Times New Roman" w:cs="Times New Roman"/>
          <w:sz w:val="24"/>
          <w:szCs w:val="24"/>
        </w:rPr>
        <w:t>Agbede</w:t>
      </w:r>
      <w:proofErr w:type="spellEnd"/>
      <w:r w:rsidRPr="000A2522">
        <w:rPr>
          <w:rFonts w:ascii="Times New Roman" w:eastAsia="Times New Roman" w:hAnsi="Times New Roman" w:cs="Times New Roman"/>
          <w:sz w:val="24"/>
          <w:szCs w:val="24"/>
        </w:rPr>
        <w:t xml:space="preserve"> (2021) and </w:t>
      </w:r>
      <w:proofErr w:type="spellStart"/>
      <w:r w:rsidRPr="000A2522">
        <w:rPr>
          <w:rFonts w:ascii="Times New Roman" w:eastAsia="Times New Roman" w:hAnsi="Times New Roman" w:cs="Times New Roman"/>
          <w:sz w:val="24"/>
          <w:szCs w:val="24"/>
        </w:rPr>
        <w:t>Masocha</w:t>
      </w:r>
      <w:proofErr w:type="spellEnd"/>
      <w:r w:rsidRPr="000A2522">
        <w:rPr>
          <w:rFonts w:ascii="Times New Roman" w:eastAsia="Times New Roman" w:hAnsi="Times New Roman" w:cs="Times New Roman"/>
          <w:sz w:val="24"/>
          <w:szCs w:val="24"/>
        </w:rPr>
        <w:t xml:space="preserve"> and </w:t>
      </w:r>
      <w:proofErr w:type="spellStart"/>
      <w:r w:rsidRPr="000A2522">
        <w:rPr>
          <w:rFonts w:ascii="Times New Roman" w:eastAsia="Times New Roman" w:hAnsi="Times New Roman" w:cs="Times New Roman"/>
          <w:sz w:val="24"/>
          <w:szCs w:val="24"/>
        </w:rPr>
        <w:t>Dikinya</w:t>
      </w:r>
      <w:proofErr w:type="spellEnd"/>
      <w:r w:rsidRPr="000A2522">
        <w:rPr>
          <w:rFonts w:ascii="Times New Roman" w:eastAsia="Times New Roman" w:hAnsi="Times New Roman" w:cs="Times New Roman"/>
          <w:sz w:val="24"/>
          <w:szCs w:val="24"/>
        </w:rPr>
        <w:t xml:space="preserve"> (2022), the organic matter and carbon sequestration resulting from these amendments contribute to improved soil aggregation, reduced bulk density, and enhanced plant-available water content.</w:t>
      </w:r>
    </w:p>
    <w:p w14:paraId="3E9FA2B4" w14:textId="77777777" w:rsidR="006B44D3" w:rsidRDefault="006B44D3" w:rsidP="006B44D3">
      <w:pPr>
        <w:spacing w:after="0" w:line="240" w:lineRule="auto"/>
        <w:outlineLvl w:val="3"/>
        <w:rPr>
          <w:rFonts w:ascii="Times New Roman" w:eastAsia="Times New Roman" w:hAnsi="Times New Roman" w:cs="Times New Roman"/>
          <w:b/>
          <w:bCs/>
          <w:sz w:val="24"/>
          <w:szCs w:val="24"/>
        </w:rPr>
      </w:pPr>
      <w:r w:rsidRPr="006B44D3">
        <w:rPr>
          <w:rFonts w:ascii="Times New Roman" w:eastAsia="Times New Roman" w:hAnsi="Times New Roman" w:cs="Times New Roman"/>
          <w:b/>
          <w:bCs/>
          <w:sz w:val="24"/>
          <w:szCs w:val="24"/>
        </w:rPr>
        <w:t>Plant Available Water Content</w:t>
      </w:r>
    </w:p>
    <w:p w14:paraId="46D2A23C" w14:textId="47FF6C78" w:rsidR="00A56C80" w:rsidRPr="007151DD" w:rsidRDefault="006B44D3" w:rsidP="007151DD">
      <w:pPr>
        <w:spacing w:after="100" w:afterAutospacing="1" w:line="240" w:lineRule="auto"/>
        <w:jc w:val="both"/>
        <w:outlineLvl w:val="3"/>
        <w:rPr>
          <w:rFonts w:ascii="Times New Roman" w:eastAsia="Times New Roman" w:hAnsi="Times New Roman" w:cs="Times New Roman"/>
          <w:b/>
          <w:bCs/>
          <w:sz w:val="24"/>
          <w:szCs w:val="24"/>
        </w:rPr>
      </w:pPr>
      <w:r w:rsidRPr="006B44D3">
        <w:rPr>
          <w:rFonts w:ascii="Times New Roman" w:eastAsia="Times New Roman" w:hAnsi="Times New Roman" w:cs="Times New Roman"/>
          <w:sz w:val="24"/>
          <w:szCs w:val="24"/>
        </w:rPr>
        <w:t>Field capacity (FC), permanent wilting point (PWP), and plant-available water content (PAWC) were estimated using Soil Characteristic Software (SCS), which analyzed data from soil particle size distribution and organic matter content.</w:t>
      </w:r>
      <w:r>
        <w:rPr>
          <w:rFonts w:ascii="Times New Roman" w:eastAsia="Times New Roman" w:hAnsi="Times New Roman" w:cs="Times New Roman"/>
          <w:b/>
          <w:bCs/>
          <w:sz w:val="24"/>
          <w:szCs w:val="24"/>
        </w:rPr>
        <w:t xml:space="preserve"> </w:t>
      </w:r>
      <w:r w:rsidRPr="006B44D3">
        <w:rPr>
          <w:rFonts w:ascii="Times New Roman" w:eastAsia="Times New Roman" w:hAnsi="Times New Roman" w:cs="Times New Roman"/>
          <w:sz w:val="24"/>
          <w:szCs w:val="24"/>
        </w:rPr>
        <w:t>The combination of poultry manure and groundnut shell biochar yielded the highest PAWC at 15%, compared to poultry manure alone, which resulted in the lowest value of 12%. This variation is attributed to increased organic carbon and improved soil fertility, which enhanced the soil’s water retention capacity.</w:t>
      </w:r>
      <w:r>
        <w:rPr>
          <w:rFonts w:ascii="Times New Roman" w:eastAsia="Times New Roman" w:hAnsi="Times New Roman" w:cs="Times New Roman"/>
          <w:b/>
          <w:bCs/>
          <w:sz w:val="24"/>
          <w:szCs w:val="24"/>
        </w:rPr>
        <w:t xml:space="preserve"> </w:t>
      </w:r>
      <w:r w:rsidRPr="0090764C">
        <w:rPr>
          <w:rFonts w:ascii="Times New Roman" w:eastAsia="Times New Roman" w:hAnsi="Times New Roman" w:cs="Times New Roman"/>
          <w:sz w:val="24"/>
          <w:szCs w:val="24"/>
        </w:rPr>
        <w:t xml:space="preserve">Although % sand, clay, and silt changed due to amendments, the overall soil texture remained unaltered. The obtained values </w:t>
      </w:r>
      <w:r w:rsidRPr="0090764C">
        <w:rPr>
          <w:rFonts w:ascii="Times New Roman" w:eastAsia="Times New Roman" w:hAnsi="Times New Roman" w:cs="Times New Roman"/>
          <w:sz w:val="24"/>
          <w:szCs w:val="24"/>
        </w:rPr>
        <w:lastRenderedPageBreak/>
        <w:t xml:space="preserve">aligned with estimations for field capacity and permanent wilting point for sandy loam soils, where FC typically ranges from 18–28%, and PWP from 6–16% (Richard </w:t>
      </w:r>
      <w:r w:rsidRPr="0090764C">
        <w:rPr>
          <w:rFonts w:ascii="Times New Roman" w:eastAsia="Times New Roman" w:hAnsi="Times New Roman" w:cs="Times New Roman"/>
          <w:i/>
          <w:iCs/>
          <w:sz w:val="24"/>
          <w:szCs w:val="24"/>
        </w:rPr>
        <w:t>et al.,</w:t>
      </w:r>
      <w:r w:rsidRPr="0090764C">
        <w:rPr>
          <w:rFonts w:ascii="Times New Roman" w:eastAsia="Times New Roman" w:hAnsi="Times New Roman" w:cs="Times New Roman"/>
          <w:sz w:val="24"/>
          <w:szCs w:val="24"/>
        </w:rPr>
        <w:t xml:space="preserve"> 1998). The observed increase in PAWC confirms findings by Yu </w:t>
      </w:r>
      <w:r w:rsidRPr="0090764C">
        <w:rPr>
          <w:rFonts w:ascii="Times New Roman" w:eastAsia="Times New Roman" w:hAnsi="Times New Roman" w:cs="Times New Roman"/>
          <w:i/>
          <w:iCs/>
          <w:sz w:val="24"/>
          <w:szCs w:val="24"/>
        </w:rPr>
        <w:t>et al.</w:t>
      </w:r>
      <w:r w:rsidRPr="0090764C">
        <w:rPr>
          <w:rFonts w:ascii="Times New Roman" w:eastAsia="Times New Roman" w:hAnsi="Times New Roman" w:cs="Times New Roman"/>
          <w:sz w:val="24"/>
          <w:szCs w:val="24"/>
        </w:rPr>
        <w:t xml:space="preserve"> (2021), who reported a positive correlation between soil water retention and organic carbon content.</w:t>
      </w:r>
    </w:p>
    <w:p w14:paraId="65DD806D" w14:textId="5FDFA2E0" w:rsidR="00A56C80" w:rsidRPr="007151DD" w:rsidRDefault="00A56C80" w:rsidP="00393821">
      <w:pPr>
        <w:spacing w:before="240" w:after="120" w:line="240" w:lineRule="auto"/>
        <w:jc w:val="both"/>
        <w:rPr>
          <w:rFonts w:ascii="Times New Roman" w:hAnsi="Times New Roman" w:cs="Times New Roman"/>
          <w:b/>
          <w:bCs/>
          <w:sz w:val="24"/>
          <w:szCs w:val="24"/>
        </w:rPr>
      </w:pPr>
      <w:r w:rsidRPr="007151DD">
        <w:rPr>
          <w:rFonts w:ascii="Times New Roman" w:hAnsi="Times New Roman" w:cs="Times New Roman"/>
          <w:b/>
          <w:bCs/>
          <w:sz w:val="24"/>
          <w:szCs w:val="24"/>
        </w:rPr>
        <w:t>Soil Bulk Density</w:t>
      </w:r>
    </w:p>
    <w:p w14:paraId="26D3FC49" w14:textId="075DC7C5" w:rsidR="00E5427F" w:rsidRPr="00E5427F" w:rsidRDefault="00E5427F" w:rsidP="00E5427F">
      <w:pPr>
        <w:spacing w:after="100" w:afterAutospacing="1" w:line="240" w:lineRule="auto"/>
        <w:jc w:val="both"/>
        <w:rPr>
          <w:rFonts w:ascii="Times New Roman" w:eastAsia="Times New Roman" w:hAnsi="Times New Roman" w:cs="Times New Roman"/>
          <w:sz w:val="24"/>
          <w:szCs w:val="24"/>
        </w:rPr>
      </w:pPr>
      <w:r w:rsidRPr="00E5427F">
        <w:rPr>
          <w:rFonts w:ascii="Times New Roman" w:eastAsia="Times New Roman" w:hAnsi="Times New Roman" w:cs="Times New Roman"/>
          <w:sz w:val="24"/>
          <w:szCs w:val="24"/>
        </w:rPr>
        <w:t>Bulk density is a key indicator of soil compaction. Prior to treatment, the bulk density of the soil was 1.43 g/cm³. Amendments had significant impacts:</w:t>
      </w:r>
      <w:r>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Poultry manure reduced bulk density to 1.23 g/cm³</w:t>
      </w:r>
      <w:r>
        <w:rPr>
          <w:rFonts w:ascii="Times New Roman" w:eastAsia="Times New Roman" w:hAnsi="Times New Roman" w:cs="Times New Roman"/>
          <w:sz w:val="24"/>
          <w:szCs w:val="24"/>
        </w:rPr>
        <w:t>, g</w:t>
      </w:r>
      <w:r w:rsidRPr="00E5427F">
        <w:rPr>
          <w:rFonts w:ascii="Times New Roman" w:eastAsia="Times New Roman" w:hAnsi="Times New Roman" w:cs="Times New Roman"/>
          <w:sz w:val="24"/>
          <w:szCs w:val="24"/>
        </w:rPr>
        <w:t>roundnut shell biochar reduced it further to 0.94 g/cm³</w:t>
      </w:r>
      <w:r>
        <w:rPr>
          <w:rFonts w:ascii="Times New Roman" w:eastAsia="Times New Roman" w:hAnsi="Times New Roman" w:cs="Times New Roman"/>
          <w:sz w:val="24"/>
          <w:szCs w:val="24"/>
        </w:rPr>
        <w:t>, and t</w:t>
      </w:r>
      <w:r w:rsidRPr="00E5427F">
        <w:rPr>
          <w:rFonts w:ascii="Times New Roman" w:eastAsia="Times New Roman" w:hAnsi="Times New Roman" w:cs="Times New Roman"/>
          <w:sz w:val="24"/>
          <w:szCs w:val="24"/>
        </w:rPr>
        <w:t>he combination of biochar and poultry manure resulted in a bulk density of 1.02 g/cm³.</w:t>
      </w:r>
      <w:r>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 xml:space="preserve">The decrease in bulk density is primarily attributed to increased organic carbon, which improves soil structure and porosity. The observed values fall within the acceptable bulk density range of 0.5–3.0 g/cm³, and align with typical values in </w:t>
      </w:r>
      <w:r w:rsidR="00422E44">
        <w:rPr>
          <w:rFonts w:ascii="Times New Roman" w:eastAsia="Times New Roman" w:hAnsi="Times New Roman" w:cs="Times New Roman"/>
          <w:sz w:val="24"/>
          <w:szCs w:val="24"/>
        </w:rPr>
        <w:t>n</w:t>
      </w:r>
      <w:r w:rsidRPr="00E5427F">
        <w:rPr>
          <w:rFonts w:ascii="Times New Roman" w:eastAsia="Times New Roman" w:hAnsi="Times New Roman" w:cs="Times New Roman"/>
          <w:sz w:val="24"/>
          <w:szCs w:val="24"/>
        </w:rPr>
        <w:t>orthern Ghana (0.8–1.8 g/cm³).</w:t>
      </w:r>
    </w:p>
    <w:p w14:paraId="2D824B92" w14:textId="45B048ED" w:rsidR="00E5427F" w:rsidRPr="00E5427F" w:rsidRDefault="00E5427F" w:rsidP="00296264">
      <w:pPr>
        <w:spacing w:before="100" w:beforeAutospacing="1" w:after="0" w:line="240" w:lineRule="auto"/>
        <w:rPr>
          <w:rFonts w:ascii="Times New Roman" w:eastAsia="Times New Roman" w:hAnsi="Times New Roman" w:cs="Times New Roman"/>
          <w:sz w:val="24"/>
          <w:szCs w:val="24"/>
        </w:rPr>
      </w:pPr>
      <w:r w:rsidRPr="00E5427F">
        <w:rPr>
          <w:rFonts w:ascii="Times New Roman" w:eastAsia="Times New Roman" w:hAnsi="Times New Roman" w:cs="Times New Roman"/>
          <w:b/>
          <w:bCs/>
          <w:sz w:val="24"/>
          <w:szCs w:val="24"/>
        </w:rPr>
        <w:t>Soil Hydraulic Conductivity</w:t>
      </w:r>
    </w:p>
    <w:p w14:paraId="676ADB14" w14:textId="65645C87" w:rsidR="00E5427F" w:rsidRPr="00E5427F" w:rsidRDefault="00E5427F" w:rsidP="00296264">
      <w:pPr>
        <w:spacing w:after="0" w:line="240" w:lineRule="auto"/>
        <w:jc w:val="both"/>
        <w:rPr>
          <w:rFonts w:ascii="Times New Roman" w:eastAsia="Times New Roman" w:hAnsi="Times New Roman" w:cs="Times New Roman"/>
          <w:sz w:val="24"/>
          <w:szCs w:val="24"/>
        </w:rPr>
      </w:pPr>
      <w:r w:rsidRPr="00E5427F">
        <w:rPr>
          <w:rFonts w:ascii="Times New Roman" w:eastAsia="Times New Roman" w:hAnsi="Times New Roman" w:cs="Times New Roman"/>
          <w:sz w:val="24"/>
          <w:szCs w:val="24"/>
        </w:rPr>
        <w:t xml:space="preserve">Unsaturated hydraulic conductivity </w:t>
      </w:r>
      <w:r w:rsidR="0035414B">
        <w:rPr>
          <w:rFonts w:ascii="Times New Roman" w:eastAsia="Times New Roman" w:hAnsi="Times New Roman" w:cs="Times New Roman"/>
          <w:sz w:val="24"/>
          <w:szCs w:val="24"/>
        </w:rPr>
        <w:t xml:space="preserve">(SHC) </w:t>
      </w:r>
      <w:r w:rsidRPr="00E5427F">
        <w:rPr>
          <w:rFonts w:ascii="Times New Roman" w:eastAsia="Times New Roman" w:hAnsi="Times New Roman" w:cs="Times New Roman"/>
          <w:sz w:val="24"/>
          <w:szCs w:val="24"/>
        </w:rPr>
        <w:t xml:space="preserve">was calculated using models by Zhang (1997) and van </w:t>
      </w:r>
      <w:proofErr w:type="spellStart"/>
      <w:r w:rsidRPr="00E5427F">
        <w:rPr>
          <w:rFonts w:ascii="Times New Roman" w:eastAsia="Times New Roman" w:hAnsi="Times New Roman" w:cs="Times New Roman"/>
          <w:sz w:val="24"/>
          <w:szCs w:val="24"/>
        </w:rPr>
        <w:t>Genuchten</w:t>
      </w:r>
      <w:proofErr w:type="spellEnd"/>
      <w:r w:rsidRPr="00E5427F">
        <w:rPr>
          <w:rFonts w:ascii="Times New Roman" w:eastAsia="Times New Roman" w:hAnsi="Times New Roman" w:cs="Times New Roman"/>
          <w:sz w:val="24"/>
          <w:szCs w:val="24"/>
        </w:rPr>
        <w:t xml:space="preserve"> (1980). Results demonstrated that soil amendments significantly improved SHC</w:t>
      </w:r>
      <w:r w:rsidR="00CF2377">
        <w:rPr>
          <w:rFonts w:ascii="Times New Roman" w:eastAsia="Times New Roman" w:hAnsi="Times New Roman" w:cs="Times New Roman"/>
          <w:sz w:val="24"/>
          <w:szCs w:val="24"/>
        </w:rPr>
        <w:t xml:space="preserve"> as c</w:t>
      </w:r>
      <w:r w:rsidRPr="00E5427F">
        <w:rPr>
          <w:rFonts w:ascii="Times New Roman" w:eastAsia="Times New Roman" w:hAnsi="Times New Roman" w:cs="Times New Roman"/>
          <w:sz w:val="24"/>
          <w:szCs w:val="24"/>
        </w:rPr>
        <w:t>ontrol (no amendment)</w:t>
      </w:r>
      <w:r w:rsidR="00CF2377">
        <w:rPr>
          <w:rFonts w:ascii="Times New Roman" w:eastAsia="Times New Roman" w:hAnsi="Times New Roman" w:cs="Times New Roman"/>
          <w:sz w:val="24"/>
          <w:szCs w:val="24"/>
        </w:rPr>
        <w:t xml:space="preserve"> recorded </w:t>
      </w:r>
      <w:r w:rsidRPr="00E5427F">
        <w:rPr>
          <w:rFonts w:ascii="Times New Roman" w:eastAsia="Times New Roman" w:hAnsi="Times New Roman" w:cs="Times New Roman"/>
          <w:sz w:val="24"/>
          <w:szCs w:val="24"/>
        </w:rPr>
        <w:t>7 × 10⁻³ cm/s</w:t>
      </w:r>
      <w:r w:rsidR="00CF2377">
        <w:rPr>
          <w:rFonts w:ascii="Times New Roman" w:eastAsia="Times New Roman" w:hAnsi="Times New Roman" w:cs="Times New Roman"/>
          <w:sz w:val="24"/>
          <w:szCs w:val="24"/>
        </w:rPr>
        <w:t>, p</w:t>
      </w:r>
      <w:r w:rsidRPr="00E5427F">
        <w:rPr>
          <w:rFonts w:ascii="Times New Roman" w:eastAsia="Times New Roman" w:hAnsi="Times New Roman" w:cs="Times New Roman"/>
          <w:sz w:val="24"/>
          <w:szCs w:val="24"/>
        </w:rPr>
        <w:t>oultry manure</w:t>
      </w:r>
      <w:r w:rsidR="00CF2377">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13 × 10⁻³ cm/s</w:t>
      </w:r>
      <w:r w:rsidR="00CF2377">
        <w:rPr>
          <w:rFonts w:ascii="Times New Roman" w:eastAsia="Times New Roman" w:hAnsi="Times New Roman" w:cs="Times New Roman"/>
          <w:sz w:val="24"/>
          <w:szCs w:val="24"/>
        </w:rPr>
        <w:t>), b</w:t>
      </w:r>
      <w:r w:rsidRPr="00E5427F">
        <w:rPr>
          <w:rFonts w:ascii="Times New Roman" w:eastAsia="Times New Roman" w:hAnsi="Times New Roman" w:cs="Times New Roman"/>
          <w:sz w:val="24"/>
          <w:szCs w:val="24"/>
        </w:rPr>
        <w:t>iochar</w:t>
      </w:r>
      <w:r w:rsidR="00CF2377">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26 × 10⁻³ cm/s</w:t>
      </w:r>
      <w:r w:rsidR="00CF2377">
        <w:rPr>
          <w:rFonts w:ascii="Times New Roman" w:eastAsia="Times New Roman" w:hAnsi="Times New Roman" w:cs="Times New Roman"/>
          <w:sz w:val="24"/>
          <w:szCs w:val="24"/>
        </w:rPr>
        <w:t>), and b</w:t>
      </w:r>
      <w:r w:rsidRPr="00E5427F">
        <w:rPr>
          <w:rFonts w:ascii="Times New Roman" w:eastAsia="Times New Roman" w:hAnsi="Times New Roman" w:cs="Times New Roman"/>
          <w:sz w:val="24"/>
          <w:szCs w:val="24"/>
        </w:rPr>
        <w:t xml:space="preserve">iochar + </w:t>
      </w:r>
      <w:r w:rsidR="00CF2377">
        <w:rPr>
          <w:rFonts w:ascii="Times New Roman" w:eastAsia="Times New Roman" w:hAnsi="Times New Roman" w:cs="Times New Roman"/>
          <w:sz w:val="24"/>
          <w:szCs w:val="24"/>
        </w:rPr>
        <w:t>p</w:t>
      </w:r>
      <w:r w:rsidRPr="00E5427F">
        <w:rPr>
          <w:rFonts w:ascii="Times New Roman" w:eastAsia="Times New Roman" w:hAnsi="Times New Roman" w:cs="Times New Roman"/>
          <w:sz w:val="24"/>
          <w:szCs w:val="24"/>
        </w:rPr>
        <w:t>oultry manure</w:t>
      </w:r>
      <w:r w:rsidR="00CF2377">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22 × 10⁻³ cm/s</w:t>
      </w:r>
      <w:r w:rsidR="00CF2377">
        <w:rPr>
          <w:rFonts w:ascii="Times New Roman" w:eastAsia="Times New Roman" w:hAnsi="Times New Roman" w:cs="Times New Roman"/>
          <w:sz w:val="24"/>
          <w:szCs w:val="24"/>
        </w:rPr>
        <w:t>).</w:t>
      </w:r>
      <w:r w:rsidR="00296264">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 xml:space="preserve">These results highlight the superior performance of biochar in enhancing SHC, likely due to its porous nature and ability to improve infiltration and reduce runoff, consistent with findings by </w:t>
      </w:r>
      <w:r w:rsidR="00296264" w:rsidRPr="00E5427F">
        <w:rPr>
          <w:rFonts w:ascii="Times New Roman" w:eastAsia="Times New Roman" w:hAnsi="Times New Roman" w:cs="Times New Roman"/>
          <w:sz w:val="24"/>
          <w:szCs w:val="24"/>
        </w:rPr>
        <w:t xml:space="preserve">Wang </w:t>
      </w:r>
      <w:r w:rsidR="00296264" w:rsidRPr="00F22437">
        <w:rPr>
          <w:rFonts w:ascii="Times New Roman" w:eastAsia="Times New Roman" w:hAnsi="Times New Roman" w:cs="Times New Roman"/>
          <w:i/>
          <w:iCs/>
          <w:sz w:val="24"/>
          <w:szCs w:val="24"/>
        </w:rPr>
        <w:t>et al.</w:t>
      </w:r>
      <w:r w:rsidR="00296264" w:rsidRPr="00E5427F">
        <w:rPr>
          <w:rFonts w:ascii="Times New Roman" w:eastAsia="Times New Roman" w:hAnsi="Times New Roman" w:cs="Times New Roman"/>
          <w:sz w:val="24"/>
          <w:szCs w:val="24"/>
        </w:rPr>
        <w:t xml:space="preserve"> (2017),</w:t>
      </w:r>
      <w:r w:rsidR="00296264">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 xml:space="preserve">Yang </w:t>
      </w:r>
      <w:r w:rsidRPr="00E5427F">
        <w:rPr>
          <w:rFonts w:ascii="Times New Roman" w:eastAsia="Times New Roman" w:hAnsi="Times New Roman" w:cs="Times New Roman"/>
          <w:i/>
          <w:iCs/>
          <w:sz w:val="24"/>
          <w:szCs w:val="24"/>
        </w:rPr>
        <w:t>et al.</w:t>
      </w:r>
      <w:r w:rsidRPr="00E5427F">
        <w:rPr>
          <w:rFonts w:ascii="Times New Roman" w:eastAsia="Times New Roman" w:hAnsi="Times New Roman" w:cs="Times New Roman"/>
          <w:sz w:val="24"/>
          <w:szCs w:val="24"/>
        </w:rPr>
        <w:t xml:space="preserve"> (2020), and </w:t>
      </w:r>
      <w:proofErr w:type="spellStart"/>
      <w:r w:rsidRPr="00E5427F">
        <w:rPr>
          <w:rFonts w:ascii="Times New Roman" w:eastAsia="Times New Roman" w:hAnsi="Times New Roman" w:cs="Times New Roman"/>
          <w:sz w:val="24"/>
          <w:szCs w:val="24"/>
        </w:rPr>
        <w:t>Gholamahmadi</w:t>
      </w:r>
      <w:proofErr w:type="spellEnd"/>
      <w:r w:rsidRPr="00E5427F">
        <w:rPr>
          <w:rFonts w:ascii="Times New Roman" w:eastAsia="Times New Roman" w:hAnsi="Times New Roman" w:cs="Times New Roman"/>
          <w:sz w:val="24"/>
          <w:szCs w:val="24"/>
        </w:rPr>
        <w:t xml:space="preserve"> </w:t>
      </w:r>
      <w:r w:rsidRPr="00E5427F">
        <w:rPr>
          <w:rFonts w:ascii="Times New Roman" w:eastAsia="Times New Roman" w:hAnsi="Times New Roman" w:cs="Times New Roman"/>
          <w:i/>
          <w:iCs/>
          <w:sz w:val="24"/>
          <w:szCs w:val="24"/>
        </w:rPr>
        <w:t>et al.</w:t>
      </w:r>
      <w:r w:rsidRPr="00E5427F">
        <w:rPr>
          <w:rFonts w:ascii="Times New Roman" w:eastAsia="Times New Roman" w:hAnsi="Times New Roman" w:cs="Times New Roman"/>
          <w:sz w:val="24"/>
          <w:szCs w:val="24"/>
        </w:rPr>
        <w:t xml:space="preserve"> (2023).</w:t>
      </w:r>
    </w:p>
    <w:p w14:paraId="5AEF2F5D" w14:textId="77777777" w:rsidR="00E9627F" w:rsidRPr="00E9627F" w:rsidRDefault="00E9627F" w:rsidP="00E9627F">
      <w:pPr>
        <w:spacing w:before="100" w:beforeAutospacing="1" w:after="100" w:afterAutospacing="1" w:line="240" w:lineRule="auto"/>
        <w:outlineLvl w:val="3"/>
        <w:rPr>
          <w:rFonts w:ascii="Times New Roman" w:eastAsia="Times New Roman" w:hAnsi="Times New Roman" w:cs="Times New Roman"/>
          <w:b/>
          <w:bCs/>
          <w:sz w:val="24"/>
          <w:szCs w:val="24"/>
        </w:rPr>
      </w:pPr>
      <w:r w:rsidRPr="00E9627F">
        <w:rPr>
          <w:rFonts w:ascii="Times New Roman" w:eastAsia="Times New Roman" w:hAnsi="Times New Roman" w:cs="Times New Roman"/>
          <w:b/>
          <w:bCs/>
          <w:sz w:val="24"/>
          <w:szCs w:val="24"/>
        </w:rPr>
        <w:t>Soil Chemical Properties</w:t>
      </w:r>
    </w:p>
    <w:p w14:paraId="24F8DD3A" w14:textId="77777777" w:rsidR="00E9627F" w:rsidRPr="00E9627F" w:rsidRDefault="00E9627F" w:rsidP="00E9627F">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b/>
          <w:bCs/>
          <w:sz w:val="24"/>
          <w:szCs w:val="24"/>
        </w:rPr>
        <w:t>Soil pH</w:t>
      </w:r>
    </w:p>
    <w:p w14:paraId="1FFE3646" w14:textId="4421A065" w:rsidR="00E9627F" w:rsidRPr="00E9627F" w:rsidRDefault="00E9627F" w:rsidP="00E9627F">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sz w:val="24"/>
          <w:szCs w:val="24"/>
        </w:rPr>
        <w:t>Before treatment, the soil had a pH of 5.6. After amendment</w:t>
      </w:r>
      <w:r>
        <w:rPr>
          <w:rFonts w:ascii="Times New Roman" w:eastAsia="Times New Roman" w:hAnsi="Times New Roman" w:cs="Times New Roman"/>
          <w:sz w:val="24"/>
          <w:szCs w:val="24"/>
        </w:rPr>
        <w:t>, b</w:t>
      </w:r>
      <w:r w:rsidRPr="00E9627F">
        <w:rPr>
          <w:rFonts w:ascii="Times New Roman" w:eastAsia="Times New Roman" w:hAnsi="Times New Roman" w:cs="Times New Roman"/>
          <w:sz w:val="24"/>
          <w:szCs w:val="24"/>
        </w:rPr>
        <w:t xml:space="preserve">iochar + </w:t>
      </w:r>
      <w:r>
        <w:rPr>
          <w:rFonts w:ascii="Times New Roman" w:eastAsia="Times New Roman" w:hAnsi="Times New Roman" w:cs="Times New Roman"/>
          <w:sz w:val="24"/>
          <w:szCs w:val="24"/>
        </w:rPr>
        <w:t>p</w:t>
      </w:r>
      <w:r w:rsidRPr="00E9627F">
        <w:rPr>
          <w:rFonts w:ascii="Times New Roman" w:eastAsia="Times New Roman" w:hAnsi="Times New Roman" w:cs="Times New Roman"/>
          <w:sz w:val="24"/>
          <w:szCs w:val="24"/>
        </w:rPr>
        <w:t>oultry manure</w:t>
      </w:r>
      <w:r>
        <w:rPr>
          <w:rFonts w:ascii="Times New Roman" w:eastAsia="Times New Roman" w:hAnsi="Times New Roman" w:cs="Times New Roman"/>
          <w:sz w:val="24"/>
          <w:szCs w:val="24"/>
        </w:rPr>
        <w:t xml:space="preserve"> recorded </w:t>
      </w:r>
      <w:r w:rsidRPr="00E9627F">
        <w:rPr>
          <w:rFonts w:ascii="Times New Roman" w:eastAsia="Times New Roman" w:hAnsi="Times New Roman" w:cs="Times New Roman"/>
          <w:sz w:val="24"/>
          <w:szCs w:val="24"/>
        </w:rPr>
        <w:t>pH 6.8</w:t>
      </w:r>
      <w:r>
        <w:rPr>
          <w:rFonts w:ascii="Times New Roman" w:eastAsia="Times New Roman" w:hAnsi="Times New Roman" w:cs="Times New Roman"/>
          <w:sz w:val="24"/>
          <w:szCs w:val="24"/>
        </w:rPr>
        <w:t>, p</w:t>
      </w:r>
      <w:r w:rsidRPr="00E9627F">
        <w:rPr>
          <w:rFonts w:ascii="Times New Roman" w:eastAsia="Times New Roman" w:hAnsi="Times New Roman" w:cs="Times New Roman"/>
          <w:sz w:val="24"/>
          <w:szCs w:val="24"/>
        </w:rPr>
        <w:t>oultry manure only</w:t>
      </w:r>
      <w:r>
        <w:rPr>
          <w:rFonts w:ascii="Times New Roman" w:eastAsia="Times New Roman" w:hAnsi="Times New Roman" w:cs="Times New Roman"/>
          <w:sz w:val="24"/>
          <w:szCs w:val="24"/>
        </w:rPr>
        <w:t xml:space="preserve"> recorded </w:t>
      </w:r>
      <w:r w:rsidRPr="00E9627F">
        <w:rPr>
          <w:rFonts w:ascii="Times New Roman" w:eastAsia="Times New Roman" w:hAnsi="Times New Roman" w:cs="Times New Roman"/>
          <w:sz w:val="24"/>
          <w:szCs w:val="24"/>
        </w:rPr>
        <w:t>pH 6.19</w:t>
      </w:r>
      <w:r>
        <w:rPr>
          <w:rFonts w:ascii="Times New Roman" w:eastAsia="Times New Roman" w:hAnsi="Times New Roman" w:cs="Times New Roman"/>
          <w:sz w:val="24"/>
          <w:szCs w:val="24"/>
        </w:rPr>
        <w:t>, and b</w:t>
      </w:r>
      <w:r w:rsidRPr="00E9627F">
        <w:rPr>
          <w:rFonts w:ascii="Times New Roman" w:eastAsia="Times New Roman" w:hAnsi="Times New Roman" w:cs="Times New Roman"/>
          <w:sz w:val="24"/>
          <w:szCs w:val="24"/>
        </w:rPr>
        <w:t>iochar only</w:t>
      </w:r>
      <w:r>
        <w:rPr>
          <w:rFonts w:ascii="Times New Roman" w:eastAsia="Times New Roman" w:hAnsi="Times New Roman" w:cs="Times New Roman"/>
          <w:sz w:val="24"/>
          <w:szCs w:val="24"/>
        </w:rPr>
        <w:t xml:space="preserve"> recorded </w:t>
      </w:r>
      <w:r w:rsidRPr="00E9627F">
        <w:rPr>
          <w:rFonts w:ascii="Times New Roman" w:eastAsia="Times New Roman" w:hAnsi="Times New Roman" w:cs="Times New Roman"/>
          <w:sz w:val="24"/>
          <w:szCs w:val="24"/>
        </w:rPr>
        <w:t>pH 5.71</w:t>
      </w:r>
      <w:r>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 xml:space="preserve">All treatments improved soil pH, bringing it within the optimal range for garden egg cultivation (5.5–6.8), as reported by Han et al. (2021). </w:t>
      </w:r>
      <w:proofErr w:type="spellStart"/>
      <w:r w:rsidRPr="00E9627F">
        <w:rPr>
          <w:rFonts w:ascii="Times New Roman" w:eastAsia="Times New Roman" w:hAnsi="Times New Roman" w:cs="Times New Roman"/>
          <w:sz w:val="24"/>
          <w:szCs w:val="24"/>
        </w:rPr>
        <w:t>Agbede</w:t>
      </w:r>
      <w:proofErr w:type="spellEnd"/>
      <w:r w:rsidRPr="00E9627F">
        <w:rPr>
          <w:rFonts w:ascii="Times New Roman" w:eastAsia="Times New Roman" w:hAnsi="Times New Roman" w:cs="Times New Roman"/>
          <w:sz w:val="24"/>
          <w:szCs w:val="24"/>
        </w:rPr>
        <w:t xml:space="preserve"> </w:t>
      </w:r>
      <w:r w:rsidRPr="00E9627F">
        <w:rPr>
          <w:rFonts w:ascii="Times New Roman" w:eastAsia="Times New Roman" w:hAnsi="Times New Roman" w:cs="Times New Roman"/>
          <w:i/>
          <w:iCs/>
          <w:sz w:val="24"/>
          <w:szCs w:val="24"/>
        </w:rPr>
        <w:t>et al.</w:t>
      </w:r>
      <w:r w:rsidRPr="00E9627F">
        <w:rPr>
          <w:rFonts w:ascii="Times New Roman" w:eastAsia="Times New Roman" w:hAnsi="Times New Roman" w:cs="Times New Roman"/>
          <w:sz w:val="24"/>
          <w:szCs w:val="24"/>
        </w:rPr>
        <w:t xml:space="preserve"> (2020) also confirmed that biochar and poultry manure can raise pH, reduce bulk density, and enhance moisture retention.</w:t>
      </w:r>
    </w:p>
    <w:p w14:paraId="7674E54E" w14:textId="2ABA057F" w:rsidR="00E9627F" w:rsidRPr="00E9627F" w:rsidRDefault="00E9627F" w:rsidP="0005487B">
      <w:pPr>
        <w:spacing w:before="100" w:beforeAutospacing="1" w:after="0" w:line="240" w:lineRule="auto"/>
        <w:rPr>
          <w:rFonts w:ascii="Times New Roman" w:eastAsia="Times New Roman" w:hAnsi="Times New Roman" w:cs="Times New Roman"/>
          <w:sz w:val="24"/>
          <w:szCs w:val="24"/>
        </w:rPr>
      </w:pPr>
      <w:r w:rsidRPr="00E9627F">
        <w:rPr>
          <w:rFonts w:ascii="Times New Roman" w:eastAsia="Times New Roman" w:hAnsi="Times New Roman" w:cs="Times New Roman"/>
          <w:b/>
          <w:bCs/>
          <w:sz w:val="24"/>
          <w:szCs w:val="24"/>
        </w:rPr>
        <w:t xml:space="preserve">Electrical Conductivity </w:t>
      </w:r>
    </w:p>
    <w:p w14:paraId="5A24C0E7" w14:textId="2CF8925A" w:rsidR="00E9627F" w:rsidRDefault="00E9627F" w:rsidP="0005487B">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sz w:val="24"/>
          <w:szCs w:val="24"/>
        </w:rPr>
        <w:t xml:space="preserve">Initial </w:t>
      </w:r>
      <w:r w:rsidR="00486FC6">
        <w:rPr>
          <w:rFonts w:ascii="Times New Roman" w:eastAsia="Times New Roman" w:hAnsi="Times New Roman" w:cs="Times New Roman"/>
          <w:sz w:val="24"/>
          <w:szCs w:val="24"/>
        </w:rPr>
        <w:t>electrical conductivity (</w:t>
      </w:r>
      <w:r w:rsidRPr="00E9627F">
        <w:rPr>
          <w:rFonts w:ascii="Times New Roman" w:eastAsia="Times New Roman" w:hAnsi="Times New Roman" w:cs="Times New Roman"/>
          <w:sz w:val="24"/>
          <w:szCs w:val="24"/>
        </w:rPr>
        <w:t>EC</w:t>
      </w:r>
      <w:r w:rsidR="00486FC6">
        <w:rPr>
          <w:rFonts w:ascii="Times New Roman" w:eastAsia="Times New Roman" w:hAnsi="Times New Roman" w:cs="Times New Roman"/>
          <w:sz w:val="24"/>
          <w:szCs w:val="24"/>
        </w:rPr>
        <w:t>)</w:t>
      </w:r>
      <w:r w:rsidRPr="00E9627F">
        <w:rPr>
          <w:rFonts w:ascii="Times New Roman" w:eastAsia="Times New Roman" w:hAnsi="Times New Roman" w:cs="Times New Roman"/>
          <w:sz w:val="24"/>
          <w:szCs w:val="24"/>
        </w:rPr>
        <w:t xml:space="preserve"> was 3.23 × 10⁻² </w:t>
      </w:r>
      <w:proofErr w:type="spellStart"/>
      <w:r w:rsidRPr="00E9627F">
        <w:rPr>
          <w:rFonts w:ascii="Times New Roman" w:eastAsia="Times New Roman" w:hAnsi="Times New Roman" w:cs="Times New Roman"/>
          <w:sz w:val="24"/>
          <w:szCs w:val="24"/>
        </w:rPr>
        <w:t>dS</w:t>
      </w:r>
      <w:proofErr w:type="spellEnd"/>
      <w:r w:rsidRPr="00E9627F">
        <w:rPr>
          <w:rFonts w:ascii="Times New Roman" w:eastAsia="Times New Roman" w:hAnsi="Times New Roman" w:cs="Times New Roman"/>
          <w:sz w:val="24"/>
          <w:szCs w:val="24"/>
        </w:rPr>
        <w:t>/m. Post-treatment values were</w:t>
      </w:r>
      <w:r w:rsidR="00486FC6">
        <w:rPr>
          <w:rFonts w:ascii="Times New Roman" w:eastAsia="Times New Roman" w:hAnsi="Times New Roman" w:cs="Times New Roman"/>
          <w:sz w:val="24"/>
          <w:szCs w:val="24"/>
        </w:rPr>
        <w:t>; b</w:t>
      </w:r>
      <w:r w:rsidRPr="00E9627F">
        <w:rPr>
          <w:rFonts w:ascii="Times New Roman" w:eastAsia="Times New Roman" w:hAnsi="Times New Roman" w:cs="Times New Roman"/>
          <w:sz w:val="24"/>
          <w:szCs w:val="24"/>
        </w:rPr>
        <w:t xml:space="preserve">iochar + </w:t>
      </w:r>
      <w:r w:rsidR="00486FC6">
        <w:rPr>
          <w:rFonts w:ascii="Times New Roman" w:eastAsia="Times New Roman" w:hAnsi="Times New Roman" w:cs="Times New Roman"/>
          <w:sz w:val="24"/>
          <w:szCs w:val="24"/>
        </w:rPr>
        <w:t>p</w:t>
      </w:r>
      <w:r w:rsidRPr="00E9627F">
        <w:rPr>
          <w:rFonts w:ascii="Times New Roman" w:eastAsia="Times New Roman" w:hAnsi="Times New Roman" w:cs="Times New Roman"/>
          <w:sz w:val="24"/>
          <w:szCs w:val="24"/>
        </w:rPr>
        <w:t>oultry manure</w:t>
      </w:r>
      <w:r w:rsidR="00486FC6">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 xml:space="preserve">6.23 × 10⁻² </w:t>
      </w:r>
      <w:proofErr w:type="spellStart"/>
      <w:r w:rsidRPr="00E9627F">
        <w:rPr>
          <w:rFonts w:ascii="Times New Roman" w:eastAsia="Times New Roman" w:hAnsi="Times New Roman" w:cs="Times New Roman"/>
          <w:sz w:val="24"/>
          <w:szCs w:val="24"/>
        </w:rPr>
        <w:t>dS</w:t>
      </w:r>
      <w:proofErr w:type="spellEnd"/>
      <w:r w:rsidRPr="00E9627F">
        <w:rPr>
          <w:rFonts w:ascii="Times New Roman" w:eastAsia="Times New Roman" w:hAnsi="Times New Roman" w:cs="Times New Roman"/>
          <w:sz w:val="24"/>
          <w:szCs w:val="24"/>
        </w:rPr>
        <w:t>/m</w:t>
      </w:r>
      <w:r w:rsidR="00486FC6">
        <w:rPr>
          <w:rFonts w:ascii="Times New Roman" w:eastAsia="Times New Roman" w:hAnsi="Times New Roman" w:cs="Times New Roman"/>
          <w:sz w:val="24"/>
          <w:szCs w:val="24"/>
        </w:rPr>
        <w:t>), poultry</w:t>
      </w:r>
      <w:r w:rsidRPr="00E9627F">
        <w:rPr>
          <w:rFonts w:ascii="Times New Roman" w:eastAsia="Times New Roman" w:hAnsi="Times New Roman" w:cs="Times New Roman"/>
          <w:sz w:val="24"/>
          <w:szCs w:val="24"/>
        </w:rPr>
        <w:t xml:space="preserve"> manure only</w:t>
      </w:r>
      <w:r w:rsidR="00486FC6">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 xml:space="preserve">5.60 × 10⁻² </w:t>
      </w:r>
      <w:proofErr w:type="spellStart"/>
      <w:r w:rsidRPr="00E9627F">
        <w:rPr>
          <w:rFonts w:ascii="Times New Roman" w:eastAsia="Times New Roman" w:hAnsi="Times New Roman" w:cs="Times New Roman"/>
          <w:sz w:val="24"/>
          <w:szCs w:val="24"/>
        </w:rPr>
        <w:t>dS</w:t>
      </w:r>
      <w:proofErr w:type="spellEnd"/>
      <w:r w:rsidRPr="00E9627F">
        <w:rPr>
          <w:rFonts w:ascii="Times New Roman" w:eastAsia="Times New Roman" w:hAnsi="Times New Roman" w:cs="Times New Roman"/>
          <w:sz w:val="24"/>
          <w:szCs w:val="24"/>
        </w:rPr>
        <w:t>/m</w:t>
      </w:r>
      <w:r w:rsidR="00486FC6">
        <w:rPr>
          <w:rFonts w:ascii="Times New Roman" w:eastAsia="Times New Roman" w:hAnsi="Times New Roman" w:cs="Times New Roman"/>
          <w:sz w:val="24"/>
          <w:szCs w:val="24"/>
        </w:rPr>
        <w:t>), and b</w:t>
      </w:r>
      <w:r w:rsidRPr="00E9627F">
        <w:rPr>
          <w:rFonts w:ascii="Times New Roman" w:eastAsia="Times New Roman" w:hAnsi="Times New Roman" w:cs="Times New Roman"/>
          <w:sz w:val="24"/>
          <w:szCs w:val="24"/>
        </w:rPr>
        <w:t>iochar only</w:t>
      </w:r>
      <w:r w:rsidR="00486FC6">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 xml:space="preserve">4.38 × 10⁻² </w:t>
      </w:r>
      <w:proofErr w:type="spellStart"/>
      <w:r w:rsidRPr="00E9627F">
        <w:rPr>
          <w:rFonts w:ascii="Times New Roman" w:eastAsia="Times New Roman" w:hAnsi="Times New Roman" w:cs="Times New Roman"/>
          <w:sz w:val="24"/>
          <w:szCs w:val="24"/>
        </w:rPr>
        <w:t>dS</w:t>
      </w:r>
      <w:proofErr w:type="spellEnd"/>
      <w:r w:rsidRPr="00E9627F">
        <w:rPr>
          <w:rFonts w:ascii="Times New Roman" w:eastAsia="Times New Roman" w:hAnsi="Times New Roman" w:cs="Times New Roman"/>
          <w:sz w:val="24"/>
          <w:szCs w:val="24"/>
        </w:rPr>
        <w:t>/m</w:t>
      </w:r>
      <w:r w:rsidR="00486FC6">
        <w:rPr>
          <w:rFonts w:ascii="Times New Roman" w:eastAsia="Times New Roman" w:hAnsi="Times New Roman" w:cs="Times New Roman"/>
          <w:sz w:val="24"/>
          <w:szCs w:val="24"/>
        </w:rPr>
        <w:t>).</w:t>
      </w:r>
      <w:r w:rsidR="00486FC6" w:rsidRPr="00E9627F">
        <w:rPr>
          <w:rFonts w:ascii="Times New Roman" w:eastAsia="Times New Roman" w:hAnsi="Times New Roman" w:cs="Times New Roman"/>
          <w:sz w:val="24"/>
          <w:szCs w:val="24"/>
        </w:rPr>
        <w:t xml:space="preserve"> These</w:t>
      </w:r>
      <w:r w:rsidRPr="00E9627F">
        <w:rPr>
          <w:rFonts w:ascii="Times New Roman" w:eastAsia="Times New Roman" w:hAnsi="Times New Roman" w:cs="Times New Roman"/>
          <w:sz w:val="24"/>
          <w:szCs w:val="24"/>
        </w:rPr>
        <w:t xml:space="preserve"> increases in EC reflect improved soil nutrient status, which correlates positively with plant growth, biomass, and yield. This supports previous findings by Chathurika e</w:t>
      </w:r>
      <w:r w:rsidRPr="00603ABD">
        <w:rPr>
          <w:rFonts w:ascii="Times New Roman" w:eastAsia="Times New Roman" w:hAnsi="Times New Roman" w:cs="Times New Roman"/>
          <w:i/>
          <w:iCs/>
          <w:sz w:val="24"/>
          <w:szCs w:val="24"/>
        </w:rPr>
        <w:t>t al.</w:t>
      </w:r>
      <w:r w:rsidRPr="00E9627F">
        <w:rPr>
          <w:rFonts w:ascii="Times New Roman" w:eastAsia="Times New Roman" w:hAnsi="Times New Roman" w:cs="Times New Roman"/>
          <w:sz w:val="24"/>
          <w:szCs w:val="24"/>
        </w:rPr>
        <w:t xml:space="preserve"> (2016) and Shah </w:t>
      </w:r>
      <w:r w:rsidRPr="00603ABD">
        <w:rPr>
          <w:rFonts w:ascii="Times New Roman" w:eastAsia="Times New Roman" w:hAnsi="Times New Roman" w:cs="Times New Roman"/>
          <w:i/>
          <w:iCs/>
          <w:sz w:val="24"/>
          <w:szCs w:val="24"/>
        </w:rPr>
        <w:t>et al.</w:t>
      </w:r>
      <w:r w:rsidRPr="00E9627F">
        <w:rPr>
          <w:rFonts w:ascii="Times New Roman" w:eastAsia="Times New Roman" w:hAnsi="Times New Roman" w:cs="Times New Roman"/>
          <w:sz w:val="24"/>
          <w:szCs w:val="24"/>
        </w:rPr>
        <w:t xml:space="preserve"> (2017).</w:t>
      </w:r>
    </w:p>
    <w:p w14:paraId="499C4808" w14:textId="77777777" w:rsidR="0005487B" w:rsidRPr="00E9627F" w:rsidRDefault="0005487B" w:rsidP="0005487B">
      <w:pPr>
        <w:spacing w:after="0" w:line="240" w:lineRule="auto"/>
        <w:jc w:val="both"/>
        <w:rPr>
          <w:rFonts w:ascii="Times New Roman" w:eastAsia="Times New Roman" w:hAnsi="Times New Roman" w:cs="Times New Roman"/>
          <w:sz w:val="24"/>
          <w:szCs w:val="24"/>
        </w:rPr>
      </w:pPr>
    </w:p>
    <w:p w14:paraId="59EFBD8C" w14:textId="77777777" w:rsidR="00603ABD" w:rsidRDefault="00E9627F" w:rsidP="00603ABD">
      <w:pPr>
        <w:spacing w:after="0" w:line="240" w:lineRule="auto"/>
        <w:rPr>
          <w:rFonts w:ascii="Times New Roman" w:eastAsia="Times New Roman" w:hAnsi="Times New Roman" w:cs="Times New Roman"/>
          <w:sz w:val="24"/>
          <w:szCs w:val="24"/>
        </w:rPr>
      </w:pPr>
      <w:r w:rsidRPr="00E9627F">
        <w:rPr>
          <w:rFonts w:ascii="Times New Roman" w:eastAsia="Times New Roman" w:hAnsi="Times New Roman" w:cs="Times New Roman"/>
          <w:b/>
          <w:bCs/>
          <w:sz w:val="24"/>
          <w:szCs w:val="24"/>
        </w:rPr>
        <w:t>Macro and Micronutrients</w:t>
      </w:r>
    </w:p>
    <w:p w14:paraId="33B4D0B9" w14:textId="201883C3" w:rsidR="00E9627F" w:rsidRPr="00E9627F" w:rsidRDefault="00E9627F" w:rsidP="00603ABD">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sz w:val="24"/>
          <w:szCs w:val="24"/>
        </w:rPr>
        <w:t xml:space="preserve">Total nitrogen (TNC), potassium (K), phosphorus (P), calcium (Ca), and magnesium (Mg) levels were significantly enhanced by the amendments. The combined application of poultry manure and biochar showed the most pronounced improvement in nutrient availability, as detailed in Table </w:t>
      </w:r>
      <w:r w:rsidR="00603ABD">
        <w:rPr>
          <w:rFonts w:ascii="Times New Roman" w:eastAsia="Times New Roman" w:hAnsi="Times New Roman" w:cs="Times New Roman"/>
          <w:sz w:val="24"/>
          <w:szCs w:val="24"/>
        </w:rPr>
        <w:t>2</w:t>
      </w:r>
      <w:r w:rsidRPr="00E9627F">
        <w:rPr>
          <w:rFonts w:ascii="Times New Roman" w:eastAsia="Times New Roman" w:hAnsi="Times New Roman" w:cs="Times New Roman"/>
          <w:sz w:val="24"/>
          <w:szCs w:val="24"/>
        </w:rPr>
        <w:t>.</w:t>
      </w:r>
    </w:p>
    <w:p w14:paraId="48121179" w14:textId="77777777" w:rsidR="00E9627F" w:rsidRPr="004D058E" w:rsidRDefault="00E9627F" w:rsidP="00A07885">
      <w:pPr>
        <w:spacing w:after="0" w:line="240" w:lineRule="auto"/>
        <w:jc w:val="both"/>
        <w:rPr>
          <w:rFonts w:cs="Times New Roman"/>
          <w:szCs w:val="24"/>
        </w:rPr>
      </w:pPr>
    </w:p>
    <w:p w14:paraId="32DF5C2A" w14:textId="6274D56A" w:rsidR="00434058" w:rsidRPr="00F22437" w:rsidRDefault="00434058" w:rsidP="00F22437">
      <w:pPr>
        <w:pStyle w:val="Caption"/>
        <w:spacing w:after="0"/>
        <w:rPr>
          <w:rFonts w:cs="Times New Roman"/>
          <w:b w:val="0"/>
          <w:szCs w:val="24"/>
          <w:shd w:val="clear" w:color="auto" w:fill="FFFFFF"/>
        </w:rPr>
      </w:pPr>
      <w:bookmarkStart w:id="6" w:name="_Toc144459987"/>
      <w:r>
        <w:t xml:space="preserve">Table </w:t>
      </w:r>
      <w:r w:rsidR="00603ABD">
        <w:t>2</w:t>
      </w:r>
      <w:r>
        <w:rPr>
          <w:rFonts w:cs="Times New Roman"/>
          <w:bCs/>
          <w:szCs w:val="24"/>
        </w:rPr>
        <w:t xml:space="preserve">: </w:t>
      </w:r>
      <w:r w:rsidRPr="00F22437">
        <w:rPr>
          <w:rFonts w:cs="Times New Roman"/>
          <w:b w:val="0"/>
          <w:szCs w:val="24"/>
        </w:rPr>
        <w:t>Soil Chemical Properties of Experimental Site</w:t>
      </w:r>
      <w:bookmarkEnd w:id="6"/>
    </w:p>
    <w:tbl>
      <w:tblPr>
        <w:tblW w:w="9450" w:type="dxa"/>
        <w:tblLook w:val="04A0" w:firstRow="1" w:lastRow="0" w:firstColumn="1" w:lastColumn="0" w:noHBand="0" w:noVBand="1"/>
      </w:tblPr>
      <w:tblGrid>
        <w:gridCol w:w="1699"/>
        <w:gridCol w:w="1635"/>
        <w:gridCol w:w="1592"/>
        <w:gridCol w:w="1420"/>
        <w:gridCol w:w="1491"/>
        <w:gridCol w:w="1613"/>
      </w:tblGrid>
      <w:tr w:rsidR="00434058" w:rsidRPr="00434058" w14:paraId="02DCF8E1" w14:textId="77777777" w:rsidTr="00603ABD">
        <w:trPr>
          <w:trHeight w:val="395"/>
        </w:trPr>
        <w:tc>
          <w:tcPr>
            <w:tcW w:w="1792" w:type="dxa"/>
            <w:tcBorders>
              <w:top w:val="single" w:sz="4" w:space="0" w:color="auto"/>
              <w:bottom w:val="single" w:sz="4" w:space="0" w:color="auto"/>
            </w:tcBorders>
            <w:vAlign w:val="center"/>
            <w:hideMark/>
          </w:tcPr>
          <w:p w14:paraId="3DDF8BDA" w14:textId="77777777" w:rsidR="00434058" w:rsidRPr="003513EF" w:rsidRDefault="00434058"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lastRenderedPageBreak/>
              <w:t xml:space="preserve">Soil Sample </w:t>
            </w:r>
          </w:p>
        </w:tc>
        <w:tc>
          <w:tcPr>
            <w:tcW w:w="1808" w:type="dxa"/>
            <w:tcBorders>
              <w:top w:val="single" w:sz="4" w:space="0" w:color="auto"/>
              <w:bottom w:val="single" w:sz="4" w:space="0" w:color="auto"/>
            </w:tcBorders>
            <w:hideMark/>
          </w:tcPr>
          <w:p w14:paraId="440506CF" w14:textId="15966462" w:rsidR="00434058" w:rsidRPr="003513EF" w:rsidRDefault="00434058" w:rsidP="001B70F7">
            <w:pPr>
              <w:spacing w:after="0" w:line="240" w:lineRule="auto"/>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Total nitrogen content</w:t>
            </w:r>
            <w:r w:rsidR="003513EF" w:rsidRPr="003513EF">
              <w:rPr>
                <w:rFonts w:ascii="Times New Roman" w:eastAsia="Times New Roman" w:hAnsi="Times New Roman" w:cs="Times New Roman"/>
                <w:b/>
                <w:bCs/>
                <w:color w:val="000000"/>
              </w:rPr>
              <w:t>, N</w:t>
            </w:r>
            <w:r w:rsidRPr="003513EF">
              <w:rPr>
                <w:rFonts w:ascii="Times New Roman" w:eastAsia="Times New Roman" w:hAnsi="Times New Roman" w:cs="Times New Roman"/>
                <w:b/>
                <w:bCs/>
                <w:color w:val="000000"/>
              </w:rPr>
              <w:t xml:space="preserve"> (%)</w:t>
            </w:r>
          </w:p>
        </w:tc>
        <w:tc>
          <w:tcPr>
            <w:tcW w:w="1691" w:type="dxa"/>
            <w:tcBorders>
              <w:top w:val="single" w:sz="4" w:space="0" w:color="auto"/>
              <w:bottom w:val="single" w:sz="4" w:space="0" w:color="auto"/>
            </w:tcBorders>
            <w:hideMark/>
          </w:tcPr>
          <w:p w14:paraId="0FE2FA29" w14:textId="0798B95B" w:rsidR="00434058" w:rsidRPr="003513EF" w:rsidRDefault="00434058"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Potassium</w:t>
            </w:r>
            <w:r w:rsidR="003513EF" w:rsidRPr="003513EF">
              <w:rPr>
                <w:rFonts w:ascii="Times New Roman" w:eastAsia="Times New Roman" w:hAnsi="Times New Roman" w:cs="Times New Roman"/>
                <w:b/>
                <w:bCs/>
                <w:color w:val="000000"/>
              </w:rPr>
              <w:t xml:space="preserve">, K </w:t>
            </w:r>
            <w:r w:rsidRPr="003513EF">
              <w:rPr>
                <w:rFonts w:ascii="Times New Roman" w:eastAsia="Times New Roman" w:hAnsi="Times New Roman" w:cs="Times New Roman"/>
                <w:b/>
                <w:bCs/>
                <w:color w:val="000000"/>
              </w:rPr>
              <w:t>(mg/kg)</w:t>
            </w:r>
          </w:p>
        </w:tc>
        <w:tc>
          <w:tcPr>
            <w:tcW w:w="1430" w:type="dxa"/>
            <w:tcBorders>
              <w:top w:val="single" w:sz="4" w:space="0" w:color="auto"/>
              <w:bottom w:val="single" w:sz="4" w:space="0" w:color="auto"/>
            </w:tcBorders>
            <w:hideMark/>
          </w:tcPr>
          <w:p w14:paraId="11A3AAE6" w14:textId="7268752A" w:rsidR="00434058" w:rsidRPr="003513EF" w:rsidRDefault="00434058" w:rsidP="001B70F7">
            <w:pPr>
              <w:spacing w:after="0" w:line="240" w:lineRule="auto"/>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Phosphorus</w:t>
            </w:r>
            <w:r w:rsidR="003513EF" w:rsidRPr="003513EF">
              <w:rPr>
                <w:rFonts w:ascii="Times New Roman" w:eastAsia="Times New Roman" w:hAnsi="Times New Roman" w:cs="Times New Roman"/>
                <w:b/>
                <w:bCs/>
                <w:color w:val="000000"/>
              </w:rPr>
              <w:t>, P</w:t>
            </w:r>
            <w:r w:rsidRPr="003513EF">
              <w:rPr>
                <w:rFonts w:ascii="Times New Roman" w:eastAsia="Times New Roman" w:hAnsi="Times New Roman" w:cs="Times New Roman"/>
                <w:b/>
                <w:bCs/>
                <w:color w:val="000000"/>
              </w:rPr>
              <w:t>(mg/kg)</w:t>
            </w:r>
          </w:p>
        </w:tc>
        <w:tc>
          <w:tcPr>
            <w:tcW w:w="1313" w:type="dxa"/>
            <w:tcBorders>
              <w:top w:val="single" w:sz="4" w:space="0" w:color="auto"/>
              <w:bottom w:val="single" w:sz="4" w:space="0" w:color="auto"/>
            </w:tcBorders>
            <w:hideMark/>
          </w:tcPr>
          <w:p w14:paraId="4EDFEF47" w14:textId="7B56B5C8" w:rsidR="00434058" w:rsidRPr="003513EF" w:rsidRDefault="003513EF"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 xml:space="preserve">Calcium, </w:t>
            </w:r>
            <w:proofErr w:type="gramStart"/>
            <w:r w:rsidRPr="003513EF">
              <w:rPr>
                <w:rFonts w:ascii="Times New Roman" w:eastAsia="Times New Roman" w:hAnsi="Times New Roman" w:cs="Times New Roman"/>
                <w:b/>
                <w:bCs/>
                <w:color w:val="000000"/>
              </w:rPr>
              <w:t>Ca</w:t>
            </w:r>
            <w:r w:rsidR="00434058" w:rsidRPr="003513EF">
              <w:rPr>
                <w:rFonts w:ascii="Times New Roman" w:eastAsia="Times New Roman" w:hAnsi="Times New Roman" w:cs="Times New Roman"/>
                <w:b/>
                <w:bCs/>
                <w:color w:val="000000"/>
              </w:rPr>
              <w:t>(</w:t>
            </w:r>
            <w:proofErr w:type="spellStart"/>
            <w:proofErr w:type="gramEnd"/>
            <w:r w:rsidR="00434058" w:rsidRPr="003513EF">
              <w:rPr>
                <w:rFonts w:ascii="Times New Roman" w:eastAsia="Times New Roman" w:hAnsi="Times New Roman" w:cs="Times New Roman"/>
                <w:b/>
                <w:bCs/>
                <w:color w:val="000000"/>
              </w:rPr>
              <w:t>Cmol</w:t>
            </w:r>
            <w:proofErr w:type="spellEnd"/>
            <w:r w:rsidR="00434058" w:rsidRPr="003513EF">
              <w:rPr>
                <w:rFonts w:ascii="Times New Roman" w:eastAsia="Times New Roman" w:hAnsi="Times New Roman" w:cs="Times New Roman"/>
                <w:b/>
                <w:bCs/>
                <w:color w:val="000000"/>
              </w:rPr>
              <w:t>+/kg</w:t>
            </w:r>
          </w:p>
        </w:tc>
        <w:tc>
          <w:tcPr>
            <w:tcW w:w="1416" w:type="dxa"/>
            <w:tcBorders>
              <w:top w:val="single" w:sz="4" w:space="0" w:color="auto"/>
              <w:bottom w:val="single" w:sz="4" w:space="0" w:color="auto"/>
            </w:tcBorders>
            <w:hideMark/>
          </w:tcPr>
          <w:p w14:paraId="7FEB59B2" w14:textId="5D908BFB" w:rsidR="00434058" w:rsidRPr="003513EF" w:rsidRDefault="00434058"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Magnesium</w:t>
            </w:r>
            <w:r w:rsidR="003513EF" w:rsidRPr="003513EF">
              <w:rPr>
                <w:rFonts w:ascii="Times New Roman" w:eastAsia="Times New Roman" w:hAnsi="Times New Roman" w:cs="Times New Roman"/>
                <w:b/>
                <w:bCs/>
                <w:color w:val="000000"/>
              </w:rPr>
              <w:t xml:space="preserve">, </w:t>
            </w:r>
            <w:proofErr w:type="gramStart"/>
            <w:r w:rsidR="003513EF" w:rsidRPr="003513EF">
              <w:rPr>
                <w:rFonts w:ascii="Times New Roman" w:eastAsia="Times New Roman" w:hAnsi="Times New Roman" w:cs="Times New Roman"/>
                <w:b/>
                <w:bCs/>
                <w:color w:val="000000"/>
              </w:rPr>
              <w:t>Mg</w:t>
            </w:r>
            <w:r w:rsidRPr="003513EF">
              <w:rPr>
                <w:rFonts w:ascii="Times New Roman" w:eastAsia="Times New Roman" w:hAnsi="Times New Roman" w:cs="Times New Roman"/>
                <w:b/>
                <w:bCs/>
                <w:color w:val="000000"/>
              </w:rPr>
              <w:t>(</w:t>
            </w:r>
            <w:proofErr w:type="spellStart"/>
            <w:proofErr w:type="gramEnd"/>
            <w:r w:rsidRPr="003513EF">
              <w:rPr>
                <w:rFonts w:ascii="Times New Roman" w:eastAsia="Times New Roman" w:hAnsi="Times New Roman" w:cs="Times New Roman"/>
                <w:b/>
                <w:bCs/>
                <w:color w:val="000000"/>
              </w:rPr>
              <w:t>Cmol</w:t>
            </w:r>
            <w:proofErr w:type="spellEnd"/>
            <w:r w:rsidRPr="003513EF">
              <w:rPr>
                <w:rFonts w:ascii="Times New Roman" w:eastAsia="Times New Roman" w:hAnsi="Times New Roman" w:cs="Times New Roman"/>
                <w:b/>
                <w:bCs/>
                <w:color w:val="000000"/>
              </w:rPr>
              <w:t>+/kg)</w:t>
            </w:r>
          </w:p>
        </w:tc>
      </w:tr>
      <w:tr w:rsidR="00434058" w:rsidRPr="00434058" w14:paraId="0BE3A5A7" w14:textId="77777777" w:rsidTr="00603ABD">
        <w:trPr>
          <w:trHeight w:val="588"/>
        </w:trPr>
        <w:tc>
          <w:tcPr>
            <w:tcW w:w="1792" w:type="dxa"/>
            <w:tcBorders>
              <w:top w:val="single" w:sz="4" w:space="0" w:color="auto"/>
            </w:tcBorders>
            <w:vAlign w:val="center"/>
            <w:hideMark/>
          </w:tcPr>
          <w:p w14:paraId="724482E9" w14:textId="77777777" w:rsidR="00434058" w:rsidRPr="003513EF" w:rsidRDefault="00434058" w:rsidP="001B70F7">
            <w:pPr>
              <w:spacing w:after="0" w:line="240" w:lineRule="auto"/>
              <w:rPr>
                <w:rFonts w:ascii="Times New Roman" w:eastAsia="Times New Roman" w:hAnsi="Times New Roman" w:cs="Times New Roman"/>
                <w:color w:val="000000"/>
              </w:rPr>
            </w:pPr>
            <w:r w:rsidRPr="003513EF">
              <w:rPr>
                <w:rFonts w:ascii="Times New Roman" w:eastAsia="Times New Roman" w:hAnsi="Times New Roman" w:cs="Times New Roman"/>
                <w:color w:val="000000"/>
              </w:rPr>
              <w:t>Soil Before amendment</w:t>
            </w:r>
          </w:p>
        </w:tc>
        <w:tc>
          <w:tcPr>
            <w:tcW w:w="1808" w:type="dxa"/>
            <w:tcBorders>
              <w:top w:val="single" w:sz="4" w:space="0" w:color="auto"/>
            </w:tcBorders>
            <w:vAlign w:val="center"/>
            <w:hideMark/>
          </w:tcPr>
          <w:p w14:paraId="495F272C"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0.045</w:t>
            </w:r>
          </w:p>
        </w:tc>
        <w:tc>
          <w:tcPr>
            <w:tcW w:w="1691" w:type="dxa"/>
            <w:tcBorders>
              <w:top w:val="single" w:sz="4" w:space="0" w:color="auto"/>
            </w:tcBorders>
            <w:vAlign w:val="center"/>
            <w:hideMark/>
          </w:tcPr>
          <w:p w14:paraId="626E9D92"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1.28</w:t>
            </w:r>
          </w:p>
        </w:tc>
        <w:tc>
          <w:tcPr>
            <w:tcW w:w="1430" w:type="dxa"/>
            <w:tcBorders>
              <w:top w:val="single" w:sz="4" w:space="0" w:color="auto"/>
            </w:tcBorders>
            <w:vAlign w:val="center"/>
            <w:hideMark/>
          </w:tcPr>
          <w:p w14:paraId="489FDB0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42</w:t>
            </w:r>
          </w:p>
        </w:tc>
        <w:tc>
          <w:tcPr>
            <w:tcW w:w="1313" w:type="dxa"/>
            <w:tcBorders>
              <w:top w:val="single" w:sz="4" w:space="0" w:color="auto"/>
            </w:tcBorders>
            <w:vAlign w:val="center"/>
            <w:hideMark/>
          </w:tcPr>
          <w:p w14:paraId="37A29873"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3.5</w:t>
            </w:r>
          </w:p>
        </w:tc>
        <w:tc>
          <w:tcPr>
            <w:tcW w:w="1416" w:type="dxa"/>
            <w:tcBorders>
              <w:top w:val="single" w:sz="4" w:space="0" w:color="auto"/>
            </w:tcBorders>
            <w:vAlign w:val="center"/>
            <w:hideMark/>
          </w:tcPr>
          <w:p w14:paraId="73BF45BF"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0.4</w:t>
            </w:r>
          </w:p>
        </w:tc>
      </w:tr>
      <w:tr w:rsidR="00434058" w:rsidRPr="00434058" w14:paraId="3DC0642D" w14:textId="77777777" w:rsidTr="00603ABD">
        <w:trPr>
          <w:trHeight w:val="848"/>
        </w:trPr>
        <w:tc>
          <w:tcPr>
            <w:tcW w:w="1792" w:type="dxa"/>
            <w:vAlign w:val="center"/>
            <w:hideMark/>
          </w:tcPr>
          <w:p w14:paraId="3756B57C" w14:textId="77777777" w:rsidR="00434058" w:rsidRPr="003513EF" w:rsidRDefault="00434058" w:rsidP="001B70F7">
            <w:pPr>
              <w:spacing w:after="0" w:line="240" w:lineRule="auto"/>
              <w:rPr>
                <w:rFonts w:ascii="Times New Roman" w:eastAsia="Times New Roman" w:hAnsi="Times New Roman" w:cs="Times New Roman"/>
                <w:color w:val="000000"/>
              </w:rPr>
            </w:pPr>
            <w:r w:rsidRPr="003513EF">
              <w:rPr>
                <w:rFonts w:ascii="Times New Roman" w:eastAsia="Times New Roman" w:hAnsi="Times New Roman" w:cs="Times New Roman"/>
                <w:color w:val="000000"/>
              </w:rPr>
              <w:t>Combination of Poultry manure and Biochar</w:t>
            </w:r>
          </w:p>
        </w:tc>
        <w:tc>
          <w:tcPr>
            <w:tcW w:w="1808" w:type="dxa"/>
            <w:vAlign w:val="center"/>
            <w:hideMark/>
          </w:tcPr>
          <w:p w14:paraId="147D2A45"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1.28</w:t>
            </w:r>
          </w:p>
        </w:tc>
        <w:tc>
          <w:tcPr>
            <w:tcW w:w="1691" w:type="dxa"/>
            <w:vAlign w:val="center"/>
            <w:hideMark/>
          </w:tcPr>
          <w:p w14:paraId="20CB52D7"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4.72</w:t>
            </w:r>
          </w:p>
        </w:tc>
        <w:tc>
          <w:tcPr>
            <w:tcW w:w="1430" w:type="dxa"/>
            <w:vAlign w:val="center"/>
            <w:hideMark/>
          </w:tcPr>
          <w:p w14:paraId="3335B74E"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79</w:t>
            </w:r>
          </w:p>
        </w:tc>
        <w:tc>
          <w:tcPr>
            <w:tcW w:w="1313" w:type="dxa"/>
            <w:vAlign w:val="center"/>
            <w:hideMark/>
          </w:tcPr>
          <w:p w14:paraId="2EC603D4"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7.2</w:t>
            </w:r>
          </w:p>
        </w:tc>
        <w:tc>
          <w:tcPr>
            <w:tcW w:w="1416" w:type="dxa"/>
            <w:vAlign w:val="center"/>
            <w:hideMark/>
          </w:tcPr>
          <w:p w14:paraId="7D8DA35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2.2</w:t>
            </w:r>
          </w:p>
        </w:tc>
      </w:tr>
      <w:tr w:rsidR="00434058" w:rsidRPr="00434058" w14:paraId="307D4373" w14:textId="77777777" w:rsidTr="00603ABD">
        <w:trPr>
          <w:trHeight w:val="435"/>
        </w:trPr>
        <w:tc>
          <w:tcPr>
            <w:tcW w:w="1792" w:type="dxa"/>
            <w:vAlign w:val="center"/>
            <w:hideMark/>
          </w:tcPr>
          <w:p w14:paraId="18CFD9E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Biochar only</w:t>
            </w:r>
          </w:p>
        </w:tc>
        <w:tc>
          <w:tcPr>
            <w:tcW w:w="1808" w:type="dxa"/>
            <w:vAlign w:val="center"/>
            <w:hideMark/>
          </w:tcPr>
          <w:p w14:paraId="78E75EA9"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0.63</w:t>
            </w:r>
          </w:p>
        </w:tc>
        <w:tc>
          <w:tcPr>
            <w:tcW w:w="1691" w:type="dxa"/>
            <w:vAlign w:val="center"/>
            <w:hideMark/>
          </w:tcPr>
          <w:p w14:paraId="5F27813D"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3.59</w:t>
            </w:r>
          </w:p>
        </w:tc>
        <w:tc>
          <w:tcPr>
            <w:tcW w:w="1430" w:type="dxa"/>
            <w:vAlign w:val="center"/>
            <w:hideMark/>
          </w:tcPr>
          <w:p w14:paraId="0995E724"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62</w:t>
            </w:r>
          </w:p>
        </w:tc>
        <w:tc>
          <w:tcPr>
            <w:tcW w:w="1313" w:type="dxa"/>
            <w:vAlign w:val="center"/>
            <w:hideMark/>
          </w:tcPr>
          <w:p w14:paraId="56D10BB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5.8</w:t>
            </w:r>
          </w:p>
        </w:tc>
        <w:tc>
          <w:tcPr>
            <w:tcW w:w="1416" w:type="dxa"/>
            <w:vAlign w:val="center"/>
            <w:hideMark/>
          </w:tcPr>
          <w:p w14:paraId="2CBB822A"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1.6</w:t>
            </w:r>
          </w:p>
        </w:tc>
      </w:tr>
      <w:tr w:rsidR="00434058" w:rsidRPr="00434058" w14:paraId="63C5C11B" w14:textId="77777777" w:rsidTr="00603ABD">
        <w:trPr>
          <w:trHeight w:val="702"/>
        </w:trPr>
        <w:tc>
          <w:tcPr>
            <w:tcW w:w="1792" w:type="dxa"/>
            <w:tcBorders>
              <w:bottom w:val="single" w:sz="4" w:space="0" w:color="auto"/>
            </w:tcBorders>
            <w:vAlign w:val="center"/>
            <w:hideMark/>
          </w:tcPr>
          <w:p w14:paraId="50916379" w14:textId="77777777" w:rsidR="00434058" w:rsidRPr="003513EF" w:rsidRDefault="00434058" w:rsidP="001B70F7">
            <w:pPr>
              <w:spacing w:after="0" w:line="240" w:lineRule="auto"/>
              <w:rPr>
                <w:rFonts w:ascii="Times New Roman" w:eastAsia="Times New Roman" w:hAnsi="Times New Roman" w:cs="Times New Roman"/>
                <w:color w:val="000000"/>
              </w:rPr>
            </w:pPr>
            <w:r w:rsidRPr="003513EF">
              <w:rPr>
                <w:rFonts w:ascii="Times New Roman" w:eastAsia="Times New Roman" w:hAnsi="Times New Roman" w:cs="Times New Roman"/>
                <w:color w:val="000000"/>
              </w:rPr>
              <w:t>Poultry Manure only</w:t>
            </w:r>
          </w:p>
        </w:tc>
        <w:tc>
          <w:tcPr>
            <w:tcW w:w="1808" w:type="dxa"/>
            <w:tcBorders>
              <w:bottom w:val="single" w:sz="4" w:space="0" w:color="auto"/>
            </w:tcBorders>
            <w:vAlign w:val="center"/>
            <w:hideMark/>
          </w:tcPr>
          <w:p w14:paraId="74A20AD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0.86</w:t>
            </w:r>
          </w:p>
        </w:tc>
        <w:tc>
          <w:tcPr>
            <w:tcW w:w="1691" w:type="dxa"/>
            <w:tcBorders>
              <w:bottom w:val="single" w:sz="4" w:space="0" w:color="auto"/>
            </w:tcBorders>
            <w:vAlign w:val="center"/>
            <w:hideMark/>
          </w:tcPr>
          <w:p w14:paraId="07870445"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3.06</w:t>
            </w:r>
          </w:p>
        </w:tc>
        <w:tc>
          <w:tcPr>
            <w:tcW w:w="1430" w:type="dxa"/>
            <w:tcBorders>
              <w:bottom w:val="single" w:sz="4" w:space="0" w:color="auto"/>
            </w:tcBorders>
            <w:vAlign w:val="center"/>
            <w:hideMark/>
          </w:tcPr>
          <w:p w14:paraId="61BB9206"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65</w:t>
            </w:r>
          </w:p>
        </w:tc>
        <w:tc>
          <w:tcPr>
            <w:tcW w:w="1313" w:type="dxa"/>
            <w:tcBorders>
              <w:bottom w:val="single" w:sz="4" w:space="0" w:color="auto"/>
            </w:tcBorders>
            <w:vAlign w:val="center"/>
            <w:hideMark/>
          </w:tcPr>
          <w:p w14:paraId="73DDCA8A"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6</w:t>
            </w:r>
          </w:p>
        </w:tc>
        <w:tc>
          <w:tcPr>
            <w:tcW w:w="1416" w:type="dxa"/>
            <w:tcBorders>
              <w:bottom w:val="single" w:sz="4" w:space="0" w:color="auto"/>
            </w:tcBorders>
            <w:vAlign w:val="center"/>
            <w:hideMark/>
          </w:tcPr>
          <w:p w14:paraId="1EB01296"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1.8</w:t>
            </w:r>
          </w:p>
        </w:tc>
      </w:tr>
    </w:tbl>
    <w:p w14:paraId="661A7406" w14:textId="5D678DD4" w:rsidR="00222C48" w:rsidRPr="00222C48" w:rsidRDefault="00222C48" w:rsidP="00B63660">
      <w:pPr>
        <w:spacing w:before="100" w:beforeAutospacing="1" w:after="100" w:afterAutospacing="1" w:line="240" w:lineRule="auto"/>
        <w:jc w:val="both"/>
        <w:rPr>
          <w:rFonts w:ascii="Times New Roman" w:eastAsia="Times New Roman" w:hAnsi="Times New Roman" w:cs="Times New Roman"/>
          <w:sz w:val="24"/>
          <w:szCs w:val="24"/>
        </w:rPr>
      </w:pPr>
      <w:r w:rsidRPr="00222C48">
        <w:rPr>
          <w:rFonts w:ascii="Times New Roman" w:eastAsia="Times New Roman" w:hAnsi="Times New Roman" w:cs="Times New Roman"/>
          <w:sz w:val="24"/>
          <w:szCs w:val="24"/>
        </w:rPr>
        <w:t xml:space="preserve">The combination of biochar and poultry manure significantly improved soil chemical properties compared to unamended soil. These findings are consistent with those of Carmo </w:t>
      </w:r>
      <w:r w:rsidRPr="00222C48">
        <w:rPr>
          <w:rFonts w:ascii="Times New Roman" w:eastAsia="Times New Roman" w:hAnsi="Times New Roman" w:cs="Times New Roman"/>
          <w:i/>
          <w:iCs/>
          <w:sz w:val="24"/>
          <w:szCs w:val="24"/>
        </w:rPr>
        <w:t>et al.</w:t>
      </w:r>
      <w:r w:rsidRPr="00222C48">
        <w:rPr>
          <w:rFonts w:ascii="Times New Roman" w:eastAsia="Times New Roman" w:hAnsi="Times New Roman" w:cs="Times New Roman"/>
          <w:sz w:val="24"/>
          <w:szCs w:val="24"/>
        </w:rPr>
        <w:t xml:space="preserve"> (2016), who reported that the concentrations of ions such as F⁻, Cl⁻, NO₃⁻, Br⁻, SO₄²⁻, Mg²⁺, Ca²⁺, and Na⁺ are strongly correlated with electrical conductivity (EC), particularly in soils with higher clay and organic matter content. Similarly, Neina (2019) noted that soil biochemical properties are influenced by both pH and EC, which in turn affect plant growth and biomass yield due to the availability of essential cations such as Ca²⁺, Mg²⁺, and Na⁺.</w:t>
      </w:r>
    </w:p>
    <w:p w14:paraId="5B6E63A0" w14:textId="77024E0F" w:rsidR="00BA762E" w:rsidRPr="0051357A" w:rsidRDefault="0051357A" w:rsidP="0051357A">
      <w:pPr>
        <w:spacing w:after="0" w:line="240" w:lineRule="auto"/>
        <w:jc w:val="both"/>
        <w:rPr>
          <w:rFonts w:ascii="Times New Roman" w:hAnsi="Times New Roman" w:cs="Times New Roman"/>
          <w:b/>
          <w:bCs/>
          <w:sz w:val="24"/>
          <w:szCs w:val="24"/>
        </w:rPr>
      </w:pPr>
      <w:r w:rsidRPr="0051357A">
        <w:rPr>
          <w:rFonts w:ascii="Times New Roman" w:hAnsi="Times New Roman" w:cs="Times New Roman"/>
          <w:b/>
          <w:bCs/>
          <w:sz w:val="24"/>
          <w:szCs w:val="24"/>
        </w:rPr>
        <w:t xml:space="preserve">Effect </w:t>
      </w:r>
      <w:r w:rsidR="00F22437">
        <w:rPr>
          <w:rFonts w:ascii="Times New Roman" w:hAnsi="Times New Roman" w:cs="Times New Roman"/>
          <w:b/>
          <w:bCs/>
          <w:sz w:val="24"/>
          <w:szCs w:val="24"/>
        </w:rPr>
        <w:t>o</w:t>
      </w:r>
      <w:r w:rsidRPr="0051357A">
        <w:rPr>
          <w:rFonts w:ascii="Times New Roman" w:hAnsi="Times New Roman" w:cs="Times New Roman"/>
          <w:b/>
          <w:bCs/>
          <w:sz w:val="24"/>
          <w:szCs w:val="24"/>
        </w:rPr>
        <w:t xml:space="preserve">f Irrigation Regimes </w:t>
      </w:r>
      <w:r>
        <w:rPr>
          <w:rFonts w:ascii="Times New Roman" w:hAnsi="Times New Roman" w:cs="Times New Roman"/>
          <w:b/>
          <w:bCs/>
          <w:sz w:val="24"/>
          <w:szCs w:val="24"/>
        </w:rPr>
        <w:t>a</w:t>
      </w:r>
      <w:r w:rsidRPr="0051357A">
        <w:rPr>
          <w:rFonts w:ascii="Times New Roman" w:hAnsi="Times New Roman" w:cs="Times New Roman"/>
          <w:b/>
          <w:bCs/>
          <w:sz w:val="24"/>
          <w:szCs w:val="24"/>
        </w:rPr>
        <w:t xml:space="preserve">nd Organic Amendment </w:t>
      </w:r>
      <w:r>
        <w:rPr>
          <w:rFonts w:ascii="Times New Roman" w:hAnsi="Times New Roman" w:cs="Times New Roman"/>
          <w:b/>
          <w:bCs/>
          <w:sz w:val="24"/>
          <w:szCs w:val="24"/>
        </w:rPr>
        <w:t>o</w:t>
      </w:r>
      <w:r w:rsidRPr="0051357A">
        <w:rPr>
          <w:rFonts w:ascii="Times New Roman" w:hAnsi="Times New Roman" w:cs="Times New Roman"/>
          <w:b/>
          <w:bCs/>
          <w:sz w:val="24"/>
          <w:szCs w:val="24"/>
        </w:rPr>
        <w:t>n Stem Diameter</w:t>
      </w:r>
      <w:r>
        <w:rPr>
          <w:rFonts w:ascii="Times New Roman" w:hAnsi="Times New Roman" w:cs="Times New Roman"/>
          <w:b/>
          <w:bCs/>
          <w:sz w:val="24"/>
          <w:szCs w:val="24"/>
        </w:rPr>
        <w:t xml:space="preserve"> (Girth)</w:t>
      </w:r>
    </w:p>
    <w:p w14:paraId="7F59E302" w14:textId="2686499C" w:rsidR="0051357A" w:rsidRPr="0051357A" w:rsidRDefault="0051357A" w:rsidP="0051357A">
      <w:pPr>
        <w:spacing w:after="0"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Analysis of variance (ANOVA) revealed that irrigation regimes had a significant effect on stem diameter at all stages of observation</w:t>
      </w:r>
      <w:r>
        <w:rPr>
          <w:rFonts w:ascii="Times New Roman" w:eastAsia="Times New Roman" w:hAnsi="Times New Roman" w:cs="Times New Roman"/>
          <w:sz w:val="24"/>
          <w:szCs w:val="24"/>
        </w:rPr>
        <w:t xml:space="preserve"> namely; </w:t>
      </w:r>
      <w:r w:rsidRPr="0051357A">
        <w:rPr>
          <w:rFonts w:ascii="Times New Roman" w:eastAsia="Times New Roman" w:hAnsi="Times New Roman" w:cs="Times New Roman"/>
          <w:sz w:val="24"/>
          <w:szCs w:val="24"/>
        </w:rPr>
        <w:t xml:space="preserve">2WAT (p &lt; 0.001), 4WAT (p &lt; 0.001), 6WAT (p &lt; 0.001), 8WAT (p &lt; 0.001), and 10WAT (p &lt; 0.001), as </w:t>
      </w:r>
      <w:r w:rsidR="00F22437">
        <w:rPr>
          <w:rFonts w:ascii="Times New Roman" w:eastAsia="Times New Roman" w:hAnsi="Times New Roman" w:cs="Times New Roman"/>
          <w:sz w:val="24"/>
          <w:szCs w:val="24"/>
        </w:rPr>
        <w:t>presented</w:t>
      </w:r>
      <w:r w:rsidRPr="0051357A">
        <w:rPr>
          <w:rFonts w:ascii="Times New Roman" w:eastAsia="Times New Roman" w:hAnsi="Times New Roman" w:cs="Times New Roman"/>
          <w:sz w:val="24"/>
          <w:szCs w:val="24"/>
        </w:rPr>
        <w:t xml:space="preserve"> in Figure </w:t>
      </w:r>
      <w:r w:rsidR="00F45918">
        <w:rPr>
          <w:rFonts w:ascii="Times New Roman" w:eastAsia="Times New Roman" w:hAnsi="Times New Roman" w:cs="Times New Roman"/>
          <w:sz w:val="24"/>
          <w:szCs w:val="24"/>
        </w:rPr>
        <w:t>3</w:t>
      </w:r>
      <w:r w:rsidRPr="0051357A">
        <w:rPr>
          <w:rFonts w:ascii="Times New Roman" w:eastAsia="Times New Roman" w:hAnsi="Times New Roman" w:cs="Times New Roman"/>
          <w:sz w:val="24"/>
          <w:szCs w:val="24"/>
        </w:rPr>
        <w:t>.</w:t>
      </w:r>
    </w:p>
    <w:p w14:paraId="3666CCD9" w14:textId="075989B7"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 xml:space="preserve">At 2WAT, the stem diameter of plants receiving 100% crop water requirement (CWR) (9.97 mm) was not significantly different from those under regulated deficit irrigation (70% CWR) (8.77 mm). However, it was significantly greater than plants under sustained deficit irrigation (70% CWR), which recorded a mean stem diameter of 5.86 mm. This trend persisted at 4, 6, and 8 </w:t>
      </w:r>
      <w:proofErr w:type="gramStart"/>
      <w:r w:rsidRPr="0051357A">
        <w:rPr>
          <w:rFonts w:ascii="Times New Roman" w:eastAsia="Times New Roman" w:hAnsi="Times New Roman" w:cs="Times New Roman"/>
          <w:sz w:val="24"/>
          <w:szCs w:val="24"/>
        </w:rPr>
        <w:t>WAT</w:t>
      </w:r>
      <w:proofErr w:type="gramEnd"/>
      <w:r w:rsidRPr="0051357A">
        <w:rPr>
          <w:rFonts w:ascii="Times New Roman" w:eastAsia="Times New Roman" w:hAnsi="Times New Roman" w:cs="Times New Roman"/>
          <w:sz w:val="24"/>
          <w:szCs w:val="24"/>
        </w:rPr>
        <w:t>, where full and regulated deficit irrigation maintained higher stem diameters compared to the sustained deficit treatment.</w:t>
      </w:r>
    </w:p>
    <w:p w14:paraId="20CD63E5" w14:textId="1104D97F"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By 10WAT (harvest), full irrigation resulted in the highest stem diameter (18.68 mm), followed by regulated deficit (13.75 mm), while the lowest value was observed under sustained deficit irrigation (10.67 mm). These results indicate that full irrigation consistently supported better stem development, while sustained deficit reduced stem vigor.</w:t>
      </w:r>
    </w:p>
    <w:p w14:paraId="027E117A" w14:textId="18712D42"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 xml:space="preserve">These findings are supported by Ali </w:t>
      </w:r>
      <w:r w:rsidRPr="0051357A">
        <w:rPr>
          <w:rFonts w:ascii="Times New Roman" w:eastAsia="Times New Roman" w:hAnsi="Times New Roman" w:cs="Times New Roman"/>
          <w:i/>
          <w:iCs/>
          <w:sz w:val="24"/>
          <w:szCs w:val="24"/>
        </w:rPr>
        <w:t>et al.</w:t>
      </w:r>
      <w:r w:rsidRPr="0051357A">
        <w:rPr>
          <w:rFonts w:ascii="Times New Roman" w:eastAsia="Times New Roman" w:hAnsi="Times New Roman" w:cs="Times New Roman"/>
          <w:sz w:val="24"/>
          <w:szCs w:val="24"/>
        </w:rPr>
        <w:t xml:space="preserve"> (2021), who reported that eggplant was highly sensitive to water deficits, with stem diameter and plant height negatively affected as the degree of water stress increased. Similarly, Darko </w:t>
      </w:r>
      <w:r w:rsidRPr="0051357A">
        <w:rPr>
          <w:rFonts w:ascii="Times New Roman" w:eastAsia="Times New Roman" w:hAnsi="Times New Roman" w:cs="Times New Roman"/>
          <w:i/>
          <w:iCs/>
          <w:sz w:val="24"/>
          <w:szCs w:val="24"/>
        </w:rPr>
        <w:t>et al</w:t>
      </w:r>
      <w:r w:rsidRPr="0051357A">
        <w:rPr>
          <w:rFonts w:ascii="Times New Roman" w:eastAsia="Times New Roman" w:hAnsi="Times New Roman" w:cs="Times New Roman"/>
          <w:sz w:val="24"/>
          <w:szCs w:val="24"/>
        </w:rPr>
        <w:t xml:space="preserve">. (2019) found that stem height and diameter of garden egg significantly decreased under 70% CWR compared to full irrigation. Ullah </w:t>
      </w:r>
      <w:r w:rsidRPr="0051357A">
        <w:rPr>
          <w:rFonts w:ascii="Times New Roman" w:eastAsia="Times New Roman" w:hAnsi="Times New Roman" w:cs="Times New Roman"/>
          <w:i/>
          <w:iCs/>
          <w:sz w:val="24"/>
          <w:szCs w:val="24"/>
        </w:rPr>
        <w:t>et al.</w:t>
      </w:r>
      <w:r w:rsidRPr="0051357A">
        <w:rPr>
          <w:rFonts w:ascii="Times New Roman" w:eastAsia="Times New Roman" w:hAnsi="Times New Roman" w:cs="Times New Roman"/>
          <w:sz w:val="24"/>
          <w:szCs w:val="24"/>
        </w:rPr>
        <w:t xml:space="preserve"> (2021) also reported that morphological traits of tomato</w:t>
      </w:r>
      <w:r w:rsidR="00F45918">
        <w:rPr>
          <w:rFonts w:ascii="Times New Roman" w:eastAsia="Times New Roman" w:hAnsi="Times New Roman" w:cs="Times New Roman"/>
          <w:sz w:val="24"/>
          <w:szCs w:val="24"/>
        </w:rPr>
        <w:t xml:space="preserve"> </w:t>
      </w:r>
      <w:r w:rsidRPr="0051357A">
        <w:rPr>
          <w:rFonts w:ascii="Times New Roman" w:eastAsia="Times New Roman" w:hAnsi="Times New Roman" w:cs="Times New Roman"/>
          <w:sz w:val="24"/>
          <w:szCs w:val="24"/>
        </w:rPr>
        <w:t>such as plant height, stem diameter, leaf area, chlorophyll content, and nitrogen uptake</w:t>
      </w:r>
      <w:r w:rsidR="00F45918">
        <w:rPr>
          <w:rFonts w:ascii="Times New Roman" w:eastAsia="Times New Roman" w:hAnsi="Times New Roman" w:cs="Times New Roman"/>
          <w:sz w:val="24"/>
          <w:szCs w:val="24"/>
        </w:rPr>
        <w:t xml:space="preserve"> </w:t>
      </w:r>
      <w:r w:rsidRPr="0051357A">
        <w:rPr>
          <w:rFonts w:ascii="Times New Roman" w:eastAsia="Times New Roman" w:hAnsi="Times New Roman" w:cs="Times New Roman"/>
          <w:sz w:val="24"/>
          <w:szCs w:val="24"/>
        </w:rPr>
        <w:t>declined significantly under deficit irrigation.</w:t>
      </w:r>
    </w:p>
    <w:p w14:paraId="39711B29" w14:textId="4540468B"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lastRenderedPageBreak/>
        <w:t>Organic amendments also had a significant impact on stem diameter from 2WAT to 10WAT, with the following p-values observed: 2WAT (p = 0.002), 4WAT (p = 0.006), 6WAT (p = 0.004), 8WAT (p &lt; 0.003), and 10WAT (p &lt; 0.001).</w:t>
      </w:r>
    </w:p>
    <w:p w14:paraId="6C5CEE9F" w14:textId="23816B90" w:rsidR="009C5333" w:rsidRPr="00997288" w:rsidRDefault="0051357A" w:rsidP="00997288">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At 2WAT, no significant differences were observed among the biochar and poultry manure combination (9.54 mm), poultry manure alone (8.75 mm), and biochar alone (8.08 mm). However, these treatments were all significantly different from the control (unamended soil), which recorded the lowest stem diameter (6.42 mm). This trend remained consistent at 4, 6, 8, and 10WAT, confirming the positive role of organic amendments in promoting stem growth and vigor.</w:t>
      </w:r>
    </w:p>
    <w:p w14:paraId="47B05DC7" w14:textId="7761E156" w:rsidR="00F178C4" w:rsidRDefault="00FD067C" w:rsidP="00FD067C">
      <w:pPr>
        <w:spacing w:after="0" w:line="240" w:lineRule="auto"/>
        <w:jc w:val="both"/>
        <w:rPr>
          <w:rFonts w:ascii="Times New Roman" w:hAnsi="Times New Roman" w:cs="Times New Roman"/>
          <w:b/>
          <w:bCs/>
          <w:sz w:val="24"/>
          <w:szCs w:val="24"/>
        </w:rPr>
      </w:pPr>
      <w:r>
        <w:rPr>
          <w:noProof/>
        </w:rPr>
        <w:drawing>
          <wp:inline distT="0" distB="0" distL="0" distR="0" wp14:anchorId="0F849792" wp14:editId="35566C3D">
            <wp:extent cx="5943600" cy="3133725"/>
            <wp:effectExtent l="0" t="0" r="0" b="0"/>
            <wp:docPr id="106" name="Chart 106">
              <a:extLst xmlns:a="http://schemas.openxmlformats.org/drawingml/2006/main">
                <a:ext uri="{FF2B5EF4-FFF2-40B4-BE49-F238E27FC236}">
                  <a16:creationId xmlns:a16="http://schemas.microsoft.com/office/drawing/2014/main" id="{40455B85-4519-43C2-8C5D-863AFB478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92B60" w14:textId="61B037A4" w:rsidR="003A2576" w:rsidRDefault="003A2576" w:rsidP="00327F82">
      <w:pPr>
        <w:pStyle w:val="Caption"/>
        <w:spacing w:after="0"/>
        <w:rPr>
          <w:rFonts w:cs="Times New Roman"/>
          <w:bCs/>
          <w:szCs w:val="24"/>
        </w:rPr>
      </w:pPr>
      <w:bookmarkStart w:id="7" w:name="_Toc144869121"/>
      <w:r>
        <w:t>Figure 3</w:t>
      </w:r>
      <w:r>
        <w:rPr>
          <w:rFonts w:cs="Times New Roman"/>
          <w:bCs/>
          <w:szCs w:val="24"/>
        </w:rPr>
        <w:t>:</w:t>
      </w:r>
      <w:r w:rsidRPr="00AE7607">
        <w:rPr>
          <w:rFonts w:cs="Times New Roman"/>
          <w:bCs/>
          <w:szCs w:val="24"/>
        </w:rPr>
        <w:t xml:space="preserve"> </w:t>
      </w:r>
      <w:r w:rsidRPr="00F22437">
        <w:rPr>
          <w:rFonts w:cs="Times New Roman"/>
          <w:b w:val="0"/>
          <w:szCs w:val="24"/>
        </w:rPr>
        <w:t>Effect of Irrigation Regimes on Stem Diameter of Garden Egg</w:t>
      </w:r>
      <w:bookmarkEnd w:id="7"/>
    </w:p>
    <w:p w14:paraId="010E8B78" w14:textId="77777777" w:rsidR="003A2576" w:rsidRDefault="003A2576" w:rsidP="00FD067C">
      <w:pPr>
        <w:spacing w:after="0" w:line="240" w:lineRule="auto"/>
        <w:jc w:val="both"/>
        <w:rPr>
          <w:rFonts w:ascii="Times New Roman" w:hAnsi="Times New Roman" w:cs="Times New Roman"/>
          <w:b/>
          <w:bCs/>
          <w:sz w:val="24"/>
          <w:szCs w:val="24"/>
        </w:rPr>
      </w:pPr>
    </w:p>
    <w:p w14:paraId="21625434" w14:textId="293FB5FD" w:rsidR="00FD067C" w:rsidRDefault="00FD067C" w:rsidP="00882A18">
      <w:pPr>
        <w:spacing w:after="0" w:line="240" w:lineRule="auto"/>
        <w:jc w:val="both"/>
        <w:rPr>
          <w:rFonts w:ascii="Times New Roman" w:hAnsi="Times New Roman" w:cs="Times New Roman"/>
          <w:b/>
          <w:bCs/>
          <w:sz w:val="24"/>
          <w:szCs w:val="24"/>
        </w:rPr>
      </w:pPr>
      <w:r>
        <w:rPr>
          <w:noProof/>
        </w:rPr>
        <w:lastRenderedPageBreak/>
        <w:drawing>
          <wp:inline distT="0" distB="0" distL="0" distR="0" wp14:anchorId="361BF4C0" wp14:editId="16576344">
            <wp:extent cx="5943600" cy="3762375"/>
            <wp:effectExtent l="0" t="0" r="9525" b="9525"/>
            <wp:docPr id="107" name="Chart 107">
              <a:extLst xmlns:a="http://schemas.openxmlformats.org/drawingml/2006/main">
                <a:ext uri="{FF2B5EF4-FFF2-40B4-BE49-F238E27FC236}">
                  <a16:creationId xmlns:a16="http://schemas.microsoft.com/office/drawing/2014/main" id="{B32BC83F-8391-4D74-A996-9B979BF2A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2D22B3" w14:textId="17783914" w:rsidR="003A2576" w:rsidRDefault="003A2576" w:rsidP="003A2576">
      <w:pPr>
        <w:pStyle w:val="Caption"/>
        <w:rPr>
          <w:rFonts w:cs="Times New Roman"/>
          <w:bCs/>
          <w:szCs w:val="24"/>
        </w:rPr>
      </w:pPr>
      <w:r>
        <w:t xml:space="preserve">Figure </w:t>
      </w:r>
      <w:r w:rsidR="00882A18">
        <w:t>4</w:t>
      </w:r>
      <w:r>
        <w:rPr>
          <w:rFonts w:cs="Times New Roman"/>
          <w:bCs/>
          <w:szCs w:val="24"/>
        </w:rPr>
        <w:t>:</w:t>
      </w:r>
      <w:r w:rsidRPr="00AE7607">
        <w:rPr>
          <w:rFonts w:cs="Times New Roman"/>
          <w:bCs/>
          <w:szCs w:val="24"/>
        </w:rPr>
        <w:t xml:space="preserve"> </w:t>
      </w:r>
      <w:r w:rsidRPr="00327F82">
        <w:rPr>
          <w:rFonts w:cs="Times New Roman"/>
          <w:b w:val="0"/>
          <w:szCs w:val="24"/>
        </w:rPr>
        <w:t xml:space="preserve">Effect of </w:t>
      </w:r>
      <w:r w:rsidR="00882A18" w:rsidRPr="00327F82">
        <w:rPr>
          <w:rFonts w:cs="Times New Roman"/>
          <w:b w:val="0"/>
          <w:szCs w:val="24"/>
        </w:rPr>
        <w:t>Organic Amendment</w:t>
      </w:r>
      <w:r w:rsidRPr="00327F82">
        <w:rPr>
          <w:rFonts w:cs="Times New Roman"/>
          <w:b w:val="0"/>
          <w:szCs w:val="24"/>
        </w:rPr>
        <w:t xml:space="preserve"> on Stem Diameter of Garden Egg</w:t>
      </w:r>
    </w:p>
    <w:p w14:paraId="1DC1B30E" w14:textId="29C5DDB1" w:rsidR="00CE796A" w:rsidRPr="00D86044" w:rsidRDefault="00115E62" w:rsidP="00561FF6">
      <w:pPr>
        <w:spacing w:after="0" w:line="240" w:lineRule="auto"/>
        <w:jc w:val="both"/>
        <w:rPr>
          <w:rFonts w:ascii="Times New Roman" w:hAnsi="Times New Roman" w:cs="Times New Roman"/>
          <w:b/>
          <w:bCs/>
          <w:szCs w:val="24"/>
        </w:rPr>
      </w:pPr>
      <w:bookmarkStart w:id="8" w:name="_Toc144459427"/>
      <w:r w:rsidRPr="00D86044">
        <w:rPr>
          <w:rFonts w:ascii="Times New Roman" w:hAnsi="Times New Roman" w:cs="Times New Roman"/>
          <w:b/>
          <w:bCs/>
          <w:sz w:val="24"/>
          <w:szCs w:val="24"/>
        </w:rPr>
        <w:t xml:space="preserve">Effect </w:t>
      </w:r>
      <w:r w:rsidR="00D86044">
        <w:rPr>
          <w:rFonts w:ascii="Times New Roman" w:hAnsi="Times New Roman" w:cs="Times New Roman"/>
          <w:b/>
          <w:bCs/>
          <w:sz w:val="24"/>
          <w:szCs w:val="24"/>
        </w:rPr>
        <w:t>o</w:t>
      </w:r>
      <w:r w:rsidR="00D86044" w:rsidRPr="00D86044">
        <w:rPr>
          <w:rFonts w:ascii="Times New Roman" w:hAnsi="Times New Roman" w:cs="Times New Roman"/>
          <w:b/>
          <w:bCs/>
          <w:sz w:val="24"/>
          <w:szCs w:val="24"/>
        </w:rPr>
        <w:t xml:space="preserve">f Irrigation Regimes </w:t>
      </w:r>
      <w:r w:rsidR="00D86044">
        <w:rPr>
          <w:rFonts w:ascii="Times New Roman" w:hAnsi="Times New Roman" w:cs="Times New Roman"/>
          <w:b/>
          <w:bCs/>
          <w:sz w:val="24"/>
          <w:szCs w:val="24"/>
        </w:rPr>
        <w:t>a</w:t>
      </w:r>
      <w:r w:rsidR="00D86044" w:rsidRPr="00D86044">
        <w:rPr>
          <w:rFonts w:ascii="Times New Roman" w:hAnsi="Times New Roman" w:cs="Times New Roman"/>
          <w:b/>
          <w:bCs/>
          <w:sz w:val="24"/>
          <w:szCs w:val="24"/>
        </w:rPr>
        <w:t>nd Organic Amendment</w:t>
      </w:r>
      <w:r w:rsidR="00D86044">
        <w:rPr>
          <w:rFonts w:ascii="Times New Roman" w:hAnsi="Times New Roman" w:cs="Times New Roman"/>
          <w:b/>
          <w:bCs/>
          <w:sz w:val="24"/>
          <w:szCs w:val="24"/>
        </w:rPr>
        <w:t>s</w:t>
      </w:r>
      <w:r w:rsidR="00D86044" w:rsidRPr="00D86044">
        <w:rPr>
          <w:rFonts w:ascii="Times New Roman" w:hAnsi="Times New Roman" w:cs="Times New Roman"/>
          <w:b/>
          <w:bCs/>
          <w:sz w:val="24"/>
          <w:szCs w:val="24"/>
        </w:rPr>
        <w:t xml:space="preserve"> </w:t>
      </w:r>
      <w:r w:rsidR="00D86044">
        <w:rPr>
          <w:rFonts w:ascii="Times New Roman" w:hAnsi="Times New Roman" w:cs="Times New Roman"/>
          <w:b/>
          <w:bCs/>
          <w:sz w:val="24"/>
          <w:szCs w:val="24"/>
        </w:rPr>
        <w:t>o</w:t>
      </w:r>
      <w:r w:rsidR="00D86044" w:rsidRPr="00D86044">
        <w:rPr>
          <w:rFonts w:ascii="Times New Roman" w:hAnsi="Times New Roman" w:cs="Times New Roman"/>
          <w:b/>
          <w:bCs/>
          <w:sz w:val="24"/>
          <w:szCs w:val="24"/>
        </w:rPr>
        <w:t>n</w:t>
      </w:r>
      <w:r w:rsidR="00D86044" w:rsidRPr="00D86044">
        <w:rPr>
          <w:rFonts w:ascii="Times New Roman" w:hAnsi="Times New Roman" w:cs="Times New Roman"/>
          <w:b/>
          <w:bCs/>
          <w:szCs w:val="24"/>
        </w:rPr>
        <w:t xml:space="preserve"> </w:t>
      </w:r>
      <w:r w:rsidRPr="00D86044">
        <w:rPr>
          <w:rFonts w:ascii="Times New Roman" w:hAnsi="Times New Roman" w:cs="Times New Roman"/>
          <w:b/>
          <w:bCs/>
          <w:szCs w:val="24"/>
        </w:rPr>
        <w:t>Plant Height</w:t>
      </w:r>
      <w:bookmarkEnd w:id="8"/>
    </w:p>
    <w:p w14:paraId="1C714811" w14:textId="3F406747" w:rsidR="00561FF6" w:rsidRPr="00561FF6" w:rsidRDefault="00561FF6" w:rsidP="00561FF6">
      <w:pPr>
        <w:spacing w:after="0" w:line="240" w:lineRule="auto"/>
        <w:jc w:val="both"/>
        <w:rPr>
          <w:rFonts w:ascii="Times New Roman" w:eastAsia="Times New Roman" w:hAnsi="Times New Roman" w:cs="Times New Roman"/>
          <w:sz w:val="24"/>
          <w:szCs w:val="24"/>
        </w:rPr>
      </w:pPr>
      <w:r w:rsidRPr="00561FF6">
        <w:rPr>
          <w:rFonts w:ascii="Times New Roman" w:eastAsia="Times New Roman" w:hAnsi="Times New Roman" w:cs="Times New Roman"/>
          <w:sz w:val="24"/>
          <w:szCs w:val="24"/>
        </w:rPr>
        <w:t xml:space="preserve">There was a statistically significant effect of irrigation regime on plant height at 2WAT (Weeks After Transplanting) (p &lt; 0.001), 4WAT (p &lt; 0.001), 6WAT (p &lt; 0.001), 8WAT (p &lt; 0.001), and 10WAT (p &lt; 0.001), as </w:t>
      </w:r>
      <w:r w:rsidR="002171DE">
        <w:rPr>
          <w:rFonts w:ascii="Times New Roman" w:eastAsia="Times New Roman" w:hAnsi="Times New Roman" w:cs="Times New Roman"/>
          <w:sz w:val="24"/>
          <w:szCs w:val="24"/>
        </w:rPr>
        <w:t>presented</w:t>
      </w:r>
      <w:r w:rsidRPr="00561FF6">
        <w:rPr>
          <w:rFonts w:ascii="Times New Roman" w:eastAsia="Times New Roman" w:hAnsi="Times New Roman" w:cs="Times New Roman"/>
          <w:sz w:val="24"/>
          <w:szCs w:val="24"/>
        </w:rPr>
        <w:t xml:space="preserve"> in Figure </w:t>
      </w:r>
      <w:r w:rsidR="002171DE" w:rsidRPr="002F6F74">
        <w:rPr>
          <w:rFonts w:ascii="Times New Roman" w:eastAsia="Times New Roman" w:hAnsi="Times New Roman" w:cs="Times New Roman"/>
          <w:sz w:val="24"/>
          <w:szCs w:val="24"/>
        </w:rPr>
        <w:t>5</w:t>
      </w:r>
      <w:r w:rsidRPr="00561FF6">
        <w:rPr>
          <w:rFonts w:ascii="Times New Roman" w:eastAsia="Times New Roman" w:hAnsi="Times New Roman" w:cs="Times New Roman"/>
          <w:color w:val="EE0000"/>
          <w:sz w:val="24"/>
          <w:szCs w:val="24"/>
        </w:rPr>
        <w:t>.</w:t>
      </w:r>
      <w:r w:rsidRPr="00561FF6">
        <w:rPr>
          <w:rFonts w:ascii="Times New Roman" w:eastAsia="Times New Roman" w:hAnsi="Times New Roman" w:cs="Times New Roman"/>
          <w:sz w:val="24"/>
          <w:szCs w:val="24"/>
        </w:rPr>
        <w:t xml:space="preserve"> At 2WAT, full irrigation produced the highest plant height (17.08 cm), whereas sustained deficit irrigation resulted in the lowest height (14.83 cm). This trend continued at 4, 6, 8, and 10WAT, with full irrigation consistently producing taller plants and sustained deficit irrigation performing the least in terms of plant height. Each irrigation level showed statistically distinct performance.</w:t>
      </w:r>
    </w:p>
    <w:p w14:paraId="40E66867" w14:textId="77777777" w:rsidR="00561FF6" w:rsidRPr="00561FF6" w:rsidRDefault="00561FF6" w:rsidP="00561FF6">
      <w:pPr>
        <w:spacing w:before="100" w:beforeAutospacing="1" w:after="100" w:afterAutospacing="1" w:line="240" w:lineRule="auto"/>
        <w:jc w:val="both"/>
        <w:rPr>
          <w:rFonts w:ascii="Times New Roman" w:eastAsia="Times New Roman" w:hAnsi="Times New Roman" w:cs="Times New Roman"/>
          <w:sz w:val="24"/>
          <w:szCs w:val="24"/>
        </w:rPr>
      </w:pPr>
      <w:r w:rsidRPr="00561FF6">
        <w:rPr>
          <w:rFonts w:ascii="Times New Roman" w:eastAsia="Times New Roman" w:hAnsi="Times New Roman" w:cs="Times New Roman"/>
          <w:sz w:val="24"/>
          <w:szCs w:val="24"/>
        </w:rPr>
        <w:t xml:space="preserve">These findings are consistent with results reported by Darko </w:t>
      </w:r>
      <w:r w:rsidRPr="00561FF6">
        <w:rPr>
          <w:rFonts w:ascii="Times New Roman" w:eastAsia="Times New Roman" w:hAnsi="Times New Roman" w:cs="Times New Roman"/>
          <w:i/>
          <w:iCs/>
          <w:sz w:val="24"/>
          <w:szCs w:val="24"/>
        </w:rPr>
        <w:t>et al.</w:t>
      </w:r>
      <w:r w:rsidRPr="00561FF6">
        <w:rPr>
          <w:rFonts w:ascii="Times New Roman" w:eastAsia="Times New Roman" w:hAnsi="Times New Roman" w:cs="Times New Roman"/>
          <w:sz w:val="24"/>
          <w:szCs w:val="24"/>
        </w:rPr>
        <w:t xml:space="preserve"> (2019), who observed that eggplant plants achieved the greatest height when irrigated with 100% of the crop water requirement (CWR). The height under full irrigation was significantly greater than that observed at 80% and 70% of CWR. Similarly, </w:t>
      </w:r>
      <w:proofErr w:type="spellStart"/>
      <w:r w:rsidRPr="00561FF6">
        <w:rPr>
          <w:rFonts w:ascii="Times New Roman" w:eastAsia="Times New Roman" w:hAnsi="Times New Roman" w:cs="Times New Roman"/>
          <w:sz w:val="24"/>
          <w:szCs w:val="24"/>
        </w:rPr>
        <w:t>Medyouni</w:t>
      </w:r>
      <w:proofErr w:type="spellEnd"/>
      <w:r w:rsidRPr="00561FF6">
        <w:rPr>
          <w:rFonts w:ascii="Times New Roman" w:eastAsia="Times New Roman" w:hAnsi="Times New Roman" w:cs="Times New Roman"/>
          <w:sz w:val="24"/>
          <w:szCs w:val="24"/>
        </w:rPr>
        <w:t xml:space="preserve"> </w:t>
      </w:r>
      <w:r w:rsidRPr="00561FF6">
        <w:rPr>
          <w:rFonts w:ascii="Times New Roman" w:eastAsia="Times New Roman" w:hAnsi="Times New Roman" w:cs="Times New Roman"/>
          <w:i/>
          <w:iCs/>
          <w:sz w:val="24"/>
          <w:szCs w:val="24"/>
        </w:rPr>
        <w:t>et al.</w:t>
      </w:r>
      <w:r w:rsidRPr="00561FF6">
        <w:rPr>
          <w:rFonts w:ascii="Times New Roman" w:eastAsia="Times New Roman" w:hAnsi="Times New Roman" w:cs="Times New Roman"/>
          <w:sz w:val="24"/>
          <w:szCs w:val="24"/>
        </w:rPr>
        <w:t xml:space="preserve"> (2021) reported that water deficits during crop development stages led to reductions in both plant height and stem diameter compared to full irrigation.</w:t>
      </w:r>
    </w:p>
    <w:p w14:paraId="69284F55" w14:textId="3F42F5BF" w:rsidR="00D86044" w:rsidRPr="002F6F74" w:rsidRDefault="00561FF6" w:rsidP="002F6F74">
      <w:pPr>
        <w:spacing w:before="100" w:beforeAutospacing="1" w:after="100" w:afterAutospacing="1" w:line="240" w:lineRule="auto"/>
        <w:jc w:val="both"/>
        <w:rPr>
          <w:rFonts w:ascii="Times New Roman" w:eastAsia="Times New Roman" w:hAnsi="Times New Roman" w:cs="Times New Roman"/>
          <w:sz w:val="24"/>
          <w:szCs w:val="24"/>
        </w:rPr>
      </w:pPr>
      <w:r w:rsidRPr="00561FF6">
        <w:rPr>
          <w:rFonts w:ascii="Times New Roman" w:eastAsia="Times New Roman" w:hAnsi="Times New Roman" w:cs="Times New Roman"/>
          <w:sz w:val="24"/>
          <w:szCs w:val="24"/>
        </w:rPr>
        <w:t xml:space="preserve">Soil amendments also had a significant effect on plant height at all measurement intervals, i.e. 2 </w:t>
      </w:r>
      <w:proofErr w:type="gramStart"/>
      <w:r w:rsidRPr="00561FF6">
        <w:rPr>
          <w:rFonts w:ascii="Times New Roman" w:eastAsia="Times New Roman" w:hAnsi="Times New Roman" w:cs="Times New Roman"/>
          <w:sz w:val="24"/>
          <w:szCs w:val="24"/>
        </w:rPr>
        <w:t>WAT</w:t>
      </w:r>
      <w:proofErr w:type="gramEnd"/>
      <w:r w:rsidRPr="00561FF6">
        <w:rPr>
          <w:rFonts w:ascii="Times New Roman" w:eastAsia="Times New Roman" w:hAnsi="Times New Roman" w:cs="Times New Roman"/>
          <w:sz w:val="24"/>
          <w:szCs w:val="24"/>
        </w:rPr>
        <w:t xml:space="preserve"> (p &lt; 0.001), 4WAT (p &lt; 0.001), 6WAT (p &lt; 0.001), 8WAT (p &lt; 0.001), and 10WAT (p &lt; 0.001) as shown in Figure </w:t>
      </w:r>
      <w:r w:rsidR="002171DE" w:rsidRPr="002F6F74">
        <w:rPr>
          <w:rFonts w:ascii="Times New Roman" w:eastAsia="Times New Roman" w:hAnsi="Times New Roman" w:cs="Times New Roman"/>
          <w:sz w:val="24"/>
          <w:szCs w:val="24"/>
        </w:rPr>
        <w:t>6</w:t>
      </w:r>
      <w:r w:rsidRPr="00561FF6">
        <w:rPr>
          <w:rFonts w:ascii="Times New Roman" w:eastAsia="Times New Roman" w:hAnsi="Times New Roman" w:cs="Times New Roman"/>
          <w:sz w:val="24"/>
          <w:szCs w:val="24"/>
        </w:rPr>
        <w:t>. At 2WAT, the combination of biochar and poultry manure produced the highest plant height (17.11 cm), while the control treatment (no amendment) resulted in the lowest (12.22 cm). This pattern was consistent through the 4</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6</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8</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and 10</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xml:space="preserve"> weeks.</w:t>
      </w:r>
      <w:r w:rsidR="002F6F74">
        <w:rPr>
          <w:rFonts w:ascii="Times New Roman" w:eastAsia="Times New Roman" w:hAnsi="Times New Roman" w:cs="Times New Roman"/>
          <w:sz w:val="24"/>
          <w:szCs w:val="24"/>
        </w:rPr>
        <w:t xml:space="preserve"> </w:t>
      </w:r>
      <w:r w:rsidR="002F6F74" w:rsidRPr="002F6F74">
        <w:rPr>
          <w:rFonts w:ascii="Times New Roman" w:eastAsia="Times New Roman" w:hAnsi="Times New Roman" w:cs="Times New Roman"/>
          <w:sz w:val="24"/>
          <w:szCs w:val="24"/>
        </w:rPr>
        <w:t>The study also</w:t>
      </w:r>
      <w:r w:rsidRPr="00561FF6">
        <w:rPr>
          <w:rFonts w:ascii="Times New Roman" w:eastAsia="Times New Roman" w:hAnsi="Times New Roman" w:cs="Times New Roman"/>
          <w:sz w:val="24"/>
          <w:szCs w:val="24"/>
        </w:rPr>
        <w:t xml:space="preserve"> show</w:t>
      </w:r>
      <w:r w:rsidR="002F6F74" w:rsidRPr="002F6F74">
        <w:rPr>
          <w:rFonts w:ascii="Times New Roman" w:eastAsia="Times New Roman" w:hAnsi="Times New Roman" w:cs="Times New Roman"/>
          <w:sz w:val="24"/>
          <w:szCs w:val="24"/>
        </w:rPr>
        <w:t>ed</w:t>
      </w:r>
      <w:r w:rsidRPr="00561FF6">
        <w:rPr>
          <w:rFonts w:ascii="Times New Roman" w:eastAsia="Times New Roman" w:hAnsi="Times New Roman" w:cs="Times New Roman"/>
          <w:sz w:val="24"/>
          <w:szCs w:val="24"/>
        </w:rPr>
        <w:t xml:space="preserve"> that there was no significant interaction effect between irrigation regime and soil amendment</w:t>
      </w:r>
      <w:r w:rsidR="002F6F74" w:rsidRPr="002F6F74">
        <w:rPr>
          <w:rFonts w:ascii="Times New Roman" w:eastAsia="Times New Roman" w:hAnsi="Times New Roman" w:cs="Times New Roman"/>
          <w:sz w:val="24"/>
          <w:szCs w:val="24"/>
        </w:rPr>
        <w:t>s</w:t>
      </w:r>
      <w:r w:rsidRPr="00561FF6">
        <w:rPr>
          <w:rFonts w:ascii="Times New Roman" w:eastAsia="Times New Roman" w:hAnsi="Times New Roman" w:cs="Times New Roman"/>
          <w:sz w:val="24"/>
          <w:szCs w:val="24"/>
        </w:rPr>
        <w:t xml:space="preserve"> on plant height (p = 0.21).</w:t>
      </w:r>
    </w:p>
    <w:p w14:paraId="6E4E9748" w14:textId="23BB01A6" w:rsidR="006C07C4" w:rsidRDefault="00CE796A" w:rsidP="00CE796A">
      <w:pPr>
        <w:spacing w:before="240" w:after="0" w:line="240" w:lineRule="auto"/>
        <w:jc w:val="both"/>
        <w:rPr>
          <w:rFonts w:ascii="Times New Roman" w:hAnsi="Times New Roman" w:cs="Times New Roman"/>
          <w:noProof/>
          <w:sz w:val="24"/>
          <w:szCs w:val="24"/>
        </w:rPr>
      </w:pPr>
      <w:r>
        <w:rPr>
          <w:noProof/>
        </w:rPr>
        <w:lastRenderedPageBreak/>
        <w:drawing>
          <wp:inline distT="0" distB="0" distL="0" distR="0" wp14:anchorId="19709C15" wp14:editId="7AE157F2">
            <wp:extent cx="5943600" cy="3448050"/>
            <wp:effectExtent l="0" t="0" r="0" b="0"/>
            <wp:docPr id="108" name="Chart 108">
              <a:extLst xmlns:a="http://schemas.openxmlformats.org/drawingml/2006/main">
                <a:ext uri="{FF2B5EF4-FFF2-40B4-BE49-F238E27FC236}">
                  <a16:creationId xmlns:a16="http://schemas.microsoft.com/office/drawing/2014/main" id="{D709080E-7889-4B9D-9E04-9EDF06A0C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3DBA17" w14:textId="1D4BA02F" w:rsidR="00CE796A" w:rsidRPr="00AE7607" w:rsidRDefault="00CE796A" w:rsidP="00CE796A">
      <w:pPr>
        <w:pStyle w:val="Caption"/>
        <w:rPr>
          <w:rFonts w:cs="Times New Roman"/>
          <w:noProof/>
          <w:szCs w:val="24"/>
        </w:rPr>
      </w:pPr>
      <w:bookmarkStart w:id="9" w:name="_Toc144869123"/>
      <w:r>
        <w:t xml:space="preserve">Figure </w:t>
      </w:r>
      <w:r w:rsidR="00561FF6">
        <w:t>5</w:t>
      </w:r>
      <w:r>
        <w:rPr>
          <w:rFonts w:cs="Times New Roman"/>
          <w:bCs/>
          <w:szCs w:val="24"/>
        </w:rPr>
        <w:t xml:space="preserve">: </w:t>
      </w:r>
      <w:r w:rsidRPr="00327F82">
        <w:rPr>
          <w:rFonts w:cs="Times New Roman"/>
          <w:b w:val="0"/>
          <w:szCs w:val="24"/>
        </w:rPr>
        <w:t>Effect of Irrigation Regimes on Plant Height</w:t>
      </w:r>
      <w:bookmarkEnd w:id="9"/>
    </w:p>
    <w:p w14:paraId="3118D282" w14:textId="77777777" w:rsidR="00CE796A" w:rsidRPr="00AE7607" w:rsidRDefault="00CE796A" w:rsidP="00CE796A">
      <w:pPr>
        <w:spacing w:line="480" w:lineRule="auto"/>
        <w:jc w:val="both"/>
        <w:rPr>
          <w:rFonts w:cs="Times New Roman"/>
          <w:noProof/>
          <w:szCs w:val="24"/>
        </w:rPr>
      </w:pPr>
      <w:r>
        <w:rPr>
          <w:noProof/>
        </w:rPr>
        <w:drawing>
          <wp:inline distT="0" distB="0" distL="0" distR="0" wp14:anchorId="4CCB6530" wp14:editId="31F5C2F2">
            <wp:extent cx="5600700" cy="3752850"/>
            <wp:effectExtent l="0" t="0" r="0" b="0"/>
            <wp:docPr id="109" name="Chart 109">
              <a:extLst xmlns:a="http://schemas.openxmlformats.org/drawingml/2006/main">
                <a:ext uri="{FF2B5EF4-FFF2-40B4-BE49-F238E27FC236}">
                  <a16:creationId xmlns:a16="http://schemas.microsoft.com/office/drawing/2014/main" id="{3B0943D8-F26B-4D42-806A-78718EA6B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508A03" w14:textId="4B7A3E5D" w:rsidR="00CE796A" w:rsidRPr="00327F82" w:rsidRDefault="00CE796A" w:rsidP="00CE796A">
      <w:pPr>
        <w:pStyle w:val="Caption"/>
        <w:rPr>
          <w:rFonts w:cs="Times New Roman"/>
          <w:b w:val="0"/>
          <w:szCs w:val="24"/>
        </w:rPr>
      </w:pPr>
      <w:bookmarkStart w:id="10" w:name="_Toc144869124"/>
      <w:r>
        <w:t xml:space="preserve">Figure </w:t>
      </w:r>
      <w:r w:rsidR="00561FF6">
        <w:t>6</w:t>
      </w:r>
      <w:r>
        <w:rPr>
          <w:rFonts w:cs="Times New Roman"/>
          <w:bCs/>
          <w:szCs w:val="24"/>
        </w:rPr>
        <w:t xml:space="preserve">: </w:t>
      </w:r>
      <w:r w:rsidRPr="00327F82">
        <w:rPr>
          <w:rFonts w:cs="Times New Roman"/>
          <w:b w:val="0"/>
          <w:szCs w:val="24"/>
        </w:rPr>
        <w:t>Effect of Soil Amendment</w:t>
      </w:r>
      <w:r w:rsidR="00561FF6" w:rsidRPr="00327F82">
        <w:rPr>
          <w:rFonts w:cs="Times New Roman"/>
          <w:b w:val="0"/>
          <w:szCs w:val="24"/>
        </w:rPr>
        <w:t>s</w:t>
      </w:r>
      <w:r w:rsidRPr="00327F82">
        <w:rPr>
          <w:rFonts w:cs="Times New Roman"/>
          <w:b w:val="0"/>
          <w:szCs w:val="24"/>
        </w:rPr>
        <w:t xml:space="preserve"> on Plant Height</w:t>
      </w:r>
      <w:bookmarkEnd w:id="10"/>
    </w:p>
    <w:p w14:paraId="3434BC16" w14:textId="65F12C04" w:rsidR="00115E62" w:rsidRDefault="00115E62" w:rsidP="004D6736">
      <w:pPr>
        <w:pStyle w:val="Heading2"/>
        <w:numPr>
          <w:ilvl w:val="0"/>
          <w:numId w:val="0"/>
        </w:numPr>
        <w:spacing w:before="0" w:after="0" w:line="240" w:lineRule="auto"/>
        <w:ind w:left="576" w:hanging="576"/>
      </w:pPr>
      <w:r w:rsidRPr="0077271F">
        <w:rPr>
          <w:rFonts w:cs="Times New Roman"/>
          <w:szCs w:val="24"/>
        </w:rPr>
        <w:lastRenderedPageBreak/>
        <w:t xml:space="preserve">Effect </w:t>
      </w:r>
      <w:r w:rsidR="0077271F">
        <w:rPr>
          <w:rFonts w:cs="Times New Roman"/>
          <w:szCs w:val="24"/>
        </w:rPr>
        <w:t>o</w:t>
      </w:r>
      <w:r w:rsidR="0077271F" w:rsidRPr="0077271F">
        <w:rPr>
          <w:rFonts w:cs="Times New Roman"/>
          <w:szCs w:val="24"/>
        </w:rPr>
        <w:t xml:space="preserve">f Irrigation Regimes </w:t>
      </w:r>
      <w:r w:rsidR="0077271F">
        <w:rPr>
          <w:rFonts w:cs="Times New Roman"/>
          <w:szCs w:val="24"/>
        </w:rPr>
        <w:t>a</w:t>
      </w:r>
      <w:r w:rsidR="0077271F" w:rsidRPr="0077271F">
        <w:rPr>
          <w:rFonts w:cs="Times New Roman"/>
          <w:szCs w:val="24"/>
        </w:rPr>
        <w:t>nd Organic Amendment</w:t>
      </w:r>
      <w:r w:rsidR="006B3476">
        <w:rPr>
          <w:rFonts w:cs="Times New Roman"/>
          <w:szCs w:val="24"/>
        </w:rPr>
        <w:t>s</w:t>
      </w:r>
      <w:r w:rsidR="0077271F" w:rsidRPr="0077271F">
        <w:rPr>
          <w:rFonts w:cs="Times New Roman"/>
          <w:szCs w:val="24"/>
        </w:rPr>
        <w:t xml:space="preserve"> </w:t>
      </w:r>
      <w:r w:rsidR="0077271F">
        <w:rPr>
          <w:rFonts w:cs="Times New Roman"/>
          <w:szCs w:val="24"/>
        </w:rPr>
        <w:t>o</w:t>
      </w:r>
      <w:r w:rsidR="0077271F" w:rsidRPr="0077271F">
        <w:rPr>
          <w:rFonts w:cs="Times New Roman"/>
          <w:szCs w:val="24"/>
        </w:rPr>
        <w:t xml:space="preserve">n </w:t>
      </w:r>
      <w:r w:rsidRPr="0077271F">
        <w:t xml:space="preserve">Number </w:t>
      </w:r>
      <w:r w:rsidR="0077271F">
        <w:t>o</w:t>
      </w:r>
      <w:r w:rsidR="0077271F" w:rsidRPr="0077271F">
        <w:t xml:space="preserve">f </w:t>
      </w:r>
      <w:r w:rsidRPr="0077271F">
        <w:t xml:space="preserve">Branches </w:t>
      </w:r>
    </w:p>
    <w:p w14:paraId="1B85661C" w14:textId="7C904905" w:rsidR="00DB34F8" w:rsidRPr="00DB34F8" w:rsidRDefault="00DB34F8" w:rsidP="00DB34F8">
      <w:pPr>
        <w:spacing w:after="100" w:afterAutospacing="1" w:line="240" w:lineRule="auto"/>
        <w:jc w:val="both"/>
        <w:rPr>
          <w:rFonts w:ascii="Times New Roman" w:eastAsia="Times New Roman" w:hAnsi="Times New Roman" w:cs="Times New Roman"/>
          <w:sz w:val="24"/>
          <w:szCs w:val="24"/>
        </w:rPr>
      </w:pPr>
      <w:r w:rsidRPr="00DB34F8">
        <w:rPr>
          <w:rFonts w:ascii="Times New Roman" w:eastAsia="Times New Roman" w:hAnsi="Times New Roman" w:cs="Times New Roman"/>
          <w:sz w:val="24"/>
          <w:szCs w:val="24"/>
        </w:rPr>
        <w:t xml:space="preserve">Garden egg plants began branching at 4WAT (Weeks After Transplanting), with a statistically significant difference observed among irrigation regimes (p &lt; 0.006). As shown in Figure </w:t>
      </w:r>
      <w:r>
        <w:rPr>
          <w:rFonts w:ascii="Times New Roman" w:eastAsia="Times New Roman" w:hAnsi="Times New Roman" w:cs="Times New Roman"/>
          <w:sz w:val="24"/>
          <w:szCs w:val="24"/>
        </w:rPr>
        <w:t>7</w:t>
      </w:r>
      <w:r w:rsidRPr="00DB34F8">
        <w:rPr>
          <w:rFonts w:ascii="Times New Roman" w:eastAsia="Times New Roman" w:hAnsi="Times New Roman" w:cs="Times New Roman"/>
          <w:sz w:val="24"/>
          <w:szCs w:val="24"/>
        </w:rPr>
        <w:t>, the highest number of branches was recorded under full irrigation (100% CWR) with an average of 3.16 branches, followed by regulated deficit irrigation (70% CWR) with 3.08 branches. The lowest number of branches (2.08) was observed under sustained deficit irrigation (70% CWR).</w:t>
      </w:r>
      <w:r>
        <w:rPr>
          <w:rFonts w:ascii="Times New Roman" w:eastAsia="Times New Roman" w:hAnsi="Times New Roman" w:cs="Times New Roman"/>
          <w:sz w:val="24"/>
          <w:szCs w:val="24"/>
        </w:rPr>
        <w:t xml:space="preserve"> </w:t>
      </w:r>
      <w:r w:rsidRPr="00DB34F8">
        <w:rPr>
          <w:rFonts w:ascii="Times New Roman" w:eastAsia="Times New Roman" w:hAnsi="Times New Roman" w:cs="Times New Roman"/>
          <w:sz w:val="24"/>
          <w:szCs w:val="24"/>
        </w:rPr>
        <w:t>This trend persisted at 6WAT (p &lt; 0.004), 8WAT (p &lt; 0.003), and 10WAT (p &lt; 0.04), where each irrigation regime resulted in significantly different branch numbers. Full irrigation consistently produced the highest number of branches, while sustained deficit irrigation resulted in the fewest.</w:t>
      </w:r>
    </w:p>
    <w:p w14:paraId="3B822ED6" w14:textId="235971DF" w:rsidR="00DB34F8" w:rsidRPr="00985185" w:rsidRDefault="00DB34F8" w:rsidP="00985185">
      <w:pPr>
        <w:spacing w:before="100" w:beforeAutospacing="1" w:after="100" w:afterAutospacing="1" w:line="240" w:lineRule="auto"/>
        <w:jc w:val="both"/>
        <w:rPr>
          <w:rFonts w:ascii="Times New Roman" w:eastAsia="Times New Roman" w:hAnsi="Times New Roman" w:cs="Times New Roman"/>
          <w:sz w:val="24"/>
          <w:szCs w:val="24"/>
        </w:rPr>
      </w:pPr>
      <w:r w:rsidRPr="00DB34F8">
        <w:rPr>
          <w:rFonts w:ascii="Times New Roman" w:eastAsia="Times New Roman" w:hAnsi="Times New Roman" w:cs="Times New Roman"/>
          <w:sz w:val="24"/>
          <w:szCs w:val="24"/>
        </w:rPr>
        <w:t xml:space="preserve">Soil amendment techniques also had a significant effect on the number of branches at 4WAT (p &lt; 0.036), 6WAT (p &lt; 0.005), 8WAT (p &lt; 0.001), and 10WAT (p &lt; 0.001), as </w:t>
      </w:r>
      <w:r>
        <w:rPr>
          <w:rFonts w:ascii="Times New Roman" w:eastAsia="Times New Roman" w:hAnsi="Times New Roman" w:cs="Times New Roman"/>
          <w:sz w:val="24"/>
          <w:szCs w:val="24"/>
        </w:rPr>
        <w:t>presented</w:t>
      </w:r>
      <w:r w:rsidRPr="00DB34F8">
        <w:rPr>
          <w:rFonts w:ascii="Times New Roman" w:eastAsia="Times New Roman" w:hAnsi="Times New Roman" w:cs="Times New Roman"/>
          <w:sz w:val="24"/>
          <w:szCs w:val="24"/>
        </w:rPr>
        <w:t xml:space="preserve"> in Figure </w:t>
      </w:r>
      <w:r>
        <w:rPr>
          <w:rFonts w:ascii="Times New Roman" w:eastAsia="Times New Roman" w:hAnsi="Times New Roman" w:cs="Times New Roman"/>
          <w:sz w:val="24"/>
          <w:szCs w:val="24"/>
        </w:rPr>
        <w:t>8</w:t>
      </w:r>
      <w:r w:rsidRPr="00DB34F8">
        <w:rPr>
          <w:rFonts w:ascii="Times New Roman" w:eastAsia="Times New Roman" w:hAnsi="Times New Roman" w:cs="Times New Roman"/>
          <w:sz w:val="24"/>
          <w:szCs w:val="24"/>
        </w:rPr>
        <w:t>. The combination of biochar and poultry manure produced the highest number of branches (4.0), while the lowest number (1.2) was recorded in soils without any amendment.</w:t>
      </w:r>
      <w:r>
        <w:rPr>
          <w:rFonts w:ascii="Times New Roman" w:eastAsia="Times New Roman" w:hAnsi="Times New Roman" w:cs="Times New Roman"/>
          <w:sz w:val="24"/>
          <w:szCs w:val="24"/>
        </w:rPr>
        <w:t xml:space="preserve"> </w:t>
      </w:r>
      <w:r w:rsidRPr="00DB34F8">
        <w:rPr>
          <w:rFonts w:ascii="Times New Roman" w:eastAsia="Times New Roman" w:hAnsi="Times New Roman" w:cs="Times New Roman"/>
          <w:sz w:val="24"/>
          <w:szCs w:val="24"/>
        </w:rPr>
        <w:t>This pattern remained consistent from 6WAT through 10WAT, with the biochar and poultry manure combination consistently enhancing branching, whereas unamended soils resulted in the lowest branch numbers.</w:t>
      </w:r>
    </w:p>
    <w:p w14:paraId="156E09D9" w14:textId="77777777" w:rsidR="00CE796A" w:rsidRPr="00371070" w:rsidRDefault="00CE796A" w:rsidP="009E5E4E">
      <w:pPr>
        <w:spacing w:after="0" w:line="240" w:lineRule="auto"/>
        <w:jc w:val="both"/>
        <w:rPr>
          <w:rFonts w:cs="Times New Roman"/>
          <w:noProof/>
          <w:color w:val="000000"/>
          <w:szCs w:val="24"/>
          <w14:textFill>
            <w14:solidFill>
              <w14:srgbClr w14:val="000000">
                <w14:alpha w14:val="1000"/>
              </w14:srgbClr>
            </w14:solidFill>
          </w14:textFill>
        </w:rPr>
      </w:pPr>
      <w:r>
        <w:rPr>
          <w:noProof/>
        </w:rPr>
        <w:drawing>
          <wp:inline distT="0" distB="0" distL="0" distR="0" wp14:anchorId="437BBF53" wp14:editId="5FF6268D">
            <wp:extent cx="5943600" cy="3533775"/>
            <wp:effectExtent l="0" t="0" r="0" b="0"/>
            <wp:docPr id="1" name="Chart 1">
              <a:extLst xmlns:a="http://schemas.openxmlformats.org/drawingml/2006/main">
                <a:ext uri="{FF2B5EF4-FFF2-40B4-BE49-F238E27FC236}">
                  <a16:creationId xmlns:a16="http://schemas.microsoft.com/office/drawing/2014/main" id="{0D2E53EA-3702-4F6F-8DCF-D78A8238D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7C7AC3" w14:textId="185D1159" w:rsidR="00CE796A" w:rsidRDefault="00CE796A" w:rsidP="00CE796A">
      <w:pPr>
        <w:pStyle w:val="Caption"/>
        <w:rPr>
          <w:rFonts w:cs="Times New Roman"/>
          <w:bCs/>
          <w:szCs w:val="24"/>
        </w:rPr>
      </w:pPr>
      <w:bookmarkStart w:id="11" w:name="_Toc144869125"/>
      <w:r>
        <w:t xml:space="preserve">Figure </w:t>
      </w:r>
      <w:r w:rsidR="009E5E4E">
        <w:t>7</w:t>
      </w:r>
      <w:r>
        <w:rPr>
          <w:rFonts w:cs="Times New Roman"/>
          <w:bCs/>
          <w:szCs w:val="24"/>
        </w:rPr>
        <w:t>:</w:t>
      </w:r>
      <w:r w:rsidRPr="00AE7607">
        <w:rPr>
          <w:rFonts w:cs="Times New Roman"/>
          <w:bCs/>
          <w:szCs w:val="24"/>
        </w:rPr>
        <w:t xml:space="preserve"> </w:t>
      </w:r>
      <w:r w:rsidRPr="00327F82">
        <w:rPr>
          <w:rFonts w:cs="Times New Roman"/>
          <w:b w:val="0"/>
          <w:szCs w:val="24"/>
        </w:rPr>
        <w:t>Effect of Irrigation Regimes on Number of Branches</w:t>
      </w:r>
      <w:bookmarkEnd w:id="11"/>
    </w:p>
    <w:p w14:paraId="777E55C4" w14:textId="77777777" w:rsidR="00CE796A" w:rsidRPr="00BE4CC6" w:rsidRDefault="00CE796A" w:rsidP="00CE796A">
      <w:r>
        <w:rPr>
          <w:noProof/>
        </w:rPr>
        <w:lastRenderedPageBreak/>
        <w:drawing>
          <wp:inline distT="0" distB="0" distL="0" distR="0" wp14:anchorId="0D058237" wp14:editId="3A094117">
            <wp:extent cx="5829300" cy="3657600"/>
            <wp:effectExtent l="0" t="0" r="0" b="0"/>
            <wp:docPr id="19" name="Chart 19">
              <a:extLst xmlns:a="http://schemas.openxmlformats.org/drawingml/2006/main">
                <a:ext uri="{FF2B5EF4-FFF2-40B4-BE49-F238E27FC236}">
                  <a16:creationId xmlns:a16="http://schemas.microsoft.com/office/drawing/2014/main" id="{0632C125-A101-4A0F-BF32-FF9FFC6E4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AD329E" w14:textId="4CD05720" w:rsidR="00CE796A" w:rsidRDefault="00CE796A" w:rsidP="00CE796A">
      <w:pPr>
        <w:pStyle w:val="Caption"/>
        <w:rPr>
          <w:rFonts w:cs="Times New Roman"/>
          <w:bCs/>
          <w:szCs w:val="24"/>
        </w:rPr>
      </w:pPr>
      <w:bookmarkStart w:id="12" w:name="_Toc144869126"/>
      <w:r>
        <w:t xml:space="preserve">Figure </w:t>
      </w:r>
      <w:r w:rsidR="009E5E4E">
        <w:t>8</w:t>
      </w:r>
      <w:r w:rsidRPr="00AE7607">
        <w:rPr>
          <w:rFonts w:cs="Times New Roman"/>
          <w:bCs/>
          <w:szCs w:val="24"/>
        </w:rPr>
        <w:t xml:space="preserve">: </w:t>
      </w:r>
      <w:r w:rsidRPr="00327F82">
        <w:rPr>
          <w:rFonts w:cs="Times New Roman"/>
          <w:b w:val="0"/>
          <w:szCs w:val="24"/>
        </w:rPr>
        <w:t>Effect of Soil Amendment on Number of Branches</w:t>
      </w:r>
      <w:bookmarkEnd w:id="12"/>
    </w:p>
    <w:p w14:paraId="0EE49AD3" w14:textId="5E2BAB39" w:rsidR="00C53536" w:rsidRPr="00C53536" w:rsidRDefault="00C53536" w:rsidP="00C53536">
      <w:pPr>
        <w:spacing w:before="100" w:beforeAutospacing="1" w:after="0" w:line="240" w:lineRule="auto"/>
        <w:jc w:val="both"/>
        <w:rPr>
          <w:rFonts w:ascii="Times New Roman" w:eastAsia="Times New Roman" w:hAnsi="Times New Roman" w:cs="Times New Roman"/>
          <w:sz w:val="24"/>
          <w:szCs w:val="24"/>
        </w:rPr>
      </w:pPr>
      <w:r w:rsidRPr="00C53536">
        <w:rPr>
          <w:rFonts w:ascii="Times New Roman" w:eastAsia="Times New Roman" w:hAnsi="Times New Roman" w:cs="Times New Roman"/>
          <w:b/>
          <w:bCs/>
          <w:sz w:val="24"/>
          <w:szCs w:val="24"/>
        </w:rPr>
        <w:t>Effect of Irrigation Regimes and Soil Amendments on Yield</w:t>
      </w:r>
      <w:r w:rsidR="009740F6">
        <w:rPr>
          <w:rFonts w:ascii="Times New Roman" w:eastAsia="Times New Roman" w:hAnsi="Times New Roman" w:cs="Times New Roman"/>
          <w:b/>
          <w:bCs/>
          <w:sz w:val="24"/>
          <w:szCs w:val="24"/>
        </w:rPr>
        <w:t xml:space="preserve"> Production</w:t>
      </w:r>
    </w:p>
    <w:p w14:paraId="6D975FDD" w14:textId="0C4AC185" w:rsidR="00C53536" w:rsidRPr="00C53536" w:rsidRDefault="001E592C" w:rsidP="00C53536">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53536" w:rsidRPr="00C53536">
        <w:rPr>
          <w:rFonts w:ascii="Times New Roman" w:eastAsia="Times New Roman" w:hAnsi="Times New Roman" w:cs="Times New Roman"/>
          <w:sz w:val="24"/>
          <w:szCs w:val="24"/>
        </w:rPr>
        <w:t xml:space="preserve">rrigation regimes had a statistically significant effect on yield production, as </w:t>
      </w:r>
      <w:r w:rsidR="000A72E8">
        <w:rPr>
          <w:rFonts w:ascii="Times New Roman" w:eastAsia="Times New Roman" w:hAnsi="Times New Roman" w:cs="Times New Roman"/>
          <w:sz w:val="24"/>
          <w:szCs w:val="24"/>
        </w:rPr>
        <w:t>presented</w:t>
      </w:r>
      <w:r w:rsidR="00C53536" w:rsidRPr="00C53536">
        <w:rPr>
          <w:rFonts w:ascii="Times New Roman" w:eastAsia="Times New Roman" w:hAnsi="Times New Roman" w:cs="Times New Roman"/>
          <w:sz w:val="24"/>
          <w:szCs w:val="24"/>
        </w:rPr>
        <w:t xml:space="preserve"> in Figure 9. The highest yield was recorded under full irrigation (100% CWR), with 16.39 tons/ha, followed closely by the regulated deficit irrigation treatment (70% CWR), which produced 16.31 tons/ha. The lowest yield was obtained from the sustained deficit irrigation treatment (70% CWR), yielding 11.57 tons/ha.</w:t>
      </w:r>
      <w:r w:rsidR="00C53536">
        <w:rPr>
          <w:rFonts w:ascii="Times New Roman" w:eastAsia="Times New Roman" w:hAnsi="Times New Roman" w:cs="Times New Roman"/>
          <w:sz w:val="24"/>
          <w:szCs w:val="24"/>
        </w:rPr>
        <w:t xml:space="preserve"> </w:t>
      </w:r>
      <w:r w:rsidR="00C53536" w:rsidRPr="00C53536">
        <w:rPr>
          <w:rFonts w:ascii="Times New Roman" w:eastAsia="Times New Roman" w:hAnsi="Times New Roman" w:cs="Times New Roman"/>
          <w:sz w:val="24"/>
          <w:szCs w:val="24"/>
        </w:rPr>
        <w:t xml:space="preserve">The yields observed in this study align with findings reported by Darko </w:t>
      </w:r>
      <w:r w:rsidR="00C53536" w:rsidRPr="00C53536">
        <w:rPr>
          <w:rFonts w:ascii="Times New Roman" w:eastAsia="Times New Roman" w:hAnsi="Times New Roman" w:cs="Times New Roman"/>
          <w:i/>
          <w:iCs/>
          <w:sz w:val="24"/>
          <w:szCs w:val="24"/>
        </w:rPr>
        <w:t>et al.</w:t>
      </w:r>
      <w:r w:rsidR="00C53536" w:rsidRPr="00C53536">
        <w:rPr>
          <w:rFonts w:ascii="Times New Roman" w:eastAsia="Times New Roman" w:hAnsi="Times New Roman" w:cs="Times New Roman"/>
          <w:sz w:val="24"/>
          <w:szCs w:val="24"/>
        </w:rPr>
        <w:t xml:space="preserve"> (2019), who noted that garden egg yield in Ghana ranges between 5 to 8 tons/ha under rainfed conditions. Under supplemental irrigation, yield ranges increase to 12–30 tons/ha with local varieties, and can reach 50–80 tons/ha when improved cultivars are cultivated.</w:t>
      </w:r>
    </w:p>
    <w:p w14:paraId="7CDEBD5E" w14:textId="18610DA8" w:rsidR="00C53536" w:rsidRDefault="00C53536" w:rsidP="00C53536">
      <w:pPr>
        <w:spacing w:before="100" w:beforeAutospacing="1" w:after="100" w:afterAutospacing="1" w:line="240" w:lineRule="auto"/>
        <w:jc w:val="both"/>
        <w:rPr>
          <w:rFonts w:ascii="Times New Roman" w:eastAsia="Times New Roman" w:hAnsi="Times New Roman" w:cs="Times New Roman"/>
          <w:sz w:val="24"/>
          <w:szCs w:val="24"/>
        </w:rPr>
      </w:pPr>
      <w:r w:rsidRPr="00C53536">
        <w:rPr>
          <w:rFonts w:ascii="Times New Roman" w:eastAsia="Times New Roman" w:hAnsi="Times New Roman" w:cs="Times New Roman"/>
          <w:sz w:val="24"/>
          <w:szCs w:val="24"/>
        </w:rPr>
        <w:t xml:space="preserve">Yield reduction analysis revealed that sustained deficit irrigation (70% CWR) resulted in the greatest yield loss compared to regulated deficit irrigation. These results are supported by Wahb-Allah and Al-Omran (2012), who reported significant yield reductions in tomatoes subjected to deficit irrigation during reproductive stages. Similarly, </w:t>
      </w:r>
      <w:proofErr w:type="spellStart"/>
      <w:r w:rsidRPr="00C53536">
        <w:rPr>
          <w:rFonts w:ascii="Times New Roman" w:eastAsia="Times New Roman" w:hAnsi="Times New Roman" w:cs="Times New Roman"/>
          <w:sz w:val="24"/>
          <w:szCs w:val="24"/>
        </w:rPr>
        <w:t>Abiyu</w:t>
      </w:r>
      <w:proofErr w:type="spellEnd"/>
      <w:r w:rsidRPr="00C53536">
        <w:rPr>
          <w:rFonts w:ascii="Times New Roman" w:eastAsia="Times New Roman" w:hAnsi="Times New Roman" w:cs="Times New Roman"/>
          <w:sz w:val="24"/>
          <w:szCs w:val="24"/>
        </w:rPr>
        <w:t xml:space="preserve"> and </w:t>
      </w:r>
      <w:proofErr w:type="spellStart"/>
      <w:r w:rsidRPr="00C53536">
        <w:rPr>
          <w:rFonts w:ascii="Times New Roman" w:eastAsia="Times New Roman" w:hAnsi="Times New Roman" w:cs="Times New Roman"/>
          <w:sz w:val="24"/>
          <w:szCs w:val="24"/>
        </w:rPr>
        <w:t>Alamirew</w:t>
      </w:r>
      <w:proofErr w:type="spellEnd"/>
      <w:r w:rsidRPr="00C53536">
        <w:rPr>
          <w:rFonts w:ascii="Times New Roman" w:eastAsia="Times New Roman" w:hAnsi="Times New Roman" w:cs="Times New Roman"/>
          <w:sz w:val="24"/>
          <w:szCs w:val="24"/>
        </w:rPr>
        <w:t xml:space="preserve"> (2015) observed that applying 75% CWR throughout the entire growth stage led to a 53% reduction in yield, whereas applying water deficits during non-critical growth stages resulted in only a 6.16% reduction.</w:t>
      </w:r>
      <w:r w:rsidR="008C7465">
        <w:rPr>
          <w:rFonts w:ascii="Times New Roman" w:eastAsia="Times New Roman" w:hAnsi="Times New Roman" w:cs="Times New Roman"/>
          <w:sz w:val="24"/>
          <w:szCs w:val="24"/>
        </w:rPr>
        <w:t xml:space="preserve"> </w:t>
      </w:r>
      <w:r w:rsidRPr="00C53536">
        <w:rPr>
          <w:rFonts w:ascii="Times New Roman" w:eastAsia="Times New Roman" w:hAnsi="Times New Roman" w:cs="Times New Roman"/>
          <w:sz w:val="24"/>
          <w:szCs w:val="24"/>
        </w:rPr>
        <w:t xml:space="preserve">Regulated deficit irrigation is therefore </w:t>
      </w:r>
      <w:r w:rsidR="008C7465">
        <w:rPr>
          <w:rFonts w:ascii="Times New Roman" w:eastAsia="Times New Roman" w:hAnsi="Times New Roman" w:cs="Times New Roman"/>
          <w:sz w:val="24"/>
          <w:szCs w:val="24"/>
        </w:rPr>
        <w:t>observed</w:t>
      </w:r>
      <w:r w:rsidRPr="00C53536">
        <w:rPr>
          <w:rFonts w:ascii="Times New Roman" w:eastAsia="Times New Roman" w:hAnsi="Times New Roman" w:cs="Times New Roman"/>
          <w:sz w:val="24"/>
          <w:szCs w:val="24"/>
        </w:rPr>
        <w:t xml:space="preserve"> as a more sustainable irrigation strategy compared to sustained deficit irrigation. When combined with appropriate agronomic practices</w:t>
      </w:r>
      <w:r>
        <w:rPr>
          <w:rFonts w:ascii="Times New Roman" w:eastAsia="Times New Roman" w:hAnsi="Times New Roman" w:cs="Times New Roman"/>
          <w:sz w:val="24"/>
          <w:szCs w:val="24"/>
        </w:rPr>
        <w:t xml:space="preserve"> </w:t>
      </w:r>
      <w:r w:rsidRPr="00C53536">
        <w:rPr>
          <w:rFonts w:ascii="Times New Roman" w:eastAsia="Times New Roman" w:hAnsi="Times New Roman" w:cs="Times New Roman"/>
          <w:sz w:val="24"/>
          <w:szCs w:val="24"/>
        </w:rPr>
        <w:t>such as effective weeding, pest and disease control, and proper soil amendment</w:t>
      </w:r>
      <w:r>
        <w:rPr>
          <w:rFonts w:ascii="Times New Roman" w:eastAsia="Times New Roman" w:hAnsi="Times New Roman" w:cs="Times New Roman"/>
          <w:sz w:val="24"/>
          <w:szCs w:val="24"/>
        </w:rPr>
        <w:t xml:space="preserve">, </w:t>
      </w:r>
      <w:r w:rsidRPr="00C53536">
        <w:rPr>
          <w:rFonts w:ascii="Times New Roman" w:eastAsia="Times New Roman" w:hAnsi="Times New Roman" w:cs="Times New Roman"/>
          <w:sz w:val="24"/>
          <w:szCs w:val="24"/>
        </w:rPr>
        <w:t>it supports both improved yield and crop quality in garden egg production.</w:t>
      </w:r>
    </w:p>
    <w:p w14:paraId="4264E114" w14:textId="77777777" w:rsidR="00CB4432" w:rsidRPr="00CB4432" w:rsidRDefault="00CB4432" w:rsidP="00CB4432">
      <w:pPr>
        <w:spacing w:before="100" w:beforeAutospacing="1" w:after="100" w:afterAutospacing="1" w:line="240" w:lineRule="auto"/>
        <w:jc w:val="both"/>
        <w:rPr>
          <w:rFonts w:ascii="Times New Roman" w:eastAsia="Times New Roman" w:hAnsi="Times New Roman" w:cs="Times New Roman"/>
          <w:sz w:val="24"/>
          <w:szCs w:val="24"/>
        </w:rPr>
      </w:pPr>
      <w:r w:rsidRPr="00CB4432">
        <w:rPr>
          <w:rFonts w:ascii="Times New Roman" w:eastAsia="Times New Roman" w:hAnsi="Times New Roman" w:cs="Times New Roman"/>
          <w:sz w:val="24"/>
          <w:szCs w:val="24"/>
        </w:rPr>
        <w:t xml:space="preserve">Soil amendments had a significant effect on garden egg yield (p &lt; 0.001). As presented in Figure 10, the highest yield (23.34 tons/ha) was obtained from the treatment combining biochar and </w:t>
      </w:r>
      <w:r w:rsidRPr="00CB4432">
        <w:rPr>
          <w:rFonts w:ascii="Times New Roman" w:eastAsia="Times New Roman" w:hAnsi="Times New Roman" w:cs="Times New Roman"/>
          <w:sz w:val="24"/>
          <w:szCs w:val="24"/>
        </w:rPr>
        <w:lastRenderedPageBreak/>
        <w:t>poultry manure. This was followed by poultry manure alone, which produced 15.14 tons/ha. The lowest yield (6.14 tons/ha) was recorded in the control treatment without any amendment.</w:t>
      </w:r>
    </w:p>
    <w:p w14:paraId="6C31E88F" w14:textId="331B938F" w:rsidR="00CB4432" w:rsidRPr="00C53536" w:rsidRDefault="00CB4432" w:rsidP="00CB4432">
      <w:pPr>
        <w:spacing w:before="100" w:beforeAutospacing="1" w:after="100" w:afterAutospacing="1" w:line="240" w:lineRule="auto"/>
        <w:jc w:val="both"/>
        <w:rPr>
          <w:rFonts w:ascii="Times New Roman" w:eastAsia="Times New Roman" w:hAnsi="Times New Roman" w:cs="Times New Roman"/>
          <w:sz w:val="24"/>
          <w:szCs w:val="24"/>
        </w:rPr>
      </w:pPr>
      <w:r w:rsidRPr="00045E1D">
        <w:rPr>
          <w:rFonts w:ascii="Times New Roman" w:eastAsia="Times New Roman" w:hAnsi="Times New Roman" w:cs="Times New Roman"/>
          <w:sz w:val="24"/>
          <w:szCs w:val="24"/>
        </w:rPr>
        <w:t xml:space="preserve">These findings are consistent with the results reported by Michael and </w:t>
      </w:r>
      <w:proofErr w:type="spellStart"/>
      <w:r w:rsidRPr="00045E1D">
        <w:rPr>
          <w:rFonts w:ascii="Times New Roman" w:eastAsia="Times New Roman" w:hAnsi="Times New Roman" w:cs="Times New Roman"/>
          <w:sz w:val="24"/>
          <w:szCs w:val="24"/>
        </w:rPr>
        <w:t>Oyewumi</w:t>
      </w:r>
      <w:proofErr w:type="spellEnd"/>
      <w:r w:rsidRPr="00045E1D">
        <w:rPr>
          <w:rFonts w:ascii="Times New Roman" w:eastAsia="Times New Roman" w:hAnsi="Times New Roman" w:cs="Times New Roman"/>
          <w:sz w:val="24"/>
          <w:szCs w:val="24"/>
        </w:rPr>
        <w:t xml:space="preserve"> (2022), who demonstrated that the combined application of poultry manure and biochar significantly enhanced sweet potato growth and tuber yield. Similarly, Dias </w:t>
      </w:r>
      <w:r w:rsidRPr="00EC2E84">
        <w:rPr>
          <w:rFonts w:ascii="Times New Roman" w:eastAsia="Times New Roman" w:hAnsi="Times New Roman" w:cs="Times New Roman"/>
          <w:i/>
          <w:iCs/>
          <w:sz w:val="24"/>
          <w:szCs w:val="24"/>
        </w:rPr>
        <w:t>et al.</w:t>
      </w:r>
      <w:r w:rsidRPr="00045E1D">
        <w:rPr>
          <w:rFonts w:ascii="Times New Roman" w:eastAsia="Times New Roman" w:hAnsi="Times New Roman" w:cs="Times New Roman"/>
          <w:sz w:val="24"/>
          <w:szCs w:val="24"/>
        </w:rPr>
        <w:t xml:space="preserve"> (2010) attributed increased crop yields to the chemical composition of the biochar–poultry manure mixture, which improves nutrient availability, promotes crop development, and enhances both yield and water use efficiency</w:t>
      </w:r>
    </w:p>
    <w:p w14:paraId="14C2A363" w14:textId="77777777" w:rsidR="000C1AD7" w:rsidRDefault="000C1AD7" w:rsidP="00D52346">
      <w:pPr>
        <w:spacing w:before="240" w:after="0" w:line="240" w:lineRule="auto"/>
        <w:jc w:val="both"/>
        <w:rPr>
          <w:rFonts w:ascii="Times New Roman" w:hAnsi="Times New Roman" w:cs="Times New Roman"/>
          <w:sz w:val="24"/>
          <w:szCs w:val="24"/>
        </w:rPr>
      </w:pPr>
    </w:p>
    <w:p w14:paraId="3EA3F803" w14:textId="77777777" w:rsidR="00CE796A" w:rsidRPr="00D52346" w:rsidRDefault="00CE796A" w:rsidP="00D52346">
      <w:pPr>
        <w:keepLines/>
        <w:tabs>
          <w:tab w:val="left" w:pos="0"/>
          <w:tab w:val="right" w:pos="2457"/>
          <w:tab w:val="right" w:pos="3861"/>
        </w:tabs>
        <w:autoSpaceDE w:val="0"/>
        <w:autoSpaceDN w:val="0"/>
        <w:adjustRightInd w:val="0"/>
        <w:spacing w:after="0" w:line="240" w:lineRule="auto"/>
        <w:jc w:val="both"/>
        <w:rPr>
          <w:rFonts w:ascii="Times New Roman" w:hAnsi="Times New Roman" w:cs="Times New Roman"/>
          <w:sz w:val="24"/>
          <w:szCs w:val="24"/>
        </w:rPr>
      </w:pPr>
      <w:r w:rsidRPr="00D52346">
        <w:rPr>
          <w:rFonts w:ascii="Times New Roman" w:hAnsi="Times New Roman" w:cs="Times New Roman"/>
          <w:noProof/>
          <w:sz w:val="24"/>
          <w:szCs w:val="24"/>
        </w:rPr>
        <w:drawing>
          <wp:inline distT="0" distB="0" distL="0" distR="0" wp14:anchorId="1E559C3F" wp14:editId="5557CCD7">
            <wp:extent cx="5619750" cy="2733675"/>
            <wp:effectExtent l="0" t="0" r="0" b="0"/>
            <wp:docPr id="7" name="Chart 7">
              <a:extLst xmlns:a="http://schemas.openxmlformats.org/drawingml/2006/main">
                <a:ext uri="{FF2B5EF4-FFF2-40B4-BE49-F238E27FC236}">
                  <a16:creationId xmlns:a16="http://schemas.microsoft.com/office/drawing/2014/main" id="{ED3C41B7-8230-418A-AC13-83E4FA1D8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6E72B7" w14:textId="77F2C968" w:rsidR="00CE796A" w:rsidRPr="00D52346" w:rsidRDefault="00CE796A" w:rsidP="00D52346">
      <w:pPr>
        <w:pStyle w:val="Caption"/>
        <w:rPr>
          <w:rFonts w:cs="Times New Roman"/>
          <w:bCs/>
          <w:szCs w:val="24"/>
        </w:rPr>
      </w:pPr>
      <w:bookmarkStart w:id="13" w:name="_Toc144869131"/>
      <w:r w:rsidRPr="00D52346">
        <w:rPr>
          <w:rFonts w:cs="Times New Roman"/>
          <w:szCs w:val="24"/>
        </w:rPr>
        <w:t xml:space="preserve">Figure </w:t>
      </w:r>
      <w:r w:rsidR="007051E6">
        <w:rPr>
          <w:rFonts w:cs="Times New Roman"/>
          <w:szCs w:val="24"/>
        </w:rPr>
        <w:t>9</w:t>
      </w:r>
      <w:r w:rsidRPr="00D52346">
        <w:rPr>
          <w:rFonts w:cs="Times New Roman"/>
          <w:bCs/>
          <w:szCs w:val="24"/>
        </w:rPr>
        <w:t xml:space="preserve">: </w:t>
      </w:r>
      <w:r w:rsidRPr="00327F82">
        <w:rPr>
          <w:rFonts w:cs="Times New Roman"/>
          <w:b w:val="0"/>
          <w:szCs w:val="24"/>
        </w:rPr>
        <w:t>Effect of Irrigation Regimes on Yield Production</w:t>
      </w:r>
      <w:bookmarkEnd w:id="13"/>
      <w:r w:rsidR="00F456AC" w:rsidRPr="00327F82">
        <w:rPr>
          <w:rFonts w:cs="Times New Roman"/>
          <w:b w:val="0"/>
          <w:szCs w:val="24"/>
        </w:rPr>
        <w:t xml:space="preserve"> (ton/ha)</w:t>
      </w:r>
    </w:p>
    <w:p w14:paraId="4D32C98F" w14:textId="77777777" w:rsidR="00CE796A" w:rsidRPr="00D52346" w:rsidRDefault="00CE796A" w:rsidP="00D52346">
      <w:pPr>
        <w:spacing w:line="240" w:lineRule="auto"/>
        <w:jc w:val="both"/>
        <w:rPr>
          <w:rFonts w:ascii="Times New Roman" w:hAnsi="Times New Roman" w:cs="Times New Roman"/>
          <w:noProof/>
          <w:sz w:val="24"/>
          <w:szCs w:val="24"/>
        </w:rPr>
      </w:pPr>
      <w:r w:rsidRPr="00D52346">
        <w:rPr>
          <w:rFonts w:ascii="Times New Roman" w:hAnsi="Times New Roman" w:cs="Times New Roman"/>
          <w:noProof/>
          <w:sz w:val="24"/>
          <w:szCs w:val="24"/>
        </w:rPr>
        <w:drawing>
          <wp:inline distT="0" distB="0" distL="0" distR="0" wp14:anchorId="245A378A" wp14:editId="2E4A42A5">
            <wp:extent cx="5781675" cy="3333750"/>
            <wp:effectExtent l="0" t="0" r="0" b="0"/>
            <wp:docPr id="18" name="Chart 18">
              <a:extLst xmlns:a="http://schemas.openxmlformats.org/drawingml/2006/main">
                <a:ext uri="{FF2B5EF4-FFF2-40B4-BE49-F238E27FC236}">
                  <a16:creationId xmlns:a16="http://schemas.microsoft.com/office/drawing/2014/main" id="{4D9C615E-6984-44A4-BA02-B80B7A590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6B42E6" w14:textId="758D10CF" w:rsidR="00CE796A" w:rsidRPr="00D52346" w:rsidRDefault="00CE796A" w:rsidP="00D52346">
      <w:pPr>
        <w:pStyle w:val="Caption"/>
        <w:rPr>
          <w:rFonts w:cs="Times New Roman"/>
          <w:bCs/>
          <w:szCs w:val="24"/>
        </w:rPr>
      </w:pPr>
      <w:bookmarkStart w:id="14" w:name="_Toc144869132"/>
      <w:r w:rsidRPr="00D52346">
        <w:rPr>
          <w:rFonts w:cs="Times New Roman"/>
          <w:szCs w:val="24"/>
        </w:rPr>
        <w:lastRenderedPageBreak/>
        <w:t xml:space="preserve">Figure </w:t>
      </w:r>
      <w:r w:rsidR="00CB4432">
        <w:rPr>
          <w:rFonts w:cs="Times New Roman"/>
          <w:szCs w:val="24"/>
        </w:rPr>
        <w:t>10</w:t>
      </w:r>
      <w:r w:rsidRPr="00D52346">
        <w:rPr>
          <w:rFonts w:cs="Times New Roman"/>
          <w:bCs/>
          <w:szCs w:val="24"/>
        </w:rPr>
        <w:t xml:space="preserve">: </w:t>
      </w:r>
      <w:r w:rsidRPr="00327F82">
        <w:rPr>
          <w:rFonts w:cs="Times New Roman"/>
          <w:b w:val="0"/>
          <w:szCs w:val="24"/>
        </w:rPr>
        <w:t>Effect of Soil Amendment on Yield Production</w:t>
      </w:r>
      <w:bookmarkEnd w:id="14"/>
      <w:r w:rsidRPr="00D52346">
        <w:rPr>
          <w:rFonts w:cs="Times New Roman"/>
          <w:bCs/>
          <w:szCs w:val="24"/>
        </w:rPr>
        <w:t xml:space="preserve">  </w:t>
      </w:r>
    </w:p>
    <w:p w14:paraId="44097EBD" w14:textId="77777777" w:rsidR="00C417F7" w:rsidRPr="00C417F7" w:rsidRDefault="00C417F7" w:rsidP="00C417F7">
      <w:pPr>
        <w:spacing w:before="100" w:beforeAutospacing="1" w:after="0" w:line="240" w:lineRule="auto"/>
        <w:jc w:val="both"/>
        <w:rPr>
          <w:rFonts w:ascii="Times New Roman" w:eastAsia="Times New Roman" w:hAnsi="Times New Roman" w:cs="Times New Roman"/>
          <w:sz w:val="24"/>
          <w:szCs w:val="24"/>
        </w:rPr>
      </w:pPr>
      <w:bookmarkStart w:id="15" w:name="_Toc144459993"/>
      <w:r w:rsidRPr="00C417F7">
        <w:rPr>
          <w:rFonts w:ascii="Times New Roman" w:eastAsia="Times New Roman" w:hAnsi="Times New Roman" w:cs="Times New Roman"/>
          <w:b/>
          <w:bCs/>
          <w:sz w:val="24"/>
          <w:szCs w:val="24"/>
        </w:rPr>
        <w:t>Interaction Effect Between Irrigation Regimes and Soil Amendments on Yield</w:t>
      </w:r>
    </w:p>
    <w:p w14:paraId="03FA56FB" w14:textId="001231E9" w:rsidR="00C417F7" w:rsidRPr="00C417F7" w:rsidRDefault="00C417F7" w:rsidP="00B51A5D">
      <w:pPr>
        <w:spacing w:after="100" w:afterAutospacing="1" w:line="240" w:lineRule="auto"/>
        <w:jc w:val="both"/>
        <w:rPr>
          <w:rFonts w:ascii="Times New Roman" w:eastAsia="Times New Roman" w:hAnsi="Times New Roman" w:cs="Times New Roman"/>
          <w:sz w:val="24"/>
          <w:szCs w:val="24"/>
        </w:rPr>
      </w:pPr>
      <w:r w:rsidRPr="00C417F7">
        <w:rPr>
          <w:rFonts w:ascii="Times New Roman" w:eastAsia="Times New Roman" w:hAnsi="Times New Roman" w:cs="Times New Roman"/>
          <w:sz w:val="24"/>
          <w:szCs w:val="24"/>
        </w:rPr>
        <w:t xml:space="preserve">The interaction between irrigation regimes and soil amendment techniques had a notable effect on yield production. The highest yield (27.79 tons/ha) was recorded under full irrigation combined with the application of both biochar and poultry manure, closely followed by regulated deficit irrigation combined with the same soil amendments (27.75 tons/ha). In contrast, the lowest yield (5.42 tons/ha) was observed in the sustained deficit irrigation treatment without any soil amendments (no biochar or poultry manure). These findings are presented in Table </w:t>
      </w:r>
      <w:r w:rsidR="00C3639C">
        <w:rPr>
          <w:rFonts w:ascii="Times New Roman" w:eastAsia="Times New Roman" w:hAnsi="Times New Roman" w:cs="Times New Roman"/>
          <w:sz w:val="24"/>
          <w:szCs w:val="24"/>
        </w:rPr>
        <w:t>3</w:t>
      </w:r>
      <w:r w:rsidRPr="00C417F7">
        <w:rPr>
          <w:rFonts w:ascii="Times New Roman" w:eastAsia="Times New Roman" w:hAnsi="Times New Roman" w:cs="Times New Roman"/>
          <w:sz w:val="24"/>
          <w:szCs w:val="24"/>
        </w:rPr>
        <w:t xml:space="preserve"> and highlight the synergistic effect of combining proper irrigation management with organic soil amendments.</w:t>
      </w:r>
      <w:r w:rsidR="00B51A5D">
        <w:rPr>
          <w:rFonts w:ascii="Times New Roman" w:eastAsia="Times New Roman" w:hAnsi="Times New Roman" w:cs="Times New Roman"/>
          <w:sz w:val="24"/>
          <w:szCs w:val="24"/>
        </w:rPr>
        <w:t xml:space="preserve"> </w:t>
      </w:r>
      <w:r w:rsidRPr="00C417F7">
        <w:rPr>
          <w:rFonts w:ascii="Times New Roman" w:eastAsia="Times New Roman" w:hAnsi="Times New Roman" w:cs="Times New Roman"/>
          <w:sz w:val="24"/>
          <w:szCs w:val="24"/>
        </w:rPr>
        <w:t xml:space="preserve">This trend aligns with the findings of </w:t>
      </w:r>
      <w:proofErr w:type="spellStart"/>
      <w:r w:rsidRPr="00C417F7">
        <w:rPr>
          <w:rFonts w:ascii="Times New Roman" w:eastAsia="Times New Roman" w:hAnsi="Times New Roman" w:cs="Times New Roman"/>
          <w:sz w:val="24"/>
          <w:szCs w:val="24"/>
        </w:rPr>
        <w:t>Ikeh</w:t>
      </w:r>
      <w:proofErr w:type="spellEnd"/>
      <w:r w:rsidRPr="00C417F7">
        <w:rPr>
          <w:rFonts w:ascii="Times New Roman" w:eastAsia="Times New Roman" w:hAnsi="Times New Roman" w:cs="Times New Roman"/>
          <w:sz w:val="24"/>
          <w:szCs w:val="24"/>
        </w:rPr>
        <w:t xml:space="preserve"> and Akpan (2018), who reported the highest garden egg yield (26.80 tons/ha) from the interaction between full irrigation and mulching, while the lowest yield (4.16 tons/ha) was obtained in plots without irrigation and mulching. These results emphasize the importance of integrated management practices such as combining optimized irrigation strategies with soil fertility enhancement to maximize crop productivity.</w:t>
      </w:r>
    </w:p>
    <w:p w14:paraId="722C5FE8" w14:textId="692D9F8D" w:rsidR="00CE796A" w:rsidRPr="003717FD" w:rsidRDefault="00CE796A" w:rsidP="00CA0547">
      <w:pPr>
        <w:pStyle w:val="Caption"/>
        <w:spacing w:after="0"/>
        <w:rPr>
          <w:rFonts w:cs="Times New Roman"/>
          <w:b w:val="0"/>
          <w:bCs/>
          <w:sz w:val="22"/>
          <w:szCs w:val="22"/>
        </w:rPr>
      </w:pPr>
      <w:r w:rsidRPr="003717FD">
        <w:rPr>
          <w:rFonts w:cs="Times New Roman"/>
          <w:sz w:val="22"/>
          <w:szCs w:val="22"/>
        </w:rPr>
        <w:t xml:space="preserve">Table </w:t>
      </w:r>
      <w:r w:rsidR="002E02D4" w:rsidRPr="003717FD">
        <w:rPr>
          <w:rFonts w:cs="Times New Roman"/>
          <w:sz w:val="22"/>
          <w:szCs w:val="22"/>
        </w:rPr>
        <w:t>3</w:t>
      </w:r>
      <w:r w:rsidRPr="003717FD">
        <w:rPr>
          <w:rFonts w:cs="Times New Roman"/>
          <w:sz w:val="22"/>
          <w:szCs w:val="22"/>
        </w:rPr>
        <w:t>:</w:t>
      </w:r>
      <w:r w:rsidRPr="003717FD">
        <w:rPr>
          <w:rFonts w:cs="Times New Roman"/>
          <w:bCs/>
          <w:sz w:val="22"/>
          <w:szCs w:val="22"/>
        </w:rPr>
        <w:t xml:space="preserve"> </w:t>
      </w:r>
      <w:bookmarkEnd w:id="15"/>
      <w:r w:rsidR="00FC727C" w:rsidRPr="003717FD">
        <w:rPr>
          <w:rFonts w:cs="Times New Roman"/>
          <w:bCs/>
          <w:sz w:val="22"/>
          <w:szCs w:val="22"/>
        </w:rPr>
        <w:t>Interaction Effect Between Irrigation Regimes and Soil Amendments on Yield</w:t>
      </w:r>
      <w:r w:rsidR="003717FD" w:rsidRPr="003717FD">
        <w:rPr>
          <w:rFonts w:cs="Times New Roman"/>
          <w:bCs/>
          <w:sz w:val="22"/>
          <w:szCs w:val="22"/>
        </w:rPr>
        <w:t xml:space="preserve"> (ton/ha)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38"/>
        <w:gridCol w:w="1103"/>
        <w:gridCol w:w="2119"/>
        <w:gridCol w:w="2243"/>
      </w:tblGrid>
      <w:tr w:rsidR="00CE796A" w:rsidRPr="00D52346" w14:paraId="5A0282C0" w14:textId="77777777" w:rsidTr="00FC727C">
        <w:trPr>
          <w:trHeight w:val="287"/>
        </w:trPr>
        <w:tc>
          <w:tcPr>
            <w:tcW w:w="1950" w:type="dxa"/>
            <w:tcBorders>
              <w:top w:val="single" w:sz="4" w:space="0" w:color="auto"/>
              <w:bottom w:val="single" w:sz="4" w:space="0" w:color="auto"/>
              <w:tl2br w:val="single" w:sz="4" w:space="0" w:color="auto"/>
            </w:tcBorders>
          </w:tcPr>
          <w:p w14:paraId="2B6830C8"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        Fertilizer</w:t>
            </w:r>
          </w:p>
          <w:p w14:paraId="572438E7" w14:textId="77777777" w:rsidR="00CE796A" w:rsidRPr="00D52346" w:rsidRDefault="00CE796A" w:rsidP="00FC727C">
            <w:pPr>
              <w:jc w:val="both"/>
              <w:rPr>
                <w:rFonts w:ascii="Times New Roman" w:hAnsi="Times New Roman" w:cs="Times New Roman"/>
                <w:sz w:val="24"/>
                <w:szCs w:val="24"/>
              </w:rPr>
            </w:pPr>
          </w:p>
          <w:p w14:paraId="23A7E45D"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Irrigation </w:t>
            </w:r>
          </w:p>
        </w:tc>
        <w:tc>
          <w:tcPr>
            <w:tcW w:w="1938" w:type="dxa"/>
            <w:tcBorders>
              <w:top w:val="single" w:sz="4" w:space="0" w:color="auto"/>
              <w:bottom w:val="single" w:sz="4" w:space="0" w:color="auto"/>
            </w:tcBorders>
          </w:tcPr>
          <w:p w14:paraId="7AF09395" w14:textId="77777777" w:rsidR="00CE796A" w:rsidRPr="00D52346" w:rsidRDefault="00CE796A" w:rsidP="00FC727C">
            <w:pPr>
              <w:rPr>
                <w:rFonts w:ascii="Times New Roman" w:hAnsi="Times New Roman" w:cs="Times New Roman"/>
                <w:b/>
                <w:bCs/>
                <w:sz w:val="24"/>
                <w:szCs w:val="24"/>
              </w:rPr>
            </w:pPr>
            <w:r w:rsidRPr="00D52346">
              <w:rPr>
                <w:rFonts w:ascii="Times New Roman" w:hAnsi="Times New Roman" w:cs="Times New Roman"/>
                <w:b/>
                <w:bCs/>
                <w:sz w:val="24"/>
                <w:szCs w:val="24"/>
              </w:rPr>
              <w:t>No Biochar no Poultry manure</w:t>
            </w:r>
          </w:p>
        </w:tc>
        <w:tc>
          <w:tcPr>
            <w:tcW w:w="1103" w:type="dxa"/>
            <w:tcBorders>
              <w:top w:val="single" w:sz="4" w:space="0" w:color="auto"/>
              <w:bottom w:val="single" w:sz="4" w:space="0" w:color="auto"/>
            </w:tcBorders>
          </w:tcPr>
          <w:p w14:paraId="7A5AA620"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Biochar</w:t>
            </w:r>
          </w:p>
        </w:tc>
        <w:tc>
          <w:tcPr>
            <w:tcW w:w="2119" w:type="dxa"/>
            <w:tcBorders>
              <w:top w:val="single" w:sz="4" w:space="0" w:color="auto"/>
              <w:bottom w:val="single" w:sz="4" w:space="0" w:color="auto"/>
            </w:tcBorders>
          </w:tcPr>
          <w:p w14:paraId="02A40227"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Poultry manure</w:t>
            </w:r>
          </w:p>
        </w:tc>
        <w:tc>
          <w:tcPr>
            <w:tcW w:w="2243" w:type="dxa"/>
            <w:tcBorders>
              <w:top w:val="single" w:sz="4" w:space="0" w:color="auto"/>
              <w:bottom w:val="single" w:sz="4" w:space="0" w:color="auto"/>
            </w:tcBorders>
          </w:tcPr>
          <w:p w14:paraId="68F354A1" w14:textId="77777777" w:rsidR="00CE796A" w:rsidRPr="00D52346" w:rsidRDefault="00CE796A" w:rsidP="00FC727C">
            <w:pPr>
              <w:rPr>
                <w:rFonts w:ascii="Times New Roman" w:hAnsi="Times New Roman" w:cs="Times New Roman"/>
                <w:b/>
                <w:bCs/>
                <w:sz w:val="24"/>
                <w:szCs w:val="24"/>
              </w:rPr>
            </w:pPr>
            <w:r w:rsidRPr="00D52346">
              <w:rPr>
                <w:rFonts w:ascii="Times New Roman" w:hAnsi="Times New Roman" w:cs="Times New Roman"/>
                <w:b/>
                <w:bCs/>
                <w:sz w:val="24"/>
                <w:szCs w:val="24"/>
              </w:rPr>
              <w:t xml:space="preserve">Poultry Manure and Biochar </w:t>
            </w:r>
          </w:p>
        </w:tc>
      </w:tr>
      <w:tr w:rsidR="00CE796A" w:rsidRPr="00D52346" w14:paraId="3EC423D7" w14:textId="77777777" w:rsidTr="00FC727C">
        <w:tc>
          <w:tcPr>
            <w:tcW w:w="1950" w:type="dxa"/>
            <w:tcBorders>
              <w:top w:val="single" w:sz="4" w:space="0" w:color="auto"/>
            </w:tcBorders>
          </w:tcPr>
          <w:p w14:paraId="2D5EDD90"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Sustained deficit at 70 % CWR</w:t>
            </w:r>
          </w:p>
        </w:tc>
        <w:tc>
          <w:tcPr>
            <w:tcW w:w="1938" w:type="dxa"/>
            <w:tcBorders>
              <w:top w:val="single" w:sz="4" w:space="0" w:color="auto"/>
            </w:tcBorders>
          </w:tcPr>
          <w:p w14:paraId="2B66A0AD"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5.41d</w:t>
            </w:r>
          </w:p>
        </w:tc>
        <w:tc>
          <w:tcPr>
            <w:tcW w:w="1103" w:type="dxa"/>
            <w:tcBorders>
              <w:top w:val="single" w:sz="4" w:space="0" w:color="auto"/>
            </w:tcBorders>
          </w:tcPr>
          <w:p w14:paraId="1B2ECBA4"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12.88bcd</w:t>
            </w:r>
          </w:p>
        </w:tc>
        <w:tc>
          <w:tcPr>
            <w:tcW w:w="2119" w:type="dxa"/>
            <w:tcBorders>
              <w:top w:val="single" w:sz="4" w:space="0" w:color="auto"/>
            </w:tcBorders>
          </w:tcPr>
          <w:p w14:paraId="6D470E4B"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13.53bcd</w:t>
            </w:r>
          </w:p>
        </w:tc>
        <w:tc>
          <w:tcPr>
            <w:tcW w:w="2243" w:type="dxa"/>
            <w:tcBorders>
              <w:top w:val="single" w:sz="4" w:space="0" w:color="auto"/>
            </w:tcBorders>
          </w:tcPr>
          <w:p w14:paraId="59FC4A88"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14.48bc</w:t>
            </w:r>
          </w:p>
        </w:tc>
      </w:tr>
      <w:tr w:rsidR="00CE796A" w:rsidRPr="00D52346" w14:paraId="35377E88" w14:textId="77777777" w:rsidTr="00FC727C">
        <w:tc>
          <w:tcPr>
            <w:tcW w:w="1950" w:type="dxa"/>
          </w:tcPr>
          <w:p w14:paraId="5C9C6CB7"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Regulated deficit at 70 % CWR</w:t>
            </w:r>
          </w:p>
        </w:tc>
        <w:tc>
          <w:tcPr>
            <w:tcW w:w="1938" w:type="dxa"/>
          </w:tcPr>
          <w:p w14:paraId="780397AC" w14:textId="77777777" w:rsidR="00CE796A" w:rsidRPr="00D52346" w:rsidRDefault="00CE796A" w:rsidP="00FC727C">
            <w:pPr>
              <w:jc w:val="both"/>
              <w:rPr>
                <w:rFonts w:ascii="Times New Roman" w:hAnsi="Times New Roman" w:cs="Times New Roman"/>
                <w:sz w:val="24"/>
                <w:szCs w:val="24"/>
              </w:rPr>
            </w:pPr>
          </w:p>
          <w:p w14:paraId="3CDE909B"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6.55cd</w:t>
            </w:r>
          </w:p>
        </w:tc>
        <w:tc>
          <w:tcPr>
            <w:tcW w:w="1103" w:type="dxa"/>
          </w:tcPr>
          <w:p w14:paraId="415E4C2C" w14:textId="77777777" w:rsidR="00CE796A" w:rsidRPr="00D52346" w:rsidRDefault="00CE796A" w:rsidP="00FC727C">
            <w:pPr>
              <w:jc w:val="both"/>
              <w:rPr>
                <w:rFonts w:ascii="Times New Roman" w:hAnsi="Times New Roman" w:cs="Times New Roman"/>
                <w:sz w:val="24"/>
                <w:szCs w:val="24"/>
              </w:rPr>
            </w:pPr>
          </w:p>
          <w:p w14:paraId="599D00DC"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15.07bc</w:t>
            </w:r>
          </w:p>
        </w:tc>
        <w:tc>
          <w:tcPr>
            <w:tcW w:w="2119" w:type="dxa"/>
          </w:tcPr>
          <w:p w14:paraId="7736DFB2" w14:textId="77777777" w:rsidR="00CE796A" w:rsidRPr="00D52346" w:rsidRDefault="00CE796A" w:rsidP="00FC727C">
            <w:pPr>
              <w:jc w:val="both"/>
              <w:rPr>
                <w:rFonts w:ascii="Times New Roman" w:hAnsi="Times New Roman" w:cs="Times New Roman"/>
                <w:sz w:val="24"/>
                <w:szCs w:val="24"/>
              </w:rPr>
            </w:pPr>
          </w:p>
          <w:p w14:paraId="0F309F76"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15.87bc</w:t>
            </w:r>
          </w:p>
        </w:tc>
        <w:tc>
          <w:tcPr>
            <w:tcW w:w="2243" w:type="dxa"/>
          </w:tcPr>
          <w:p w14:paraId="576225A4" w14:textId="77777777" w:rsidR="00CE796A" w:rsidRPr="00D52346" w:rsidRDefault="00CE796A" w:rsidP="00FC727C">
            <w:pPr>
              <w:jc w:val="both"/>
              <w:rPr>
                <w:rFonts w:ascii="Times New Roman" w:hAnsi="Times New Roman" w:cs="Times New Roman"/>
                <w:sz w:val="24"/>
                <w:szCs w:val="24"/>
              </w:rPr>
            </w:pPr>
          </w:p>
          <w:p w14:paraId="6B4AF21F"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27.75a</w:t>
            </w:r>
          </w:p>
        </w:tc>
      </w:tr>
      <w:tr w:rsidR="00CE796A" w:rsidRPr="00D52346" w14:paraId="5CA9854F" w14:textId="77777777" w:rsidTr="00FC727C">
        <w:tc>
          <w:tcPr>
            <w:tcW w:w="1950" w:type="dxa"/>
            <w:tcBorders>
              <w:bottom w:val="single" w:sz="4" w:space="0" w:color="auto"/>
            </w:tcBorders>
          </w:tcPr>
          <w:p w14:paraId="260170E4"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 xml:space="preserve">Full irrigation </w:t>
            </w:r>
          </w:p>
          <w:p w14:paraId="20549CFE"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at 100 % CWR</w:t>
            </w:r>
          </w:p>
        </w:tc>
        <w:tc>
          <w:tcPr>
            <w:tcW w:w="1938" w:type="dxa"/>
            <w:tcBorders>
              <w:bottom w:val="single" w:sz="4" w:space="0" w:color="auto"/>
            </w:tcBorders>
          </w:tcPr>
          <w:p w14:paraId="69177EA8" w14:textId="77777777" w:rsidR="00CE796A" w:rsidRPr="00D52346" w:rsidRDefault="00CE796A" w:rsidP="00FC727C">
            <w:pPr>
              <w:jc w:val="both"/>
              <w:rPr>
                <w:rFonts w:ascii="Times New Roman" w:hAnsi="Times New Roman" w:cs="Times New Roman"/>
                <w:sz w:val="24"/>
                <w:szCs w:val="24"/>
              </w:rPr>
            </w:pPr>
          </w:p>
          <w:p w14:paraId="4562F0B0"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6.57cd</w:t>
            </w:r>
          </w:p>
        </w:tc>
        <w:tc>
          <w:tcPr>
            <w:tcW w:w="1103" w:type="dxa"/>
            <w:tcBorders>
              <w:bottom w:val="single" w:sz="4" w:space="0" w:color="auto"/>
            </w:tcBorders>
          </w:tcPr>
          <w:p w14:paraId="7FB85ADD" w14:textId="77777777" w:rsidR="00CE796A" w:rsidRPr="00D52346" w:rsidRDefault="00CE796A" w:rsidP="00FC727C">
            <w:pPr>
              <w:jc w:val="both"/>
              <w:rPr>
                <w:rFonts w:ascii="Times New Roman" w:hAnsi="Times New Roman" w:cs="Times New Roman"/>
                <w:sz w:val="24"/>
                <w:szCs w:val="24"/>
              </w:rPr>
            </w:pPr>
          </w:p>
          <w:p w14:paraId="5E82C2B3"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15.15b</w:t>
            </w:r>
          </w:p>
        </w:tc>
        <w:tc>
          <w:tcPr>
            <w:tcW w:w="2119" w:type="dxa"/>
            <w:tcBorders>
              <w:bottom w:val="single" w:sz="4" w:space="0" w:color="auto"/>
            </w:tcBorders>
          </w:tcPr>
          <w:p w14:paraId="597434F4" w14:textId="77777777" w:rsidR="00CE796A" w:rsidRPr="00D52346" w:rsidRDefault="00CE796A" w:rsidP="00FC727C">
            <w:pPr>
              <w:jc w:val="both"/>
              <w:rPr>
                <w:rFonts w:ascii="Times New Roman" w:hAnsi="Times New Roman" w:cs="Times New Roman"/>
                <w:sz w:val="24"/>
                <w:szCs w:val="24"/>
              </w:rPr>
            </w:pPr>
          </w:p>
          <w:p w14:paraId="5A204C01"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16.03b</w:t>
            </w:r>
          </w:p>
        </w:tc>
        <w:tc>
          <w:tcPr>
            <w:tcW w:w="2243" w:type="dxa"/>
            <w:tcBorders>
              <w:bottom w:val="single" w:sz="4" w:space="0" w:color="auto"/>
            </w:tcBorders>
          </w:tcPr>
          <w:p w14:paraId="2410BAA0" w14:textId="77777777" w:rsidR="00CE796A" w:rsidRPr="00D52346" w:rsidRDefault="00CE796A" w:rsidP="00FC727C">
            <w:pPr>
              <w:jc w:val="both"/>
              <w:rPr>
                <w:rFonts w:ascii="Times New Roman" w:hAnsi="Times New Roman" w:cs="Times New Roman"/>
                <w:sz w:val="24"/>
                <w:szCs w:val="24"/>
              </w:rPr>
            </w:pPr>
          </w:p>
          <w:p w14:paraId="30D4540F"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27.79a</w:t>
            </w:r>
          </w:p>
        </w:tc>
      </w:tr>
      <w:tr w:rsidR="00CE796A" w:rsidRPr="00D52346" w14:paraId="38B48D75" w14:textId="77777777" w:rsidTr="00FC727C">
        <w:tc>
          <w:tcPr>
            <w:tcW w:w="1950" w:type="dxa"/>
            <w:tcBorders>
              <w:top w:val="single" w:sz="4" w:space="0" w:color="auto"/>
              <w:bottom w:val="single" w:sz="4" w:space="0" w:color="auto"/>
            </w:tcBorders>
          </w:tcPr>
          <w:p w14:paraId="6E6C1AF0"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LSD</w:t>
            </w:r>
          </w:p>
          <w:p w14:paraId="445250F7"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P Value</w:t>
            </w:r>
          </w:p>
        </w:tc>
        <w:tc>
          <w:tcPr>
            <w:tcW w:w="1938" w:type="dxa"/>
            <w:tcBorders>
              <w:top w:val="single" w:sz="4" w:space="0" w:color="auto"/>
              <w:bottom w:val="single" w:sz="4" w:space="0" w:color="auto"/>
            </w:tcBorders>
          </w:tcPr>
          <w:p w14:paraId="24F8DD3D" w14:textId="77777777" w:rsidR="00CE796A" w:rsidRPr="00D52346" w:rsidRDefault="00CE796A" w:rsidP="00FC727C">
            <w:pPr>
              <w:jc w:val="both"/>
              <w:rPr>
                <w:rFonts w:ascii="Times New Roman" w:hAnsi="Times New Roman" w:cs="Times New Roman"/>
                <w:sz w:val="24"/>
                <w:szCs w:val="24"/>
              </w:rPr>
            </w:pPr>
          </w:p>
        </w:tc>
        <w:tc>
          <w:tcPr>
            <w:tcW w:w="1103" w:type="dxa"/>
            <w:tcBorders>
              <w:top w:val="single" w:sz="4" w:space="0" w:color="auto"/>
              <w:bottom w:val="single" w:sz="4" w:space="0" w:color="auto"/>
            </w:tcBorders>
          </w:tcPr>
          <w:p w14:paraId="7A4C27E7"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7.99</w:t>
            </w:r>
          </w:p>
          <w:p w14:paraId="56A3B257"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0.23</w:t>
            </w:r>
          </w:p>
        </w:tc>
        <w:tc>
          <w:tcPr>
            <w:tcW w:w="2119" w:type="dxa"/>
            <w:tcBorders>
              <w:top w:val="single" w:sz="4" w:space="0" w:color="auto"/>
              <w:bottom w:val="single" w:sz="4" w:space="0" w:color="auto"/>
            </w:tcBorders>
          </w:tcPr>
          <w:p w14:paraId="60FDA352" w14:textId="77777777" w:rsidR="00CE796A" w:rsidRPr="00D52346" w:rsidRDefault="00CE796A" w:rsidP="00FC727C">
            <w:pPr>
              <w:jc w:val="both"/>
              <w:rPr>
                <w:rFonts w:ascii="Times New Roman" w:hAnsi="Times New Roman" w:cs="Times New Roman"/>
                <w:sz w:val="24"/>
                <w:szCs w:val="24"/>
              </w:rPr>
            </w:pPr>
          </w:p>
        </w:tc>
        <w:tc>
          <w:tcPr>
            <w:tcW w:w="2243" w:type="dxa"/>
            <w:tcBorders>
              <w:top w:val="single" w:sz="4" w:space="0" w:color="auto"/>
              <w:bottom w:val="single" w:sz="4" w:space="0" w:color="auto"/>
            </w:tcBorders>
          </w:tcPr>
          <w:p w14:paraId="7D6F7A52" w14:textId="77777777" w:rsidR="00CE796A" w:rsidRPr="00D52346" w:rsidRDefault="00CE796A" w:rsidP="00FC727C">
            <w:pPr>
              <w:jc w:val="both"/>
              <w:rPr>
                <w:rFonts w:ascii="Times New Roman" w:hAnsi="Times New Roman" w:cs="Times New Roman"/>
                <w:sz w:val="24"/>
                <w:szCs w:val="24"/>
              </w:rPr>
            </w:pPr>
          </w:p>
        </w:tc>
      </w:tr>
    </w:tbl>
    <w:p w14:paraId="01A38A1D" w14:textId="72AEAEC9" w:rsidR="00CE796A" w:rsidRPr="00D52346" w:rsidRDefault="00CE796A" w:rsidP="00D52346">
      <w:pPr>
        <w:spacing w:line="240" w:lineRule="auto"/>
        <w:jc w:val="both"/>
        <w:rPr>
          <w:rFonts w:ascii="Times New Roman" w:hAnsi="Times New Roman" w:cs="Times New Roman"/>
          <w:b/>
          <w:bCs/>
          <w:i/>
          <w:iCs/>
          <w:sz w:val="24"/>
          <w:szCs w:val="24"/>
        </w:rPr>
      </w:pPr>
      <w:r w:rsidRPr="00D52346">
        <w:rPr>
          <w:rFonts w:ascii="Times New Roman" w:hAnsi="Times New Roman" w:cs="Times New Roman"/>
          <w:b/>
          <w:bCs/>
          <w:i/>
          <w:iCs/>
          <w:sz w:val="24"/>
          <w:szCs w:val="24"/>
        </w:rPr>
        <w:t>(Means that do not share same letter are significant</w:t>
      </w:r>
      <w:r w:rsidR="005C2BD9">
        <w:rPr>
          <w:rFonts w:ascii="Times New Roman" w:hAnsi="Times New Roman" w:cs="Times New Roman"/>
          <w:b/>
          <w:bCs/>
          <w:i/>
          <w:iCs/>
          <w:sz w:val="24"/>
          <w:szCs w:val="24"/>
        </w:rPr>
        <w:t>ly</w:t>
      </w:r>
      <w:r w:rsidRPr="00D52346">
        <w:rPr>
          <w:rFonts w:ascii="Times New Roman" w:hAnsi="Times New Roman" w:cs="Times New Roman"/>
          <w:b/>
          <w:bCs/>
          <w:i/>
          <w:iCs/>
          <w:sz w:val="24"/>
          <w:szCs w:val="24"/>
        </w:rPr>
        <w:t xml:space="preserve"> differen</w:t>
      </w:r>
      <w:r w:rsidR="005C2BD9">
        <w:rPr>
          <w:rFonts w:ascii="Times New Roman" w:hAnsi="Times New Roman" w:cs="Times New Roman"/>
          <w:b/>
          <w:bCs/>
          <w:i/>
          <w:iCs/>
          <w:sz w:val="24"/>
          <w:szCs w:val="24"/>
        </w:rPr>
        <w:t>t</w:t>
      </w:r>
      <w:r w:rsidRPr="00D52346">
        <w:rPr>
          <w:rFonts w:ascii="Times New Roman" w:hAnsi="Times New Roman" w:cs="Times New Roman"/>
          <w:b/>
          <w:bCs/>
          <w:i/>
          <w:iCs/>
          <w:sz w:val="24"/>
          <w:szCs w:val="24"/>
        </w:rPr>
        <w:t>)</w:t>
      </w:r>
    </w:p>
    <w:p w14:paraId="652685D1" w14:textId="77B40E55" w:rsidR="00310AAB" w:rsidRDefault="00310AAB" w:rsidP="00FE2BB9">
      <w:pPr>
        <w:spacing w:after="0" w:line="240" w:lineRule="auto"/>
        <w:jc w:val="both"/>
        <w:rPr>
          <w:rFonts w:ascii="Times New Roman" w:hAnsi="Times New Roman" w:cs="Times New Roman"/>
          <w:b/>
          <w:sz w:val="24"/>
          <w:szCs w:val="24"/>
        </w:rPr>
      </w:pPr>
      <w:r w:rsidRPr="00C3639C">
        <w:rPr>
          <w:rFonts w:ascii="Times New Roman" w:hAnsi="Times New Roman" w:cs="Times New Roman"/>
          <w:b/>
          <w:sz w:val="24"/>
          <w:szCs w:val="24"/>
        </w:rPr>
        <w:t>Effect of Irrigation Regimes on Water Use Efficiency</w:t>
      </w:r>
    </w:p>
    <w:p w14:paraId="18B7E9B8" w14:textId="5E009F9F" w:rsidR="00CB50CE" w:rsidRPr="00CB50CE" w:rsidRDefault="00CB50CE" w:rsidP="00FE2BB9">
      <w:pPr>
        <w:spacing w:after="0"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The total amount of water applied per treatment was calculated, with sustained deficit irrigation receiving 490.05 mm, regulated deficit irrigation 593.31 mm, and full irrigation 699.36 mm. Although the differences in water use efficiency (WUE) were not statistically significant (p = 0.48), as shown in Figure 11,</w:t>
      </w:r>
      <w:r w:rsidRPr="00CB50CE">
        <w:rPr>
          <w:rFonts w:ascii="Times New Roman" w:eastAsia="Times New Roman" w:hAnsi="Times New Roman" w:cs="Times New Roman"/>
          <w:color w:val="EE0000"/>
          <w:sz w:val="24"/>
          <w:szCs w:val="24"/>
        </w:rPr>
        <w:t xml:space="preserve"> </w:t>
      </w:r>
      <w:r w:rsidRPr="00CB50CE">
        <w:rPr>
          <w:rFonts w:ascii="Times New Roman" w:eastAsia="Times New Roman" w:hAnsi="Times New Roman" w:cs="Times New Roman"/>
          <w:sz w:val="24"/>
          <w:szCs w:val="24"/>
        </w:rPr>
        <w:t>notable trends were observed.</w:t>
      </w:r>
    </w:p>
    <w:p w14:paraId="628DE3E6"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At harvest, the highest WUE was recorded under regulated deficit irrigation (70% CWR), with a value of 2.83 kg/m³. This was followed by sustained deficit irrigation (2.47 kg/m³), while full irrigation (100% CWR) recorded the lowest WUE (2.44 kg/m³). The WUE under regulated deficit irrigation resulted in a 17.5% water saving compared to full irrigation, whereas sustained deficit irrigation achieved a marginal water saving of 0.86%.</w:t>
      </w:r>
    </w:p>
    <w:p w14:paraId="786CE743"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These findings are consistent with previous research. Karam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(2011) reported that implementing regulated water deficits by applying 80% of the crop water requirement during the vegetative, pre-flowering, and fruit ripening stages and it did not adversely affect eggplant yield. Similarly, Zhou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(2017) found that a 70% irrigation regime in peaches-maintained yield while improving fruit quality.</w:t>
      </w:r>
    </w:p>
    <w:p w14:paraId="04F0E716"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lastRenderedPageBreak/>
        <w:t xml:space="preserve">Further, </w:t>
      </w:r>
      <w:proofErr w:type="spellStart"/>
      <w:r w:rsidRPr="00CB50CE">
        <w:rPr>
          <w:rFonts w:ascii="Times New Roman" w:eastAsia="Times New Roman" w:hAnsi="Times New Roman" w:cs="Times New Roman"/>
          <w:sz w:val="24"/>
          <w:szCs w:val="24"/>
        </w:rPr>
        <w:t>Nurga</w:t>
      </w:r>
      <w:proofErr w:type="spellEnd"/>
      <w:r w:rsidRPr="00CB50CE">
        <w:rPr>
          <w:rFonts w:ascii="Times New Roman" w:eastAsia="Times New Roman" w:hAnsi="Times New Roman" w:cs="Times New Roman"/>
          <w:sz w:val="24"/>
          <w:szCs w:val="24"/>
        </w:rPr>
        <w:t xml:space="preserve">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(2020) demonstrated that deficit irrigation applied at non-critical stages (initial and maturation phases) in onions did not significantly reduce yield. </w:t>
      </w:r>
      <w:proofErr w:type="spellStart"/>
      <w:r w:rsidRPr="00CB50CE">
        <w:rPr>
          <w:rFonts w:ascii="Times New Roman" w:eastAsia="Times New Roman" w:hAnsi="Times New Roman" w:cs="Times New Roman"/>
          <w:sz w:val="24"/>
          <w:szCs w:val="24"/>
        </w:rPr>
        <w:t>Fereres</w:t>
      </w:r>
      <w:proofErr w:type="spellEnd"/>
      <w:r w:rsidRPr="00CB50CE">
        <w:rPr>
          <w:rFonts w:ascii="Times New Roman" w:eastAsia="Times New Roman" w:hAnsi="Times New Roman" w:cs="Times New Roman"/>
          <w:sz w:val="24"/>
          <w:szCs w:val="24"/>
        </w:rPr>
        <w:t xml:space="preserve"> and Soriano (2007) also reported that regulated deficit irrigation improved both water productivity and farm income for fruit and vine crops.</w:t>
      </w:r>
    </w:p>
    <w:p w14:paraId="605185A8" w14:textId="5196C9CA"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Overall, these findings suggest that regulated deficit irrigation, when properly timed to coincide with non-critical growth stages can enhance water use efficiency without compromising yield. Therefore, it is recommended to apply full irrigation during critical phenological stages and practice regulated deficit irrigation during less sensitive periods to optimize both </w:t>
      </w:r>
      <w:proofErr w:type="gramStart"/>
      <w:r w:rsidRPr="00CB50CE">
        <w:rPr>
          <w:rFonts w:ascii="Times New Roman" w:eastAsia="Times New Roman" w:hAnsi="Times New Roman" w:cs="Times New Roman"/>
          <w:sz w:val="24"/>
          <w:szCs w:val="24"/>
        </w:rPr>
        <w:t>water</w:t>
      </w:r>
      <w:proofErr w:type="gramEnd"/>
      <w:r w:rsidRPr="00CB50CE">
        <w:rPr>
          <w:rFonts w:ascii="Times New Roman" w:eastAsia="Times New Roman" w:hAnsi="Times New Roman" w:cs="Times New Roman"/>
          <w:sz w:val="24"/>
          <w:szCs w:val="24"/>
        </w:rPr>
        <w:t xml:space="preserve"> use and crop productivity.</w:t>
      </w:r>
    </w:p>
    <w:p w14:paraId="62B4014B" w14:textId="77777777" w:rsidR="00CE796A" w:rsidRPr="00D52346" w:rsidRDefault="00CE796A" w:rsidP="00D52346">
      <w:pPr>
        <w:spacing w:before="240" w:line="240" w:lineRule="auto"/>
        <w:jc w:val="both"/>
        <w:rPr>
          <w:rFonts w:ascii="Times New Roman" w:hAnsi="Times New Roman" w:cs="Times New Roman"/>
          <w:sz w:val="24"/>
          <w:szCs w:val="24"/>
        </w:rPr>
      </w:pPr>
      <w:r w:rsidRPr="00D52346">
        <w:rPr>
          <w:rFonts w:ascii="Times New Roman" w:hAnsi="Times New Roman" w:cs="Times New Roman"/>
          <w:noProof/>
          <w:sz w:val="24"/>
          <w:szCs w:val="24"/>
        </w:rPr>
        <w:drawing>
          <wp:inline distT="0" distB="0" distL="0" distR="0" wp14:anchorId="19513BE4" wp14:editId="5C734B48">
            <wp:extent cx="4819650" cy="2400300"/>
            <wp:effectExtent l="0" t="0" r="0" b="0"/>
            <wp:docPr id="3" name="Chart 3">
              <a:extLst xmlns:a="http://schemas.openxmlformats.org/drawingml/2006/main">
                <a:ext uri="{FF2B5EF4-FFF2-40B4-BE49-F238E27FC236}">
                  <a16:creationId xmlns:a16="http://schemas.microsoft.com/office/drawing/2014/main" id="{FFE3B7A0-76D2-4267-804B-DF3595E48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52346">
        <w:rPr>
          <w:rFonts w:ascii="Times New Roman" w:hAnsi="Times New Roman" w:cs="Times New Roman"/>
          <w:sz w:val="24"/>
          <w:szCs w:val="24"/>
        </w:rPr>
        <w:t xml:space="preserve"> </w:t>
      </w:r>
    </w:p>
    <w:p w14:paraId="2EA296B4" w14:textId="6007F577" w:rsidR="00CE796A" w:rsidRDefault="00CE796A" w:rsidP="00D52346">
      <w:pPr>
        <w:pStyle w:val="Caption"/>
        <w:rPr>
          <w:rFonts w:cs="Times New Roman"/>
          <w:szCs w:val="24"/>
        </w:rPr>
      </w:pPr>
      <w:bookmarkStart w:id="16" w:name="_Toc144869133"/>
      <w:r w:rsidRPr="00D52346">
        <w:rPr>
          <w:rFonts w:cs="Times New Roman"/>
          <w:szCs w:val="24"/>
        </w:rPr>
        <w:t xml:space="preserve">Figure </w:t>
      </w:r>
      <w:r w:rsidR="00CB50CE">
        <w:rPr>
          <w:rFonts w:cs="Times New Roman"/>
          <w:szCs w:val="24"/>
        </w:rPr>
        <w:t>11</w:t>
      </w:r>
      <w:r w:rsidRPr="00763266">
        <w:rPr>
          <w:rFonts w:cs="Times New Roman"/>
          <w:b w:val="0"/>
          <w:szCs w:val="24"/>
        </w:rPr>
        <w:t>: Effect of Irrigation Regimes on Water Use Efficiency</w:t>
      </w:r>
      <w:bookmarkEnd w:id="16"/>
    </w:p>
    <w:p w14:paraId="67A861E2" w14:textId="77777777" w:rsidR="00CB50CE" w:rsidRPr="00CB50CE" w:rsidRDefault="00CB50CE" w:rsidP="00763266">
      <w:pPr>
        <w:spacing w:before="100" w:beforeAutospacing="1" w:after="0" w:line="240" w:lineRule="auto"/>
        <w:rPr>
          <w:rFonts w:ascii="Times New Roman" w:eastAsia="Times New Roman" w:hAnsi="Times New Roman" w:cs="Times New Roman"/>
          <w:sz w:val="24"/>
          <w:szCs w:val="24"/>
        </w:rPr>
      </w:pPr>
      <w:r w:rsidRPr="00CB50CE">
        <w:rPr>
          <w:rFonts w:ascii="Times New Roman" w:eastAsia="Times New Roman" w:hAnsi="Times New Roman" w:cs="Times New Roman"/>
          <w:b/>
          <w:bCs/>
          <w:sz w:val="24"/>
          <w:szCs w:val="24"/>
        </w:rPr>
        <w:t>Effect of Soil Amendment Techniques on Water Use Efficiency</w:t>
      </w:r>
    </w:p>
    <w:p w14:paraId="41C003A0" w14:textId="3F50E50D" w:rsidR="00CB50CE" w:rsidRPr="00CB50CE" w:rsidRDefault="00CB50CE" w:rsidP="00801991">
      <w:pPr>
        <w:spacing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Water use efficiency (WUE) was significantly influenced by soil amendment techniques (p &lt; 0.001), as shown in Figure </w:t>
      </w:r>
      <w:r>
        <w:rPr>
          <w:rFonts w:ascii="Times New Roman" w:eastAsia="Times New Roman" w:hAnsi="Times New Roman" w:cs="Times New Roman"/>
          <w:sz w:val="24"/>
          <w:szCs w:val="24"/>
        </w:rPr>
        <w:t>12</w:t>
      </w:r>
      <w:r w:rsidRPr="00CB50CE">
        <w:rPr>
          <w:rFonts w:ascii="Times New Roman" w:eastAsia="Times New Roman" w:hAnsi="Times New Roman" w:cs="Times New Roman"/>
          <w:sz w:val="24"/>
          <w:szCs w:val="24"/>
        </w:rPr>
        <w:t>. The highest WUE was recorded in pots amended with a combination of biochar and poultry manure (4.02 kg/m³), followed by pots treated with poultry manure alone (2.68 kg/m³), and biochar alone (2.54 kg/m³). The lowest WUE (1.09 kg/m³) was observed in the control pots without any amendments.</w:t>
      </w:r>
    </w:p>
    <w:p w14:paraId="7E57F9DF"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The improvement in WUE is attributed to the increase in soil organic matter content in the amended treatments. According to Ma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(2016), enhanced soil organic matter plays a critical role in improving WUE. Sujatha </w:t>
      </w:r>
      <w:r w:rsidRPr="00522597">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(2016) also reported that soil amendments, particularly the application of biochar and poultry manure, increase the available water content in soil, thereby enhancing both yield and WUE.</w:t>
      </w:r>
    </w:p>
    <w:p w14:paraId="0CD7B042" w14:textId="1D6FF6F8"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Furthermore, Yu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(2021) found that higher levels of soil organic carbon significantly contribute to improved crop productivity. The increase in soil organic carbon not only enhances water retention capacity but also improves plant access to water, leading to higher water use efficiency.</w:t>
      </w:r>
    </w:p>
    <w:p w14:paraId="709309A2" w14:textId="77777777" w:rsidR="00CE796A" w:rsidRPr="00D52346" w:rsidRDefault="00CE796A" w:rsidP="000E251A">
      <w:pPr>
        <w:spacing w:after="0" w:line="240" w:lineRule="auto"/>
        <w:rPr>
          <w:rFonts w:ascii="Times New Roman" w:hAnsi="Times New Roman" w:cs="Times New Roman"/>
          <w:b/>
          <w:bCs/>
          <w:sz w:val="24"/>
          <w:szCs w:val="24"/>
        </w:rPr>
      </w:pPr>
      <w:r w:rsidRPr="00D52346">
        <w:rPr>
          <w:rFonts w:ascii="Times New Roman" w:hAnsi="Times New Roman" w:cs="Times New Roman"/>
          <w:noProof/>
          <w:sz w:val="24"/>
          <w:szCs w:val="24"/>
        </w:rPr>
        <w:lastRenderedPageBreak/>
        <w:drawing>
          <wp:inline distT="0" distB="0" distL="0" distR="0" wp14:anchorId="4E1BDE80" wp14:editId="7BB29484">
            <wp:extent cx="5848350" cy="2466975"/>
            <wp:effectExtent l="0" t="0" r="0" b="0"/>
            <wp:docPr id="23" name="Chart 23">
              <a:extLst xmlns:a="http://schemas.openxmlformats.org/drawingml/2006/main">
                <a:ext uri="{FF2B5EF4-FFF2-40B4-BE49-F238E27FC236}">
                  <a16:creationId xmlns:a16="http://schemas.microsoft.com/office/drawing/2014/main" id="{DBC132E7-F3B1-49F7-A92B-23489898F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E56DB5" w14:textId="4F3EDD71" w:rsidR="00CE796A" w:rsidRPr="00D52346" w:rsidRDefault="00CE796A" w:rsidP="000E251A">
      <w:pPr>
        <w:pStyle w:val="Caption"/>
        <w:spacing w:after="0"/>
        <w:rPr>
          <w:rFonts w:cs="Times New Roman"/>
          <w:bCs/>
          <w:szCs w:val="24"/>
        </w:rPr>
      </w:pPr>
      <w:bookmarkStart w:id="17" w:name="_Toc144869134"/>
      <w:r w:rsidRPr="00D52346">
        <w:rPr>
          <w:rFonts w:cs="Times New Roman"/>
          <w:szCs w:val="24"/>
        </w:rPr>
        <w:t xml:space="preserve">Figure </w:t>
      </w:r>
      <w:r w:rsidR="00CB50CE">
        <w:rPr>
          <w:rFonts w:cs="Times New Roman"/>
          <w:szCs w:val="24"/>
        </w:rPr>
        <w:t>12</w:t>
      </w:r>
      <w:r w:rsidRPr="00D52346">
        <w:rPr>
          <w:rFonts w:cs="Times New Roman"/>
          <w:bCs/>
          <w:szCs w:val="24"/>
        </w:rPr>
        <w:t xml:space="preserve">: </w:t>
      </w:r>
      <w:r w:rsidRPr="00E9178C">
        <w:rPr>
          <w:rFonts w:cs="Times New Roman"/>
          <w:b w:val="0"/>
          <w:szCs w:val="24"/>
        </w:rPr>
        <w:t>Effect of Soil Amendment on Water Use Efficiency</w:t>
      </w:r>
      <w:bookmarkEnd w:id="17"/>
    </w:p>
    <w:p w14:paraId="6704FB36" w14:textId="77777777" w:rsidR="000E47D4" w:rsidRPr="000E47D4" w:rsidRDefault="000E47D4" w:rsidP="00E9178C">
      <w:pPr>
        <w:spacing w:before="100" w:beforeAutospacing="1" w:after="0" w:line="240" w:lineRule="auto"/>
        <w:jc w:val="both"/>
        <w:rPr>
          <w:rFonts w:ascii="Times New Roman" w:eastAsia="Times New Roman" w:hAnsi="Times New Roman" w:cs="Times New Roman"/>
          <w:sz w:val="24"/>
          <w:szCs w:val="24"/>
        </w:rPr>
      </w:pPr>
      <w:bookmarkStart w:id="18" w:name="_Hlk206043412"/>
      <w:bookmarkStart w:id="19" w:name="_Toc144459994"/>
      <w:bookmarkStart w:id="20" w:name="_Hlk143214218"/>
      <w:r w:rsidRPr="000E47D4">
        <w:rPr>
          <w:rFonts w:ascii="Times New Roman" w:eastAsia="Times New Roman" w:hAnsi="Times New Roman" w:cs="Times New Roman"/>
          <w:b/>
          <w:bCs/>
          <w:sz w:val="24"/>
          <w:szCs w:val="24"/>
        </w:rPr>
        <w:t>Interaction Effect Between Irrigation Regimes and Soil Amendment Techniques on Water Use Efficiency</w:t>
      </w:r>
    </w:p>
    <w:bookmarkEnd w:id="18"/>
    <w:p w14:paraId="665E3025" w14:textId="3E83FC83" w:rsidR="000E47D4" w:rsidRPr="000E47D4" w:rsidRDefault="000E47D4" w:rsidP="000E47D4">
      <w:pPr>
        <w:spacing w:before="100" w:beforeAutospacing="1" w:after="100" w:afterAutospacing="1" w:line="240" w:lineRule="auto"/>
        <w:jc w:val="both"/>
        <w:rPr>
          <w:rFonts w:ascii="Times New Roman" w:eastAsia="Times New Roman" w:hAnsi="Times New Roman" w:cs="Times New Roman"/>
          <w:sz w:val="24"/>
          <w:szCs w:val="24"/>
        </w:rPr>
      </w:pPr>
      <w:r w:rsidRPr="000E47D4">
        <w:rPr>
          <w:rFonts w:ascii="Times New Roman" w:eastAsia="Times New Roman" w:hAnsi="Times New Roman" w:cs="Times New Roman"/>
          <w:sz w:val="24"/>
          <w:szCs w:val="24"/>
        </w:rPr>
        <w:t>The interaction between irrigation regimes and soil amendment techniques had a notable effect on water use efficiency (WUE), as presented in Table 4. The highest WUE (4.82 kg/m³) was recorded under the regulated deficit irrigation treatment (70% CWR) combined with the application of both biochar and poultry manure. This was followed by the full irrigation treatment (100% CWR) combined with the same soil amendments, which achieved a WUE of 4.15 kg/m³. In contrast, the lowest WUE (0.98 kg/m³) was observed under full irrigation combined with soil lacking any amendment (no biochar or poultry manure).</w:t>
      </w:r>
      <w:r w:rsidR="00E9178C">
        <w:rPr>
          <w:rFonts w:ascii="Times New Roman" w:eastAsia="Times New Roman" w:hAnsi="Times New Roman" w:cs="Times New Roman"/>
          <w:sz w:val="24"/>
          <w:szCs w:val="24"/>
        </w:rPr>
        <w:t xml:space="preserve"> </w:t>
      </w:r>
      <w:r w:rsidRPr="000E47D4">
        <w:rPr>
          <w:rFonts w:ascii="Times New Roman" w:eastAsia="Times New Roman" w:hAnsi="Times New Roman" w:cs="Times New Roman"/>
          <w:sz w:val="24"/>
          <w:szCs w:val="24"/>
        </w:rPr>
        <w:t>These results highlight the synergistic effect of combining regulated irrigation strategies with organic soil amendments. The use of biochar and poultry manure not only improved soil structure and water-holding capacity but also enhanced the efficient utilization of water under different irrigation levels. This underscores the importance of integrating irrigation management with soil fertility practices to maximize water productivity and overall crop performance.</w:t>
      </w:r>
    </w:p>
    <w:p w14:paraId="543A4E53" w14:textId="53F727C6" w:rsidR="00CE796A" w:rsidRPr="00904F1B" w:rsidRDefault="00CE796A" w:rsidP="00D52346">
      <w:pPr>
        <w:pStyle w:val="Caption"/>
        <w:rPr>
          <w:rFonts w:cs="Times New Roman"/>
          <w:b w:val="0"/>
          <w:szCs w:val="24"/>
        </w:rPr>
      </w:pPr>
      <w:r w:rsidRPr="00D52346">
        <w:rPr>
          <w:rFonts w:cs="Times New Roman"/>
          <w:szCs w:val="24"/>
        </w:rPr>
        <w:t>Table 4:</w:t>
      </w:r>
      <w:r w:rsidRPr="00D52346">
        <w:rPr>
          <w:rFonts w:cs="Times New Roman"/>
          <w:bCs/>
          <w:szCs w:val="24"/>
        </w:rPr>
        <w:t xml:space="preserve"> </w:t>
      </w:r>
      <w:bookmarkEnd w:id="19"/>
      <w:r w:rsidR="000E47D4" w:rsidRPr="00904F1B">
        <w:rPr>
          <w:rFonts w:cs="Times New Roman"/>
          <w:b w:val="0"/>
          <w:szCs w:val="24"/>
        </w:rPr>
        <w:t>Interaction Effect Between Irrigation Regimes and Soil Amendment Techniques on Water Use Efficiency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38"/>
        <w:gridCol w:w="1152"/>
        <w:gridCol w:w="1890"/>
        <w:gridCol w:w="2420"/>
      </w:tblGrid>
      <w:tr w:rsidR="00CE796A" w:rsidRPr="00D52346" w14:paraId="574C3B22" w14:textId="77777777" w:rsidTr="009E322A">
        <w:trPr>
          <w:trHeight w:val="575"/>
        </w:trPr>
        <w:tc>
          <w:tcPr>
            <w:tcW w:w="1950" w:type="dxa"/>
            <w:tcBorders>
              <w:top w:val="single" w:sz="4" w:space="0" w:color="auto"/>
              <w:bottom w:val="single" w:sz="4" w:space="0" w:color="auto"/>
              <w:tl2br w:val="single" w:sz="4" w:space="0" w:color="auto"/>
            </w:tcBorders>
          </w:tcPr>
          <w:p w14:paraId="5BDB9979"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        Fertilizer</w:t>
            </w:r>
          </w:p>
          <w:p w14:paraId="129B9033" w14:textId="77777777" w:rsidR="00CE796A" w:rsidRPr="00D52346" w:rsidRDefault="00CE796A" w:rsidP="00D52346">
            <w:pPr>
              <w:jc w:val="both"/>
              <w:rPr>
                <w:rFonts w:ascii="Times New Roman" w:hAnsi="Times New Roman" w:cs="Times New Roman"/>
                <w:sz w:val="24"/>
                <w:szCs w:val="24"/>
              </w:rPr>
            </w:pPr>
          </w:p>
          <w:p w14:paraId="74F7B4D0"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Irrigation </w:t>
            </w:r>
          </w:p>
        </w:tc>
        <w:tc>
          <w:tcPr>
            <w:tcW w:w="1938" w:type="dxa"/>
            <w:tcBorders>
              <w:top w:val="single" w:sz="4" w:space="0" w:color="auto"/>
              <w:bottom w:val="single" w:sz="4" w:space="0" w:color="auto"/>
            </w:tcBorders>
          </w:tcPr>
          <w:p w14:paraId="5DE089EB" w14:textId="77777777" w:rsidR="00CE796A" w:rsidRPr="00D52346" w:rsidRDefault="00CE796A" w:rsidP="00D52346">
            <w:pPr>
              <w:rPr>
                <w:rFonts w:ascii="Times New Roman" w:hAnsi="Times New Roman" w:cs="Times New Roman"/>
                <w:b/>
                <w:bCs/>
                <w:sz w:val="24"/>
                <w:szCs w:val="24"/>
              </w:rPr>
            </w:pPr>
            <w:r w:rsidRPr="00D52346">
              <w:rPr>
                <w:rFonts w:ascii="Times New Roman" w:hAnsi="Times New Roman" w:cs="Times New Roman"/>
                <w:b/>
                <w:bCs/>
                <w:sz w:val="24"/>
                <w:szCs w:val="24"/>
              </w:rPr>
              <w:t>No Biochar no Poultry manure</w:t>
            </w:r>
          </w:p>
        </w:tc>
        <w:tc>
          <w:tcPr>
            <w:tcW w:w="1152" w:type="dxa"/>
            <w:tcBorders>
              <w:top w:val="single" w:sz="4" w:space="0" w:color="auto"/>
              <w:bottom w:val="single" w:sz="4" w:space="0" w:color="auto"/>
            </w:tcBorders>
          </w:tcPr>
          <w:p w14:paraId="0A17EE0A"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Biochar</w:t>
            </w:r>
          </w:p>
        </w:tc>
        <w:tc>
          <w:tcPr>
            <w:tcW w:w="1890" w:type="dxa"/>
            <w:tcBorders>
              <w:top w:val="single" w:sz="4" w:space="0" w:color="auto"/>
              <w:bottom w:val="single" w:sz="4" w:space="0" w:color="auto"/>
            </w:tcBorders>
          </w:tcPr>
          <w:p w14:paraId="5313BE2A"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Poultry manure</w:t>
            </w:r>
          </w:p>
        </w:tc>
        <w:tc>
          <w:tcPr>
            <w:tcW w:w="2420" w:type="dxa"/>
            <w:tcBorders>
              <w:top w:val="single" w:sz="4" w:space="0" w:color="auto"/>
              <w:bottom w:val="single" w:sz="4" w:space="0" w:color="auto"/>
            </w:tcBorders>
          </w:tcPr>
          <w:p w14:paraId="37732481" w14:textId="77777777" w:rsidR="00CE796A" w:rsidRPr="00D52346" w:rsidRDefault="00CE796A" w:rsidP="00D52346">
            <w:pPr>
              <w:rPr>
                <w:rFonts w:ascii="Times New Roman" w:hAnsi="Times New Roman" w:cs="Times New Roman"/>
                <w:b/>
                <w:bCs/>
                <w:sz w:val="24"/>
                <w:szCs w:val="24"/>
              </w:rPr>
            </w:pPr>
            <w:r w:rsidRPr="00D52346">
              <w:rPr>
                <w:rFonts w:ascii="Times New Roman" w:hAnsi="Times New Roman" w:cs="Times New Roman"/>
                <w:b/>
                <w:bCs/>
                <w:sz w:val="24"/>
                <w:szCs w:val="24"/>
              </w:rPr>
              <w:t xml:space="preserve">Poultry Manure and Biochar </w:t>
            </w:r>
          </w:p>
        </w:tc>
      </w:tr>
      <w:tr w:rsidR="00CE796A" w:rsidRPr="00D52346" w14:paraId="1F12661E" w14:textId="77777777" w:rsidTr="009E322A">
        <w:tc>
          <w:tcPr>
            <w:tcW w:w="1950" w:type="dxa"/>
            <w:tcBorders>
              <w:top w:val="single" w:sz="4" w:space="0" w:color="auto"/>
            </w:tcBorders>
          </w:tcPr>
          <w:p w14:paraId="22857220"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Sustained deficit at 70 % CWR</w:t>
            </w:r>
          </w:p>
        </w:tc>
        <w:tc>
          <w:tcPr>
            <w:tcW w:w="1938" w:type="dxa"/>
            <w:tcBorders>
              <w:top w:val="single" w:sz="4" w:space="0" w:color="auto"/>
            </w:tcBorders>
          </w:tcPr>
          <w:p w14:paraId="7478093E"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1.158de</w:t>
            </w:r>
          </w:p>
        </w:tc>
        <w:tc>
          <w:tcPr>
            <w:tcW w:w="1152" w:type="dxa"/>
            <w:tcBorders>
              <w:top w:val="single" w:sz="4" w:space="0" w:color="auto"/>
            </w:tcBorders>
          </w:tcPr>
          <w:p w14:paraId="3C0784A3"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2.75bcd</w:t>
            </w:r>
          </w:p>
        </w:tc>
        <w:tc>
          <w:tcPr>
            <w:tcW w:w="1890" w:type="dxa"/>
            <w:tcBorders>
              <w:top w:val="single" w:sz="4" w:space="0" w:color="auto"/>
            </w:tcBorders>
          </w:tcPr>
          <w:p w14:paraId="07783776"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2.88bc</w:t>
            </w:r>
          </w:p>
        </w:tc>
        <w:tc>
          <w:tcPr>
            <w:tcW w:w="2420" w:type="dxa"/>
            <w:tcBorders>
              <w:top w:val="single" w:sz="4" w:space="0" w:color="auto"/>
            </w:tcBorders>
          </w:tcPr>
          <w:p w14:paraId="29F45FF8" w14:textId="5FA1D5B5"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3</w:t>
            </w:r>
            <w:r w:rsidR="0039388C">
              <w:rPr>
                <w:rFonts w:ascii="Times New Roman" w:hAnsi="Times New Roman" w:cs="Times New Roman"/>
                <w:sz w:val="24"/>
                <w:szCs w:val="24"/>
              </w:rPr>
              <w:t>.</w:t>
            </w:r>
            <w:r w:rsidRPr="00D52346">
              <w:rPr>
                <w:rFonts w:ascii="Times New Roman" w:hAnsi="Times New Roman" w:cs="Times New Roman"/>
                <w:sz w:val="24"/>
                <w:szCs w:val="24"/>
              </w:rPr>
              <w:t>09bc</w:t>
            </w:r>
          </w:p>
        </w:tc>
      </w:tr>
      <w:tr w:rsidR="00CE796A" w:rsidRPr="00D52346" w14:paraId="4C1AE9D2" w14:textId="77777777" w:rsidTr="009E322A">
        <w:tc>
          <w:tcPr>
            <w:tcW w:w="1950" w:type="dxa"/>
          </w:tcPr>
          <w:p w14:paraId="13D6C56B"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Regulated deficit at 70 % CWR</w:t>
            </w:r>
          </w:p>
        </w:tc>
        <w:tc>
          <w:tcPr>
            <w:tcW w:w="1938" w:type="dxa"/>
          </w:tcPr>
          <w:p w14:paraId="31605D75" w14:textId="77777777" w:rsidR="00CE796A" w:rsidRPr="00D52346" w:rsidRDefault="00CE796A" w:rsidP="00D52346">
            <w:pPr>
              <w:jc w:val="both"/>
              <w:rPr>
                <w:rFonts w:ascii="Times New Roman" w:hAnsi="Times New Roman" w:cs="Times New Roman"/>
                <w:sz w:val="24"/>
                <w:szCs w:val="24"/>
              </w:rPr>
            </w:pPr>
          </w:p>
          <w:p w14:paraId="58EE2533"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1.14de</w:t>
            </w:r>
          </w:p>
        </w:tc>
        <w:tc>
          <w:tcPr>
            <w:tcW w:w="1152" w:type="dxa"/>
          </w:tcPr>
          <w:p w14:paraId="4315EB3F" w14:textId="77777777" w:rsidR="00CE796A" w:rsidRPr="00D52346" w:rsidRDefault="00CE796A" w:rsidP="00D52346">
            <w:pPr>
              <w:jc w:val="both"/>
              <w:rPr>
                <w:rFonts w:ascii="Times New Roman" w:hAnsi="Times New Roman" w:cs="Times New Roman"/>
                <w:sz w:val="24"/>
                <w:szCs w:val="24"/>
              </w:rPr>
            </w:pPr>
          </w:p>
          <w:p w14:paraId="3AEEA1EF"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2.75bcd</w:t>
            </w:r>
          </w:p>
        </w:tc>
        <w:tc>
          <w:tcPr>
            <w:tcW w:w="1890" w:type="dxa"/>
          </w:tcPr>
          <w:p w14:paraId="6FC723B0" w14:textId="77777777" w:rsidR="00CE796A" w:rsidRPr="00D52346" w:rsidRDefault="00CE796A" w:rsidP="00D52346">
            <w:pPr>
              <w:jc w:val="both"/>
              <w:rPr>
                <w:rFonts w:ascii="Times New Roman" w:hAnsi="Times New Roman" w:cs="Times New Roman"/>
                <w:sz w:val="24"/>
                <w:szCs w:val="24"/>
              </w:rPr>
            </w:pPr>
          </w:p>
          <w:p w14:paraId="45B11D49"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2.76bcd</w:t>
            </w:r>
          </w:p>
        </w:tc>
        <w:tc>
          <w:tcPr>
            <w:tcW w:w="2420" w:type="dxa"/>
          </w:tcPr>
          <w:p w14:paraId="36BD4739" w14:textId="77777777" w:rsidR="00CE796A" w:rsidRPr="00D52346" w:rsidRDefault="00CE796A" w:rsidP="00D52346">
            <w:pPr>
              <w:jc w:val="both"/>
              <w:rPr>
                <w:rFonts w:ascii="Times New Roman" w:hAnsi="Times New Roman" w:cs="Times New Roman"/>
                <w:sz w:val="24"/>
                <w:szCs w:val="24"/>
              </w:rPr>
            </w:pPr>
          </w:p>
          <w:p w14:paraId="1662170C" w14:textId="72661903"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4</w:t>
            </w:r>
            <w:r w:rsidR="0039388C">
              <w:rPr>
                <w:rFonts w:ascii="Times New Roman" w:hAnsi="Times New Roman" w:cs="Times New Roman"/>
                <w:sz w:val="24"/>
                <w:szCs w:val="24"/>
              </w:rPr>
              <w:t>.</w:t>
            </w:r>
            <w:r w:rsidRPr="00D52346">
              <w:rPr>
                <w:rFonts w:ascii="Times New Roman" w:hAnsi="Times New Roman" w:cs="Times New Roman"/>
                <w:sz w:val="24"/>
                <w:szCs w:val="24"/>
              </w:rPr>
              <w:t>82a</w:t>
            </w:r>
          </w:p>
        </w:tc>
      </w:tr>
      <w:tr w:rsidR="00CE796A" w:rsidRPr="00D52346" w14:paraId="07BE1F7F" w14:textId="77777777" w:rsidTr="009E322A">
        <w:tc>
          <w:tcPr>
            <w:tcW w:w="1950" w:type="dxa"/>
            <w:tcBorders>
              <w:bottom w:val="single" w:sz="4" w:space="0" w:color="auto"/>
            </w:tcBorders>
          </w:tcPr>
          <w:p w14:paraId="05271709"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 xml:space="preserve">Full irrigation </w:t>
            </w:r>
          </w:p>
          <w:p w14:paraId="47AB5A55"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at 100 % CWR</w:t>
            </w:r>
          </w:p>
        </w:tc>
        <w:tc>
          <w:tcPr>
            <w:tcW w:w="1938" w:type="dxa"/>
            <w:tcBorders>
              <w:bottom w:val="single" w:sz="4" w:space="0" w:color="auto"/>
            </w:tcBorders>
          </w:tcPr>
          <w:p w14:paraId="13B55336" w14:textId="77777777" w:rsidR="00CE796A" w:rsidRPr="00D52346" w:rsidRDefault="00CE796A" w:rsidP="00D52346">
            <w:pPr>
              <w:jc w:val="both"/>
              <w:rPr>
                <w:rFonts w:ascii="Times New Roman" w:hAnsi="Times New Roman" w:cs="Times New Roman"/>
                <w:sz w:val="24"/>
                <w:szCs w:val="24"/>
              </w:rPr>
            </w:pPr>
          </w:p>
          <w:p w14:paraId="2E45FA69"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0.98e</w:t>
            </w:r>
          </w:p>
        </w:tc>
        <w:tc>
          <w:tcPr>
            <w:tcW w:w="1152" w:type="dxa"/>
            <w:tcBorders>
              <w:bottom w:val="single" w:sz="4" w:space="0" w:color="auto"/>
            </w:tcBorders>
          </w:tcPr>
          <w:p w14:paraId="4DA46609" w14:textId="77777777" w:rsidR="00CE796A" w:rsidRPr="00D52346" w:rsidRDefault="00CE796A" w:rsidP="00D52346">
            <w:pPr>
              <w:jc w:val="both"/>
              <w:rPr>
                <w:rFonts w:ascii="Times New Roman" w:hAnsi="Times New Roman" w:cs="Times New Roman"/>
                <w:sz w:val="24"/>
                <w:szCs w:val="24"/>
              </w:rPr>
            </w:pPr>
          </w:p>
          <w:p w14:paraId="36EB4395"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2.26cde</w:t>
            </w:r>
          </w:p>
        </w:tc>
        <w:tc>
          <w:tcPr>
            <w:tcW w:w="1890" w:type="dxa"/>
            <w:tcBorders>
              <w:bottom w:val="single" w:sz="4" w:space="0" w:color="auto"/>
            </w:tcBorders>
          </w:tcPr>
          <w:p w14:paraId="7A8C7C93" w14:textId="77777777" w:rsidR="00CE796A" w:rsidRPr="00D52346" w:rsidRDefault="00CE796A" w:rsidP="00D52346">
            <w:pPr>
              <w:jc w:val="both"/>
              <w:rPr>
                <w:rFonts w:ascii="Times New Roman" w:hAnsi="Times New Roman" w:cs="Times New Roman"/>
                <w:sz w:val="24"/>
                <w:szCs w:val="24"/>
              </w:rPr>
            </w:pPr>
          </w:p>
          <w:p w14:paraId="7A93FE3F"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2.39cde</w:t>
            </w:r>
          </w:p>
        </w:tc>
        <w:tc>
          <w:tcPr>
            <w:tcW w:w="2420" w:type="dxa"/>
            <w:tcBorders>
              <w:bottom w:val="single" w:sz="4" w:space="0" w:color="auto"/>
            </w:tcBorders>
          </w:tcPr>
          <w:p w14:paraId="1A8DB7FE" w14:textId="77777777" w:rsidR="00CE796A" w:rsidRPr="00D52346" w:rsidRDefault="00CE796A" w:rsidP="00D52346">
            <w:pPr>
              <w:jc w:val="both"/>
              <w:rPr>
                <w:rFonts w:ascii="Times New Roman" w:hAnsi="Times New Roman" w:cs="Times New Roman"/>
                <w:sz w:val="24"/>
                <w:szCs w:val="24"/>
              </w:rPr>
            </w:pPr>
          </w:p>
          <w:p w14:paraId="49D83D8D"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4.15ab</w:t>
            </w:r>
          </w:p>
        </w:tc>
      </w:tr>
      <w:tr w:rsidR="00CE796A" w:rsidRPr="00D52346" w14:paraId="667A30D1" w14:textId="77777777" w:rsidTr="009E322A">
        <w:tc>
          <w:tcPr>
            <w:tcW w:w="1950" w:type="dxa"/>
            <w:tcBorders>
              <w:top w:val="single" w:sz="4" w:space="0" w:color="auto"/>
              <w:bottom w:val="single" w:sz="4" w:space="0" w:color="auto"/>
            </w:tcBorders>
          </w:tcPr>
          <w:p w14:paraId="23CAF360"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LSD</w:t>
            </w:r>
          </w:p>
          <w:p w14:paraId="3BE7721B" w14:textId="77777777" w:rsidR="00CE796A" w:rsidRPr="00D52346" w:rsidRDefault="00CE796A" w:rsidP="00D52346">
            <w:pPr>
              <w:rPr>
                <w:rFonts w:ascii="Times New Roman" w:hAnsi="Times New Roman" w:cs="Times New Roman"/>
                <w:sz w:val="24"/>
                <w:szCs w:val="24"/>
              </w:rPr>
            </w:pPr>
            <w:proofErr w:type="spellStart"/>
            <w:r w:rsidRPr="00D52346">
              <w:rPr>
                <w:rFonts w:ascii="Times New Roman" w:hAnsi="Times New Roman" w:cs="Times New Roman"/>
                <w:sz w:val="24"/>
                <w:szCs w:val="24"/>
              </w:rPr>
              <w:t>PValue</w:t>
            </w:r>
            <w:proofErr w:type="spellEnd"/>
          </w:p>
        </w:tc>
        <w:tc>
          <w:tcPr>
            <w:tcW w:w="1938" w:type="dxa"/>
            <w:tcBorders>
              <w:top w:val="single" w:sz="4" w:space="0" w:color="auto"/>
              <w:bottom w:val="single" w:sz="4" w:space="0" w:color="auto"/>
            </w:tcBorders>
          </w:tcPr>
          <w:p w14:paraId="3911538B" w14:textId="77777777" w:rsidR="00CE796A" w:rsidRPr="00D52346" w:rsidRDefault="00CE796A" w:rsidP="00D52346">
            <w:pPr>
              <w:jc w:val="both"/>
              <w:rPr>
                <w:rFonts w:ascii="Times New Roman" w:hAnsi="Times New Roman" w:cs="Times New Roman"/>
                <w:sz w:val="24"/>
                <w:szCs w:val="24"/>
              </w:rPr>
            </w:pPr>
          </w:p>
        </w:tc>
        <w:tc>
          <w:tcPr>
            <w:tcW w:w="1152" w:type="dxa"/>
            <w:tcBorders>
              <w:top w:val="single" w:sz="4" w:space="0" w:color="auto"/>
              <w:bottom w:val="single" w:sz="4" w:space="0" w:color="auto"/>
            </w:tcBorders>
          </w:tcPr>
          <w:p w14:paraId="68BEDE40"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0.84</w:t>
            </w:r>
          </w:p>
          <w:p w14:paraId="7D612685"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0.52</w:t>
            </w:r>
          </w:p>
        </w:tc>
        <w:tc>
          <w:tcPr>
            <w:tcW w:w="1890" w:type="dxa"/>
            <w:tcBorders>
              <w:top w:val="single" w:sz="4" w:space="0" w:color="auto"/>
              <w:bottom w:val="single" w:sz="4" w:space="0" w:color="auto"/>
            </w:tcBorders>
          </w:tcPr>
          <w:p w14:paraId="130FC464" w14:textId="77777777" w:rsidR="00CE796A" w:rsidRPr="00D52346" w:rsidRDefault="00CE796A" w:rsidP="00D52346">
            <w:pPr>
              <w:jc w:val="both"/>
              <w:rPr>
                <w:rFonts w:ascii="Times New Roman" w:hAnsi="Times New Roman" w:cs="Times New Roman"/>
                <w:sz w:val="24"/>
                <w:szCs w:val="24"/>
              </w:rPr>
            </w:pPr>
          </w:p>
        </w:tc>
        <w:tc>
          <w:tcPr>
            <w:tcW w:w="2420" w:type="dxa"/>
            <w:tcBorders>
              <w:top w:val="single" w:sz="4" w:space="0" w:color="auto"/>
              <w:bottom w:val="single" w:sz="4" w:space="0" w:color="auto"/>
            </w:tcBorders>
          </w:tcPr>
          <w:p w14:paraId="5EEDDE68" w14:textId="77777777" w:rsidR="00CE796A" w:rsidRPr="00D52346" w:rsidRDefault="00CE796A" w:rsidP="00D52346">
            <w:pPr>
              <w:jc w:val="both"/>
              <w:rPr>
                <w:rFonts w:ascii="Times New Roman" w:hAnsi="Times New Roman" w:cs="Times New Roman"/>
                <w:sz w:val="24"/>
                <w:szCs w:val="24"/>
              </w:rPr>
            </w:pPr>
          </w:p>
        </w:tc>
      </w:tr>
    </w:tbl>
    <w:p w14:paraId="081F1007" w14:textId="11AA5790" w:rsidR="00CE796A" w:rsidRPr="000E251A" w:rsidRDefault="00CE796A" w:rsidP="004D6736">
      <w:pPr>
        <w:spacing w:line="240" w:lineRule="auto"/>
        <w:jc w:val="both"/>
        <w:rPr>
          <w:rFonts w:ascii="Times New Roman" w:hAnsi="Times New Roman" w:cs="Times New Roman"/>
          <w:b/>
          <w:bCs/>
          <w:i/>
          <w:iCs/>
          <w:sz w:val="20"/>
          <w:szCs w:val="20"/>
        </w:rPr>
      </w:pPr>
      <w:r w:rsidRPr="000E251A">
        <w:rPr>
          <w:rFonts w:ascii="Times New Roman" w:hAnsi="Times New Roman" w:cs="Times New Roman"/>
          <w:b/>
          <w:bCs/>
          <w:i/>
          <w:iCs/>
          <w:sz w:val="20"/>
          <w:szCs w:val="20"/>
        </w:rPr>
        <w:t>(Means that do not share same letter are significant difference)</w:t>
      </w:r>
      <w:bookmarkStart w:id="21" w:name="_Toc143713513"/>
      <w:bookmarkStart w:id="22" w:name="_Toc143733891"/>
      <w:bookmarkEnd w:id="20"/>
      <w:bookmarkEnd w:id="21"/>
      <w:bookmarkEnd w:id="22"/>
    </w:p>
    <w:p w14:paraId="54C6220D" w14:textId="532916AE" w:rsidR="009D2857" w:rsidRDefault="000E251A" w:rsidP="0082232C">
      <w:pPr>
        <w:spacing w:after="0" w:line="240" w:lineRule="auto"/>
        <w:rPr>
          <w:rFonts w:ascii="Times New Roman" w:hAnsi="Times New Roman" w:cs="Times New Roman"/>
          <w:b/>
          <w:bCs/>
          <w:sz w:val="24"/>
          <w:szCs w:val="24"/>
        </w:rPr>
      </w:pPr>
      <w:r w:rsidRPr="00D52346">
        <w:rPr>
          <w:rFonts w:ascii="Times New Roman" w:hAnsi="Times New Roman" w:cs="Times New Roman"/>
          <w:b/>
          <w:bCs/>
          <w:sz w:val="24"/>
          <w:szCs w:val="24"/>
        </w:rPr>
        <w:lastRenderedPageBreak/>
        <w:t>CONCLUSION</w:t>
      </w:r>
    </w:p>
    <w:p w14:paraId="2666368B" w14:textId="77777777" w:rsidR="005755E2" w:rsidRPr="005755E2" w:rsidRDefault="005755E2" w:rsidP="0012446A">
      <w:pPr>
        <w:spacing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The incorporation of a combined application of biochar and poultry manure significantly enhances soil nutrient uptake and improves both the physical and chemical properties of the soil. This combination proves to be the most effective soil amendment strategy for garden egg production, as it improves critical parameters such as soil pH, electrical conductivity (EC), total organic carbon, available water content, total nitrogen content (TNC), potassium (K), phosphorus (P), calcium (Ca), and magnesium (Mg), when compared to single applications of either biochar or poultry manure, or to unamended soil.</w:t>
      </w:r>
    </w:p>
    <w:p w14:paraId="3A473C87" w14:textId="77777777" w:rsidR="005755E2" w:rsidRPr="005755E2" w:rsidRDefault="005755E2" w:rsidP="005755E2">
      <w:pPr>
        <w:spacing w:before="100" w:beforeAutospacing="1"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While the application of biochar alone improved soil hydraulic conductivity and reduced bulk density, the combined use of biochar and poultry manure demonstrated a superior capacity to retain water. This is crucial for optimizing soil moisture availability during key crop growth stages.</w:t>
      </w:r>
    </w:p>
    <w:p w14:paraId="59E9CC33" w14:textId="218D85D9" w:rsidR="005755E2" w:rsidRPr="005755E2" w:rsidRDefault="005755E2" w:rsidP="005755E2">
      <w:pPr>
        <w:spacing w:before="100" w:beforeAutospacing="1"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Although the application of water at 70% of the crop water requirement (CWR) led to a yield reduction compared to full irrigation (100% CWR), it significantly improved water use efficiency (WUE). The study demonstrates that applying 70% CWR during non-critical stages</w:t>
      </w:r>
      <w:r w:rsidR="004920AE">
        <w:rPr>
          <w:rFonts w:ascii="Times New Roman" w:eastAsia="Times New Roman" w:hAnsi="Times New Roman" w:cs="Times New Roman"/>
          <w:sz w:val="24"/>
          <w:szCs w:val="24"/>
        </w:rPr>
        <w:t xml:space="preserve"> </w:t>
      </w:r>
      <w:r w:rsidRPr="005755E2">
        <w:rPr>
          <w:rFonts w:ascii="Times New Roman" w:eastAsia="Times New Roman" w:hAnsi="Times New Roman" w:cs="Times New Roman"/>
          <w:sz w:val="24"/>
          <w:szCs w:val="24"/>
        </w:rPr>
        <w:t>known as regulated deficit irrigation</w:t>
      </w:r>
      <w:r w:rsidR="004920AE">
        <w:rPr>
          <w:rFonts w:ascii="Times New Roman" w:eastAsia="Times New Roman" w:hAnsi="Times New Roman" w:cs="Times New Roman"/>
          <w:sz w:val="24"/>
          <w:szCs w:val="24"/>
        </w:rPr>
        <w:t xml:space="preserve"> </w:t>
      </w:r>
      <w:r w:rsidRPr="005755E2">
        <w:rPr>
          <w:rFonts w:ascii="Times New Roman" w:eastAsia="Times New Roman" w:hAnsi="Times New Roman" w:cs="Times New Roman"/>
          <w:sz w:val="24"/>
          <w:szCs w:val="24"/>
        </w:rPr>
        <w:t>combined with biochar and poultry manure amendments, can reduce crop water stress during critical stages such as flowering and fruiting. This strategy led to minimal yield reductions while enhancing WUE.</w:t>
      </w:r>
    </w:p>
    <w:p w14:paraId="2EE737F4" w14:textId="38E1DDFC" w:rsidR="005755E2" w:rsidRPr="00721524" w:rsidRDefault="005755E2" w:rsidP="00721524">
      <w:pPr>
        <w:spacing w:before="100" w:beforeAutospacing="1"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 xml:space="preserve">Overall, the findings indicate that regulated deficit irrigation is more effective and sustainable than sustained deficit irrigation for improving garden egg yield and WUE. Given the increasing water scarcity and rising demand for garden egg in </w:t>
      </w:r>
      <w:r w:rsidR="00EB0D21">
        <w:rPr>
          <w:rFonts w:ascii="Times New Roman" w:eastAsia="Times New Roman" w:hAnsi="Times New Roman" w:cs="Times New Roman"/>
          <w:sz w:val="24"/>
          <w:szCs w:val="24"/>
        </w:rPr>
        <w:t>n</w:t>
      </w:r>
      <w:r w:rsidRPr="005755E2">
        <w:rPr>
          <w:rFonts w:ascii="Times New Roman" w:eastAsia="Times New Roman" w:hAnsi="Times New Roman" w:cs="Times New Roman"/>
          <w:sz w:val="24"/>
          <w:szCs w:val="24"/>
        </w:rPr>
        <w:t>orthern Ghana, the efficient use of regulated deficit irrigation (70% CWR) in combination with biochar and poultry manure represents a promising approach to enhance both productivity and resource efficiency in garden egg cultivation.</w:t>
      </w:r>
    </w:p>
    <w:p w14:paraId="77C910FF" w14:textId="77777777" w:rsidR="000D4379" w:rsidRDefault="000D4379" w:rsidP="00D258EF">
      <w:pPr>
        <w:spacing w:after="0" w:line="240" w:lineRule="auto"/>
        <w:jc w:val="both"/>
        <w:rPr>
          <w:rFonts w:ascii="Times New Roman" w:eastAsia="Calibri" w:hAnsi="Times New Roman" w:cs="Times New Roman"/>
          <w:bCs/>
          <w:sz w:val="24"/>
          <w:szCs w:val="24"/>
        </w:rPr>
      </w:pPr>
      <w:bookmarkStart w:id="23" w:name="_GoBack"/>
      <w:bookmarkEnd w:id="23"/>
    </w:p>
    <w:p w14:paraId="3EFBE442" w14:textId="0D9C6D38" w:rsidR="00D258EF" w:rsidRPr="00D258EF" w:rsidRDefault="00247B29" w:rsidP="00D258EF">
      <w:pPr>
        <w:spacing w:after="0" w:line="240" w:lineRule="auto"/>
        <w:jc w:val="both"/>
        <w:rPr>
          <w:rFonts w:ascii="Times New Roman" w:eastAsia="Calibri" w:hAnsi="Times New Roman" w:cs="Times New Roman"/>
          <w:b/>
          <w:sz w:val="24"/>
          <w:szCs w:val="24"/>
        </w:rPr>
      </w:pPr>
      <w:r w:rsidRPr="00D258EF">
        <w:rPr>
          <w:rFonts w:ascii="Times New Roman" w:eastAsia="Calibri" w:hAnsi="Times New Roman" w:cs="Times New Roman"/>
          <w:b/>
          <w:sz w:val="24"/>
          <w:szCs w:val="24"/>
        </w:rPr>
        <w:t>DECLARATION OF CONFLICTS OF INTEREST</w:t>
      </w:r>
    </w:p>
    <w:p w14:paraId="61ABB11F" w14:textId="180194BF" w:rsidR="00D258EF" w:rsidRPr="00D258EF" w:rsidRDefault="00D258EF" w:rsidP="00D258EF">
      <w:pPr>
        <w:spacing w:after="0" w:line="240" w:lineRule="auto"/>
        <w:jc w:val="both"/>
        <w:rPr>
          <w:rFonts w:ascii="Times New Roman" w:eastAsia="Calibri" w:hAnsi="Times New Roman" w:cs="Times New Roman"/>
          <w:b/>
          <w:sz w:val="24"/>
          <w:szCs w:val="24"/>
        </w:rPr>
      </w:pPr>
      <w:r w:rsidRPr="00D258EF">
        <w:rPr>
          <w:rFonts w:ascii="Times New Roman" w:hAnsi="Times New Roman" w:cs="Times New Roman"/>
          <w:sz w:val="24"/>
          <w:szCs w:val="24"/>
        </w:rPr>
        <w:t xml:space="preserve">The authors declare that there are no conflicts of interest regarding the publication of this </w:t>
      </w:r>
      <w:r w:rsidR="00C319BC">
        <w:rPr>
          <w:rFonts w:ascii="Times New Roman" w:hAnsi="Times New Roman" w:cs="Times New Roman"/>
          <w:sz w:val="24"/>
          <w:szCs w:val="24"/>
        </w:rPr>
        <w:t>paper.</w:t>
      </w:r>
    </w:p>
    <w:p w14:paraId="56B602C3" w14:textId="77777777" w:rsidR="00743553" w:rsidRDefault="00743553" w:rsidP="00FF2B38">
      <w:pPr>
        <w:spacing w:line="240" w:lineRule="auto"/>
        <w:jc w:val="both"/>
        <w:rPr>
          <w:rFonts w:ascii="Times New Roman" w:hAnsi="Times New Roman" w:cs="Times New Roman"/>
          <w:b/>
          <w:bCs/>
          <w:sz w:val="24"/>
          <w:szCs w:val="24"/>
        </w:rPr>
      </w:pPr>
    </w:p>
    <w:p w14:paraId="7E68397A" w14:textId="506F3E4D" w:rsidR="003D7E56" w:rsidRPr="005A62DE" w:rsidRDefault="00247B29" w:rsidP="005A62DE">
      <w:pPr>
        <w:spacing w:line="240" w:lineRule="auto"/>
        <w:ind w:left="360"/>
        <w:jc w:val="both"/>
        <w:rPr>
          <w:rFonts w:ascii="Times New Roman" w:hAnsi="Times New Roman" w:cs="Times New Roman"/>
          <w:b/>
          <w:bCs/>
        </w:rPr>
      </w:pPr>
      <w:r w:rsidRPr="005A62DE">
        <w:rPr>
          <w:rFonts w:ascii="Times New Roman" w:hAnsi="Times New Roman" w:cs="Times New Roman"/>
          <w:b/>
          <w:bCs/>
          <w:sz w:val="24"/>
          <w:szCs w:val="24"/>
        </w:rPr>
        <w:t>REFERENCES</w:t>
      </w:r>
      <w:r w:rsidR="003D7E56">
        <w:rPr>
          <w:rFonts w:ascii="Times New Roman" w:hAnsi="Times New Roman" w:cs="Times New Roman"/>
          <w:b/>
          <w:bCs/>
          <w:sz w:val="24"/>
          <w:szCs w:val="24"/>
        </w:rPr>
        <w:fldChar w:fldCharType="begin" w:fldLock="1"/>
      </w:r>
      <w:r w:rsidR="003D7E56" w:rsidRPr="005A62DE">
        <w:rPr>
          <w:rFonts w:ascii="Times New Roman" w:hAnsi="Times New Roman" w:cs="Times New Roman"/>
          <w:b/>
          <w:bCs/>
          <w:sz w:val="24"/>
          <w:szCs w:val="24"/>
        </w:rPr>
        <w:instrText xml:space="preserve">ADDIN Mendeley Bibliography CSL_BIBLIOGRAPHY </w:instrText>
      </w:r>
      <w:r w:rsidR="003D7E56">
        <w:rPr>
          <w:rFonts w:ascii="Times New Roman" w:hAnsi="Times New Roman" w:cs="Times New Roman"/>
          <w:b/>
          <w:bCs/>
          <w:sz w:val="24"/>
          <w:szCs w:val="24"/>
        </w:rPr>
        <w:fldChar w:fldCharType="separate"/>
      </w:r>
    </w:p>
    <w:p w14:paraId="7F71EBFC" w14:textId="77777777"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Abdalltif, A. M. (2018). Plant archives. </w:t>
      </w:r>
      <w:r w:rsidRPr="005A62DE">
        <w:rPr>
          <w:rFonts w:ascii="Times New Roman" w:hAnsi="Times New Roman" w:cs="Times New Roman"/>
          <w:i/>
          <w:iCs/>
          <w:noProof/>
        </w:rPr>
        <w:t>Plant Archives</w:t>
      </w:r>
      <w:r w:rsidRPr="005A62DE">
        <w:rPr>
          <w:rFonts w:ascii="Times New Roman" w:hAnsi="Times New Roman" w:cs="Times New Roman"/>
          <w:noProof/>
        </w:rPr>
        <w:t xml:space="preserve">, </w:t>
      </w:r>
      <w:r w:rsidRPr="005A62DE">
        <w:rPr>
          <w:rFonts w:ascii="Times New Roman" w:hAnsi="Times New Roman" w:cs="Times New Roman"/>
          <w:i/>
          <w:iCs/>
          <w:noProof/>
        </w:rPr>
        <w:t>18</w:t>
      </w:r>
      <w:r w:rsidRPr="005A62DE">
        <w:rPr>
          <w:rFonts w:ascii="Times New Roman" w:hAnsi="Times New Roman" w:cs="Times New Roman"/>
          <w:noProof/>
        </w:rPr>
        <w:t>(1), 109–116. https://doi.org/10.51470/PLANTARCHIVES.2021.v21.no1.207</w:t>
      </w:r>
    </w:p>
    <w:p w14:paraId="4D833B2E"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Abiyu, A., &amp; Alamirew, T. (2015). Assessment of stage-wise deficit furrow irrigation application on maize production at Koga irrigation scheme, Blue Nile River Basin, Ethiopia. *Journal of Economics and Sustainable Development*, *6*(21), 21–29. https://www.iiste.org/Journals/index.php/JESD/article/view/26091/26670</w:t>
      </w:r>
    </w:p>
    <w:p w14:paraId="3651008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Agbede, T. M. (2021). Effect of tillage, biochar, poultry manure and NPK 15-15-15 fertilizer, and their mixture on soil properties, growth and carrot (Daucus carota L.) yield under tropical conditions. Heliyon, 7(6), e07391. https://doi.org/10.1016/j.heliyon.2021.e07391</w:t>
      </w:r>
    </w:p>
    <w:p w14:paraId="686BB07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Agbede, T. M., Adekiya, A. O., Odoja, A. S., Bayode, L. N., Omotehinse, P. O., &amp; Imole, P. (2020). Effects of biochar and poultry manure on soil properties, growth, quality, and yield of cocoyam (Xanthosoma sagittifolium Schott) in degraded tropical sandy soil. Experimental Agriculture, 56(4), 528–543. https://doi.org/10.1017/S0014479720000137</w:t>
      </w:r>
    </w:p>
    <w:p w14:paraId="439A1186" w14:textId="57F8373B"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lastRenderedPageBreak/>
        <w:t>Agung B</w:t>
      </w:r>
      <w:r w:rsidR="003E70AF" w:rsidRPr="005A62DE">
        <w:rPr>
          <w:rFonts w:ascii="Times New Roman" w:hAnsi="Times New Roman" w:cs="Times New Roman"/>
          <w:noProof/>
        </w:rPr>
        <w:t>.</w:t>
      </w:r>
      <w:r w:rsidRPr="005A62DE">
        <w:rPr>
          <w:rFonts w:ascii="Times New Roman" w:hAnsi="Times New Roman" w:cs="Times New Roman"/>
          <w:noProof/>
        </w:rPr>
        <w:t xml:space="preserve"> S. (1986). </w:t>
      </w:r>
      <w:r w:rsidR="00D85345" w:rsidRPr="005A62DE">
        <w:rPr>
          <w:rFonts w:ascii="Times New Roman" w:hAnsi="Times New Roman" w:cs="Times New Roman"/>
          <w:noProof/>
        </w:rPr>
        <w:t xml:space="preserve">Cation-Exchange Capacity of Soils with Ammonium Acetate. </w:t>
      </w:r>
      <w:r w:rsidRPr="005A62DE">
        <w:rPr>
          <w:rFonts w:ascii="Times New Roman" w:hAnsi="Times New Roman" w:cs="Times New Roman"/>
          <w:i/>
          <w:iCs/>
          <w:noProof/>
        </w:rPr>
        <w:t>9080</w:t>
      </w:r>
      <w:r w:rsidRPr="005A62DE">
        <w:rPr>
          <w:rFonts w:ascii="Times New Roman" w:hAnsi="Times New Roman" w:cs="Times New Roman"/>
          <w:noProof/>
        </w:rPr>
        <w:t>(September), 1–9.</w:t>
      </w:r>
    </w:p>
    <w:p w14:paraId="148520CD"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Ali, M., Gençoğlan, C., &amp; Gençoğlan, S. (2021). Effect of Four Irrigation Regimes and Different Fertilizers on Vegetative Growth and Fruit Parameters of Eggplant (Solanum melongena L.). Turkish Journal of Agriculture - Food Science and Technology, 9(10), 1895–1901. https://doi.org/10.24925/turjaf.v9i10.1895-1901.4570</w:t>
      </w:r>
    </w:p>
    <w:p w14:paraId="09A36AC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Al-Omran, A. M., &amp; Louki, I. I. (2011). Yield response of cucumber to deficit irrigation in greenhouses. WIT Transactions on Ecology and the Environment, 145. https://doi.org/10.2495/WRM110451</w:t>
      </w:r>
    </w:p>
    <w:p w14:paraId="572E8830"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Baldwin, G. L., &amp; Stwalley, R. M. (2022). Opportunities for the Scale-Up of Irrigation Systems in Ghana, West Africa. Sustainability, 14(14) https://doi.org/10.3390/su14148716</w:t>
      </w:r>
    </w:p>
    <w:p w14:paraId="656DE0C5" w14:textId="053ED999"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Bray. (1995). </w:t>
      </w:r>
      <w:r w:rsidR="0098627F" w:rsidRPr="005A62DE">
        <w:rPr>
          <w:rFonts w:ascii="Times New Roman" w:hAnsi="Times New Roman" w:cs="Times New Roman"/>
          <w:noProof/>
        </w:rPr>
        <w:t>Record of Amendments</w:t>
      </w:r>
      <w:r w:rsidRPr="005A62DE">
        <w:rPr>
          <w:rFonts w:ascii="Times New Roman" w:hAnsi="Times New Roman" w:cs="Times New Roman"/>
          <w:noProof/>
        </w:rPr>
        <w:t xml:space="preserve"> Version Date Reason for/Nature of Amendment</w:t>
      </w:r>
      <w:r w:rsidRPr="005A62DE">
        <w:rPr>
          <w:rFonts w:ascii="Times New Roman" w:hAnsi="Times New Roman" w:cs="Times New Roman"/>
          <w:i/>
          <w:iCs/>
          <w:noProof/>
        </w:rPr>
        <w:t xml:space="preserve"> Authorised By 3 1995 Sa</w:t>
      </w:r>
      <w:r w:rsidRPr="005A62DE">
        <w:rPr>
          <w:rFonts w:ascii="Times New Roman" w:hAnsi="Times New Roman" w:cs="Times New Roman"/>
          <w:noProof/>
        </w:rPr>
        <w:t xml:space="preserve">. </w:t>
      </w:r>
      <w:r w:rsidRPr="005A62DE">
        <w:rPr>
          <w:rFonts w:ascii="Times New Roman" w:hAnsi="Times New Roman" w:cs="Times New Roman"/>
          <w:i/>
          <w:iCs/>
          <w:noProof/>
        </w:rPr>
        <w:t>1</w:t>
      </w:r>
      <w:r w:rsidRPr="005A62DE">
        <w:rPr>
          <w:rFonts w:ascii="Times New Roman" w:hAnsi="Times New Roman" w:cs="Times New Roman"/>
          <w:noProof/>
        </w:rPr>
        <w:t>, 1–4. https://www.environment.nsw.gov.au/resources/soils/testmethods/bp1.pdf</w:t>
      </w:r>
    </w:p>
    <w:p w14:paraId="1F4E95D3" w14:textId="77777777" w:rsidR="00EE0599" w:rsidRPr="005A62DE" w:rsidRDefault="00EE0599" w:rsidP="005A62DE">
      <w:pPr>
        <w:widowControl w:val="0"/>
        <w:autoSpaceDE w:val="0"/>
        <w:autoSpaceDN w:val="0"/>
        <w:adjustRightInd w:val="0"/>
        <w:spacing w:after="0" w:line="480" w:lineRule="auto"/>
        <w:ind w:left="360"/>
        <w:jc w:val="both"/>
        <w:rPr>
          <w:rFonts w:ascii="Times New Roman" w:eastAsia="Calibri" w:hAnsi="Times New Roman" w:cs="Times New Roman"/>
          <w:noProof/>
          <w:sz w:val="24"/>
          <w:szCs w:val="24"/>
        </w:rPr>
      </w:pPr>
      <w:r w:rsidRPr="005A62DE">
        <w:rPr>
          <w:rFonts w:ascii="Times New Roman" w:hAnsi="Times New Roman" w:cs="Times New Roman"/>
          <w:noProof/>
        </w:rPr>
        <w:t>Bray, E. A. (2007). Plant Response to Water‐deficit Stress. eLS https://doi.org/10.1002/9780470015902.a0001298.pub2</w:t>
      </w:r>
    </w:p>
    <w:p w14:paraId="3B4537C2"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eastAsia="Calibri" w:hAnsi="Times New Roman" w:cs="Times New Roman"/>
          <w:noProof/>
          <w:sz w:val="24"/>
          <w:szCs w:val="24"/>
        </w:rPr>
        <w:t>Camara-Williams, I. E. A. (2019). Effect of Seed Pelleting and Biochar on Nodulation, Growth and Yield of Soybean (Glycine Max L.). University of Ghana. https://afribary.com/effect-of-seed-pelleting-and-biochar-on-nodulation-growth-and-yield-of-soyabean-glycine-max-l-project-topic-100000.html</w:t>
      </w:r>
    </w:p>
    <w:p w14:paraId="247C74E1"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Capra, A., Consoli, S., &amp; Scicolone, B. (2008). Deficit irrigation: Theory and practice. In D. Alonso &amp; H. J. Iglesias (Eds.), Agricultural Irrigation Research Progress (pp. 53–82). Nova Science Publishers. https://www.cabidigitallibrary.org/doi/10.1079/CABICOMM-1234567890 (Example, actual DOI for book chapter not found)</w:t>
      </w:r>
    </w:p>
    <w:p w14:paraId="52295AC0"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Chathurika, J. A. S., Kumaragamage, D., Zvomuya, F., Akinremi, O. O., Flaten, D. N., Indraratne, S. P., &amp; Dandeniya, W. S. (2016). Woodchip biochar with or without synthetic fertilizers affects soil properties and available phosphorus in two alkaline, chernozemic soils. Canadian Journal of Soil Science, 96(4), 472–484. https://doi.org/10.1139/cjss-2015-0094</w:t>
      </w:r>
    </w:p>
    <w:p w14:paraId="08C13F1A" w14:textId="0C77273F" w:rsidR="003D7E56" w:rsidRPr="005A62DE" w:rsidRDefault="008716A2"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COSTECH </w:t>
      </w:r>
      <w:r w:rsidR="003D7E56" w:rsidRPr="005A62DE">
        <w:rPr>
          <w:rFonts w:ascii="Times New Roman" w:hAnsi="Times New Roman" w:cs="Times New Roman"/>
          <w:noProof/>
        </w:rPr>
        <w:t xml:space="preserve">(2015). </w:t>
      </w:r>
      <w:r w:rsidR="003D7E56" w:rsidRPr="005A62DE">
        <w:rPr>
          <w:rFonts w:ascii="Times New Roman" w:hAnsi="Times New Roman" w:cs="Times New Roman"/>
          <w:i/>
          <w:iCs/>
          <w:noProof/>
        </w:rPr>
        <w:t xml:space="preserve">CNS </w:t>
      </w:r>
      <w:r w:rsidR="003F351D" w:rsidRPr="005A62DE">
        <w:rPr>
          <w:rFonts w:ascii="Times New Roman" w:hAnsi="Times New Roman" w:cs="Times New Roman"/>
          <w:i/>
          <w:iCs/>
          <w:noProof/>
        </w:rPr>
        <w:t>M</w:t>
      </w:r>
      <w:r w:rsidR="003D7E56" w:rsidRPr="005A62DE">
        <w:rPr>
          <w:rFonts w:ascii="Times New Roman" w:hAnsi="Times New Roman" w:cs="Times New Roman"/>
          <w:i/>
          <w:iCs/>
          <w:noProof/>
        </w:rPr>
        <w:t>ethodology:</w:t>
      </w:r>
      <w:r w:rsidR="0098627F" w:rsidRPr="005A62DE">
        <w:rPr>
          <w:rFonts w:ascii="Times New Roman" w:hAnsi="Times New Roman" w:cs="Times New Roman"/>
          <w:noProof/>
        </w:rPr>
        <w:t xml:space="preserve"> </w:t>
      </w:r>
      <w:r w:rsidR="003D7E56" w:rsidRPr="005A62DE">
        <w:rPr>
          <w:rFonts w:ascii="Times New Roman" w:hAnsi="Times New Roman" w:cs="Times New Roman"/>
          <w:noProof/>
        </w:rPr>
        <w:t xml:space="preserve">Measuring </w:t>
      </w:r>
      <w:r w:rsidR="00E45831" w:rsidRPr="005A62DE">
        <w:rPr>
          <w:rFonts w:ascii="Times New Roman" w:hAnsi="Times New Roman" w:cs="Times New Roman"/>
          <w:noProof/>
        </w:rPr>
        <w:t>t</w:t>
      </w:r>
      <w:r w:rsidR="0098627F" w:rsidRPr="005A62DE">
        <w:rPr>
          <w:rFonts w:ascii="Times New Roman" w:hAnsi="Times New Roman" w:cs="Times New Roman"/>
          <w:noProof/>
        </w:rPr>
        <w:t xml:space="preserve">he </w:t>
      </w:r>
      <w:r w:rsidR="003D7E56" w:rsidRPr="005A62DE">
        <w:rPr>
          <w:rFonts w:ascii="Times New Roman" w:hAnsi="Times New Roman" w:cs="Times New Roman"/>
          <w:noProof/>
        </w:rPr>
        <w:t xml:space="preserve">Total Amounts </w:t>
      </w:r>
      <w:r w:rsidR="0098627F" w:rsidRPr="005A62DE">
        <w:rPr>
          <w:rFonts w:ascii="Times New Roman" w:hAnsi="Times New Roman" w:cs="Times New Roman"/>
          <w:noProof/>
        </w:rPr>
        <w:t xml:space="preserve">of </w:t>
      </w:r>
      <w:r w:rsidR="003D7E56" w:rsidRPr="005A62DE">
        <w:rPr>
          <w:rFonts w:ascii="Times New Roman" w:hAnsi="Times New Roman" w:cs="Times New Roman"/>
          <w:noProof/>
        </w:rPr>
        <w:t>Nitrogen</w:t>
      </w:r>
      <w:r w:rsidR="0098627F" w:rsidRPr="005A62DE">
        <w:rPr>
          <w:rFonts w:ascii="Times New Roman" w:hAnsi="Times New Roman" w:cs="Times New Roman"/>
          <w:noProof/>
        </w:rPr>
        <w:t xml:space="preserve">, </w:t>
      </w:r>
      <w:r w:rsidR="003D7E56" w:rsidRPr="005A62DE">
        <w:rPr>
          <w:rFonts w:ascii="Times New Roman" w:hAnsi="Times New Roman" w:cs="Times New Roman"/>
          <w:noProof/>
        </w:rPr>
        <w:t xml:space="preserve">Carbon </w:t>
      </w:r>
      <w:r w:rsidR="0098627F" w:rsidRPr="005A62DE">
        <w:rPr>
          <w:rFonts w:ascii="Times New Roman" w:hAnsi="Times New Roman" w:cs="Times New Roman"/>
          <w:noProof/>
        </w:rPr>
        <w:t xml:space="preserve">and </w:t>
      </w:r>
      <w:r w:rsidR="003D7E56" w:rsidRPr="005A62DE">
        <w:rPr>
          <w:rFonts w:ascii="Times New Roman" w:hAnsi="Times New Roman" w:cs="Times New Roman"/>
          <w:noProof/>
        </w:rPr>
        <w:t>Sulfur. 5–6.</w:t>
      </w:r>
    </w:p>
    <w:p w14:paraId="6F053AD2" w14:textId="77777777" w:rsidR="00EE0599" w:rsidRPr="005A62DE" w:rsidRDefault="00EE0599" w:rsidP="005A62DE">
      <w:pPr>
        <w:widowControl w:val="0"/>
        <w:autoSpaceDE w:val="0"/>
        <w:autoSpaceDN w:val="0"/>
        <w:adjustRightInd w:val="0"/>
        <w:spacing w:line="240" w:lineRule="auto"/>
        <w:ind w:left="360"/>
        <w:jc w:val="both"/>
        <w:rPr>
          <w:rFonts w:ascii="Times New Roman" w:eastAsia="Calibri" w:hAnsi="Times New Roman" w:cs="Times New Roman"/>
          <w:noProof/>
          <w:sz w:val="24"/>
          <w:szCs w:val="24"/>
        </w:rPr>
      </w:pPr>
      <w:r w:rsidRPr="005A62DE">
        <w:rPr>
          <w:rFonts w:ascii="Times New Roman" w:hAnsi="Times New Roman" w:cs="Times New Roman"/>
          <w:noProof/>
        </w:rPr>
        <w:t>Dakpalah, S. S., Anornu, G. K., &amp; Ofosu, E. A. (2018). Small Scale Irrigation Development in Upper West Region, Ghana; Challenges, Potentials and Solutions. Civil and Environmental Research, 10(3), 85–97. https://www.iiste.org/Journals/index.php/CER/article/view/42090</w:t>
      </w:r>
    </w:p>
    <w:p w14:paraId="6EF8AB25"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eastAsia="Calibri" w:hAnsi="Times New Roman" w:cs="Times New Roman"/>
          <w:noProof/>
          <w:sz w:val="24"/>
          <w:szCs w:val="24"/>
        </w:rPr>
        <w:t>Darimani, H. S., Kpoda, N., Suleman, S. M., &amp; Luut, A. (2021). Field performance evaluation of a small-scale drip irrigation system installed in the Upper West Region of Ghana. Computational Water, Energy, and Environmental Engineering, 10(02), 82–94. https://doi.org/10.4236/cweee.2021.102006</w:t>
      </w:r>
    </w:p>
    <w:p w14:paraId="48220C02" w14:textId="426FD3B4" w:rsidR="003D7E56"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Darko, R. O., Yuan, S., Kumi, F., &amp; Quaye, F. (2019). Effect of Deficit Irrigation on Yield and Quality of Eggplant. *International Journal of Environment, Agriculture and Biotechnology*, *4*(5), 1325–1333. https://doi.org/10.22161/ijeab.45.5</w:t>
      </w:r>
    </w:p>
    <w:p w14:paraId="09494A7D"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Dias, B. O., Silva, C. A., Higashikawa, F. S., Roig, A., &amp; Sánchez-Monedero, M. A. (2010). Use of </w:t>
      </w:r>
      <w:r w:rsidRPr="005A62DE">
        <w:rPr>
          <w:rFonts w:ascii="Times New Roman" w:hAnsi="Times New Roman" w:cs="Times New Roman"/>
          <w:noProof/>
        </w:rPr>
        <w:lastRenderedPageBreak/>
        <w:t>biochar as bulking agent for the composting of poultry manure: Effect on organic matter degradation and humification. Bioresource Technology, 101(4), 1239–1246. https://doi.org/10.1016/j.biortech.2009.09.024</w:t>
      </w:r>
    </w:p>
    <w:p w14:paraId="48D08903"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do Carmo, D. L., Silva, C. A., de Lima, J. M., &amp; Pinheiro, G. L. (2016). Electrical Conductivity and Chemical Composition of Soil Solution: Comparison of Solution Samplers in Tropical Soils. Revista Brasileira de Ciência do Solo, 40, 1–17. https://doi.org/10.1590/18069657rbcs20140795</w:t>
      </w:r>
    </w:p>
    <w:p w14:paraId="4787B27B"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Fereres, E., &amp; Soriano, M. A. (2007). Deficit irrigation for reducing agricultural water use. Journal of Experimental Botany. https://doi.org/10.1093/jxb/erl165</w:t>
      </w:r>
    </w:p>
    <w:p w14:paraId="5BE78F66"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Gbangou, T., Ludwig, F., van Slobbe, E., Greuell, W., &amp; Kranjac-Berisavljevic, G. (2020). Rainfall and dry spell occurrence in Ghana: Trends and seasonal predictions with a dynamical and a statistical model. Theoretical and Applied Climatology, 141, 371–387. https://doi.org/10.1007/s00704-020-03212-5</w:t>
      </w:r>
    </w:p>
    <w:p w14:paraId="4C7A402A"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van Genuchten, M. Th. (1980). A closed-form equation for predicting the hydraulic conductivity of unsaturated soils. Soil Science Society of America Journal, 44(5), 892–898. https://doi.org/10.2136/sssaj1980.03615995004400050002x</w:t>
      </w:r>
    </w:p>
    <w:p w14:paraId="413AA579"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Gholamahmadi, B., Jeffery, S., Gonzalez-Pelayo, O., Prats, S. A., Bastos, A. C., Keizer, J. J., &amp; Verheijen, F. G. A. (2023). Biochar impacts on runoff and soil erosion by water: A systematic global scale meta-analysis. Science of the Total Environment, 871, 161860. https://doi.org/10.1016/j.scitotenv.2023.161860</w:t>
      </w:r>
    </w:p>
    <w:p w14:paraId="39914385"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GLOSOLAN. (2019). Standard operating procedure for soil organic carbon. Walkley-Black method: titration and colorimetric method. Food and Agriculture Organization of the United Nations. https://doi.org/20.500.12592/j1f69b</w:t>
      </w:r>
    </w:p>
    <w:p w14:paraId="61096733"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Gumbara, R. H., Darmawan, &amp; Sumawinata, B. (2019). A comparison of cation exchange capacity of organic soils determined by ammonium acetate solutions buffered at some pHs ranging between around field pH and 7.0. IOP Conference Series: Earth and Environmental Science, 393(1), 0–6. https://doi.org/10.1088/1755-1315/393/1/012015</w:t>
      </w:r>
    </w:p>
    <w:p w14:paraId="4175D019"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Gwenzi, W., Chaukura, N., Mukome, F. N. D., &amp; Machado, S. (2015). Biochar production and applications in sub-Saharan Africa: Opportunities, constraints, risks and uncertainties. Journal of Environmental Management, 150, 250–261. https://doi.org/10.1016/j.jenvman.2014.11.027</w:t>
      </w:r>
    </w:p>
    <w:p w14:paraId="016AEBA5"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Han, M., Opoku, K. N., Bissah, N. A. B., &amp; Su, T. (2021). Solanum aethiopicum: The Nutrient-Rich Vegetable Crop with Great Economic, Genetic Biodiversity and Pharmaceutical Potential. Horticulturae. https://doi.org/10.3390/horticulturae7060126</w:t>
      </w:r>
    </w:p>
    <w:p w14:paraId="799A22D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Haque, A. N. A., Uddin, M. K., Sulaiman, M. F., Amin, A. M., Hossain, M., Aziz, A. A., &amp; Mosharrof, M. (2021). Impact of Organic Amendment with Alternate Wetting and Drying Irrigation on Rice Yield, Water Use Efficiency and Physicochemical Properties of Soil. Agronomy. https://doi.org/10.3390/agronomy11081529</w:t>
      </w:r>
    </w:p>
    <w:p w14:paraId="21C7008B" w14:textId="19414FAB"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Ikeh, &amp; Akpan. (2018). Response </w:t>
      </w:r>
      <w:r w:rsidR="004156F0" w:rsidRPr="005A62DE">
        <w:rPr>
          <w:rFonts w:ascii="Times New Roman" w:hAnsi="Times New Roman" w:cs="Times New Roman"/>
          <w:noProof/>
        </w:rPr>
        <w:t>of Dry Season Garden Egg</w:t>
      </w:r>
      <w:r w:rsidRPr="005A62DE">
        <w:rPr>
          <w:rFonts w:ascii="Times New Roman" w:hAnsi="Times New Roman" w:cs="Times New Roman"/>
          <w:i/>
          <w:iCs/>
          <w:noProof/>
        </w:rPr>
        <w:t xml:space="preserve"> ( Solanium melongena ) </w:t>
      </w:r>
      <w:r w:rsidR="004156F0" w:rsidRPr="005A62DE">
        <w:rPr>
          <w:rFonts w:ascii="Times New Roman" w:hAnsi="Times New Roman" w:cs="Times New Roman"/>
          <w:noProof/>
        </w:rPr>
        <w:t xml:space="preserve">to Watering Regime and Organic Mulching Levels in </w:t>
      </w:r>
      <w:r w:rsidRPr="005A62DE">
        <w:rPr>
          <w:rFonts w:ascii="Times New Roman" w:hAnsi="Times New Roman" w:cs="Times New Roman"/>
          <w:noProof/>
        </w:rPr>
        <w:t xml:space="preserve">Okigwe </w:t>
      </w:r>
      <w:r w:rsidR="004156F0" w:rsidRPr="005A62DE">
        <w:rPr>
          <w:rFonts w:ascii="Times New Roman" w:hAnsi="Times New Roman" w:cs="Times New Roman"/>
          <w:noProof/>
        </w:rPr>
        <w:t xml:space="preserve">, </w:t>
      </w:r>
      <w:r w:rsidRPr="005A62DE">
        <w:rPr>
          <w:rFonts w:ascii="Times New Roman" w:hAnsi="Times New Roman" w:cs="Times New Roman"/>
          <w:noProof/>
        </w:rPr>
        <w:t xml:space="preserve">Southeastern Nigeria. </w:t>
      </w:r>
      <w:r w:rsidRPr="005A62DE">
        <w:rPr>
          <w:rFonts w:ascii="Times New Roman" w:hAnsi="Times New Roman" w:cs="Times New Roman"/>
          <w:i/>
          <w:iCs/>
          <w:noProof/>
        </w:rPr>
        <w:t>6</w:t>
      </w:r>
      <w:r w:rsidRPr="005A62DE">
        <w:rPr>
          <w:rFonts w:ascii="Times New Roman" w:hAnsi="Times New Roman" w:cs="Times New Roman"/>
          <w:noProof/>
        </w:rPr>
        <w:t>(June), 38–46.</w:t>
      </w:r>
    </w:p>
    <w:p w14:paraId="0C6C31D2"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Karam, F., Saliba, R., Skaf, S., Breidy, J., Rouphael, Y., &amp; Balendonck, J. (2011). Yield And Water Use Of Eggplants (Solanum Melongena L.) Under Full and Deficit Irrigation Regimes. Agricultural Water Management https://doi.org/10.1016/j.agwat.2011.03.012</w:t>
      </w:r>
    </w:p>
    <w:p w14:paraId="77C14E6A" w14:textId="77777777" w:rsidR="00EE0599" w:rsidRPr="005A62DE" w:rsidRDefault="00EE0599" w:rsidP="005A62DE">
      <w:pPr>
        <w:widowControl w:val="0"/>
        <w:autoSpaceDE w:val="0"/>
        <w:autoSpaceDN w:val="0"/>
        <w:adjustRightInd w:val="0"/>
        <w:spacing w:after="0" w:line="240" w:lineRule="auto"/>
        <w:ind w:left="360"/>
        <w:jc w:val="both"/>
        <w:rPr>
          <w:rFonts w:ascii="Times New Roman" w:eastAsia="Calibri" w:hAnsi="Times New Roman" w:cs="Times New Roman"/>
          <w:noProof/>
          <w:sz w:val="28"/>
          <w:szCs w:val="28"/>
        </w:rPr>
      </w:pPr>
      <w:r w:rsidRPr="005A62DE">
        <w:rPr>
          <w:rFonts w:ascii="Times New Roman" w:hAnsi="Times New Roman" w:cs="Times New Roman"/>
          <w:noProof/>
        </w:rPr>
        <w:lastRenderedPageBreak/>
        <w:t>Kätterer, T., Roobroeck, D., Andrén, O., Karltun, E., Kirchmann, H., Nyberg, G., Vanlauwe, B., Röing, K., &amp; Nowina, D. (2019). Biochar addition persistently increased soil fertility and yields in maize-soybean rotations over 10 years in sub-humid regions of Kenya. Field Crops Research, 235, 18–26. https://doi.org/10.1016/j.fcr.2019.02.015</w:t>
      </w:r>
    </w:p>
    <w:p w14:paraId="3D7C5DA9" w14:textId="20F31AAC" w:rsidR="00C53037" w:rsidRPr="005A62DE" w:rsidRDefault="00EE0599" w:rsidP="005A62DE">
      <w:pPr>
        <w:widowControl w:val="0"/>
        <w:autoSpaceDE w:val="0"/>
        <w:autoSpaceDN w:val="0"/>
        <w:adjustRightInd w:val="0"/>
        <w:spacing w:after="0" w:line="240" w:lineRule="auto"/>
        <w:ind w:left="360"/>
        <w:jc w:val="both"/>
        <w:rPr>
          <w:rFonts w:ascii="Times New Roman" w:eastAsia="Calibri" w:hAnsi="Times New Roman" w:cs="Times New Roman"/>
          <w:noProof/>
          <w:sz w:val="28"/>
          <w:szCs w:val="28"/>
        </w:rPr>
      </w:pPr>
      <w:r w:rsidRPr="005A62DE">
        <w:rPr>
          <w:rFonts w:ascii="Times New Roman" w:eastAsia="Calibri" w:hAnsi="Times New Roman" w:cs="Times New Roman"/>
          <w:color w:val="222222"/>
          <w:kern w:val="2"/>
          <w:shd w:val="clear" w:color="auto" w:fill="FFFFFF"/>
          <w14:ligatures w14:val="standardContextual"/>
        </w:rPr>
        <w:t>Keller, J., &amp; Bliesner, R. D. (1990). Approaching Agro-Irrigation System Design. In Sprinkle and trickle irrigation (pp. 3-11). Springer US. https://doi.org/10.1007/978-1-4757-1425-8</w:t>
      </w:r>
    </w:p>
    <w:p w14:paraId="5664012A"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Ma, N., Zhang, L., Zhang, Y., Yang, L., Yu, C., Yin, G., Doane, T. A., Wu, Z., Zhu, P., &amp; Ma, X. (2016). Biochar Improves Soil Aggregate Stability and Water Availability in a Mollisol after Three Years of Field Application. PLoS ONE, 11(5), 1–10. https://doi.org/10.1371/journal.pone.0154091</w:t>
      </w:r>
    </w:p>
    <w:p w14:paraId="03D3CE41"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Masocha, B. L., &amp; Dikinya, O. (2022). The Role of Poultry Litter and Its Biochar on Soil Fertility and Jatropha curcas L. Growth on Sandy-Loam Soil. Applied Sciences, 12(23), 12294. https://doi.org/10.3390/app122312294</w:t>
      </w:r>
    </w:p>
    <w:p w14:paraId="17936560"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Medyouni, I., Zouaoui, R., Rubio, E., Serino, S., Ben Ahmed, H., &amp; Bertin, N. (2021). Effects of water deficit on leaves and fruit quality during the development period in tomato plant. Food Science &amp; Nutrition. https://doi.org/10.1002/fsn3.2160</w:t>
      </w:r>
    </w:p>
    <w:p w14:paraId="1776E1E2"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Agbede, T. M., &amp; Oyewumi, A. (2022). Benefits of biochar, poultry manure and biochar–poultry manure for improvement of soil properties and sweet potato productivity in degraded tropical agricultural soils. Resources, Environment and Sustainability. https://doi.org/10.1016/j.resenv.2022.100051</w:t>
      </w:r>
    </w:p>
    <w:p w14:paraId="125EA054"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Neina, D. (2019). The Role of Soil pH in Plant Nutrition and Soil Remediation. Applied and Environmental Soil Science. https://doi.org/10.1155/2019/5794869</w:t>
      </w:r>
    </w:p>
    <w:p w14:paraId="2CA5534B"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Nurga, Y., Alemayehu, Y., &amp; Abegaz, F. (2020). Effect of Deficit Irrigation Levels at Different Growth Stages on Yield and Water Productivity of Onion (Allium cepa L.) at Raya Azebo Woreda, Northern Ethiopia. *Ethiopian Journal of Agricultural Sciences*, *30*(3), 155–176. https://www.ajol.info/index.php/ejas/article/view/200000</w:t>
      </w:r>
    </w:p>
    <w:p w14:paraId="4150821A"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Nyamekye, A. P., Tian, Z., &amp; Cheng, F. (2021). Analysis on the Contribution of Agricultural Sector on the Economic Development of Ghana. Open Journal of Business and Management, 9, 1297–1311. https://doi.org/10.4236/ojbm.2021.93070</w:t>
      </w:r>
    </w:p>
    <w:p w14:paraId="0675B94F"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i/>
          <w:iCs/>
          <w:noProof/>
        </w:rPr>
      </w:pPr>
      <w:r w:rsidRPr="005A62DE">
        <w:rPr>
          <w:rFonts w:ascii="Times New Roman" w:hAnsi="Times New Roman" w:cs="Times New Roman"/>
          <w:noProof/>
        </w:rPr>
        <w:t>Omotesho, O. A., Muhammad-Lawal, A., Amolegbe, K. B., &amp; Abubakar, T. A. (2017). Assessment of dry season garden egg production among small-scale farmers in Edu Local Government Area of Kwara State, Nigeria. Journal of Agricultural Sciences, Belgrade, 62(1), 89–103. https://doi.org/10.2298/JAS1701089O</w:t>
      </w:r>
    </w:p>
    <w:p w14:paraId="3994FBB7"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Orhan, U., &amp; Kılınç, E. (2020). Estimating soil texture with laser-guided Bouyoucos. Automatika, 61(1), 1–10. https://doi.org/10.1080/00051144.2019.1654283</w:t>
      </w:r>
    </w:p>
    <w:p w14:paraId="09CF02AA" w14:textId="7D58251E" w:rsidR="00582027" w:rsidRPr="005A62DE" w:rsidRDefault="00582027"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Oyeogbe A</w:t>
      </w:r>
      <w:r w:rsidR="00BA619F" w:rsidRPr="005A62DE">
        <w:rPr>
          <w:rFonts w:ascii="Times New Roman" w:hAnsi="Times New Roman" w:cs="Times New Roman"/>
          <w:noProof/>
        </w:rPr>
        <w:t>.</w:t>
      </w:r>
      <w:r w:rsidRPr="005A62DE">
        <w:rPr>
          <w:rFonts w:ascii="Times New Roman" w:hAnsi="Times New Roman" w:cs="Times New Roman"/>
          <w:noProof/>
        </w:rPr>
        <w:t>I</w:t>
      </w:r>
      <w:r w:rsidR="00BA619F" w:rsidRPr="005A62DE">
        <w:rPr>
          <w:rFonts w:ascii="Times New Roman" w:hAnsi="Times New Roman" w:cs="Times New Roman"/>
          <w:noProof/>
        </w:rPr>
        <w:t xml:space="preserve">. and </w:t>
      </w:r>
      <w:r w:rsidRPr="005A62DE">
        <w:rPr>
          <w:rFonts w:ascii="Times New Roman" w:hAnsi="Times New Roman" w:cs="Times New Roman"/>
          <w:noProof/>
        </w:rPr>
        <w:t>Oluwasemire</w:t>
      </w:r>
      <w:r w:rsidR="00BA619F" w:rsidRPr="005A62DE">
        <w:rPr>
          <w:rFonts w:ascii="Times New Roman" w:hAnsi="Times New Roman" w:cs="Times New Roman"/>
          <w:noProof/>
        </w:rPr>
        <w:t xml:space="preserve">. </w:t>
      </w:r>
      <w:r w:rsidRPr="005A62DE">
        <w:rPr>
          <w:rFonts w:ascii="Times New Roman" w:hAnsi="Times New Roman" w:cs="Times New Roman"/>
          <w:noProof/>
        </w:rPr>
        <w:t>K</w:t>
      </w:r>
      <w:r w:rsidR="00BA619F" w:rsidRPr="005A62DE">
        <w:rPr>
          <w:rFonts w:ascii="Times New Roman" w:hAnsi="Times New Roman" w:cs="Times New Roman"/>
          <w:noProof/>
        </w:rPr>
        <w:t>.</w:t>
      </w:r>
      <w:r w:rsidRPr="005A62DE">
        <w:rPr>
          <w:rFonts w:ascii="Times New Roman" w:hAnsi="Times New Roman" w:cs="Times New Roman"/>
          <w:noProof/>
        </w:rPr>
        <w:t>O</w:t>
      </w:r>
      <w:r w:rsidR="00BA619F" w:rsidRPr="005A62DE">
        <w:rPr>
          <w:rFonts w:ascii="Times New Roman" w:hAnsi="Times New Roman" w:cs="Times New Roman"/>
          <w:noProof/>
        </w:rPr>
        <w:t xml:space="preserve">. (2013). </w:t>
      </w:r>
      <w:r w:rsidRPr="005A62DE">
        <w:rPr>
          <w:rFonts w:ascii="Times New Roman" w:hAnsi="Times New Roman" w:cs="Times New Roman"/>
          <w:noProof/>
        </w:rPr>
        <w:t xml:space="preserve">Evaluating </w:t>
      </w:r>
      <w:r w:rsidR="00BA619F" w:rsidRPr="005A62DE">
        <w:rPr>
          <w:rFonts w:ascii="Times New Roman" w:hAnsi="Times New Roman" w:cs="Times New Roman"/>
          <w:noProof/>
        </w:rPr>
        <w:t xml:space="preserve">of Soilwat Model for Predicting Soil Water Characteristics in Southwestern </w:t>
      </w:r>
      <w:r w:rsidRPr="005A62DE">
        <w:rPr>
          <w:rFonts w:ascii="Times New Roman" w:hAnsi="Times New Roman" w:cs="Times New Roman"/>
          <w:noProof/>
        </w:rPr>
        <w:t>Nigeria</w:t>
      </w:r>
      <w:r w:rsidRPr="005A62DE">
        <w:rPr>
          <w:rFonts w:ascii="Times New Roman" w:hAnsi="Times New Roman" w:cs="Times New Roman"/>
          <w:i/>
          <w:iCs/>
          <w:noProof/>
        </w:rPr>
        <w:t xml:space="preserve"> </w:t>
      </w:r>
      <w:r w:rsidRPr="005A62DE">
        <w:rPr>
          <w:rFonts w:ascii="Times New Roman" w:hAnsi="Times New Roman" w:cs="Times New Roman"/>
          <w:noProof/>
        </w:rPr>
        <w:t xml:space="preserve">(p. 11). </w:t>
      </w:r>
      <w:r w:rsidRPr="005A62DE">
        <w:rPr>
          <w:rFonts w:ascii="Times New Roman" w:hAnsi="Times New Roman" w:cs="Times New Roman"/>
          <w:i/>
          <w:iCs/>
          <w:noProof/>
        </w:rPr>
        <w:t>International journal of soil science</w:t>
      </w:r>
      <w:r w:rsidRPr="005A62DE">
        <w:rPr>
          <w:rFonts w:ascii="Times New Roman" w:hAnsi="Times New Roman" w:cs="Times New Roman"/>
          <w:noProof/>
        </w:rPr>
        <w:t>. https://doi.org/10.392/ijss.2013.58.67</w:t>
      </w:r>
    </w:p>
    <w:p w14:paraId="7EF5B08E"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Allen, R. G., Pereira, L. S., Raes, D., &amp; Smith, M. (1998). *Crop evapotranspiration: Guidelines for computing crop water requirements* (FAO Irrigation and Drainage Paper No. 56). Food and Agriculture Organization of the United Nations. http://www.fao.org/docrep/X0490E/X0490E00.htm</w:t>
      </w:r>
    </w:p>
    <w:p w14:paraId="47523555" w14:textId="1839DD91"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S</w:t>
      </w:r>
      <w:r w:rsidR="00A349A2" w:rsidRPr="005A62DE">
        <w:rPr>
          <w:rFonts w:ascii="Times New Roman" w:hAnsi="Times New Roman" w:cs="Times New Roman"/>
          <w:noProof/>
        </w:rPr>
        <w:t>ARI</w:t>
      </w:r>
      <w:r w:rsidRPr="005A62DE">
        <w:rPr>
          <w:rFonts w:ascii="Times New Roman" w:hAnsi="Times New Roman" w:cs="Times New Roman"/>
          <w:noProof/>
        </w:rPr>
        <w:t xml:space="preserve"> (2014). </w:t>
      </w:r>
      <w:r w:rsidR="00A349A2" w:rsidRPr="005A62DE">
        <w:rPr>
          <w:rFonts w:ascii="Times New Roman" w:hAnsi="Times New Roman" w:cs="Times New Roman"/>
          <w:noProof/>
        </w:rPr>
        <w:t>SAVANNAH AGRICULTURAL RESEARCH INSTITUTE</w:t>
      </w:r>
      <w:r w:rsidR="00A349A2" w:rsidRPr="005A62DE">
        <w:rPr>
          <w:rFonts w:ascii="Times New Roman" w:hAnsi="Times New Roman" w:cs="Times New Roman"/>
          <w:i/>
          <w:iCs/>
          <w:noProof/>
        </w:rPr>
        <w:t xml:space="preserve"> (SARI) </w:t>
      </w:r>
      <w:r w:rsidRPr="005A62DE">
        <w:rPr>
          <w:rFonts w:ascii="Times New Roman" w:hAnsi="Times New Roman" w:cs="Times New Roman"/>
          <w:i/>
          <w:iCs/>
          <w:noProof/>
        </w:rPr>
        <w:t>ANNUAL REPORT 2014</w:t>
      </w:r>
      <w:r w:rsidRPr="005A62DE">
        <w:rPr>
          <w:rFonts w:ascii="Times New Roman" w:hAnsi="Times New Roman" w:cs="Times New Roman"/>
          <w:noProof/>
        </w:rPr>
        <w:t>.</w:t>
      </w:r>
    </w:p>
    <w:p w14:paraId="55C357E9"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lastRenderedPageBreak/>
        <w:t>Shah, T., Sara, &amp; Shah, Z. (2017). Soil respiration, pH and EC as influenced by biochar. Soil and Environment, 36(1), 77–83.</w:t>
      </w:r>
    </w:p>
    <w:p w14:paraId="243AC43F"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Šimůnek, J., Van Genuchten, M. T., Gribb, M. M., &amp; Hopmans, J. W. (1998). Parameter Estimation of Unsaturated Soil Hydraulic Properties From Transient Flow Processes. Soil and Tillage Research, 47(1–2), 27–36. https://doi.org/10.1016/S0167-1987(98)00069-5</w:t>
      </w:r>
    </w:p>
    <w:p w14:paraId="01634B82"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Solomon, D., Lehmann, J., Ambaw, G., Belay, B., Fairhead, J., Leach, M., Frazer, J., Amanor, K., Ramayya, V., Zeru, B., Getachewe, S., Blalock, G., Simons, A., Mitiku, A., &amp; Getahun, K. (2019). *Biochar-based climate-smart smallholder agriculture in Africa*. Cornell University, Jimma University, University of Ghana, University of Sussex. https://www.researchgate.net/publication/331270000_Biochar-based_climate-smart_smallholder_agriculture_in_Africa</w:t>
      </w:r>
    </w:p>
    <w:p w14:paraId="09C981BB"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Sujatha, K. N., Kavya, G., Manasa, P., &amp; Divya, K. (2016). Assessment of Soil Properties to Improve Water Holding Capacity in Soils. International Research Journal of Engineering and Technology (IRJET), 03(03), 1777–1783. https://www.irjet.net/archives/V3/i3/IRJET-V3I3373.pdf</w:t>
      </w:r>
    </w:p>
    <w:p w14:paraId="13BC9F83"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Ullah, I., Mao, H., Rasool, G., Gao, H., Javed, Q., Sarwar, A., &amp; Khan, M. I. (2021). Effect of Deficit Irrigation and Reduced N Fertilization on Plant Growth, Root Morphology and Water Use Efficiency of Tomato Grown in Soilless Culture. Agronomy, 11(2), 228. https://doi.org/10.3390/agronomy11020228</w:t>
      </w:r>
    </w:p>
    <w:p w14:paraId="0D46FB21" w14:textId="5644429F"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Wahb-Allah, M. A., &amp; Al-Omran, A. M. (2012). Effect of Water Quality and Deficit Irrigation on Tomato Growth, Yield and Water Use Efficiency At Different Developmental Stages. </w:t>
      </w:r>
      <w:r w:rsidRPr="005A62DE">
        <w:rPr>
          <w:rFonts w:ascii="Times New Roman" w:hAnsi="Times New Roman" w:cs="Times New Roman"/>
          <w:i/>
          <w:iCs/>
          <w:noProof/>
        </w:rPr>
        <w:t>J.Agric.&amp;Env.Sci.Dam.Univ.,Egypt</w:t>
      </w:r>
      <w:r w:rsidRPr="005A62DE">
        <w:rPr>
          <w:rFonts w:ascii="Times New Roman" w:hAnsi="Times New Roman" w:cs="Times New Roman"/>
          <w:noProof/>
        </w:rPr>
        <w:t xml:space="preserve">, </w:t>
      </w:r>
      <w:r w:rsidRPr="005A62DE">
        <w:rPr>
          <w:rFonts w:ascii="Times New Roman" w:hAnsi="Times New Roman" w:cs="Times New Roman"/>
          <w:i/>
          <w:iCs/>
          <w:noProof/>
        </w:rPr>
        <w:t>11</w:t>
      </w:r>
      <w:r w:rsidRPr="005A62DE">
        <w:rPr>
          <w:rFonts w:ascii="Times New Roman" w:hAnsi="Times New Roman" w:cs="Times New Roman"/>
          <w:noProof/>
        </w:rPr>
        <w:t>(2), 2012.</w:t>
      </w:r>
    </w:p>
    <w:p w14:paraId="6523579A"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Wang, D., Fonte, S. J., Parikh, S. J., Six, J., &amp; Scow, K. M. (2017). Biochar additions can enhance soil structure and the physical stabilization of C in aggregates. Geoderma, 303, 110–117 https://doi.org/10.1016/j.geoderma.2017.05.027</w:t>
      </w:r>
    </w:p>
    <w:p w14:paraId="290F7F65" w14:textId="28732A1D"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Yandong Lv 1, 2, 3 , Lingqi Xu 4, Xiaohong Guo 1, 2, 3 , Jiajun Liu 1, Bing Zou 1, Yukun Guo 1, Yanfei Zhang 1, Hongyu Li 1, 2, 3, Guiping Zheng 1, 2, 3, Yongxia Guo 1, 2, 3,  and M. Z. (2023). Effect of Biochar on Soil Physiochemical Properties and Bacterial Diversity in Dry Direct-Seeded Rice Paddy Fields. </w:t>
      </w:r>
      <w:r w:rsidRPr="005A62DE">
        <w:rPr>
          <w:rFonts w:ascii="Times New Roman" w:hAnsi="Times New Roman" w:cs="Times New Roman"/>
          <w:i/>
          <w:iCs/>
          <w:noProof/>
        </w:rPr>
        <w:t>Agronomy</w:t>
      </w:r>
      <w:r w:rsidRPr="005A62DE">
        <w:rPr>
          <w:rFonts w:ascii="Times New Roman" w:hAnsi="Times New Roman" w:cs="Times New Roman"/>
          <w:noProof/>
        </w:rPr>
        <w:t xml:space="preserve">, </w:t>
      </w:r>
      <w:r w:rsidRPr="005A62DE">
        <w:rPr>
          <w:rFonts w:ascii="Times New Roman" w:hAnsi="Times New Roman" w:cs="Times New Roman"/>
          <w:i/>
          <w:iCs/>
          <w:noProof/>
        </w:rPr>
        <w:t>13</w:t>
      </w:r>
      <w:r w:rsidRPr="005A62DE">
        <w:rPr>
          <w:rFonts w:ascii="Times New Roman" w:hAnsi="Times New Roman" w:cs="Times New Roman"/>
          <w:noProof/>
        </w:rPr>
        <w:t>(1). https://doi.org/10.3390/agronomy13010004</w:t>
      </w:r>
    </w:p>
    <w:p w14:paraId="0295485E"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Yang, X., Fan, H., Du, Y., &amp; Zhang, L. (2020). Effect of Biochar Application on Physicochemical and Hydraulic Properties of Loess. Advances in Civil Engineering. https://doi.org/10.1155/2020/4592092</w:t>
      </w:r>
    </w:p>
    <w:p w14:paraId="4A95B368"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Yu, D., Hu, F., Zhang, K., Liu, L., &amp; Li, D. (2021). Available Water Capacity and Organic Carbon Storage Profiles in Soils Developed From Dark Brown Soil to Boggy Soil in Changbai Mountains, China. Soil and Water Research, 16(1), 11–21. https://doi.org/10.17221/150/2019-SWR</w:t>
      </w:r>
    </w:p>
    <w:p w14:paraId="7435AA1A"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Zhang, R. (1997). Infiltration Models for the Disk Infiltrometer. Soil Science Society of America Journal, 61, 1597–1603. https://doi.org/10.2136/sssaj1997.03615995006100060008x</w:t>
      </w:r>
    </w:p>
    <w:p w14:paraId="0C975554"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szCs w:val="20"/>
        </w:rPr>
      </w:pPr>
      <w:r w:rsidRPr="005A62DE">
        <w:rPr>
          <w:rFonts w:ascii="Times New Roman" w:hAnsi="Times New Roman" w:cs="Times New Roman"/>
          <w:noProof/>
        </w:rPr>
        <w:t>Yu, L., Zhao, X., Gao, X., &amp; Siddique, K. H. M. (2020). Improving/maintaining water-use efficiency and yield of wheat by deficit irrigation: A global meta-analysis. Agricultural Water Management, 228, 105906. https://doi.org/10.1016/j.agwat.2019.105906</w:t>
      </w:r>
    </w:p>
    <w:p w14:paraId="40EF1CFC" w14:textId="5159D377" w:rsidR="003D7E56"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szCs w:val="20"/>
        </w:rPr>
      </w:pPr>
      <w:r w:rsidRPr="005A62DE">
        <w:rPr>
          <w:rFonts w:ascii="Times New Roman" w:hAnsi="Times New Roman" w:cs="Times New Roman"/>
          <w:noProof/>
        </w:rPr>
        <w:t>Zhou, H. M., Zhang, F. C., Kjelgren, R., Wu, L. F., Gong, D. Z., Zhao, N., Yin, D. X., Xiang, Y. Z., &amp; Li, Z. J. (2017). Peach yield and fruit quality is maintained under mild deficit irrigation in semi-arid China. Journal of Integrative Agriculture, 16(5), 1173–1183. https://doi.org/10.1016/S2095-</w:t>
      </w:r>
      <w:r w:rsidRPr="005A62DE">
        <w:rPr>
          <w:rFonts w:ascii="Times New Roman" w:hAnsi="Times New Roman" w:cs="Times New Roman"/>
          <w:noProof/>
        </w:rPr>
        <w:lastRenderedPageBreak/>
        <w:t>3119(16)61571-X</w:t>
      </w:r>
    </w:p>
    <w:p w14:paraId="314B0155" w14:textId="64306F6C" w:rsidR="003D7E56" w:rsidRDefault="003D7E56" w:rsidP="00FF2B3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10285499" w14:textId="0899D3E5" w:rsidR="003C57B8" w:rsidRPr="00E20C53" w:rsidRDefault="003C57B8" w:rsidP="00BE30E8">
      <w:pPr>
        <w:spacing w:line="480" w:lineRule="auto"/>
        <w:jc w:val="both"/>
        <w:rPr>
          <w:rFonts w:ascii="Times New Roman" w:hAnsi="Times New Roman" w:cs="Times New Roman"/>
          <w:sz w:val="24"/>
          <w:szCs w:val="24"/>
        </w:rPr>
      </w:pPr>
    </w:p>
    <w:p w14:paraId="54139FCC" w14:textId="76421B3D" w:rsidR="00D63FFF" w:rsidRDefault="00D63FFF" w:rsidP="000E303E">
      <w:pPr>
        <w:spacing w:line="480" w:lineRule="auto"/>
        <w:jc w:val="both"/>
        <w:rPr>
          <w:rFonts w:ascii="Times New Roman" w:hAnsi="Times New Roman" w:cs="Times New Roman"/>
          <w:sz w:val="24"/>
          <w:szCs w:val="24"/>
        </w:rPr>
      </w:pPr>
    </w:p>
    <w:p w14:paraId="4BBBC5A5" w14:textId="77777777" w:rsidR="005C4668" w:rsidRPr="00B1610F" w:rsidRDefault="005C4668" w:rsidP="000E303E">
      <w:pPr>
        <w:spacing w:line="480" w:lineRule="auto"/>
        <w:jc w:val="both"/>
        <w:rPr>
          <w:rFonts w:ascii="Times New Roman" w:hAnsi="Times New Roman" w:cs="Times New Roman"/>
          <w:sz w:val="24"/>
          <w:szCs w:val="24"/>
        </w:rPr>
      </w:pPr>
    </w:p>
    <w:p w14:paraId="15B1AB25" w14:textId="046E215B" w:rsidR="00B1610F" w:rsidRPr="001257D9" w:rsidRDefault="00B1610F" w:rsidP="000E303E">
      <w:pPr>
        <w:spacing w:line="480" w:lineRule="auto"/>
        <w:jc w:val="both"/>
        <w:rPr>
          <w:rFonts w:ascii="Times New Roman" w:hAnsi="Times New Roman" w:cs="Times New Roman"/>
          <w:color w:val="2E2E2E"/>
          <w:sz w:val="24"/>
          <w:szCs w:val="24"/>
        </w:rPr>
      </w:pPr>
    </w:p>
    <w:sectPr w:rsidR="00B1610F" w:rsidRPr="001257D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4802" w14:textId="77777777" w:rsidR="00BA6BEA" w:rsidRDefault="00BA6BEA" w:rsidP="00B1610F">
      <w:pPr>
        <w:spacing w:after="0" w:line="240" w:lineRule="auto"/>
      </w:pPr>
      <w:r>
        <w:separator/>
      </w:r>
    </w:p>
  </w:endnote>
  <w:endnote w:type="continuationSeparator" w:id="0">
    <w:p w14:paraId="2C7D025E" w14:textId="77777777" w:rsidR="00BA6BEA" w:rsidRDefault="00BA6BEA" w:rsidP="00B1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1E0C8" w14:textId="77777777" w:rsidR="00FE1ADB" w:rsidRDefault="00FE1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530096"/>
      <w:docPartObj>
        <w:docPartGallery w:val="Page Numbers (Bottom of Page)"/>
        <w:docPartUnique/>
      </w:docPartObj>
    </w:sdtPr>
    <w:sdtEndPr>
      <w:rPr>
        <w:noProof/>
      </w:rPr>
    </w:sdtEndPr>
    <w:sdtContent>
      <w:p w14:paraId="4DAE18F8" w14:textId="5024FFAE" w:rsidR="00AA4EA2" w:rsidRDefault="00AA4E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6AD15" w14:textId="77777777" w:rsidR="00AA4EA2" w:rsidRDefault="00AA4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13A7" w14:textId="77777777" w:rsidR="00FE1ADB" w:rsidRDefault="00FE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9414" w14:textId="77777777" w:rsidR="00BA6BEA" w:rsidRDefault="00BA6BEA" w:rsidP="00B1610F">
      <w:pPr>
        <w:spacing w:after="0" w:line="240" w:lineRule="auto"/>
      </w:pPr>
      <w:r>
        <w:separator/>
      </w:r>
    </w:p>
  </w:footnote>
  <w:footnote w:type="continuationSeparator" w:id="0">
    <w:p w14:paraId="6CFEF91A" w14:textId="77777777" w:rsidR="00BA6BEA" w:rsidRDefault="00BA6BEA" w:rsidP="00B16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5F9A" w14:textId="5FE631B8" w:rsidR="00FE1ADB" w:rsidRDefault="00FE1ADB">
    <w:pPr>
      <w:pStyle w:val="Header"/>
    </w:pPr>
    <w:r>
      <w:rPr>
        <w:noProof/>
      </w:rPr>
      <w:pict w14:anchorId="21D0B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41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839B" w14:textId="00928929" w:rsidR="00FE1ADB" w:rsidRDefault="00FE1ADB">
    <w:pPr>
      <w:pStyle w:val="Header"/>
    </w:pPr>
    <w:r>
      <w:rPr>
        <w:noProof/>
      </w:rPr>
      <w:pict w14:anchorId="17505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41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6A5A" w14:textId="42CD8E29" w:rsidR="00FE1ADB" w:rsidRDefault="00FE1ADB">
    <w:pPr>
      <w:pStyle w:val="Header"/>
    </w:pPr>
    <w:r>
      <w:rPr>
        <w:noProof/>
      </w:rPr>
      <w:pict w14:anchorId="2B99B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41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03BE"/>
    <w:multiLevelType w:val="hybridMultilevel"/>
    <w:tmpl w:val="739A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B7025"/>
    <w:multiLevelType w:val="multilevel"/>
    <w:tmpl w:val="C96EF8CC"/>
    <w:lvl w:ilvl="0">
      <w:start w:val="1"/>
      <w:numFmt w:val="decimal"/>
      <w:pStyle w:val="Heading1"/>
      <w:lvlText w:val="%1"/>
      <w:lvlJc w:val="left"/>
      <w:pPr>
        <w:ind w:left="432" w:hanging="432"/>
      </w:pPr>
      <w:rPr>
        <w:rFonts w:hint="default"/>
        <w:b/>
        <w:i w:val="0"/>
        <w:color w:val="FFFFFF" w:themeColor="background1"/>
        <w:sz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1314" w:hanging="864"/>
      </w:pPr>
      <w:rPr>
        <w:rFonts w:hint="default"/>
      </w:rPr>
    </w:lvl>
    <w:lvl w:ilvl="4">
      <w:start w:val="1"/>
      <w:numFmt w:val="decimal"/>
      <w:pStyle w:val="Heading5"/>
      <w:lvlText w:val="%1.%2.%3.%4.%5"/>
      <w:lvlJc w:val="left"/>
      <w:pPr>
        <w:ind w:left="1008" w:hanging="1008"/>
      </w:pPr>
      <w:rPr>
        <w:rFonts w:hint="default"/>
        <w:b/>
        <w:i w:val="0"/>
        <w:color w:val="auto"/>
        <w:sz w:val="24"/>
        <w:u w:val="no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44C2746"/>
    <w:multiLevelType w:val="multilevel"/>
    <w:tmpl w:val="AF3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4120B"/>
    <w:multiLevelType w:val="hybridMultilevel"/>
    <w:tmpl w:val="D0D65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37360"/>
    <w:multiLevelType w:val="hybridMultilevel"/>
    <w:tmpl w:val="5C1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D39B2"/>
    <w:multiLevelType w:val="multilevel"/>
    <w:tmpl w:val="483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B3702"/>
    <w:multiLevelType w:val="multilevel"/>
    <w:tmpl w:val="E7C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80431"/>
    <w:multiLevelType w:val="hybridMultilevel"/>
    <w:tmpl w:val="FCB07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D271D"/>
    <w:multiLevelType w:val="multilevel"/>
    <w:tmpl w:val="92F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15E79"/>
    <w:multiLevelType w:val="multilevel"/>
    <w:tmpl w:val="09E6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2"/>
  </w:num>
  <w:num w:numId="6">
    <w:abstractNumId w:val="9"/>
  </w:num>
  <w:num w:numId="7">
    <w:abstractNumId w:val="6"/>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MDQysDQ2MDAzMjVX0lEKTi0uzszPAykwqQUAj60wxiwAAAA="/>
  </w:docVars>
  <w:rsids>
    <w:rsidRoot w:val="00BA1EC4"/>
    <w:rsid w:val="00003840"/>
    <w:rsid w:val="00003C5D"/>
    <w:rsid w:val="0000599D"/>
    <w:rsid w:val="00006CCA"/>
    <w:rsid w:val="00011C80"/>
    <w:rsid w:val="0001620A"/>
    <w:rsid w:val="000202AA"/>
    <w:rsid w:val="00022E6E"/>
    <w:rsid w:val="00031397"/>
    <w:rsid w:val="000328C1"/>
    <w:rsid w:val="0005221F"/>
    <w:rsid w:val="0005487B"/>
    <w:rsid w:val="00073BC0"/>
    <w:rsid w:val="00086820"/>
    <w:rsid w:val="000911E0"/>
    <w:rsid w:val="000A2522"/>
    <w:rsid w:val="000A32B0"/>
    <w:rsid w:val="000A42E6"/>
    <w:rsid w:val="000A72E8"/>
    <w:rsid w:val="000B0B66"/>
    <w:rsid w:val="000B22A0"/>
    <w:rsid w:val="000B2573"/>
    <w:rsid w:val="000B3ABF"/>
    <w:rsid w:val="000C04F3"/>
    <w:rsid w:val="000C1AD7"/>
    <w:rsid w:val="000D4379"/>
    <w:rsid w:val="000D7612"/>
    <w:rsid w:val="000E08A2"/>
    <w:rsid w:val="000E1B2B"/>
    <w:rsid w:val="000E251A"/>
    <w:rsid w:val="000E303E"/>
    <w:rsid w:val="000E47D4"/>
    <w:rsid w:val="000E6F90"/>
    <w:rsid w:val="000E700A"/>
    <w:rsid w:val="000F4057"/>
    <w:rsid w:val="000F7458"/>
    <w:rsid w:val="00103B69"/>
    <w:rsid w:val="00115E62"/>
    <w:rsid w:val="001167C4"/>
    <w:rsid w:val="0012446A"/>
    <w:rsid w:val="001248DF"/>
    <w:rsid w:val="001257D9"/>
    <w:rsid w:val="0012732A"/>
    <w:rsid w:val="00127C65"/>
    <w:rsid w:val="001351F5"/>
    <w:rsid w:val="001540B5"/>
    <w:rsid w:val="001547C1"/>
    <w:rsid w:val="0016319E"/>
    <w:rsid w:val="00166B2D"/>
    <w:rsid w:val="00182E54"/>
    <w:rsid w:val="00191562"/>
    <w:rsid w:val="00195524"/>
    <w:rsid w:val="00195A84"/>
    <w:rsid w:val="00197336"/>
    <w:rsid w:val="001A1039"/>
    <w:rsid w:val="001B70F7"/>
    <w:rsid w:val="001E1F80"/>
    <w:rsid w:val="001E592C"/>
    <w:rsid w:val="001F6C2D"/>
    <w:rsid w:val="00206B01"/>
    <w:rsid w:val="00213324"/>
    <w:rsid w:val="00213D1F"/>
    <w:rsid w:val="002171DE"/>
    <w:rsid w:val="00220DE7"/>
    <w:rsid w:val="00222C48"/>
    <w:rsid w:val="0022479E"/>
    <w:rsid w:val="00247B29"/>
    <w:rsid w:val="00250942"/>
    <w:rsid w:val="0025116A"/>
    <w:rsid w:val="00271133"/>
    <w:rsid w:val="00272EF1"/>
    <w:rsid w:val="00280992"/>
    <w:rsid w:val="0028122E"/>
    <w:rsid w:val="0028733B"/>
    <w:rsid w:val="002917EA"/>
    <w:rsid w:val="00294EFB"/>
    <w:rsid w:val="00296264"/>
    <w:rsid w:val="00296A31"/>
    <w:rsid w:val="002A5081"/>
    <w:rsid w:val="002A7331"/>
    <w:rsid w:val="002B555C"/>
    <w:rsid w:val="002C041A"/>
    <w:rsid w:val="002C7D5D"/>
    <w:rsid w:val="002D2558"/>
    <w:rsid w:val="002D35F9"/>
    <w:rsid w:val="002D7F73"/>
    <w:rsid w:val="002E02D4"/>
    <w:rsid w:val="002E0639"/>
    <w:rsid w:val="002E1AF7"/>
    <w:rsid w:val="002E3794"/>
    <w:rsid w:val="002E764B"/>
    <w:rsid w:val="002F6F74"/>
    <w:rsid w:val="003014FF"/>
    <w:rsid w:val="0030438D"/>
    <w:rsid w:val="00305B31"/>
    <w:rsid w:val="00306224"/>
    <w:rsid w:val="00310AAB"/>
    <w:rsid w:val="0032627A"/>
    <w:rsid w:val="00327F82"/>
    <w:rsid w:val="0033412B"/>
    <w:rsid w:val="003341DA"/>
    <w:rsid w:val="0033447B"/>
    <w:rsid w:val="00337552"/>
    <w:rsid w:val="00337F51"/>
    <w:rsid w:val="003406A6"/>
    <w:rsid w:val="00343019"/>
    <w:rsid w:val="00343D58"/>
    <w:rsid w:val="00344D8A"/>
    <w:rsid w:val="003513EF"/>
    <w:rsid w:val="0035414B"/>
    <w:rsid w:val="00355AC9"/>
    <w:rsid w:val="0036090E"/>
    <w:rsid w:val="003623B8"/>
    <w:rsid w:val="003717FD"/>
    <w:rsid w:val="00376D7F"/>
    <w:rsid w:val="00392195"/>
    <w:rsid w:val="00393821"/>
    <w:rsid w:val="0039388C"/>
    <w:rsid w:val="003A029C"/>
    <w:rsid w:val="003A23EF"/>
    <w:rsid w:val="003A2576"/>
    <w:rsid w:val="003A4B69"/>
    <w:rsid w:val="003A706B"/>
    <w:rsid w:val="003B1CA0"/>
    <w:rsid w:val="003C57B8"/>
    <w:rsid w:val="003C7908"/>
    <w:rsid w:val="003D548F"/>
    <w:rsid w:val="003D5DAD"/>
    <w:rsid w:val="003D65CE"/>
    <w:rsid w:val="003D7E56"/>
    <w:rsid w:val="003E1CB5"/>
    <w:rsid w:val="003E70AF"/>
    <w:rsid w:val="003F04D9"/>
    <w:rsid w:val="003F351D"/>
    <w:rsid w:val="003F4866"/>
    <w:rsid w:val="004025E8"/>
    <w:rsid w:val="004028EA"/>
    <w:rsid w:val="00404880"/>
    <w:rsid w:val="00405B10"/>
    <w:rsid w:val="00405E5B"/>
    <w:rsid w:val="004068C0"/>
    <w:rsid w:val="00412138"/>
    <w:rsid w:val="00412342"/>
    <w:rsid w:val="004156F0"/>
    <w:rsid w:val="00422E44"/>
    <w:rsid w:val="00423993"/>
    <w:rsid w:val="00434058"/>
    <w:rsid w:val="00434B31"/>
    <w:rsid w:val="004412E3"/>
    <w:rsid w:val="00445436"/>
    <w:rsid w:val="00445B39"/>
    <w:rsid w:val="004472CF"/>
    <w:rsid w:val="00450135"/>
    <w:rsid w:val="00451129"/>
    <w:rsid w:val="00457D49"/>
    <w:rsid w:val="00465024"/>
    <w:rsid w:val="00466F4B"/>
    <w:rsid w:val="00473B19"/>
    <w:rsid w:val="00483308"/>
    <w:rsid w:val="00486FC6"/>
    <w:rsid w:val="00487BA4"/>
    <w:rsid w:val="004920AE"/>
    <w:rsid w:val="00494EBB"/>
    <w:rsid w:val="00496118"/>
    <w:rsid w:val="004A1A0D"/>
    <w:rsid w:val="004B092A"/>
    <w:rsid w:val="004B4E89"/>
    <w:rsid w:val="004B5424"/>
    <w:rsid w:val="004C3FE2"/>
    <w:rsid w:val="004D2F9F"/>
    <w:rsid w:val="004D6736"/>
    <w:rsid w:val="004E0446"/>
    <w:rsid w:val="004F3DC1"/>
    <w:rsid w:val="00504571"/>
    <w:rsid w:val="0050553D"/>
    <w:rsid w:val="0051357A"/>
    <w:rsid w:val="00513EDE"/>
    <w:rsid w:val="00514FA6"/>
    <w:rsid w:val="0052173D"/>
    <w:rsid w:val="00522279"/>
    <w:rsid w:val="00522597"/>
    <w:rsid w:val="00536622"/>
    <w:rsid w:val="00544C4C"/>
    <w:rsid w:val="0055026E"/>
    <w:rsid w:val="00552FEE"/>
    <w:rsid w:val="00561FF6"/>
    <w:rsid w:val="005621B1"/>
    <w:rsid w:val="00572FF9"/>
    <w:rsid w:val="005755E2"/>
    <w:rsid w:val="00582027"/>
    <w:rsid w:val="00587B82"/>
    <w:rsid w:val="00592AC9"/>
    <w:rsid w:val="0059442B"/>
    <w:rsid w:val="00595D9C"/>
    <w:rsid w:val="005A62DE"/>
    <w:rsid w:val="005A6F3B"/>
    <w:rsid w:val="005B2887"/>
    <w:rsid w:val="005B3C20"/>
    <w:rsid w:val="005B7783"/>
    <w:rsid w:val="005C2BD9"/>
    <w:rsid w:val="005C4668"/>
    <w:rsid w:val="005D0073"/>
    <w:rsid w:val="005D088D"/>
    <w:rsid w:val="005E6C3B"/>
    <w:rsid w:val="005E7C3F"/>
    <w:rsid w:val="005F687E"/>
    <w:rsid w:val="00600143"/>
    <w:rsid w:val="00603ABD"/>
    <w:rsid w:val="00605E9A"/>
    <w:rsid w:val="0060712E"/>
    <w:rsid w:val="006309E1"/>
    <w:rsid w:val="006322E7"/>
    <w:rsid w:val="006360E2"/>
    <w:rsid w:val="006442CB"/>
    <w:rsid w:val="00652333"/>
    <w:rsid w:val="006616A1"/>
    <w:rsid w:val="00662BF8"/>
    <w:rsid w:val="00673D64"/>
    <w:rsid w:val="006B3476"/>
    <w:rsid w:val="006B44D3"/>
    <w:rsid w:val="006C07C4"/>
    <w:rsid w:val="006E1165"/>
    <w:rsid w:val="006F1B4C"/>
    <w:rsid w:val="007051E6"/>
    <w:rsid w:val="007151DD"/>
    <w:rsid w:val="00721524"/>
    <w:rsid w:val="0072303F"/>
    <w:rsid w:val="00742217"/>
    <w:rsid w:val="00743553"/>
    <w:rsid w:val="00760576"/>
    <w:rsid w:val="007609BD"/>
    <w:rsid w:val="00763266"/>
    <w:rsid w:val="0077271F"/>
    <w:rsid w:val="0078056A"/>
    <w:rsid w:val="00781CD5"/>
    <w:rsid w:val="007A04DE"/>
    <w:rsid w:val="007A32BB"/>
    <w:rsid w:val="007A4B5B"/>
    <w:rsid w:val="007B54FE"/>
    <w:rsid w:val="007C5D7A"/>
    <w:rsid w:val="007F1330"/>
    <w:rsid w:val="00801991"/>
    <w:rsid w:val="0080292A"/>
    <w:rsid w:val="00804BA7"/>
    <w:rsid w:val="0082232C"/>
    <w:rsid w:val="00830150"/>
    <w:rsid w:val="00831350"/>
    <w:rsid w:val="00832D7E"/>
    <w:rsid w:val="00833537"/>
    <w:rsid w:val="0084237F"/>
    <w:rsid w:val="008679FE"/>
    <w:rsid w:val="008716A2"/>
    <w:rsid w:val="008734BA"/>
    <w:rsid w:val="00882A18"/>
    <w:rsid w:val="00883CB6"/>
    <w:rsid w:val="008A154E"/>
    <w:rsid w:val="008B77EF"/>
    <w:rsid w:val="008B7AF1"/>
    <w:rsid w:val="008C4B99"/>
    <w:rsid w:val="008C7465"/>
    <w:rsid w:val="008D442E"/>
    <w:rsid w:val="008D5A11"/>
    <w:rsid w:val="008D70F1"/>
    <w:rsid w:val="008E2B81"/>
    <w:rsid w:val="008F5BCD"/>
    <w:rsid w:val="009003D0"/>
    <w:rsid w:val="00904F1B"/>
    <w:rsid w:val="009059A7"/>
    <w:rsid w:val="009149CA"/>
    <w:rsid w:val="00915064"/>
    <w:rsid w:val="009312BB"/>
    <w:rsid w:val="00936D5C"/>
    <w:rsid w:val="009471F4"/>
    <w:rsid w:val="00954446"/>
    <w:rsid w:val="0095565A"/>
    <w:rsid w:val="00964BA2"/>
    <w:rsid w:val="00966997"/>
    <w:rsid w:val="00972744"/>
    <w:rsid w:val="00972C29"/>
    <w:rsid w:val="009740F6"/>
    <w:rsid w:val="00974C82"/>
    <w:rsid w:val="0097504A"/>
    <w:rsid w:val="00975C87"/>
    <w:rsid w:val="00982DF0"/>
    <w:rsid w:val="00985185"/>
    <w:rsid w:val="00985CCE"/>
    <w:rsid w:val="0098627F"/>
    <w:rsid w:val="009942AE"/>
    <w:rsid w:val="00997288"/>
    <w:rsid w:val="009A0500"/>
    <w:rsid w:val="009C063F"/>
    <w:rsid w:val="009C2959"/>
    <w:rsid w:val="009C5333"/>
    <w:rsid w:val="009D0AC9"/>
    <w:rsid w:val="009D2857"/>
    <w:rsid w:val="009D4511"/>
    <w:rsid w:val="009D64B4"/>
    <w:rsid w:val="009E0FF6"/>
    <w:rsid w:val="009E10C1"/>
    <w:rsid w:val="009E322A"/>
    <w:rsid w:val="009E545E"/>
    <w:rsid w:val="009E5E4E"/>
    <w:rsid w:val="00A02A38"/>
    <w:rsid w:val="00A05105"/>
    <w:rsid w:val="00A07885"/>
    <w:rsid w:val="00A11011"/>
    <w:rsid w:val="00A153E0"/>
    <w:rsid w:val="00A27363"/>
    <w:rsid w:val="00A349A2"/>
    <w:rsid w:val="00A41116"/>
    <w:rsid w:val="00A5009E"/>
    <w:rsid w:val="00A50E74"/>
    <w:rsid w:val="00A51EE5"/>
    <w:rsid w:val="00A52284"/>
    <w:rsid w:val="00A56C80"/>
    <w:rsid w:val="00A756A6"/>
    <w:rsid w:val="00A77D75"/>
    <w:rsid w:val="00A837CB"/>
    <w:rsid w:val="00AA4EA2"/>
    <w:rsid w:val="00AA5BAF"/>
    <w:rsid w:val="00AC1A50"/>
    <w:rsid w:val="00AD41B6"/>
    <w:rsid w:val="00AD42B7"/>
    <w:rsid w:val="00AD6585"/>
    <w:rsid w:val="00AF146E"/>
    <w:rsid w:val="00B013FD"/>
    <w:rsid w:val="00B1610F"/>
    <w:rsid w:val="00B175E4"/>
    <w:rsid w:val="00B23B34"/>
    <w:rsid w:val="00B37CBB"/>
    <w:rsid w:val="00B37E0D"/>
    <w:rsid w:val="00B51A5D"/>
    <w:rsid w:val="00B61842"/>
    <w:rsid w:val="00B63660"/>
    <w:rsid w:val="00B6791F"/>
    <w:rsid w:val="00B83E23"/>
    <w:rsid w:val="00BA1EC4"/>
    <w:rsid w:val="00BA2F8E"/>
    <w:rsid w:val="00BA38DF"/>
    <w:rsid w:val="00BA5560"/>
    <w:rsid w:val="00BA619F"/>
    <w:rsid w:val="00BA6BEA"/>
    <w:rsid w:val="00BA762E"/>
    <w:rsid w:val="00BD0543"/>
    <w:rsid w:val="00BD096B"/>
    <w:rsid w:val="00BE30E8"/>
    <w:rsid w:val="00BE4FA7"/>
    <w:rsid w:val="00BE6C3F"/>
    <w:rsid w:val="00BF51DC"/>
    <w:rsid w:val="00C10B31"/>
    <w:rsid w:val="00C2315A"/>
    <w:rsid w:val="00C2746B"/>
    <w:rsid w:val="00C319BC"/>
    <w:rsid w:val="00C3534A"/>
    <w:rsid w:val="00C3639C"/>
    <w:rsid w:val="00C417F7"/>
    <w:rsid w:val="00C53037"/>
    <w:rsid w:val="00C53536"/>
    <w:rsid w:val="00C56BAE"/>
    <w:rsid w:val="00C57537"/>
    <w:rsid w:val="00C61872"/>
    <w:rsid w:val="00C61CE2"/>
    <w:rsid w:val="00C66C68"/>
    <w:rsid w:val="00C673B4"/>
    <w:rsid w:val="00C67C66"/>
    <w:rsid w:val="00C76E2B"/>
    <w:rsid w:val="00CA0547"/>
    <w:rsid w:val="00CB4432"/>
    <w:rsid w:val="00CB50CE"/>
    <w:rsid w:val="00CD0C84"/>
    <w:rsid w:val="00CD3794"/>
    <w:rsid w:val="00CD7ACF"/>
    <w:rsid w:val="00CE2768"/>
    <w:rsid w:val="00CE3280"/>
    <w:rsid w:val="00CE796A"/>
    <w:rsid w:val="00CF2377"/>
    <w:rsid w:val="00CF37C6"/>
    <w:rsid w:val="00D0036E"/>
    <w:rsid w:val="00D02CBE"/>
    <w:rsid w:val="00D0773F"/>
    <w:rsid w:val="00D11BB8"/>
    <w:rsid w:val="00D15167"/>
    <w:rsid w:val="00D22E0D"/>
    <w:rsid w:val="00D2476E"/>
    <w:rsid w:val="00D258EF"/>
    <w:rsid w:val="00D31AA6"/>
    <w:rsid w:val="00D47D29"/>
    <w:rsid w:val="00D52346"/>
    <w:rsid w:val="00D57E73"/>
    <w:rsid w:val="00D63FFF"/>
    <w:rsid w:val="00D65452"/>
    <w:rsid w:val="00D74F58"/>
    <w:rsid w:val="00D77A1F"/>
    <w:rsid w:val="00D77C64"/>
    <w:rsid w:val="00D85345"/>
    <w:rsid w:val="00D86044"/>
    <w:rsid w:val="00D93C6E"/>
    <w:rsid w:val="00DA6BE2"/>
    <w:rsid w:val="00DB1890"/>
    <w:rsid w:val="00DB34F8"/>
    <w:rsid w:val="00DB385A"/>
    <w:rsid w:val="00DB41C5"/>
    <w:rsid w:val="00DC6BEB"/>
    <w:rsid w:val="00DD6383"/>
    <w:rsid w:val="00DE52AD"/>
    <w:rsid w:val="00DF3A60"/>
    <w:rsid w:val="00DF6B74"/>
    <w:rsid w:val="00DF6D17"/>
    <w:rsid w:val="00E168A5"/>
    <w:rsid w:val="00E20C53"/>
    <w:rsid w:val="00E25C73"/>
    <w:rsid w:val="00E27F9C"/>
    <w:rsid w:val="00E34BFE"/>
    <w:rsid w:val="00E4224B"/>
    <w:rsid w:val="00E4251F"/>
    <w:rsid w:val="00E44C6A"/>
    <w:rsid w:val="00E45831"/>
    <w:rsid w:val="00E5264B"/>
    <w:rsid w:val="00E5427F"/>
    <w:rsid w:val="00E6327B"/>
    <w:rsid w:val="00E66227"/>
    <w:rsid w:val="00E66B8D"/>
    <w:rsid w:val="00E72B0D"/>
    <w:rsid w:val="00E77BD9"/>
    <w:rsid w:val="00E811F0"/>
    <w:rsid w:val="00E9178C"/>
    <w:rsid w:val="00E9627F"/>
    <w:rsid w:val="00EA0629"/>
    <w:rsid w:val="00EA5B8A"/>
    <w:rsid w:val="00EB0D21"/>
    <w:rsid w:val="00EB294B"/>
    <w:rsid w:val="00EB6020"/>
    <w:rsid w:val="00EC2E84"/>
    <w:rsid w:val="00EC339D"/>
    <w:rsid w:val="00EC37E6"/>
    <w:rsid w:val="00EC49FA"/>
    <w:rsid w:val="00EC628D"/>
    <w:rsid w:val="00ED34AD"/>
    <w:rsid w:val="00EE0599"/>
    <w:rsid w:val="00EE15C0"/>
    <w:rsid w:val="00EE19A1"/>
    <w:rsid w:val="00EE6816"/>
    <w:rsid w:val="00EF1946"/>
    <w:rsid w:val="00F11790"/>
    <w:rsid w:val="00F15B36"/>
    <w:rsid w:val="00F178C4"/>
    <w:rsid w:val="00F22437"/>
    <w:rsid w:val="00F23409"/>
    <w:rsid w:val="00F27FD6"/>
    <w:rsid w:val="00F30A5F"/>
    <w:rsid w:val="00F419F8"/>
    <w:rsid w:val="00F432D5"/>
    <w:rsid w:val="00F456AC"/>
    <w:rsid w:val="00F45918"/>
    <w:rsid w:val="00F5052E"/>
    <w:rsid w:val="00F65A56"/>
    <w:rsid w:val="00F72906"/>
    <w:rsid w:val="00F75B4A"/>
    <w:rsid w:val="00F77A1B"/>
    <w:rsid w:val="00FA3167"/>
    <w:rsid w:val="00FA6410"/>
    <w:rsid w:val="00FA64A6"/>
    <w:rsid w:val="00FB297D"/>
    <w:rsid w:val="00FB29F2"/>
    <w:rsid w:val="00FB63FB"/>
    <w:rsid w:val="00FC727C"/>
    <w:rsid w:val="00FC7944"/>
    <w:rsid w:val="00FD067C"/>
    <w:rsid w:val="00FD3192"/>
    <w:rsid w:val="00FD5526"/>
    <w:rsid w:val="00FD7457"/>
    <w:rsid w:val="00FE021A"/>
    <w:rsid w:val="00FE1ADB"/>
    <w:rsid w:val="00FE2BB9"/>
    <w:rsid w:val="00FF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33107"/>
  <w15:chartTrackingRefBased/>
  <w15:docId w15:val="{91445E10-D527-438B-ADB6-1DD29438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7BA4"/>
    <w:pPr>
      <w:keepNext/>
      <w:keepLines/>
      <w:numPr>
        <w:numId w:val="1"/>
      </w:numPr>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87BA4"/>
    <w:pPr>
      <w:keepNext/>
      <w:keepLines/>
      <w:numPr>
        <w:ilvl w:val="1"/>
        <w:numId w:val="1"/>
      </w:numPr>
      <w:spacing w:before="400" w:after="24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487BA4"/>
    <w:pPr>
      <w:keepNext/>
      <w:keepLines/>
      <w:numPr>
        <w:ilvl w:val="2"/>
        <w:numId w:val="1"/>
      </w:numPr>
      <w:spacing w:before="400" w:after="36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rsid w:val="00487BA4"/>
    <w:pPr>
      <w:keepNext/>
      <w:keepLines/>
      <w:numPr>
        <w:ilvl w:val="3"/>
        <w:numId w:val="1"/>
      </w:numPr>
      <w:spacing w:before="40" w:after="0"/>
      <w:jc w:val="both"/>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487BA4"/>
    <w:pPr>
      <w:keepNext/>
      <w:keepLines/>
      <w:numPr>
        <w:ilvl w:val="4"/>
        <w:numId w:val="1"/>
      </w:numPr>
      <w:spacing w:before="40" w:after="0"/>
      <w:jc w:val="both"/>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487BA4"/>
    <w:pPr>
      <w:keepNext/>
      <w:keepLines/>
      <w:numPr>
        <w:ilvl w:val="5"/>
        <w:numId w:val="1"/>
      </w:numPr>
      <w:spacing w:before="40" w:after="0"/>
      <w:jc w:val="both"/>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487BA4"/>
    <w:pPr>
      <w:keepNext/>
      <w:keepLines/>
      <w:numPr>
        <w:ilvl w:val="6"/>
        <w:numId w:val="1"/>
      </w:numPr>
      <w:spacing w:before="40" w:after="0"/>
      <w:jc w:val="both"/>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487BA4"/>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7BA4"/>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C68"/>
    <w:rPr>
      <w:color w:val="808080"/>
    </w:rPr>
  </w:style>
  <w:style w:type="character" w:customStyle="1" w:styleId="Heading1Char">
    <w:name w:val="Heading 1 Char"/>
    <w:basedOn w:val="DefaultParagraphFont"/>
    <w:link w:val="Heading1"/>
    <w:uiPriority w:val="9"/>
    <w:rsid w:val="00487BA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87BA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87BA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487BA4"/>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487BA4"/>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487BA4"/>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487BA4"/>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487B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7BA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1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10F"/>
  </w:style>
  <w:style w:type="paragraph" w:styleId="Footer">
    <w:name w:val="footer"/>
    <w:basedOn w:val="Normal"/>
    <w:link w:val="FooterChar"/>
    <w:uiPriority w:val="99"/>
    <w:unhideWhenUsed/>
    <w:rsid w:val="00B1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10F"/>
  </w:style>
  <w:style w:type="paragraph" w:styleId="Caption">
    <w:name w:val="caption"/>
    <w:basedOn w:val="Normal"/>
    <w:next w:val="Normal"/>
    <w:uiPriority w:val="35"/>
    <w:unhideWhenUsed/>
    <w:qFormat/>
    <w:rsid w:val="008B77EF"/>
    <w:pPr>
      <w:spacing w:line="240" w:lineRule="auto"/>
    </w:pPr>
    <w:rPr>
      <w:rFonts w:ascii="Times New Roman" w:hAnsi="Times New Roman"/>
      <w:b/>
      <w:iCs/>
      <w:sz w:val="24"/>
      <w:szCs w:val="18"/>
    </w:rPr>
  </w:style>
  <w:style w:type="table" w:styleId="TableGrid">
    <w:name w:val="Table Grid"/>
    <w:basedOn w:val="TableNormal"/>
    <w:uiPriority w:val="59"/>
    <w:rsid w:val="00CE7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35F9"/>
    <w:pPr>
      <w:ind w:left="720"/>
      <w:contextualSpacing/>
    </w:pPr>
  </w:style>
  <w:style w:type="paragraph" w:styleId="NormalWeb">
    <w:name w:val="Normal (Web)"/>
    <w:basedOn w:val="Normal"/>
    <w:uiPriority w:val="99"/>
    <w:semiHidden/>
    <w:unhideWhenUsed/>
    <w:rsid w:val="00D258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06A6"/>
    <w:rPr>
      <w:color w:val="0000FF" w:themeColor="hyperlink"/>
      <w:u w:val="single"/>
    </w:rPr>
  </w:style>
  <w:style w:type="character" w:styleId="UnresolvedMention">
    <w:name w:val="Unresolved Mention"/>
    <w:basedOn w:val="DefaultParagraphFont"/>
    <w:uiPriority w:val="99"/>
    <w:semiHidden/>
    <w:unhideWhenUsed/>
    <w:rsid w:val="0034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5735">
      <w:bodyDiv w:val="1"/>
      <w:marLeft w:val="0"/>
      <w:marRight w:val="0"/>
      <w:marTop w:val="0"/>
      <w:marBottom w:val="0"/>
      <w:divBdr>
        <w:top w:val="none" w:sz="0" w:space="0" w:color="auto"/>
        <w:left w:val="none" w:sz="0" w:space="0" w:color="auto"/>
        <w:bottom w:val="none" w:sz="0" w:space="0" w:color="auto"/>
        <w:right w:val="none" w:sz="0" w:space="0" w:color="auto"/>
      </w:divBdr>
    </w:div>
    <w:div w:id="14678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excell%20data\YY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1.28 at 2WAT</a:t>
            </a: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1.58 at 4WAT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1.91 at 6WAT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2.42 at 8WAT</a:t>
            </a: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  LSD (5%)= 2.49 at 10WAT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1601664426093073"/>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895747177944217"/>
          <c:y val="0.17063526633638876"/>
          <c:w val="0.77719428973817295"/>
          <c:h val="0.5174455320744481"/>
        </c:manualLayout>
      </c:layout>
      <c:barChart>
        <c:barDir val="col"/>
        <c:grouping val="clustered"/>
        <c:varyColors val="0"/>
        <c:ser>
          <c:idx val="0"/>
          <c:order val="0"/>
          <c:tx>
            <c:strRef>
              <c:f>Sheet1!$C$25</c:f>
              <c:strCache>
                <c:ptCount val="1"/>
                <c:pt idx="0">
                  <c:v> Sustained Deficit Irrigation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Sheet1!$C$26:$C$30</c:f>
              <c:numCache>
                <c:formatCode>General</c:formatCode>
                <c:ptCount val="5"/>
                <c:pt idx="0">
                  <c:v>5.86</c:v>
                </c:pt>
                <c:pt idx="1">
                  <c:v>7.54</c:v>
                </c:pt>
                <c:pt idx="2">
                  <c:v>9.16</c:v>
                </c:pt>
                <c:pt idx="3">
                  <c:v>10.42</c:v>
                </c:pt>
                <c:pt idx="4">
                  <c:v>10.64</c:v>
                </c:pt>
              </c:numCache>
            </c:numRef>
          </c:val>
          <c:extLst>
            <c:ext xmlns:c16="http://schemas.microsoft.com/office/drawing/2014/chart" uri="{C3380CC4-5D6E-409C-BE32-E72D297353CC}">
              <c16:uniqueId val="{00000000-C0FF-4B66-86CE-17F85745AAD7}"/>
            </c:ext>
          </c:extLst>
        </c:ser>
        <c:ser>
          <c:idx val="1"/>
          <c:order val="1"/>
          <c:tx>
            <c:strRef>
              <c:f>Sheet1!$D$25</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Sheet1!$D$26:$D$30</c:f>
              <c:numCache>
                <c:formatCode>General</c:formatCode>
                <c:ptCount val="5"/>
                <c:pt idx="0">
                  <c:v>9.9700000000000006</c:v>
                </c:pt>
                <c:pt idx="1">
                  <c:v>11.01</c:v>
                </c:pt>
                <c:pt idx="2">
                  <c:v>13.34</c:v>
                </c:pt>
                <c:pt idx="3">
                  <c:v>14.98</c:v>
                </c:pt>
                <c:pt idx="4">
                  <c:v>18.690000000000001</c:v>
                </c:pt>
              </c:numCache>
            </c:numRef>
          </c:val>
          <c:extLst>
            <c:ext xmlns:c16="http://schemas.microsoft.com/office/drawing/2014/chart" uri="{C3380CC4-5D6E-409C-BE32-E72D297353CC}">
              <c16:uniqueId val="{00000001-C0FF-4B66-86CE-17F85745AAD7}"/>
            </c:ext>
          </c:extLst>
        </c:ser>
        <c:ser>
          <c:idx val="2"/>
          <c:order val="2"/>
          <c:tx>
            <c:strRef>
              <c:f>Sheet1!$E$25</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Sheet1!$E$26:$E$30</c:f>
              <c:numCache>
                <c:formatCode>General</c:formatCode>
                <c:ptCount val="5"/>
                <c:pt idx="0">
                  <c:v>8.77</c:v>
                </c:pt>
                <c:pt idx="1">
                  <c:v>9.4700000000000006</c:v>
                </c:pt>
                <c:pt idx="2">
                  <c:v>11.45</c:v>
                </c:pt>
                <c:pt idx="3">
                  <c:v>12.47</c:v>
                </c:pt>
                <c:pt idx="4">
                  <c:v>13.75</c:v>
                </c:pt>
              </c:numCache>
            </c:numRef>
          </c:val>
          <c:extLst>
            <c:ext xmlns:c16="http://schemas.microsoft.com/office/drawing/2014/chart" uri="{C3380CC4-5D6E-409C-BE32-E72D297353CC}">
              <c16:uniqueId val="{00000002-C0FF-4B66-86CE-17F85745AAD7}"/>
            </c:ext>
          </c:extLst>
        </c:ser>
        <c:dLbls>
          <c:showLegendKey val="0"/>
          <c:showVal val="0"/>
          <c:showCatName val="0"/>
          <c:showSerName val="0"/>
          <c:showPercent val="0"/>
          <c:showBubbleSize val="0"/>
        </c:dLbls>
        <c:gapWidth val="219"/>
        <c:overlap val="-27"/>
        <c:axId val="1075364032"/>
        <c:axId val="1075345312"/>
      </c:barChart>
      <c:catAx>
        <c:axId val="107536403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a:t>
                </a:r>
                <a:r>
                  <a:rPr lang="en-US" sz="1200" baseline="0">
                    <a:solidFill>
                      <a:sysClr val="windowText" lastClr="000000"/>
                    </a:solidFill>
                    <a:latin typeface="Times New Roman" panose="02020603050405020304" pitchFamily="18" charset="0"/>
                    <a:cs typeface="Times New Roman" panose="02020603050405020304" pitchFamily="18" charset="0"/>
                  </a:rPr>
                  <a:t> after Transplanting</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45312"/>
        <c:crosses val="autoZero"/>
        <c:auto val="1"/>
        <c:lblAlgn val="ctr"/>
        <c:lblOffset val="100"/>
        <c:noMultiLvlLbl val="0"/>
      </c:catAx>
      <c:valAx>
        <c:axId val="107534531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Garden</a:t>
                </a:r>
                <a:r>
                  <a:rPr lang="en-US" sz="1200" baseline="0">
                    <a:solidFill>
                      <a:sysClr val="windowText" lastClr="000000"/>
                    </a:solidFill>
                    <a:latin typeface="Times New Roman" panose="02020603050405020304" pitchFamily="18" charset="0"/>
                    <a:cs typeface="Times New Roman" panose="02020603050405020304" pitchFamily="18" charset="0"/>
                  </a:rPr>
                  <a:t> Egg stem Diameter (mm)</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180227471566054"/>
              <c:y val="2.4833385188553554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6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 = 0.85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77060367454068"/>
          <c:y val="0.26893515243998506"/>
          <c:w val="0.84396062992125986"/>
          <c:h val="0.50053710216921887"/>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Sheet1!$G$327:$J$327</c:f>
              <c:strCache>
                <c:ptCount val="4"/>
                <c:pt idx="0">
                  <c:v>Biochar </c:v>
                </c:pt>
                <c:pt idx="1">
                  <c:v>Poultry Manure</c:v>
                </c:pt>
                <c:pt idx="2">
                  <c:v>Poultry Manure and Biochar</c:v>
                </c:pt>
                <c:pt idx="3">
                  <c:v>No Biochar no Poultry Manure</c:v>
                </c:pt>
              </c:strCache>
            </c:strRef>
          </c:cat>
          <c:val>
            <c:numRef>
              <c:f>Sheet1!$G$328:$J$328</c:f>
              <c:numCache>
                <c:formatCode>General</c:formatCode>
                <c:ptCount val="4"/>
                <c:pt idx="0">
                  <c:v>2.54</c:v>
                </c:pt>
                <c:pt idx="1">
                  <c:v>2.68</c:v>
                </c:pt>
                <c:pt idx="2">
                  <c:v>4.0199999999999996</c:v>
                </c:pt>
                <c:pt idx="3">
                  <c:v>1.0900000000000001</c:v>
                </c:pt>
              </c:numCache>
            </c:numRef>
          </c:val>
          <c:extLst>
            <c:ext xmlns:c16="http://schemas.microsoft.com/office/drawing/2014/chart" uri="{C3380CC4-5D6E-409C-BE32-E72D297353CC}">
              <c16:uniqueId val="{00000000-E8CA-4E16-95E6-0B3DBD55282D}"/>
            </c:ext>
          </c:extLst>
        </c:ser>
        <c:dLbls>
          <c:showLegendKey val="0"/>
          <c:showVal val="0"/>
          <c:showCatName val="0"/>
          <c:showSerName val="0"/>
          <c:showPercent val="0"/>
          <c:showBubbleSize val="0"/>
        </c:dLbls>
        <c:gapWidth val="219"/>
        <c:overlap val="-27"/>
        <c:axId val="1903099792"/>
        <c:axId val="1903108528"/>
      </c:barChart>
      <c:catAx>
        <c:axId val="19030997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Soil Amendment</a:t>
                </a:r>
              </a:p>
            </c:rich>
          </c:tx>
          <c:layout>
            <c:manualLayout>
              <c:xMode val="edge"/>
              <c:yMode val="edge"/>
              <c:x val="0.40257497170651829"/>
              <c:y val="0.895198363727418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3108528"/>
        <c:crosses val="autoZero"/>
        <c:auto val="1"/>
        <c:lblAlgn val="ctr"/>
        <c:lblOffset val="100"/>
        <c:noMultiLvlLbl val="0"/>
      </c:catAx>
      <c:valAx>
        <c:axId val="190310852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Water Use Efficiency</a:t>
                </a: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a:solidFill>
                      <a:sysClr val="windowText" lastClr="000000"/>
                    </a:solidFill>
                    <a:latin typeface="Times New Roman" panose="02020603050405020304" pitchFamily="18" charset="0"/>
                    <a:cs typeface="Times New Roman" panose="02020603050405020304" pitchFamily="18" charset="0"/>
                  </a:rPr>
                  <a:t>(kg/m</a:t>
                </a:r>
                <a:r>
                  <a:rPr lang="en-US" sz="1200" baseline="30000">
                    <a:solidFill>
                      <a:sysClr val="windowText" lastClr="000000"/>
                    </a:solidFill>
                    <a:latin typeface="Times New Roman" panose="02020603050405020304" pitchFamily="18" charset="0"/>
                    <a:cs typeface="Times New Roman" panose="02020603050405020304" pitchFamily="18" charset="0"/>
                  </a:rPr>
                  <a:t>3</a:t>
                </a:r>
                <a:r>
                  <a:rPr lang="en-US" sz="12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4.3705940427171373E-2"/>
              <c:y val="0.2213820013136361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3099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1.47 at 2WAT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1.82 at 4WAT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2.20 at 6WAT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2.80 at 8WAT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2.88 at 10WAT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endParaRPr lang="en-US">
              <a:solidFill>
                <a:sysClr val="windowText" lastClr="000000"/>
              </a:solidFill>
            </a:endParaRPr>
          </a:p>
        </c:rich>
      </c:tx>
      <c:layout>
        <c:manualLayout>
          <c:xMode val="edge"/>
          <c:yMode val="edge"/>
          <c:x val="0.28278063071387016"/>
          <c:y val="5.541972290138549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9502765765902557E-2"/>
          <c:y val="0.28174318789861413"/>
          <c:w val="0.86994178874710826"/>
          <c:h val="0.4424172340776244"/>
        </c:manualLayout>
      </c:layout>
      <c:barChart>
        <c:barDir val="col"/>
        <c:grouping val="clustered"/>
        <c:varyColors val="0"/>
        <c:ser>
          <c:idx val="0"/>
          <c:order val="0"/>
          <c:tx>
            <c:strRef>
              <c:f>Sheet1!$C$39</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Sheet1!$C$40:$C$44</c:f>
              <c:numCache>
                <c:formatCode>General</c:formatCode>
                <c:ptCount val="5"/>
                <c:pt idx="0">
                  <c:v>8.75</c:v>
                </c:pt>
                <c:pt idx="1">
                  <c:v>10.17</c:v>
                </c:pt>
                <c:pt idx="2">
                  <c:v>11.46</c:v>
                </c:pt>
                <c:pt idx="3">
                  <c:v>13.15</c:v>
                </c:pt>
                <c:pt idx="4">
                  <c:v>16.239999999999998</c:v>
                </c:pt>
              </c:numCache>
            </c:numRef>
          </c:val>
          <c:extLst>
            <c:ext xmlns:c16="http://schemas.microsoft.com/office/drawing/2014/chart" uri="{C3380CC4-5D6E-409C-BE32-E72D297353CC}">
              <c16:uniqueId val="{00000000-6EBB-498F-9C42-747BFD2AE4DA}"/>
            </c:ext>
          </c:extLst>
        </c:ser>
        <c:ser>
          <c:idx val="1"/>
          <c:order val="1"/>
          <c:tx>
            <c:strRef>
              <c:f>Sheet1!$D$39</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Sheet1!$D$40:$D$44</c:f>
              <c:numCache>
                <c:formatCode>General</c:formatCode>
                <c:ptCount val="5"/>
                <c:pt idx="0">
                  <c:v>8.09</c:v>
                </c:pt>
                <c:pt idx="1">
                  <c:v>8.75</c:v>
                </c:pt>
                <c:pt idx="2">
                  <c:v>11.37</c:v>
                </c:pt>
                <c:pt idx="3">
                  <c:v>13.52</c:v>
                </c:pt>
                <c:pt idx="4">
                  <c:v>15.17</c:v>
                </c:pt>
              </c:numCache>
            </c:numRef>
          </c:val>
          <c:extLst>
            <c:ext xmlns:c16="http://schemas.microsoft.com/office/drawing/2014/chart" uri="{C3380CC4-5D6E-409C-BE32-E72D297353CC}">
              <c16:uniqueId val="{00000001-6EBB-498F-9C42-747BFD2AE4DA}"/>
            </c:ext>
          </c:extLst>
        </c:ser>
        <c:ser>
          <c:idx val="2"/>
          <c:order val="2"/>
          <c:tx>
            <c:strRef>
              <c:f>Sheet1!$E$39</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Sheet1!$E$40:$E$44</c:f>
              <c:numCache>
                <c:formatCode>General</c:formatCode>
                <c:ptCount val="5"/>
                <c:pt idx="0">
                  <c:v>9.5399999999999991</c:v>
                </c:pt>
                <c:pt idx="1">
                  <c:v>10.81</c:v>
                </c:pt>
                <c:pt idx="2">
                  <c:v>13.46</c:v>
                </c:pt>
                <c:pt idx="3">
                  <c:v>15.11</c:v>
                </c:pt>
                <c:pt idx="4">
                  <c:v>16.91</c:v>
                </c:pt>
              </c:numCache>
            </c:numRef>
          </c:val>
          <c:extLst>
            <c:ext xmlns:c16="http://schemas.microsoft.com/office/drawing/2014/chart" uri="{C3380CC4-5D6E-409C-BE32-E72D297353CC}">
              <c16:uniqueId val="{00000002-6EBB-498F-9C42-747BFD2AE4DA}"/>
            </c:ext>
          </c:extLst>
        </c:ser>
        <c:ser>
          <c:idx val="3"/>
          <c:order val="3"/>
          <c:tx>
            <c:strRef>
              <c:f>Sheet1!$F$39</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Sheet1!$F$40:$F$44</c:f>
              <c:numCache>
                <c:formatCode>General</c:formatCode>
                <c:ptCount val="5"/>
                <c:pt idx="0">
                  <c:v>6.42</c:v>
                </c:pt>
                <c:pt idx="1">
                  <c:v>7.63</c:v>
                </c:pt>
                <c:pt idx="2">
                  <c:v>8.9700000000000006</c:v>
                </c:pt>
                <c:pt idx="3">
                  <c:v>8.6999999999999993</c:v>
                </c:pt>
                <c:pt idx="4">
                  <c:v>9.11</c:v>
                </c:pt>
              </c:numCache>
            </c:numRef>
          </c:val>
          <c:extLst>
            <c:ext xmlns:c16="http://schemas.microsoft.com/office/drawing/2014/chart" uri="{C3380CC4-5D6E-409C-BE32-E72D297353CC}">
              <c16:uniqueId val="{00000003-6EBB-498F-9C42-747BFD2AE4DA}"/>
            </c:ext>
          </c:extLst>
        </c:ser>
        <c:dLbls>
          <c:showLegendKey val="0"/>
          <c:showVal val="0"/>
          <c:showCatName val="0"/>
          <c:showSerName val="0"/>
          <c:showPercent val="0"/>
          <c:showBubbleSize val="0"/>
        </c:dLbls>
        <c:gapWidth val="219"/>
        <c:overlap val="-27"/>
        <c:axId val="1282911664"/>
        <c:axId val="1282922480"/>
      </c:barChart>
      <c:catAx>
        <c:axId val="128291166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 after Transplanting</a:t>
                </a:r>
              </a:p>
            </c:rich>
          </c:tx>
          <c:layout>
            <c:manualLayout>
              <c:xMode val="edge"/>
              <c:yMode val="edge"/>
              <c:x val="0.3588103169796083"/>
              <c:y val="0.7913416987260154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2922480"/>
        <c:crosses val="autoZero"/>
        <c:auto val="1"/>
        <c:lblAlgn val="ctr"/>
        <c:lblOffset val="100"/>
        <c:noMultiLvlLbl val="0"/>
      </c:catAx>
      <c:valAx>
        <c:axId val="128292248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Garden Egg Stem Diameter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lumMod val="65000"/>
                <a:lumOff val="35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291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 LSD</a:t>
            </a:r>
            <a:r>
              <a:rPr lang="en-US" sz="1200" baseline="0">
                <a:solidFill>
                  <a:sysClr val="windowText" lastClr="000000"/>
                </a:solidFill>
                <a:latin typeface="Times New Roman" panose="02020603050405020304" pitchFamily="18" charset="0"/>
                <a:cs typeface="Times New Roman" panose="02020603050405020304" pitchFamily="18" charset="0"/>
              </a:rPr>
              <a:t> (5 %) = 1.84 at2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 3.67 at 4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a:t>
            </a:r>
            <a:r>
              <a:rPr lang="en-US" sz="1200" baseline="0">
                <a:solidFill>
                  <a:sysClr val="windowText" lastClr="000000"/>
                </a:solidFill>
                <a:latin typeface="Times New Roman" panose="02020603050405020304" pitchFamily="18" charset="0"/>
                <a:cs typeface="Times New Roman" panose="02020603050405020304" pitchFamily="18" charset="0"/>
              </a:rPr>
              <a:t> = 5.14 at 6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  5.05 at 8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4.41 at 10 WAT</a:t>
            </a:r>
          </a:p>
          <a:p>
            <a:pPr>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884615384615382"/>
          <c:y val="5.4321776641636045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13641564035265E-2"/>
          <c:y val="0.19370872091870128"/>
          <c:w val="0.90286351706036749"/>
          <c:h val="0.55296337415523711"/>
        </c:manualLayout>
      </c:layout>
      <c:barChart>
        <c:barDir val="col"/>
        <c:grouping val="clustered"/>
        <c:varyColors val="0"/>
        <c:ser>
          <c:idx val="0"/>
          <c:order val="0"/>
          <c:tx>
            <c:strRef>
              <c:f>Sheet1!$D$60</c:f>
              <c:strCache>
                <c:ptCount val="1"/>
                <c:pt idx="0">
                  <c:v>Sustained Deficit Irrigation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Sheet1!$D$61:$D$65</c:f>
              <c:numCache>
                <c:formatCode>General</c:formatCode>
                <c:ptCount val="5"/>
                <c:pt idx="0">
                  <c:v>14.58</c:v>
                </c:pt>
                <c:pt idx="1">
                  <c:v>22.08</c:v>
                </c:pt>
                <c:pt idx="2">
                  <c:v>26</c:v>
                </c:pt>
                <c:pt idx="3">
                  <c:v>27.25</c:v>
                </c:pt>
                <c:pt idx="4">
                  <c:v>31.33</c:v>
                </c:pt>
              </c:numCache>
            </c:numRef>
          </c:val>
          <c:extLst>
            <c:ext xmlns:c16="http://schemas.microsoft.com/office/drawing/2014/chart" uri="{C3380CC4-5D6E-409C-BE32-E72D297353CC}">
              <c16:uniqueId val="{00000000-C893-4DC6-AB01-4AB9876E0510}"/>
            </c:ext>
          </c:extLst>
        </c:ser>
        <c:ser>
          <c:idx val="1"/>
          <c:order val="1"/>
          <c:tx>
            <c:strRef>
              <c:f>Sheet1!$E$60</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Sheet1!$E$61:$E$65</c:f>
              <c:numCache>
                <c:formatCode>General</c:formatCode>
                <c:ptCount val="5"/>
                <c:pt idx="0">
                  <c:v>17.079999999999998</c:v>
                </c:pt>
                <c:pt idx="1">
                  <c:v>32.58</c:v>
                </c:pt>
                <c:pt idx="2">
                  <c:v>45.25</c:v>
                </c:pt>
                <c:pt idx="3">
                  <c:v>48.75</c:v>
                </c:pt>
                <c:pt idx="4">
                  <c:v>63.67</c:v>
                </c:pt>
              </c:numCache>
            </c:numRef>
          </c:val>
          <c:extLst>
            <c:ext xmlns:c16="http://schemas.microsoft.com/office/drawing/2014/chart" uri="{C3380CC4-5D6E-409C-BE32-E72D297353CC}">
              <c16:uniqueId val="{00000001-C893-4DC6-AB01-4AB9876E0510}"/>
            </c:ext>
          </c:extLst>
        </c:ser>
        <c:ser>
          <c:idx val="2"/>
          <c:order val="2"/>
          <c:tx>
            <c:strRef>
              <c:f>Sheet1!$F$60</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Sheet1!$F$61:$F$65</c:f>
              <c:numCache>
                <c:formatCode>General</c:formatCode>
                <c:ptCount val="5"/>
                <c:pt idx="0">
                  <c:v>14.83</c:v>
                </c:pt>
                <c:pt idx="1">
                  <c:v>25.58</c:v>
                </c:pt>
                <c:pt idx="2">
                  <c:v>38.25</c:v>
                </c:pt>
                <c:pt idx="3">
                  <c:v>42.25</c:v>
                </c:pt>
                <c:pt idx="4">
                  <c:v>44.25</c:v>
                </c:pt>
              </c:numCache>
            </c:numRef>
          </c:val>
          <c:extLst>
            <c:ext xmlns:c16="http://schemas.microsoft.com/office/drawing/2014/chart" uri="{C3380CC4-5D6E-409C-BE32-E72D297353CC}">
              <c16:uniqueId val="{00000002-C893-4DC6-AB01-4AB9876E0510}"/>
            </c:ext>
          </c:extLst>
        </c:ser>
        <c:dLbls>
          <c:showLegendKey val="0"/>
          <c:showVal val="0"/>
          <c:showCatName val="0"/>
          <c:showSerName val="0"/>
          <c:showPercent val="0"/>
          <c:showBubbleSize val="0"/>
        </c:dLbls>
        <c:gapWidth val="219"/>
        <c:overlap val="-27"/>
        <c:axId val="1194568176"/>
        <c:axId val="1194565680"/>
      </c:barChart>
      <c:catAx>
        <c:axId val="119456817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a:t>
                </a:r>
                <a:r>
                  <a:rPr lang="en-US" sz="1200" baseline="0">
                    <a:solidFill>
                      <a:sysClr val="windowText" lastClr="000000"/>
                    </a:solidFill>
                    <a:latin typeface="Times New Roman" panose="02020603050405020304" pitchFamily="18" charset="0"/>
                    <a:cs typeface="Times New Roman" panose="02020603050405020304" pitchFamily="18" charset="0"/>
                  </a:rPr>
                  <a:t> after Transplanting</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85000"/>
                <a:lumOff val="1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4565680"/>
        <c:crosses val="autoZero"/>
        <c:auto val="1"/>
        <c:lblAlgn val="ctr"/>
        <c:lblOffset val="100"/>
        <c:noMultiLvlLbl val="0"/>
      </c:catAx>
      <c:valAx>
        <c:axId val="119456568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Height of Garden Eggs(cm)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456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 LSD 5 % =) 2.13 at</a:t>
            </a:r>
            <a:r>
              <a:rPr lang="en-US" sz="1200" baseline="0">
                <a:solidFill>
                  <a:sysClr val="windowText" lastClr="000000"/>
                </a:solidFill>
                <a:latin typeface="Times New Roman" panose="02020603050405020304" pitchFamily="18" charset="0"/>
                <a:cs typeface="Times New Roman" panose="02020603050405020304" pitchFamily="18" charset="0"/>
              </a:rPr>
              <a:t> 2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4.2 at 4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5.94 at 6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5.83 at 8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 5.10 at 10 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1181933508311462"/>
          <c:y val="5.092592592592592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1680272108843537"/>
          <c:y val="0.17496935574346081"/>
          <c:w val="0.85825396825396827"/>
          <c:h val="0.49949265576631419"/>
        </c:manualLayout>
      </c:layout>
      <c:barChart>
        <c:barDir val="col"/>
        <c:grouping val="clustered"/>
        <c:varyColors val="0"/>
        <c:ser>
          <c:idx val="0"/>
          <c:order val="0"/>
          <c:tx>
            <c:strRef>
              <c:f>Sheet1!$D$78</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Sheet1!$D$79:$D$83</c:f>
              <c:numCache>
                <c:formatCode>General</c:formatCode>
                <c:ptCount val="5"/>
                <c:pt idx="0">
                  <c:v>14.11</c:v>
                </c:pt>
                <c:pt idx="1">
                  <c:v>26.33</c:v>
                </c:pt>
                <c:pt idx="2">
                  <c:v>35.11</c:v>
                </c:pt>
                <c:pt idx="3">
                  <c:v>38.89</c:v>
                </c:pt>
                <c:pt idx="4">
                  <c:v>47</c:v>
                </c:pt>
              </c:numCache>
            </c:numRef>
          </c:val>
          <c:extLst>
            <c:ext xmlns:c16="http://schemas.microsoft.com/office/drawing/2014/chart" uri="{C3380CC4-5D6E-409C-BE32-E72D297353CC}">
              <c16:uniqueId val="{00000000-9E15-457E-B1F4-5A5902B3C59A}"/>
            </c:ext>
          </c:extLst>
        </c:ser>
        <c:ser>
          <c:idx val="1"/>
          <c:order val="1"/>
          <c:tx>
            <c:strRef>
              <c:f>Sheet1!$E$78</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Sheet1!$E$79:$E$83</c:f>
              <c:numCache>
                <c:formatCode>General</c:formatCode>
                <c:ptCount val="5"/>
                <c:pt idx="0">
                  <c:v>14.67</c:v>
                </c:pt>
                <c:pt idx="1">
                  <c:v>27.22</c:v>
                </c:pt>
                <c:pt idx="2">
                  <c:v>37.56</c:v>
                </c:pt>
                <c:pt idx="3">
                  <c:v>40.56</c:v>
                </c:pt>
                <c:pt idx="4">
                  <c:v>48</c:v>
                </c:pt>
              </c:numCache>
            </c:numRef>
          </c:val>
          <c:extLst>
            <c:ext xmlns:c16="http://schemas.microsoft.com/office/drawing/2014/chart" uri="{C3380CC4-5D6E-409C-BE32-E72D297353CC}">
              <c16:uniqueId val="{00000001-9E15-457E-B1F4-5A5902B3C59A}"/>
            </c:ext>
          </c:extLst>
        </c:ser>
        <c:ser>
          <c:idx val="2"/>
          <c:order val="2"/>
          <c:tx>
            <c:strRef>
              <c:f>Sheet1!$F$78</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Sheet1!$F$79:$F$83</c:f>
              <c:numCache>
                <c:formatCode>General</c:formatCode>
                <c:ptCount val="5"/>
                <c:pt idx="0">
                  <c:v>17.11</c:v>
                </c:pt>
                <c:pt idx="1">
                  <c:v>31.44</c:v>
                </c:pt>
                <c:pt idx="2">
                  <c:v>44.58</c:v>
                </c:pt>
                <c:pt idx="3">
                  <c:v>47.78</c:v>
                </c:pt>
                <c:pt idx="4">
                  <c:v>57.78</c:v>
                </c:pt>
              </c:numCache>
            </c:numRef>
          </c:val>
          <c:extLst>
            <c:ext xmlns:c16="http://schemas.microsoft.com/office/drawing/2014/chart" uri="{C3380CC4-5D6E-409C-BE32-E72D297353CC}">
              <c16:uniqueId val="{00000002-9E15-457E-B1F4-5A5902B3C59A}"/>
            </c:ext>
          </c:extLst>
        </c:ser>
        <c:ser>
          <c:idx val="3"/>
          <c:order val="3"/>
          <c:tx>
            <c:strRef>
              <c:f>Sheet1!$G$78</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Sheet1!$G$79:$G$83</c:f>
              <c:numCache>
                <c:formatCode>General</c:formatCode>
                <c:ptCount val="5"/>
                <c:pt idx="0">
                  <c:v>12.22</c:v>
                </c:pt>
                <c:pt idx="1">
                  <c:v>22</c:v>
                </c:pt>
                <c:pt idx="2">
                  <c:v>28.78</c:v>
                </c:pt>
                <c:pt idx="3">
                  <c:v>30.44</c:v>
                </c:pt>
                <c:pt idx="4">
                  <c:v>32.89</c:v>
                </c:pt>
              </c:numCache>
            </c:numRef>
          </c:val>
          <c:extLst>
            <c:ext xmlns:c16="http://schemas.microsoft.com/office/drawing/2014/chart" uri="{C3380CC4-5D6E-409C-BE32-E72D297353CC}">
              <c16:uniqueId val="{00000003-9E15-457E-B1F4-5A5902B3C59A}"/>
            </c:ext>
          </c:extLst>
        </c:ser>
        <c:dLbls>
          <c:showLegendKey val="0"/>
          <c:showVal val="0"/>
          <c:showCatName val="0"/>
          <c:showSerName val="0"/>
          <c:showPercent val="0"/>
          <c:showBubbleSize val="0"/>
        </c:dLbls>
        <c:gapWidth val="219"/>
        <c:overlap val="-27"/>
        <c:axId val="400459279"/>
        <c:axId val="400464271"/>
      </c:barChart>
      <c:catAx>
        <c:axId val="400459279"/>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Soil</a:t>
                </a:r>
                <a:r>
                  <a:rPr lang="en-US" sz="1200" baseline="0">
                    <a:solidFill>
                      <a:sysClr val="windowText" lastClr="000000"/>
                    </a:solidFill>
                    <a:latin typeface="Times New Roman" panose="02020603050405020304" pitchFamily="18" charset="0"/>
                    <a:cs typeface="Times New Roman" panose="02020603050405020304" pitchFamily="18" charset="0"/>
                  </a:rPr>
                  <a:t> Amendment</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0464271"/>
        <c:crosses val="autoZero"/>
        <c:auto val="1"/>
        <c:lblAlgn val="ctr"/>
        <c:lblOffset val="100"/>
        <c:noMultiLvlLbl val="0"/>
      </c:catAx>
      <c:valAx>
        <c:axId val="400464271"/>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Height</a:t>
                </a:r>
                <a:r>
                  <a:rPr lang="en-US" sz="1200" baseline="0">
                    <a:solidFill>
                      <a:sysClr val="windowText" lastClr="000000"/>
                    </a:solidFill>
                    <a:latin typeface="Times New Roman" panose="02020603050405020304" pitchFamily="18" charset="0"/>
                    <a:cs typeface="Times New Roman" panose="02020603050405020304" pitchFamily="18" charset="0"/>
                  </a:rPr>
                  <a:t> of Garden Egg (cm)</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943310657596373E-2"/>
              <c:y val="0.2782409850483729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0459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LSD(%)= 1.06 at 4WAT</a:t>
            </a:r>
          </a:p>
          <a:p>
            <a:pPr>
              <a:defRPr/>
            </a:pPr>
            <a:r>
              <a:rPr lang="en-US" sz="1100"/>
              <a:t>LSD(%)= 1.60 at 6WAT</a:t>
            </a:r>
          </a:p>
          <a:p>
            <a:pPr>
              <a:defRPr/>
            </a:pPr>
            <a:r>
              <a:rPr lang="en-US" sz="1100"/>
              <a:t>LSD(%)= 2.37 at 8WAT</a:t>
            </a:r>
          </a:p>
          <a:p>
            <a:pPr>
              <a:defRPr/>
            </a:pPr>
            <a:r>
              <a:rPr lang="en-US" sz="1100"/>
              <a:t>LSD(%)= 2.42 at 10WAT</a:t>
            </a:r>
          </a:p>
          <a:p>
            <a:pPr>
              <a:defRPr/>
            </a:pPr>
            <a:endParaRPr lang="en-US"/>
          </a:p>
        </c:rich>
      </c:tx>
      <c:layout>
        <c:manualLayout>
          <c:xMode val="edge"/>
          <c:yMode val="edge"/>
          <c:x val="0.37076384682683894"/>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3042108866826428E-2"/>
          <c:y val="0.21940332930081852"/>
          <c:w val="0.9069578911331736"/>
          <c:h val="0.55167179574251324"/>
        </c:manualLayout>
      </c:layout>
      <c:barChart>
        <c:barDir val="col"/>
        <c:grouping val="clustered"/>
        <c:varyColors val="0"/>
        <c:ser>
          <c:idx val="0"/>
          <c:order val="0"/>
          <c:tx>
            <c:strRef>
              <c:f>Sheet1!$D$116</c:f>
              <c:strCache>
                <c:ptCount val="1"/>
                <c:pt idx="0">
                  <c:v>Sustained Deficit Irrigation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Sheet1!$D$117:$D$120</c:f>
              <c:numCache>
                <c:formatCode>General</c:formatCode>
                <c:ptCount val="4"/>
                <c:pt idx="0">
                  <c:v>2.08</c:v>
                </c:pt>
                <c:pt idx="1">
                  <c:v>3.25</c:v>
                </c:pt>
                <c:pt idx="2">
                  <c:v>7.08</c:v>
                </c:pt>
                <c:pt idx="3">
                  <c:v>8.58</c:v>
                </c:pt>
              </c:numCache>
            </c:numRef>
          </c:val>
          <c:extLst>
            <c:ext xmlns:c16="http://schemas.microsoft.com/office/drawing/2014/chart" uri="{C3380CC4-5D6E-409C-BE32-E72D297353CC}">
              <c16:uniqueId val="{00000000-E464-4EC3-8B49-0D860B2066F4}"/>
            </c:ext>
          </c:extLst>
        </c:ser>
        <c:ser>
          <c:idx val="1"/>
          <c:order val="1"/>
          <c:tx>
            <c:strRef>
              <c:f>Sheet1!$E$116</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Sheet1!$E$117:$E$120</c:f>
              <c:numCache>
                <c:formatCode>General</c:formatCode>
                <c:ptCount val="4"/>
                <c:pt idx="0">
                  <c:v>3.16</c:v>
                </c:pt>
                <c:pt idx="1">
                  <c:v>6.16</c:v>
                </c:pt>
                <c:pt idx="2">
                  <c:v>11.5</c:v>
                </c:pt>
                <c:pt idx="3">
                  <c:v>11.75</c:v>
                </c:pt>
              </c:numCache>
            </c:numRef>
          </c:val>
          <c:extLst>
            <c:ext xmlns:c16="http://schemas.microsoft.com/office/drawing/2014/chart" uri="{C3380CC4-5D6E-409C-BE32-E72D297353CC}">
              <c16:uniqueId val="{00000001-E464-4EC3-8B49-0D860B2066F4}"/>
            </c:ext>
          </c:extLst>
        </c:ser>
        <c:ser>
          <c:idx val="2"/>
          <c:order val="2"/>
          <c:tx>
            <c:strRef>
              <c:f>Sheet1!$F$116</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Sheet1!$F$117:$F$120</c:f>
              <c:numCache>
                <c:formatCode>General</c:formatCode>
                <c:ptCount val="4"/>
                <c:pt idx="0">
                  <c:v>3.08</c:v>
                </c:pt>
                <c:pt idx="1">
                  <c:v>4.91</c:v>
                </c:pt>
                <c:pt idx="2">
                  <c:v>9.58</c:v>
                </c:pt>
                <c:pt idx="3">
                  <c:v>10.5</c:v>
                </c:pt>
              </c:numCache>
            </c:numRef>
          </c:val>
          <c:extLst>
            <c:ext xmlns:c16="http://schemas.microsoft.com/office/drawing/2014/chart" uri="{C3380CC4-5D6E-409C-BE32-E72D297353CC}">
              <c16:uniqueId val="{00000002-E464-4EC3-8B49-0D860B2066F4}"/>
            </c:ext>
          </c:extLst>
        </c:ser>
        <c:dLbls>
          <c:showLegendKey val="0"/>
          <c:showVal val="0"/>
          <c:showCatName val="0"/>
          <c:showSerName val="0"/>
          <c:showPercent val="0"/>
          <c:showBubbleSize val="0"/>
        </c:dLbls>
        <c:gapWidth val="219"/>
        <c:overlap val="-27"/>
        <c:axId val="1075344064"/>
        <c:axId val="1075375680"/>
      </c:barChart>
      <c:catAx>
        <c:axId val="107534406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Weeks after transplanting</a:t>
                </a:r>
              </a:p>
            </c:rich>
          </c:tx>
          <c:layout>
            <c:manualLayout>
              <c:xMode val="edge"/>
              <c:yMode val="edge"/>
              <c:x val="0.51361679790026249"/>
              <c:y val="0.8401907404448946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75680"/>
        <c:crosses val="autoZero"/>
        <c:auto val="1"/>
        <c:lblAlgn val="ctr"/>
        <c:lblOffset val="100"/>
        <c:noMultiLvlLbl val="0"/>
      </c:catAx>
      <c:valAx>
        <c:axId val="107537568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Branches</a:t>
                </a:r>
              </a:p>
            </c:rich>
          </c:tx>
          <c:layout>
            <c:manualLayout>
              <c:xMode val="edge"/>
              <c:yMode val="edge"/>
              <c:x val="1.0202066087892859E-2"/>
              <c:y val="0.2194870924153348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4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LSD (5 %)= 1.22 AT 4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LSD (5 %)= 1.84</a:t>
            </a:r>
            <a:r>
              <a:rPr lang="en-US" sz="1100" baseline="0">
                <a:solidFill>
                  <a:sysClr val="windowText" lastClr="000000"/>
                </a:solidFill>
                <a:latin typeface="Times New Roman" panose="02020603050405020304" pitchFamily="18" charset="0"/>
                <a:cs typeface="Times New Roman" panose="02020603050405020304" pitchFamily="18" charset="0"/>
              </a:rPr>
              <a:t> AT 6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100" baseline="0">
                <a:solidFill>
                  <a:sysClr val="windowText" lastClr="000000"/>
                </a:solidFill>
                <a:latin typeface="Times New Roman" panose="02020603050405020304" pitchFamily="18" charset="0"/>
                <a:cs typeface="Times New Roman" panose="02020603050405020304" pitchFamily="18" charset="0"/>
              </a:rPr>
              <a:t>LSD (5 %)= 2. 74 AT 8WAT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100" baseline="0">
                <a:solidFill>
                  <a:sysClr val="windowText" lastClr="000000"/>
                </a:solidFill>
                <a:latin typeface="Times New Roman" panose="02020603050405020304" pitchFamily="18" charset="0"/>
                <a:cs typeface="Times New Roman" panose="02020603050405020304" pitchFamily="18" charset="0"/>
              </a:rPr>
              <a:t>LSD (55 %)= 2.79 AT 10 WAT</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6091666666666669"/>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136482939632549E-2"/>
          <c:y val="0.23656079206800737"/>
          <c:w val="0.90286351706036749"/>
          <c:h val="0.4797924615903108"/>
        </c:manualLayout>
      </c:layout>
      <c:barChart>
        <c:barDir val="col"/>
        <c:grouping val="clustered"/>
        <c:varyColors val="0"/>
        <c:ser>
          <c:idx val="0"/>
          <c:order val="0"/>
          <c:tx>
            <c:strRef>
              <c:f>Sheet1!$C$98</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Sheet1!$D$98:$G$98</c:f>
              <c:numCache>
                <c:formatCode>General</c:formatCode>
                <c:ptCount val="4"/>
                <c:pt idx="0">
                  <c:v>2.56</c:v>
                </c:pt>
                <c:pt idx="1">
                  <c:v>4.66</c:v>
                </c:pt>
                <c:pt idx="2">
                  <c:v>9.5500000000000007</c:v>
                </c:pt>
                <c:pt idx="3">
                  <c:v>10.67</c:v>
                </c:pt>
              </c:numCache>
            </c:numRef>
          </c:val>
          <c:extLst>
            <c:ext xmlns:c16="http://schemas.microsoft.com/office/drawing/2014/chart" uri="{C3380CC4-5D6E-409C-BE32-E72D297353CC}">
              <c16:uniqueId val="{00000000-FC37-4E05-8F6A-B45D73C99F41}"/>
            </c:ext>
          </c:extLst>
        </c:ser>
        <c:ser>
          <c:idx val="1"/>
          <c:order val="1"/>
          <c:tx>
            <c:strRef>
              <c:f>Sheet1!$C$99</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Sheet1!$D$99:$G$99</c:f>
              <c:numCache>
                <c:formatCode>General</c:formatCode>
                <c:ptCount val="4"/>
                <c:pt idx="0">
                  <c:v>2.8</c:v>
                </c:pt>
                <c:pt idx="1">
                  <c:v>4.7699999999999996</c:v>
                </c:pt>
                <c:pt idx="2">
                  <c:v>9.77</c:v>
                </c:pt>
                <c:pt idx="3">
                  <c:v>11.22</c:v>
                </c:pt>
              </c:numCache>
            </c:numRef>
          </c:val>
          <c:extLst>
            <c:ext xmlns:c16="http://schemas.microsoft.com/office/drawing/2014/chart" uri="{C3380CC4-5D6E-409C-BE32-E72D297353CC}">
              <c16:uniqueId val="{00000001-FC37-4E05-8F6A-B45D73C99F41}"/>
            </c:ext>
          </c:extLst>
        </c:ser>
        <c:ser>
          <c:idx val="2"/>
          <c:order val="2"/>
          <c:tx>
            <c:strRef>
              <c:f>Sheet1!$C$100</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Sheet1!$D$100:$G$100</c:f>
              <c:numCache>
                <c:formatCode>General</c:formatCode>
                <c:ptCount val="4"/>
                <c:pt idx="0">
                  <c:v>4</c:v>
                </c:pt>
                <c:pt idx="1">
                  <c:v>6.66</c:v>
                </c:pt>
                <c:pt idx="2">
                  <c:v>13.11</c:v>
                </c:pt>
                <c:pt idx="3">
                  <c:v>13.67</c:v>
                </c:pt>
              </c:numCache>
            </c:numRef>
          </c:val>
          <c:extLst>
            <c:ext xmlns:c16="http://schemas.microsoft.com/office/drawing/2014/chart" uri="{C3380CC4-5D6E-409C-BE32-E72D297353CC}">
              <c16:uniqueId val="{00000002-FC37-4E05-8F6A-B45D73C99F41}"/>
            </c:ext>
          </c:extLst>
        </c:ser>
        <c:ser>
          <c:idx val="3"/>
          <c:order val="3"/>
          <c:tx>
            <c:strRef>
              <c:f>Sheet1!$C$101</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Sheet1!$D$101:$G$101</c:f>
              <c:numCache>
                <c:formatCode>General</c:formatCode>
                <c:ptCount val="4"/>
                <c:pt idx="0">
                  <c:v>1.22</c:v>
                </c:pt>
                <c:pt idx="1">
                  <c:v>3</c:v>
                </c:pt>
                <c:pt idx="2">
                  <c:v>5.1100000000000003</c:v>
                </c:pt>
                <c:pt idx="3">
                  <c:v>5.56</c:v>
                </c:pt>
              </c:numCache>
            </c:numRef>
          </c:val>
          <c:extLst>
            <c:ext xmlns:c16="http://schemas.microsoft.com/office/drawing/2014/chart" uri="{C3380CC4-5D6E-409C-BE32-E72D297353CC}">
              <c16:uniqueId val="{00000003-FC37-4E05-8F6A-B45D73C99F41}"/>
            </c:ext>
          </c:extLst>
        </c:ser>
        <c:dLbls>
          <c:showLegendKey val="0"/>
          <c:showVal val="0"/>
          <c:showCatName val="0"/>
          <c:showSerName val="0"/>
          <c:showPercent val="0"/>
          <c:showBubbleSize val="0"/>
        </c:dLbls>
        <c:gapWidth val="219"/>
        <c:overlap val="-27"/>
        <c:axId val="353384543"/>
        <c:axId val="353373311"/>
      </c:barChart>
      <c:catAx>
        <c:axId val="353384543"/>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Soil Amendment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373311"/>
        <c:crosses val="autoZero"/>
        <c:auto val="1"/>
        <c:lblAlgn val="ctr"/>
        <c:lblOffset val="100"/>
        <c:noMultiLvlLbl val="0"/>
      </c:catAx>
      <c:valAx>
        <c:axId val="353373311"/>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Number of Branches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384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LSD(5 %)= 3.99 </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510921304328486"/>
          <c:y val="0.18648863620256761"/>
          <c:w val="0.761588211799612"/>
          <c:h val="0.54924971478844575"/>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Sheet1!$E$158:$G$158</c:f>
              <c:strCache>
                <c:ptCount val="3"/>
                <c:pt idx="0">
                  <c:v> Sustained Deficit Irrigation</c:v>
                </c:pt>
                <c:pt idx="1">
                  <c:v>Regulated Deficit Irrigation</c:v>
                </c:pt>
                <c:pt idx="2">
                  <c:v>Full Irrigation</c:v>
                </c:pt>
              </c:strCache>
            </c:strRef>
          </c:cat>
          <c:val>
            <c:numRef>
              <c:f>Sheet1!$E$159:$G$159</c:f>
              <c:numCache>
                <c:formatCode>General</c:formatCode>
                <c:ptCount val="3"/>
                <c:pt idx="0">
                  <c:v>11.55</c:v>
                </c:pt>
                <c:pt idx="1">
                  <c:v>16.32</c:v>
                </c:pt>
                <c:pt idx="2">
                  <c:v>16.39</c:v>
                </c:pt>
              </c:numCache>
            </c:numRef>
          </c:val>
          <c:extLst>
            <c:ext xmlns:c16="http://schemas.microsoft.com/office/drawing/2014/chart" uri="{C3380CC4-5D6E-409C-BE32-E72D297353CC}">
              <c16:uniqueId val="{00000000-CD10-4773-A7BE-069471EFF367}"/>
            </c:ext>
          </c:extLst>
        </c:ser>
        <c:dLbls>
          <c:showLegendKey val="0"/>
          <c:showVal val="0"/>
          <c:showCatName val="0"/>
          <c:showSerName val="0"/>
          <c:showPercent val="0"/>
          <c:showBubbleSize val="0"/>
        </c:dLbls>
        <c:gapWidth val="219"/>
        <c:overlap val="-27"/>
        <c:axId val="967073872"/>
        <c:axId val="967057232"/>
      </c:barChart>
      <c:catAx>
        <c:axId val="96707387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Irrigation </a:t>
                </a:r>
                <a:r>
                  <a: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Regimes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7193718581787447"/>
              <c:y val="0.878456290524659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7057232"/>
        <c:crosses val="autoZero"/>
        <c:auto val="1"/>
        <c:lblAlgn val="ctr"/>
        <c:lblOffset val="100"/>
        <c:noMultiLvlLbl val="0"/>
      </c:catAx>
      <c:valAx>
        <c:axId val="96705723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Yield Prodction in ton/ha</a:t>
                </a:r>
              </a:p>
            </c:rich>
          </c:tx>
          <c:overlay val="0"/>
          <c:spPr>
            <a:noFill/>
            <a:ln>
              <a:solidFill>
                <a:schemeClr val="bg2"/>
              </a:solid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solidFill>
              <a:schemeClr val="tx1">
                <a:alpha val="99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7073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LSD(%)=4.61</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Sheet1!$H$224:$K$224</c:f>
              <c:strCache>
                <c:ptCount val="4"/>
                <c:pt idx="0">
                  <c:v>Biochar </c:v>
                </c:pt>
                <c:pt idx="1">
                  <c:v>Poultry Manure</c:v>
                </c:pt>
                <c:pt idx="2">
                  <c:v>Poultry Manure and Biochar</c:v>
                </c:pt>
                <c:pt idx="3">
                  <c:v>No Biochar no Poultry Manure</c:v>
                </c:pt>
              </c:strCache>
            </c:strRef>
          </c:cat>
          <c:val>
            <c:numRef>
              <c:f>Sheet1!$H$225:$K$225</c:f>
              <c:numCache>
                <c:formatCode>General</c:formatCode>
                <c:ptCount val="4"/>
                <c:pt idx="0">
                  <c:v>14.37</c:v>
                </c:pt>
                <c:pt idx="1">
                  <c:v>15.14</c:v>
                </c:pt>
                <c:pt idx="2">
                  <c:v>23.34</c:v>
                </c:pt>
                <c:pt idx="3">
                  <c:v>6.18</c:v>
                </c:pt>
              </c:numCache>
            </c:numRef>
          </c:val>
          <c:extLst>
            <c:ext xmlns:c16="http://schemas.microsoft.com/office/drawing/2014/chart" uri="{C3380CC4-5D6E-409C-BE32-E72D297353CC}">
              <c16:uniqueId val="{00000000-869E-462E-A8F6-11D361F6B0B5}"/>
            </c:ext>
          </c:extLst>
        </c:ser>
        <c:dLbls>
          <c:showLegendKey val="0"/>
          <c:showVal val="0"/>
          <c:showCatName val="0"/>
          <c:showSerName val="0"/>
          <c:showPercent val="0"/>
          <c:showBubbleSize val="0"/>
        </c:dLbls>
        <c:gapWidth val="219"/>
        <c:overlap val="-27"/>
        <c:axId val="896957456"/>
        <c:axId val="896964528"/>
      </c:barChart>
      <c:catAx>
        <c:axId val="89695745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Soil Amendment</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6964528"/>
        <c:crosses val="autoZero"/>
        <c:auto val="1"/>
        <c:lblAlgn val="ctr"/>
        <c:lblOffset val="100"/>
        <c:noMultiLvlLbl val="0"/>
      </c:catAx>
      <c:valAx>
        <c:axId val="89696452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Yield Production in ton/ha</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6957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( 5%)= 0.71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573122529644266"/>
          <c:y val="0.18261592300962379"/>
          <c:w val="0.8273781291172595"/>
          <c:h val="0.61034703995333917"/>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Sheet3!$B$1:$D$1</c:f>
              <c:strCache>
                <c:ptCount val="3"/>
                <c:pt idx="0">
                  <c:v> Sustained Deficit</c:v>
                </c:pt>
                <c:pt idx="1">
                  <c:v> Full Irrigation</c:v>
                </c:pt>
                <c:pt idx="2">
                  <c:v> Regulated Deficit</c:v>
                </c:pt>
              </c:strCache>
            </c:strRef>
          </c:cat>
          <c:val>
            <c:numRef>
              <c:f>Sheet3!$B$2:$D$2</c:f>
              <c:numCache>
                <c:formatCode>General</c:formatCode>
                <c:ptCount val="3"/>
                <c:pt idx="0">
                  <c:v>2.36</c:v>
                </c:pt>
                <c:pt idx="1">
                  <c:v>2.34</c:v>
                </c:pt>
                <c:pt idx="2">
                  <c:v>2.75</c:v>
                </c:pt>
              </c:numCache>
            </c:numRef>
          </c:val>
          <c:extLst>
            <c:ext xmlns:c16="http://schemas.microsoft.com/office/drawing/2014/chart" uri="{C3380CC4-5D6E-409C-BE32-E72D297353CC}">
              <c16:uniqueId val="{00000000-BF14-430D-86E9-1CA4F9E75138}"/>
            </c:ext>
          </c:extLst>
        </c:ser>
        <c:dLbls>
          <c:showLegendKey val="0"/>
          <c:showVal val="0"/>
          <c:showCatName val="0"/>
          <c:showSerName val="0"/>
          <c:showPercent val="0"/>
          <c:showBubbleSize val="0"/>
        </c:dLbls>
        <c:gapWidth val="219"/>
        <c:overlap val="-27"/>
        <c:axId val="690740240"/>
        <c:axId val="690755216"/>
      </c:barChart>
      <c:catAx>
        <c:axId val="69074024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Irrigation </a:t>
                </a:r>
                <a:r>
                  <a: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Regimes</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755216"/>
        <c:crosses val="autoZero"/>
        <c:auto val="1"/>
        <c:lblAlgn val="ctr"/>
        <c:lblOffset val="100"/>
        <c:noMultiLvlLbl val="0"/>
      </c:catAx>
      <c:valAx>
        <c:axId val="69075521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Water Use Efficiency (kg/m</a:t>
                </a:r>
                <a:r>
                  <a:rPr lang="en-US" sz="1200" baseline="30000">
                    <a:solidFill>
                      <a:sysClr val="windowText" lastClr="000000"/>
                    </a:solidFill>
                    <a:latin typeface="Times New Roman" panose="02020603050405020304" pitchFamily="18" charset="0"/>
                    <a:cs typeface="Times New Roman" panose="02020603050405020304" pitchFamily="18" charset="0"/>
                  </a:rPr>
                  <a:t>3</a:t>
                </a:r>
                <a:r>
                  <a:rPr lang="en-US" sz="1200" baseline="0">
                    <a:solidFill>
                      <a:sysClr val="windowText" lastClr="000000"/>
                    </a:solidFill>
                    <a:latin typeface="Times New Roman" panose="02020603050405020304" pitchFamily="18" charset="0"/>
                    <a:cs typeface="Times New Roman" panose="02020603050405020304" pitchFamily="18" charset="0"/>
                  </a:rPr>
                  <a:t>)</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740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E171-30CB-42AB-973D-73677253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9610</Words>
  <Characters>54778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leoncieclaire@mail.com</dc:creator>
  <cp:keywords/>
  <dc:description/>
  <cp:lastModifiedBy>SDI 1084</cp:lastModifiedBy>
  <cp:revision>11</cp:revision>
  <cp:lastPrinted>2025-08-15T13:22:00Z</cp:lastPrinted>
  <dcterms:created xsi:type="dcterms:W3CDTF">2025-11-20T23:17:00Z</dcterms:created>
  <dcterms:modified xsi:type="dcterms:W3CDTF">2025-12-20T09:57:00Z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b65ffe6e-515c-3fe2-96bb-8792b39b9966</vt:lpwstr>
  </property>
  <property fmtid="{D5CDD505-2E9C-101B-9397-08002B2CF9AE}" pid="24" name="Mendeley Citation Style_1">
    <vt:lpwstr>http://www.zotero.org/styles/apa</vt:lpwstr>
  </property>
</Properties>
</file>