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9DE12" w14:textId="77777777" w:rsidR="0098093E" w:rsidRPr="00FD2A42" w:rsidRDefault="0098093E" w:rsidP="0098093E">
      <w:pPr>
        <w:spacing w:after="0"/>
        <w:jc w:val="center"/>
        <w:rPr>
          <w:rFonts w:ascii="Times New Roman" w:hAnsi="Times New Roman" w:cs="Times New Roman"/>
          <w:b/>
          <w:sz w:val="24"/>
        </w:rPr>
      </w:pPr>
      <w:r w:rsidRPr="00FD2A42">
        <w:rPr>
          <w:rFonts w:ascii="Times New Roman" w:hAnsi="Times New Roman" w:cs="Times New Roman"/>
          <w:b/>
          <w:sz w:val="24"/>
        </w:rPr>
        <w:t xml:space="preserve">Influence of Cultural Media, Temperature, and pH on the Growth Characteristics of </w:t>
      </w:r>
      <w:r w:rsidRPr="00FD2A42">
        <w:rPr>
          <w:rFonts w:ascii="Times New Roman" w:hAnsi="Times New Roman" w:cs="Times New Roman"/>
          <w:b/>
          <w:i/>
          <w:sz w:val="24"/>
        </w:rPr>
        <w:t xml:space="preserve">Fusarium </w:t>
      </w:r>
      <w:proofErr w:type="spellStart"/>
      <w:r w:rsidRPr="00FD2A42">
        <w:rPr>
          <w:rFonts w:ascii="Times New Roman" w:hAnsi="Times New Roman" w:cs="Times New Roman"/>
          <w:b/>
          <w:i/>
          <w:sz w:val="24"/>
        </w:rPr>
        <w:t>oxysporum</w:t>
      </w:r>
      <w:proofErr w:type="spellEnd"/>
      <w:r w:rsidRPr="00FD2A42">
        <w:rPr>
          <w:rFonts w:ascii="Times New Roman" w:hAnsi="Times New Roman" w:cs="Times New Roman"/>
          <w:b/>
          <w:i/>
          <w:sz w:val="24"/>
        </w:rPr>
        <w:t xml:space="preserve"> </w:t>
      </w:r>
      <w:r w:rsidRPr="00FD2A42">
        <w:rPr>
          <w:rFonts w:ascii="Times New Roman" w:hAnsi="Times New Roman" w:cs="Times New Roman"/>
          <w:b/>
          <w:iCs/>
          <w:sz w:val="24"/>
        </w:rPr>
        <w:t>f. sp.</w:t>
      </w:r>
      <w:r w:rsidRPr="00FD2A42">
        <w:rPr>
          <w:rFonts w:ascii="Times New Roman" w:hAnsi="Times New Roman" w:cs="Times New Roman"/>
          <w:b/>
          <w:i/>
          <w:sz w:val="24"/>
        </w:rPr>
        <w:t xml:space="preserve"> </w:t>
      </w:r>
      <w:proofErr w:type="spellStart"/>
      <w:r w:rsidRPr="00FD2A42">
        <w:rPr>
          <w:rFonts w:ascii="Times New Roman" w:hAnsi="Times New Roman" w:cs="Times New Roman"/>
          <w:b/>
          <w:i/>
          <w:sz w:val="24"/>
        </w:rPr>
        <w:t>dianthi</w:t>
      </w:r>
      <w:proofErr w:type="spellEnd"/>
      <w:r w:rsidRPr="00FD2A42">
        <w:rPr>
          <w:rFonts w:ascii="Times New Roman" w:hAnsi="Times New Roman" w:cs="Times New Roman"/>
          <w:b/>
          <w:sz w:val="24"/>
        </w:rPr>
        <w:t xml:space="preserve"> Isolated from Carnation</w:t>
      </w:r>
    </w:p>
    <w:p w14:paraId="5FF4E312" w14:textId="4641F56E" w:rsidR="0098093E" w:rsidRDefault="0098093E" w:rsidP="0098093E">
      <w:pPr>
        <w:spacing w:after="0" w:line="360" w:lineRule="auto"/>
        <w:rPr>
          <w:rFonts w:ascii="Times New Roman" w:hAnsi="Times New Roman" w:cs="Times New Roman"/>
          <w:b/>
          <w:bCs/>
          <w:sz w:val="24"/>
          <w:szCs w:val="24"/>
          <w:u w:val="single"/>
        </w:rPr>
      </w:pPr>
    </w:p>
    <w:p w14:paraId="6B71584C" w14:textId="77777777" w:rsidR="00767F6C" w:rsidRPr="00FD2A42" w:rsidRDefault="00767F6C" w:rsidP="0098093E">
      <w:pPr>
        <w:spacing w:after="0" w:line="360" w:lineRule="auto"/>
        <w:rPr>
          <w:rFonts w:ascii="Times New Roman" w:hAnsi="Times New Roman" w:cs="Times New Roman"/>
          <w:b/>
          <w:bCs/>
          <w:sz w:val="24"/>
          <w:szCs w:val="24"/>
          <w:u w:val="single"/>
        </w:rPr>
      </w:pPr>
      <w:bookmarkStart w:id="0" w:name="_GoBack"/>
      <w:bookmarkEnd w:id="0"/>
    </w:p>
    <w:p w14:paraId="09F216DC" w14:textId="4056E0A5" w:rsidR="0098093E" w:rsidRPr="00FD2A42" w:rsidRDefault="0098093E" w:rsidP="0098093E">
      <w:pPr>
        <w:spacing w:after="0" w:line="360" w:lineRule="auto"/>
        <w:rPr>
          <w:rFonts w:ascii="Times New Roman" w:hAnsi="Times New Roman" w:cs="Times New Roman"/>
          <w:b/>
          <w:bCs/>
          <w:sz w:val="24"/>
          <w:szCs w:val="24"/>
          <w:u w:val="single"/>
        </w:rPr>
      </w:pPr>
      <w:r w:rsidRPr="00FD2A42">
        <w:rPr>
          <w:rFonts w:ascii="Times New Roman" w:hAnsi="Times New Roman" w:cs="Times New Roman"/>
          <w:b/>
          <w:bCs/>
          <w:sz w:val="24"/>
          <w:szCs w:val="24"/>
          <w:u w:val="single"/>
        </w:rPr>
        <w:t>ABSTRACT</w:t>
      </w:r>
    </w:p>
    <w:p w14:paraId="2763A0B5" w14:textId="77777777" w:rsidR="0098093E" w:rsidRPr="00FD2A42" w:rsidRDefault="0098093E" w:rsidP="0098093E">
      <w:pPr>
        <w:spacing w:after="0" w:line="360" w:lineRule="auto"/>
        <w:ind w:firstLine="720"/>
        <w:jc w:val="both"/>
        <w:rPr>
          <w:rFonts w:ascii="Times New Roman" w:hAnsi="Times New Roman" w:cs="Times New Roman"/>
          <w:b/>
          <w:bCs/>
          <w:sz w:val="24"/>
          <w:szCs w:val="24"/>
          <w:u w:val="single"/>
        </w:rPr>
      </w:pPr>
      <w:r w:rsidRPr="00FD2A42">
        <w:rPr>
          <w:rFonts w:ascii="Times New Roman" w:hAnsi="Times New Roman" w:cs="Times New Roman"/>
          <w:sz w:val="24"/>
          <w:szCs w:val="24"/>
        </w:rPr>
        <w:t>Carnation (</w:t>
      </w:r>
      <w:r w:rsidRPr="00FD2A42">
        <w:rPr>
          <w:rFonts w:ascii="Times New Roman" w:hAnsi="Times New Roman" w:cs="Times New Roman"/>
          <w:i/>
          <w:iCs/>
          <w:sz w:val="24"/>
          <w:szCs w:val="24"/>
        </w:rPr>
        <w:t xml:space="preserve">Dianthus </w:t>
      </w:r>
      <w:proofErr w:type="spellStart"/>
      <w:r w:rsidRPr="00FD2A42">
        <w:rPr>
          <w:rFonts w:ascii="Times New Roman" w:hAnsi="Times New Roman" w:cs="Times New Roman"/>
          <w:i/>
          <w:iCs/>
          <w:sz w:val="24"/>
          <w:szCs w:val="24"/>
        </w:rPr>
        <w:t>caryophyllus</w:t>
      </w:r>
      <w:proofErr w:type="spellEnd"/>
      <w:r w:rsidRPr="00FD2A42">
        <w:rPr>
          <w:rFonts w:ascii="Times New Roman" w:hAnsi="Times New Roman" w:cs="Times New Roman"/>
          <w:sz w:val="24"/>
          <w:szCs w:val="24"/>
        </w:rPr>
        <w:t xml:space="preserve"> L.), a member of the dicotyledonous Caryophyllaceae family, ranks among the most widely cultivated commercial flowers worldwide. With the opening of the Indian economy, floriculture has grown into an important industry in agribusiness. Today, as demand increases, developing carnation varieties with better flower qualities and higher yield has become very important.</w:t>
      </w:r>
      <w:r w:rsidRPr="00FD2A42">
        <w:rPr>
          <w:rFonts w:ascii="Times New Roman" w:hAnsi="Times New Roman" w:cs="Times New Roman"/>
          <w:i/>
          <w:color w:val="000000" w:themeColor="text1"/>
          <w:sz w:val="24"/>
          <w:szCs w:val="24"/>
          <w:shd w:val="clear" w:color="auto" w:fill="FFFFFF"/>
        </w:rPr>
        <w:t xml:space="preserve"> Fusarium</w:t>
      </w:r>
      <w:r w:rsidRPr="00FD2A42">
        <w:rPr>
          <w:rFonts w:ascii="Times New Roman" w:hAnsi="Times New Roman" w:cs="Times New Roman"/>
          <w:iCs/>
          <w:color w:val="000000" w:themeColor="text1"/>
          <w:sz w:val="24"/>
          <w:szCs w:val="24"/>
          <w:shd w:val="clear" w:color="auto" w:fill="FFFFFF"/>
        </w:rPr>
        <w:t xml:space="preserve"> is a large genus of filamentous, soil-dwelling ascomycetous fungi. While most species are harmless saprobes and commonly found in soil, some cause diseases in a variety of crops, including cereals, pulses, fruits, ornamentals, and </w:t>
      </w:r>
      <w:proofErr w:type="spellStart"/>
      <w:proofErr w:type="gramStart"/>
      <w:r w:rsidRPr="00FD2A42">
        <w:rPr>
          <w:rFonts w:ascii="Times New Roman" w:hAnsi="Times New Roman" w:cs="Times New Roman"/>
          <w:iCs/>
          <w:color w:val="000000" w:themeColor="text1"/>
          <w:sz w:val="24"/>
          <w:szCs w:val="24"/>
          <w:shd w:val="clear" w:color="auto" w:fill="FFFFFF"/>
        </w:rPr>
        <w:t>vegetables.The</w:t>
      </w:r>
      <w:proofErr w:type="spellEnd"/>
      <w:proofErr w:type="gramEnd"/>
      <w:r w:rsidRPr="00FD2A42">
        <w:rPr>
          <w:rFonts w:ascii="Times New Roman" w:hAnsi="Times New Roman" w:cs="Times New Roman"/>
          <w:iCs/>
          <w:color w:val="000000" w:themeColor="text1"/>
          <w:sz w:val="24"/>
          <w:szCs w:val="24"/>
          <w:shd w:val="clear" w:color="auto" w:fill="FFFFFF"/>
        </w:rPr>
        <w:t xml:space="preserve"> fungi block the vascular bundles in plants, hindering water flow, which results in wilting and drying. Specifically, </w:t>
      </w:r>
      <w:r w:rsidRPr="00FD2A42">
        <w:rPr>
          <w:rFonts w:ascii="Times New Roman" w:hAnsi="Times New Roman" w:cs="Times New Roman"/>
          <w:i/>
          <w:color w:val="000000" w:themeColor="text1"/>
          <w:sz w:val="24"/>
          <w:szCs w:val="24"/>
          <w:shd w:val="clear" w:color="auto" w:fill="FFFFFF"/>
        </w:rPr>
        <w:t xml:space="preserve">Fusarium </w:t>
      </w:r>
      <w:proofErr w:type="spellStart"/>
      <w:r w:rsidRPr="00FD2A42">
        <w:rPr>
          <w:rFonts w:ascii="Times New Roman" w:hAnsi="Times New Roman" w:cs="Times New Roman"/>
          <w:i/>
          <w:color w:val="000000" w:themeColor="text1"/>
          <w:sz w:val="24"/>
          <w:szCs w:val="24"/>
          <w:shd w:val="clear" w:color="auto" w:fill="FFFFFF"/>
        </w:rPr>
        <w:t>oxysporum</w:t>
      </w:r>
      <w:proofErr w:type="spellEnd"/>
      <w:r w:rsidRPr="00FD2A42">
        <w:rPr>
          <w:rFonts w:ascii="Times New Roman" w:hAnsi="Times New Roman" w:cs="Times New Roman"/>
          <w:iCs/>
          <w:color w:val="000000" w:themeColor="text1"/>
          <w:sz w:val="24"/>
          <w:szCs w:val="24"/>
          <w:shd w:val="clear" w:color="auto" w:fill="FFFFFF"/>
        </w:rPr>
        <w:t xml:space="preserve"> f. sp. </w:t>
      </w:r>
      <w:proofErr w:type="spellStart"/>
      <w:r w:rsidRPr="00FD2A42">
        <w:rPr>
          <w:rFonts w:ascii="Times New Roman" w:hAnsi="Times New Roman" w:cs="Times New Roman"/>
          <w:i/>
          <w:color w:val="000000" w:themeColor="text1"/>
          <w:sz w:val="24"/>
          <w:szCs w:val="24"/>
          <w:shd w:val="clear" w:color="auto" w:fill="FFFFFF"/>
        </w:rPr>
        <w:t>dianthi</w:t>
      </w:r>
      <w:proofErr w:type="spellEnd"/>
      <w:r w:rsidRPr="00FD2A42">
        <w:rPr>
          <w:rFonts w:ascii="Times New Roman" w:hAnsi="Times New Roman" w:cs="Times New Roman"/>
          <w:iCs/>
          <w:color w:val="000000" w:themeColor="text1"/>
          <w:sz w:val="24"/>
          <w:szCs w:val="24"/>
          <w:shd w:val="clear" w:color="auto" w:fill="FFFFFF"/>
        </w:rPr>
        <w:t xml:space="preserve"> causes wilting and plant death in carnations.</w:t>
      </w:r>
      <w:r w:rsidRPr="00FD2A42">
        <w:rPr>
          <w:rFonts w:ascii="Times New Roman" w:hAnsi="Times New Roman" w:cs="Times New Roman"/>
          <w:i/>
          <w:color w:val="000000" w:themeColor="text1"/>
          <w:sz w:val="24"/>
          <w:szCs w:val="24"/>
          <w:shd w:val="clear" w:color="auto" w:fill="FFFFFF"/>
        </w:rPr>
        <w:t xml:space="preserve"> Fusarium</w:t>
      </w:r>
      <w:r w:rsidRPr="00FD2A42">
        <w:rPr>
          <w:rFonts w:ascii="Times New Roman" w:hAnsi="Times New Roman" w:cs="Times New Roman"/>
          <w:iCs/>
          <w:color w:val="000000" w:themeColor="text1"/>
          <w:sz w:val="24"/>
          <w:szCs w:val="24"/>
          <w:shd w:val="clear" w:color="auto" w:fill="FFFFFF"/>
        </w:rPr>
        <w:t xml:space="preserve"> wilt symptoms include yellowing and stunted growth in older plants, initially affecting one side, which eventually leads to the wilting of the entire plant. The xylem tissue dries up and turns brown, causing the plant to die.</w:t>
      </w:r>
      <w:r w:rsidRPr="00FD2A42">
        <w:rPr>
          <w:rFonts w:ascii="Times New Roman" w:hAnsi="Times New Roman" w:cs="Times New Roman"/>
          <w:kern w:val="0"/>
          <w:sz w:val="24"/>
          <w:szCs w:val="24"/>
        </w:rPr>
        <w:t xml:space="preserve"> In the present investigation, maximum mycelial growth of the pathogen (89.59 mm) was observed on Potato Dextrose Agar (PDA) medium after seven days of incubation. Among the temperature treatments, 30°C supported the highest mycelial growth (79.10 mm), while pH 6.0 </w:t>
      </w:r>
      <w:proofErr w:type="spellStart"/>
      <w:r w:rsidRPr="00FD2A42">
        <w:rPr>
          <w:rFonts w:ascii="Times New Roman" w:hAnsi="Times New Roman" w:cs="Times New Roman"/>
          <w:kern w:val="0"/>
          <w:sz w:val="24"/>
          <w:szCs w:val="24"/>
        </w:rPr>
        <w:t>favored</w:t>
      </w:r>
      <w:proofErr w:type="spellEnd"/>
      <w:r w:rsidRPr="00FD2A42">
        <w:rPr>
          <w:rFonts w:ascii="Times New Roman" w:hAnsi="Times New Roman" w:cs="Times New Roman"/>
          <w:kern w:val="0"/>
          <w:sz w:val="24"/>
          <w:szCs w:val="24"/>
        </w:rPr>
        <w:t xml:space="preserve"> optimum growth (69.90 mm) under </w:t>
      </w:r>
      <w:r w:rsidRPr="00FD2A42">
        <w:rPr>
          <w:rFonts w:ascii="Times New Roman" w:hAnsi="Times New Roman" w:cs="Times New Roman"/>
          <w:i/>
          <w:iCs/>
          <w:kern w:val="0"/>
          <w:sz w:val="24"/>
          <w:szCs w:val="24"/>
        </w:rPr>
        <w:t>in vitro</w:t>
      </w:r>
      <w:r w:rsidRPr="00FD2A42">
        <w:rPr>
          <w:rFonts w:ascii="Times New Roman" w:hAnsi="Times New Roman" w:cs="Times New Roman"/>
          <w:kern w:val="0"/>
          <w:sz w:val="24"/>
          <w:szCs w:val="24"/>
        </w:rPr>
        <w:t xml:space="preserve"> conditions. </w:t>
      </w:r>
    </w:p>
    <w:p w14:paraId="34190EBB" w14:textId="77777777" w:rsidR="0098093E" w:rsidRPr="00FD2A42" w:rsidRDefault="0098093E" w:rsidP="0098093E">
      <w:pPr>
        <w:pStyle w:val="Default"/>
        <w:spacing w:after="240"/>
        <w:jc w:val="both"/>
      </w:pPr>
      <w:r w:rsidRPr="00FD2A42">
        <w:rPr>
          <w:b/>
        </w:rPr>
        <w:t>Key word</w:t>
      </w:r>
      <w:r w:rsidRPr="00FD2A42">
        <w:t xml:space="preserve">s: </w:t>
      </w:r>
      <w:r w:rsidRPr="00FD2A42">
        <w:rPr>
          <w:i/>
        </w:rPr>
        <w:t xml:space="preserve">Fusarium </w:t>
      </w:r>
      <w:r w:rsidRPr="00FD2A42">
        <w:rPr>
          <w:iCs/>
        </w:rPr>
        <w:t>wilt,</w:t>
      </w:r>
      <w:r w:rsidRPr="00FD2A42">
        <w:t xml:space="preserve"> culture media, isolation, pH, temperature, </w:t>
      </w:r>
      <w:r w:rsidRPr="00FD2A42">
        <w:rPr>
          <w:i/>
          <w:iCs/>
        </w:rPr>
        <w:t xml:space="preserve">Dianthus </w:t>
      </w:r>
      <w:proofErr w:type="spellStart"/>
      <w:r w:rsidRPr="00FD2A42">
        <w:rPr>
          <w:i/>
          <w:iCs/>
        </w:rPr>
        <w:t>caryophyllus</w:t>
      </w:r>
      <w:proofErr w:type="spellEnd"/>
    </w:p>
    <w:p w14:paraId="28E41528" w14:textId="77777777" w:rsidR="0098093E" w:rsidRPr="00FD2A42" w:rsidRDefault="0098093E" w:rsidP="0098093E">
      <w:pPr>
        <w:spacing w:after="0" w:line="360" w:lineRule="auto"/>
        <w:rPr>
          <w:rFonts w:ascii="Times New Roman" w:hAnsi="Times New Roman" w:cs="Times New Roman"/>
          <w:b/>
          <w:bCs/>
          <w:sz w:val="24"/>
          <w:szCs w:val="24"/>
        </w:rPr>
      </w:pPr>
      <w:r w:rsidRPr="00FD2A42">
        <w:rPr>
          <w:rFonts w:ascii="Times New Roman" w:hAnsi="Times New Roman" w:cs="Times New Roman"/>
          <w:b/>
          <w:bCs/>
          <w:sz w:val="24"/>
          <w:szCs w:val="24"/>
        </w:rPr>
        <w:t>1. Introduction</w:t>
      </w:r>
    </w:p>
    <w:p w14:paraId="510C7A92"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 xml:space="preserve">Carnation (Dianthus </w:t>
      </w:r>
      <w:proofErr w:type="spellStart"/>
      <w:r w:rsidRPr="00FD2A42">
        <w:rPr>
          <w:rFonts w:ascii="Times New Roman" w:hAnsi="Times New Roman" w:cs="Times New Roman"/>
          <w:sz w:val="24"/>
          <w:szCs w:val="24"/>
        </w:rPr>
        <w:t>caryophyllus</w:t>
      </w:r>
      <w:proofErr w:type="spellEnd"/>
      <w:r w:rsidRPr="00FD2A42">
        <w:rPr>
          <w:rFonts w:ascii="Times New Roman" w:hAnsi="Times New Roman" w:cs="Times New Roman"/>
          <w:sz w:val="24"/>
          <w:szCs w:val="24"/>
        </w:rPr>
        <w:t xml:space="preserve"> L.), a dicotyledonous plant from the Caryophyllaceae family, is one of the most widely grown commercial flowers in the world. It is still an essential floriculture crop in temperate climates, where it is cultivated, all year given its high adaptability and steady market demand. The crop is especially valued for its long vase life, which increases its aesthetic value and economic significance in both the wholesale and retail flower sectors (</w:t>
      </w:r>
      <w:proofErr w:type="spellStart"/>
      <w:r w:rsidRPr="00FD2A42">
        <w:rPr>
          <w:rFonts w:ascii="Times New Roman" w:hAnsi="Times New Roman" w:cs="Times New Roman"/>
          <w:sz w:val="24"/>
          <w:szCs w:val="24"/>
        </w:rPr>
        <w:t>Aalifar</w:t>
      </w:r>
      <w:proofErr w:type="spellEnd"/>
      <w:r w:rsidRPr="00FD2A42">
        <w:rPr>
          <w:rFonts w:ascii="Times New Roman" w:hAnsi="Times New Roman" w:cs="Times New Roman"/>
          <w:sz w:val="24"/>
          <w:szCs w:val="24"/>
        </w:rPr>
        <w:t xml:space="preserve">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2020With the growing demand for high-quality cut flowers, there is a greater emphasis on creating carnation varieties with superior floral characteristics and increased yield. Meeting this objective requires the systematic collection, conservation, and evaluation of available germplasm, which serves as the foundation for breeding efforts and the development of improved cultivars (Tarannum and Naik, 2014). Ibrahim (2016) reported that carnation essential oil exhibits a range of therapeutic properties. It has been associated with </w:t>
      </w:r>
      <w:r w:rsidRPr="00FD2A42">
        <w:rPr>
          <w:rFonts w:ascii="Times New Roman" w:hAnsi="Times New Roman" w:cs="Times New Roman"/>
          <w:sz w:val="24"/>
          <w:szCs w:val="24"/>
        </w:rPr>
        <w:lastRenderedPageBreak/>
        <w:t>improved wound healing, relief from asthma and eye-related ailments, reduction of dizziness, enhancement of memory and notable antiseptic effects.</w:t>
      </w:r>
      <w:r w:rsidRPr="00FD2A42">
        <w:rPr>
          <w:rFonts w:ascii="Times New Roman" w:hAnsi="Times New Roman" w:cs="Times New Roman"/>
          <w:i/>
          <w:iCs/>
          <w:sz w:val="24"/>
          <w:szCs w:val="24"/>
        </w:rPr>
        <w:t xml:space="preserve"> Dianthus </w:t>
      </w:r>
      <w:proofErr w:type="spellStart"/>
      <w:r w:rsidRPr="00FD2A42">
        <w:rPr>
          <w:rFonts w:ascii="Times New Roman" w:hAnsi="Times New Roman" w:cs="Times New Roman"/>
          <w:i/>
          <w:iCs/>
          <w:sz w:val="24"/>
          <w:szCs w:val="24"/>
        </w:rPr>
        <w:t>caryophyllus</w:t>
      </w:r>
      <w:proofErr w:type="spellEnd"/>
      <w:r w:rsidRPr="00FD2A42">
        <w:rPr>
          <w:rFonts w:ascii="Times New Roman" w:hAnsi="Times New Roman" w:cs="Times New Roman"/>
          <w:sz w:val="24"/>
          <w:szCs w:val="24"/>
        </w:rPr>
        <w:t xml:space="preserve"> L. is believed to have originated in the Mediterranean region. It is considered one of the ten most widely cultivated cut flowers worldwide and holds substantial commercial importance in the global ornamental and decorative flower industry (</w:t>
      </w:r>
      <w:proofErr w:type="spellStart"/>
      <w:r w:rsidRPr="00FD2A42">
        <w:rPr>
          <w:rFonts w:ascii="Times New Roman" w:hAnsi="Times New Roman" w:cs="Times New Roman"/>
          <w:sz w:val="24"/>
          <w:szCs w:val="24"/>
        </w:rPr>
        <w:t>Hashemabadi</w:t>
      </w:r>
      <w:proofErr w:type="spellEnd"/>
      <w:r w:rsidRPr="00FD2A42">
        <w:rPr>
          <w:rFonts w:ascii="Times New Roman" w:hAnsi="Times New Roman" w:cs="Times New Roman"/>
          <w:sz w:val="24"/>
          <w:szCs w:val="24"/>
        </w:rPr>
        <w:t xml:space="preserve">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2015). The major disease of carnation is powdery mildew, leaf spot, Bacterial leaf spot, root rot and </w:t>
      </w:r>
      <w:r w:rsidRPr="00FD2A42">
        <w:rPr>
          <w:rFonts w:ascii="Times New Roman" w:hAnsi="Times New Roman" w:cs="Times New Roman"/>
          <w:i/>
          <w:iCs/>
          <w:sz w:val="24"/>
          <w:szCs w:val="24"/>
        </w:rPr>
        <w:t>Fusarium</w:t>
      </w:r>
      <w:r w:rsidRPr="00FD2A42">
        <w:rPr>
          <w:rFonts w:ascii="Times New Roman" w:hAnsi="Times New Roman" w:cs="Times New Roman"/>
          <w:sz w:val="24"/>
          <w:szCs w:val="24"/>
        </w:rPr>
        <w:t xml:space="preserve"> wilt.</w:t>
      </w:r>
      <w:r w:rsidRPr="00FD2A42">
        <w:rPr>
          <w:rFonts w:ascii="Times New Roman" w:hAnsi="Times New Roman" w:cs="Times New Roman"/>
          <w:i/>
          <w:color w:val="000000" w:themeColor="text1"/>
          <w:sz w:val="24"/>
          <w:szCs w:val="24"/>
          <w:shd w:val="clear" w:color="auto" w:fill="FFFFFF"/>
        </w:rPr>
        <w:t xml:space="preserve"> Fusarium</w:t>
      </w:r>
      <w:r w:rsidRPr="00FD2A42">
        <w:rPr>
          <w:rFonts w:ascii="Times New Roman" w:hAnsi="Times New Roman" w:cs="Times New Roman"/>
          <w:iCs/>
          <w:color w:val="000000" w:themeColor="text1"/>
          <w:sz w:val="24"/>
          <w:szCs w:val="24"/>
          <w:shd w:val="clear" w:color="auto" w:fill="FFFFFF"/>
        </w:rPr>
        <w:t xml:space="preserve"> wilt symptoms include yellowing and stunted growth in older plants, initially affecting one side, which eventually leads to the wilting of the entire plant. The xylem tissue dries up and turns brown, causing the plant to die</w:t>
      </w:r>
      <w:r w:rsidRPr="00FD2A42">
        <w:rPr>
          <w:rFonts w:ascii="Times New Roman" w:hAnsi="Times New Roman" w:cs="Times New Roman"/>
          <w:sz w:val="24"/>
          <w:szCs w:val="24"/>
        </w:rPr>
        <w:t xml:space="preserve"> (Sharma and Sharma, 2008).</w:t>
      </w:r>
    </w:p>
    <w:p w14:paraId="66C7011D" w14:textId="77777777" w:rsidR="0098093E" w:rsidRPr="00FD2A42" w:rsidRDefault="0098093E" w:rsidP="0098093E">
      <w:pPr>
        <w:shd w:val="clear" w:color="auto" w:fill="FFFFFF"/>
        <w:spacing w:before="240"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In India, carnation cultivation faces significant challenges due to the widespread incidence of wilt disease, which can cause severe yield losses ranging from 40% to 79% (</w:t>
      </w:r>
      <w:proofErr w:type="spellStart"/>
      <w:r w:rsidRPr="00FD2A42">
        <w:rPr>
          <w:rFonts w:ascii="Times New Roman" w:hAnsi="Times New Roman" w:cs="Times New Roman"/>
          <w:sz w:val="24"/>
          <w:szCs w:val="24"/>
        </w:rPr>
        <w:t>Purnachandra</w:t>
      </w:r>
      <w:proofErr w:type="spellEnd"/>
      <w:r w:rsidRPr="00FD2A42">
        <w:rPr>
          <w:rFonts w:ascii="Times New Roman" w:hAnsi="Times New Roman" w:cs="Times New Roman"/>
          <w:sz w:val="24"/>
          <w:szCs w:val="24"/>
        </w:rPr>
        <w:t>, 2017). As per the DAC&amp;FW Second Advance Estimates (2023–24), the country’s floriculture sector spans nearly 0.285 million hectares, producing around 2.284 million tonnes of loose flowers and 0.947 million tonnes of cut flowers. Among these, annual carnation production is approximately 6 MT, with Himachal Pradesh contributing the largest share (2.75 MT, about 45%), followed by Uttarakhand with 1.25 MT (Anon., 2015).</w:t>
      </w:r>
    </w:p>
    <w:p w14:paraId="7B8299B6" w14:textId="77777777" w:rsidR="0098093E" w:rsidRPr="00FD2A42" w:rsidRDefault="0098093E" w:rsidP="0098093E">
      <w:pPr>
        <w:spacing w:after="0" w:line="360" w:lineRule="auto"/>
        <w:jc w:val="both"/>
        <w:rPr>
          <w:rFonts w:ascii="Times New Roman" w:hAnsi="Times New Roman" w:cs="Times New Roman"/>
          <w:sz w:val="24"/>
          <w:szCs w:val="24"/>
        </w:rPr>
      </w:pPr>
      <w:r w:rsidRPr="00FD2A42">
        <w:rPr>
          <w:rFonts w:ascii="Times New Roman" w:hAnsi="Times New Roman" w:cs="Times New Roman"/>
          <w:b/>
          <w:bCs/>
          <w:sz w:val="24"/>
          <w:szCs w:val="24"/>
        </w:rPr>
        <w:t>2. MATERIAL AND METHODS</w:t>
      </w:r>
    </w:p>
    <w:p w14:paraId="5C4FD5B3" w14:textId="77777777" w:rsidR="0098093E" w:rsidRPr="00FD2A42" w:rsidRDefault="0098093E" w:rsidP="0098093E">
      <w:pPr>
        <w:spacing w:after="0" w:line="360" w:lineRule="auto"/>
        <w:rPr>
          <w:rFonts w:ascii="Times New Roman" w:hAnsi="Times New Roman" w:cs="Times New Roman"/>
          <w:b/>
          <w:bCs/>
          <w:sz w:val="24"/>
          <w:szCs w:val="24"/>
        </w:rPr>
      </w:pPr>
      <w:r w:rsidRPr="00FD2A42">
        <w:rPr>
          <w:rFonts w:ascii="Times New Roman" w:hAnsi="Times New Roman" w:cs="Times New Roman"/>
          <w:b/>
          <w:bCs/>
          <w:color w:val="000000"/>
          <w:sz w:val="24"/>
          <w:szCs w:val="24"/>
        </w:rPr>
        <w:t xml:space="preserve">2.1 Isolation and </w:t>
      </w:r>
      <w:proofErr w:type="spellStart"/>
      <w:r w:rsidRPr="00FD2A42">
        <w:rPr>
          <w:rFonts w:ascii="Times New Roman" w:hAnsi="Times New Roman" w:cs="Times New Roman"/>
          <w:b/>
          <w:bCs/>
          <w:color w:val="000000"/>
          <w:sz w:val="24"/>
          <w:szCs w:val="24"/>
        </w:rPr>
        <w:t>Maintainance</w:t>
      </w:r>
      <w:proofErr w:type="spellEnd"/>
    </w:p>
    <w:p w14:paraId="7DC61428"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An infected carnation leaf showing typical wilt symptoms was collected from the Floriculture and Landscaping Block, College of Horticulture, VCSG UUHF, Bharsar and brought to the laboratory for pathogen isolation. The sample was washed under running tap water, air-dried and small sections (2 cm) taken from the junction of healthy and infected tissues. These pieces were surface sterilized in 0.1% sodium hypochlorite for 30 seconds, rinsed thoroughly with sterile distilled water and aseptically plated on Potato Dextrose Agar (PDA). The plates were incubated at 25 ± 2 °C and monitored daily for fungal growth. After about one week, the emerging fungal colony was purified through repeated subculturing and maintained on PDA slants at 4 °C for further study. Identification was carried out based on microscopic examination of the mycelial characteristics.</w:t>
      </w:r>
    </w:p>
    <w:p w14:paraId="33004475" w14:textId="77777777" w:rsidR="0098093E" w:rsidRPr="00FD2A42" w:rsidRDefault="0098093E" w:rsidP="0098093E">
      <w:pPr>
        <w:spacing w:after="0" w:line="360" w:lineRule="auto"/>
        <w:rPr>
          <w:rFonts w:ascii="Times New Roman" w:hAnsi="Times New Roman" w:cs="Times New Roman"/>
          <w:b/>
          <w:bCs/>
          <w:color w:val="000000" w:themeColor="text1"/>
          <w:sz w:val="24"/>
          <w:szCs w:val="24"/>
        </w:rPr>
      </w:pPr>
    </w:p>
    <w:p w14:paraId="2C4F1525" w14:textId="77777777" w:rsidR="0098093E" w:rsidRPr="00FD2A42" w:rsidRDefault="0098093E" w:rsidP="0098093E">
      <w:pPr>
        <w:spacing w:after="0" w:line="240" w:lineRule="auto"/>
        <w:rPr>
          <w:rFonts w:ascii="Times New Roman" w:hAnsi="Times New Roman" w:cs="Times New Roman"/>
          <w:b/>
          <w:bCs/>
          <w:color w:val="000000" w:themeColor="text1"/>
          <w:sz w:val="24"/>
          <w:szCs w:val="24"/>
        </w:rPr>
      </w:pPr>
    </w:p>
    <w:p w14:paraId="70EB01B5" w14:textId="77777777" w:rsidR="0098093E" w:rsidRPr="00FD2A42" w:rsidRDefault="0098093E" w:rsidP="0098093E">
      <w:pPr>
        <w:spacing w:after="0" w:line="240" w:lineRule="auto"/>
        <w:rPr>
          <w:rFonts w:ascii="Times New Roman" w:hAnsi="Times New Roman" w:cs="Times New Roman"/>
          <w:b/>
          <w:bCs/>
          <w:color w:val="000000" w:themeColor="text1"/>
          <w:sz w:val="24"/>
          <w:szCs w:val="24"/>
        </w:rPr>
      </w:pPr>
    </w:p>
    <w:p w14:paraId="02AD71B9" w14:textId="77777777" w:rsidR="0098093E" w:rsidRPr="00FD2A42" w:rsidRDefault="0098093E" w:rsidP="0098093E">
      <w:pPr>
        <w:spacing w:after="0" w:line="240" w:lineRule="auto"/>
        <w:rPr>
          <w:rFonts w:ascii="Times New Roman" w:hAnsi="Times New Roman" w:cs="Times New Roman"/>
          <w:b/>
          <w:bCs/>
          <w:color w:val="000000" w:themeColor="text1"/>
          <w:sz w:val="24"/>
          <w:szCs w:val="24"/>
        </w:rPr>
      </w:pPr>
    </w:p>
    <w:p w14:paraId="52F06826" w14:textId="77777777" w:rsidR="0098093E" w:rsidRPr="00FD2A42" w:rsidRDefault="0098093E" w:rsidP="0098093E">
      <w:pPr>
        <w:spacing w:after="0" w:line="240" w:lineRule="auto"/>
        <w:rPr>
          <w:rFonts w:ascii="Times New Roman" w:hAnsi="Times New Roman" w:cs="Times New Roman"/>
          <w:sz w:val="24"/>
          <w:szCs w:val="24"/>
        </w:rPr>
      </w:pPr>
      <w:r w:rsidRPr="00FD2A42">
        <w:rPr>
          <w:rFonts w:ascii="Times New Roman" w:hAnsi="Times New Roman" w:cs="Times New Roman"/>
          <w:b/>
          <w:bCs/>
          <w:color w:val="000000" w:themeColor="text1"/>
          <w:sz w:val="24"/>
          <w:szCs w:val="24"/>
        </w:rPr>
        <w:t>2.2 Identification of the pathogen</w:t>
      </w:r>
    </w:p>
    <w:p w14:paraId="6BD85E82" w14:textId="77777777" w:rsidR="0098093E" w:rsidRPr="00FD2A42" w:rsidRDefault="0098093E" w:rsidP="0098093E">
      <w:pPr>
        <w:autoSpaceDE w:val="0"/>
        <w:autoSpaceDN w:val="0"/>
        <w:adjustRightInd w:val="0"/>
        <w:spacing w:before="240" w:line="360" w:lineRule="auto"/>
        <w:ind w:firstLine="720"/>
        <w:jc w:val="both"/>
        <w:rPr>
          <w:rFonts w:ascii="Times New Roman" w:eastAsiaTheme="majorEastAsia" w:hAnsi="Times New Roman" w:cs="Times New Roman"/>
          <w:color w:val="000000" w:themeColor="text1"/>
          <w:sz w:val="24"/>
          <w:szCs w:val="24"/>
        </w:rPr>
      </w:pPr>
      <w:r w:rsidRPr="00FD2A42">
        <w:rPr>
          <w:rFonts w:ascii="Times New Roman" w:eastAsiaTheme="majorEastAsia" w:hAnsi="Times New Roman" w:cs="Times New Roman"/>
          <w:color w:val="000000" w:themeColor="text1"/>
          <w:sz w:val="24"/>
          <w:szCs w:val="24"/>
        </w:rPr>
        <w:lastRenderedPageBreak/>
        <w:t xml:space="preserve">The morphological features of the fungus were examined to confirm the identity of the isolated pathogen. Slides were prepared using water and cotton blue stain, and the fungal structures were observed under a compound microscope at 40X magnification. Colony appearance, colony </w:t>
      </w:r>
      <w:proofErr w:type="spellStart"/>
      <w:r w:rsidRPr="00FD2A42">
        <w:rPr>
          <w:rFonts w:ascii="Times New Roman" w:eastAsiaTheme="majorEastAsia" w:hAnsi="Times New Roman" w:cs="Times New Roman"/>
          <w:color w:val="000000" w:themeColor="text1"/>
          <w:sz w:val="24"/>
          <w:szCs w:val="24"/>
        </w:rPr>
        <w:t>color</w:t>
      </w:r>
      <w:proofErr w:type="spellEnd"/>
      <w:r w:rsidRPr="00FD2A42">
        <w:rPr>
          <w:rFonts w:ascii="Times New Roman" w:eastAsiaTheme="majorEastAsia" w:hAnsi="Times New Roman" w:cs="Times New Roman"/>
          <w:color w:val="000000" w:themeColor="text1"/>
          <w:sz w:val="24"/>
          <w:szCs w:val="24"/>
        </w:rPr>
        <w:t xml:space="preserve">, mycelial growth, and the size and form of conidia were recorded and compared with the known characteristics of </w:t>
      </w:r>
      <w:r w:rsidRPr="00FD2A42">
        <w:rPr>
          <w:rFonts w:ascii="Times New Roman" w:eastAsiaTheme="majorEastAsia" w:hAnsi="Times New Roman" w:cs="Times New Roman"/>
          <w:i/>
          <w:iCs/>
          <w:color w:val="000000" w:themeColor="text1"/>
          <w:sz w:val="24"/>
          <w:szCs w:val="24"/>
        </w:rPr>
        <w:t xml:space="preserve">Fusarium </w:t>
      </w:r>
      <w:proofErr w:type="spellStart"/>
      <w:r w:rsidRPr="00FD2A42">
        <w:rPr>
          <w:rFonts w:ascii="Times New Roman" w:eastAsiaTheme="majorEastAsia" w:hAnsi="Times New Roman" w:cs="Times New Roman"/>
          <w:i/>
          <w:iCs/>
          <w:color w:val="000000" w:themeColor="text1"/>
          <w:sz w:val="24"/>
          <w:szCs w:val="24"/>
        </w:rPr>
        <w:t>oxysporum</w:t>
      </w:r>
      <w:proofErr w:type="spellEnd"/>
      <w:r w:rsidRPr="00FD2A42">
        <w:rPr>
          <w:rFonts w:ascii="Times New Roman" w:eastAsiaTheme="majorEastAsia" w:hAnsi="Times New Roman" w:cs="Times New Roman"/>
          <w:color w:val="000000" w:themeColor="text1"/>
          <w:sz w:val="24"/>
          <w:szCs w:val="24"/>
        </w:rPr>
        <w:t xml:space="preserve"> f. sp. </w:t>
      </w:r>
      <w:proofErr w:type="spellStart"/>
      <w:r w:rsidRPr="00FD2A42">
        <w:rPr>
          <w:rFonts w:ascii="Times New Roman" w:eastAsiaTheme="majorEastAsia" w:hAnsi="Times New Roman" w:cs="Times New Roman"/>
          <w:i/>
          <w:iCs/>
          <w:color w:val="000000" w:themeColor="text1"/>
          <w:sz w:val="24"/>
          <w:szCs w:val="24"/>
        </w:rPr>
        <w:t>dianthi</w:t>
      </w:r>
      <w:proofErr w:type="spellEnd"/>
      <w:r w:rsidRPr="00FD2A42">
        <w:rPr>
          <w:rFonts w:ascii="Times New Roman" w:eastAsiaTheme="majorEastAsia" w:hAnsi="Times New Roman" w:cs="Times New Roman"/>
          <w:color w:val="000000" w:themeColor="text1"/>
          <w:sz w:val="24"/>
          <w:szCs w:val="24"/>
        </w:rPr>
        <w:t>.</w:t>
      </w:r>
    </w:p>
    <w:p w14:paraId="66AE96DD" w14:textId="77777777" w:rsidR="0098093E" w:rsidRPr="00FD2A42" w:rsidRDefault="0098093E" w:rsidP="0098093E">
      <w:pPr>
        <w:spacing w:after="0" w:line="240" w:lineRule="auto"/>
        <w:jc w:val="both"/>
        <w:rPr>
          <w:rFonts w:ascii="Times New Roman" w:hAnsi="Times New Roman" w:cs="Times New Roman"/>
          <w:b/>
          <w:sz w:val="24"/>
          <w:szCs w:val="24"/>
        </w:rPr>
      </w:pPr>
      <w:r w:rsidRPr="00FD2A42">
        <w:rPr>
          <w:rFonts w:ascii="Times New Roman" w:hAnsi="Times New Roman" w:cs="Times New Roman"/>
          <w:b/>
          <w:sz w:val="24"/>
          <w:szCs w:val="24"/>
        </w:rPr>
        <w:t>2.4 Cultural studies</w:t>
      </w:r>
    </w:p>
    <w:p w14:paraId="52DE7D04" w14:textId="77777777" w:rsidR="0098093E" w:rsidRPr="00FD2A42" w:rsidRDefault="0098093E" w:rsidP="0098093E">
      <w:pPr>
        <w:autoSpaceDE w:val="0"/>
        <w:autoSpaceDN w:val="0"/>
        <w:adjustRightInd w:val="0"/>
        <w:spacing w:after="0" w:line="360" w:lineRule="auto"/>
        <w:rPr>
          <w:rFonts w:ascii="Times New Roman" w:hAnsi="Times New Roman" w:cs="Times New Roman"/>
          <w:color w:val="000000"/>
          <w:sz w:val="24"/>
          <w:szCs w:val="24"/>
        </w:rPr>
      </w:pPr>
      <w:r w:rsidRPr="00FD2A42">
        <w:rPr>
          <w:rFonts w:ascii="Times New Roman" w:hAnsi="Times New Roman" w:cs="Times New Roman"/>
          <w:b/>
          <w:bCs/>
          <w:color w:val="000000"/>
          <w:sz w:val="24"/>
          <w:szCs w:val="24"/>
        </w:rPr>
        <w:t xml:space="preserve">2.4.1 Growth characters on different solid media </w:t>
      </w:r>
    </w:p>
    <w:p w14:paraId="3C6EEF66" w14:textId="77777777" w:rsidR="0098093E" w:rsidRPr="00FD2A42" w:rsidRDefault="0098093E" w:rsidP="0098093E">
      <w:pPr>
        <w:spacing w:line="360" w:lineRule="auto"/>
        <w:ind w:firstLine="720"/>
        <w:jc w:val="both"/>
        <w:rPr>
          <w:rFonts w:ascii="Times New Roman" w:hAnsi="Times New Roman" w:cs="Times New Roman"/>
          <w:color w:val="000000"/>
          <w:sz w:val="24"/>
          <w:szCs w:val="24"/>
        </w:rPr>
      </w:pPr>
      <w:r w:rsidRPr="00FD2A42">
        <w:rPr>
          <w:rFonts w:ascii="Times New Roman" w:hAnsi="Times New Roman" w:cs="Times New Roman"/>
          <w:color w:val="000000"/>
          <w:sz w:val="24"/>
          <w:szCs w:val="24"/>
        </w:rPr>
        <w:t xml:space="preserve">The cultural variation of </w:t>
      </w:r>
      <w:r w:rsidRPr="00FD2A42">
        <w:rPr>
          <w:rFonts w:ascii="Times New Roman" w:hAnsi="Times New Roman" w:cs="Times New Roman"/>
          <w:i/>
          <w:iCs/>
          <w:color w:val="000000"/>
          <w:sz w:val="24"/>
          <w:szCs w:val="24"/>
        </w:rPr>
        <w:t xml:space="preserve">Fusarium </w:t>
      </w:r>
      <w:proofErr w:type="spellStart"/>
      <w:r w:rsidRPr="00FD2A42">
        <w:rPr>
          <w:rFonts w:ascii="Times New Roman" w:hAnsi="Times New Roman" w:cs="Times New Roman"/>
          <w:i/>
          <w:iCs/>
          <w:color w:val="000000"/>
          <w:sz w:val="24"/>
          <w:szCs w:val="24"/>
        </w:rPr>
        <w:t>oxysporum</w:t>
      </w:r>
      <w:proofErr w:type="spellEnd"/>
      <w:r w:rsidRPr="00FD2A42">
        <w:rPr>
          <w:rFonts w:ascii="Times New Roman" w:hAnsi="Times New Roman" w:cs="Times New Roman"/>
          <w:color w:val="000000"/>
          <w:sz w:val="24"/>
          <w:szCs w:val="24"/>
        </w:rPr>
        <w:t xml:space="preserve"> was assessed on five solid media: Potato Dextrose Agar (PDA), Oat Meal Agar, </w:t>
      </w:r>
      <w:proofErr w:type="spellStart"/>
      <w:r w:rsidRPr="00FD2A42">
        <w:rPr>
          <w:rFonts w:ascii="Times New Roman" w:hAnsi="Times New Roman" w:cs="Times New Roman"/>
          <w:color w:val="000000"/>
          <w:sz w:val="24"/>
          <w:szCs w:val="24"/>
        </w:rPr>
        <w:t>Czapek</w:t>
      </w:r>
      <w:proofErr w:type="spellEnd"/>
      <w:r w:rsidRPr="00FD2A42">
        <w:rPr>
          <w:rFonts w:ascii="Times New Roman" w:hAnsi="Times New Roman" w:cs="Times New Roman"/>
          <w:color w:val="000000"/>
          <w:sz w:val="24"/>
          <w:szCs w:val="24"/>
        </w:rPr>
        <w:t xml:space="preserve">–Dox Agar, Corn Meal Agar and Rose Bengal Agar. Each medium was sterilized at 121 °C under 15 psi for 15 minutes and 20 ml of the medium was poured into 90 mm sterile Petri plates. The plates were inoculated with a 5 mm mycelial disc and incubated at 25 °C. </w:t>
      </w:r>
    </w:p>
    <w:p w14:paraId="06E2F9F2" w14:textId="77777777" w:rsidR="0098093E" w:rsidRPr="00FD2A42" w:rsidRDefault="0098093E" w:rsidP="0098093E">
      <w:pPr>
        <w:spacing w:after="0" w:line="360" w:lineRule="auto"/>
        <w:rPr>
          <w:rFonts w:ascii="Times New Roman" w:hAnsi="Times New Roman" w:cs="Times New Roman"/>
          <w:b/>
          <w:bCs/>
          <w:sz w:val="24"/>
          <w:szCs w:val="24"/>
        </w:rPr>
      </w:pPr>
      <w:r w:rsidRPr="00FD2A42">
        <w:rPr>
          <w:rFonts w:ascii="Times New Roman" w:hAnsi="Times New Roman" w:cs="Times New Roman"/>
          <w:b/>
          <w:bCs/>
          <w:sz w:val="24"/>
          <w:szCs w:val="24"/>
        </w:rPr>
        <w:t>2.5 Physiological studies</w:t>
      </w:r>
    </w:p>
    <w:p w14:paraId="4C9B5CE1" w14:textId="77777777" w:rsidR="0098093E" w:rsidRPr="00FD2A42" w:rsidRDefault="0098093E" w:rsidP="0098093E">
      <w:pPr>
        <w:spacing w:after="0" w:line="360" w:lineRule="auto"/>
        <w:rPr>
          <w:rFonts w:ascii="Times New Roman" w:hAnsi="Times New Roman" w:cs="Times New Roman"/>
          <w:b/>
          <w:bCs/>
          <w:sz w:val="24"/>
          <w:szCs w:val="24"/>
        </w:rPr>
      </w:pPr>
      <w:r w:rsidRPr="00FD2A42">
        <w:rPr>
          <w:rFonts w:ascii="Times New Roman" w:hAnsi="Times New Roman" w:cs="Times New Roman"/>
          <w:b/>
          <w:bCs/>
          <w:sz w:val="24"/>
          <w:szCs w:val="24"/>
        </w:rPr>
        <w:t xml:space="preserve"> 2.5.1 Growth characters on different temperature </w:t>
      </w:r>
    </w:p>
    <w:p w14:paraId="7F4704C4" w14:textId="77777777" w:rsidR="0098093E" w:rsidRPr="00FD2A42" w:rsidRDefault="0098093E" w:rsidP="0098093E">
      <w:pPr>
        <w:pStyle w:val="Default"/>
        <w:spacing w:line="360" w:lineRule="auto"/>
        <w:ind w:firstLine="720"/>
        <w:jc w:val="both"/>
        <w:rPr>
          <w:lang w:val="en-IN"/>
        </w:rPr>
      </w:pPr>
      <w:r w:rsidRPr="00FD2A42">
        <w:rPr>
          <w:lang w:val="en-IN"/>
        </w:rPr>
        <w:t xml:space="preserve">Potato Dextrose Agar (PDA) medium was used to study the influence of different temperatures on the growth of </w:t>
      </w:r>
      <w:r w:rsidRPr="00FD2A42">
        <w:rPr>
          <w:i/>
          <w:iCs/>
          <w:lang w:val="en-IN"/>
        </w:rPr>
        <w:t xml:space="preserve">Fusarium </w:t>
      </w:r>
      <w:proofErr w:type="spellStart"/>
      <w:r w:rsidRPr="00FD2A42">
        <w:rPr>
          <w:i/>
          <w:iCs/>
          <w:lang w:val="en-IN"/>
        </w:rPr>
        <w:t>oxysporum</w:t>
      </w:r>
      <w:proofErr w:type="spellEnd"/>
      <w:r w:rsidRPr="00FD2A42">
        <w:rPr>
          <w:lang w:val="en-IN"/>
        </w:rPr>
        <w:t xml:space="preserve"> f. sp. </w:t>
      </w:r>
      <w:proofErr w:type="spellStart"/>
      <w:r w:rsidRPr="00FD2A42">
        <w:rPr>
          <w:i/>
          <w:iCs/>
          <w:lang w:val="en-IN"/>
        </w:rPr>
        <w:t>dianthi</w:t>
      </w:r>
      <w:proofErr w:type="spellEnd"/>
      <w:r w:rsidRPr="00FD2A42">
        <w:rPr>
          <w:lang w:val="en-IN"/>
        </w:rPr>
        <w:t>. The medium was poured into Petri plates and four replications were maintained for each temperature treatment. The plates were incubated at 15℃, 20℃, 25℃, 30℃ and 35℃ for 7 days. Radial mycelial growth was recorded after 7 days of incubation.</w:t>
      </w:r>
    </w:p>
    <w:p w14:paraId="628EDC05" w14:textId="77777777" w:rsidR="0098093E" w:rsidRPr="00FD2A42" w:rsidRDefault="0098093E" w:rsidP="0098093E">
      <w:pPr>
        <w:spacing w:after="0" w:line="360" w:lineRule="auto"/>
        <w:rPr>
          <w:rFonts w:ascii="Times New Roman" w:hAnsi="Times New Roman" w:cs="Times New Roman"/>
          <w:sz w:val="24"/>
          <w:szCs w:val="24"/>
        </w:rPr>
      </w:pPr>
      <w:r w:rsidRPr="00FD2A42">
        <w:rPr>
          <w:rFonts w:ascii="Times New Roman" w:hAnsi="Times New Roman" w:cs="Times New Roman"/>
          <w:b/>
          <w:bCs/>
          <w:sz w:val="24"/>
          <w:szCs w:val="24"/>
        </w:rPr>
        <w:t xml:space="preserve">2.5.2 Growth characters on different pH </w:t>
      </w:r>
    </w:p>
    <w:p w14:paraId="1D9B9FBC"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Potato Dextrose Agar (PDA) was used as the basal medium for the pH study. About 20 ml of PDA was dispensed into 100 ml conical flasks and the pH was adjusted to 5.0, 5.5, 6.0, 6.5 and 7.0 using appropriate volumes of HCl or NaOH. Each pH level was maintained in four replications. The plates were then incubated at 25 ± 2 °C and the radial growth of the fungus was recorded after seven days.</w:t>
      </w:r>
    </w:p>
    <w:p w14:paraId="764BA2B2" w14:textId="77777777" w:rsidR="0098093E" w:rsidRPr="00FD2A42" w:rsidRDefault="0098093E" w:rsidP="0098093E">
      <w:pPr>
        <w:spacing w:after="0" w:line="360" w:lineRule="auto"/>
        <w:jc w:val="both"/>
        <w:rPr>
          <w:rFonts w:ascii="Times New Roman" w:hAnsi="Times New Roman" w:cs="Times New Roman"/>
          <w:sz w:val="24"/>
          <w:szCs w:val="24"/>
        </w:rPr>
      </w:pPr>
      <w:r w:rsidRPr="00FD2A42">
        <w:rPr>
          <w:rFonts w:ascii="Times New Roman" w:hAnsi="Times New Roman" w:cs="Times New Roman"/>
          <w:b/>
          <w:bCs/>
          <w:sz w:val="24"/>
          <w:szCs w:val="24"/>
        </w:rPr>
        <w:t>2.6 Statistical analysis</w:t>
      </w:r>
    </w:p>
    <w:p w14:paraId="4EAD77BB"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The experimental data collected during the laboratory investigations were statistically analysed following the principles of a Completely Randomized Design (CRD). The mean values were subjected to analysis of variance (ANOVA) as outlined by Gomez and Gomez (1984), employing OPSTAT and MS-Excel software packages. The computed F-statistic was subsequently compared with the corresponding tabulated F-value. In cases where the F-test indicated significance, the critical difference (CD) was determined to ascertain the relative superiority of individual treatments over the others.</w:t>
      </w:r>
    </w:p>
    <w:p w14:paraId="29E83FE1" w14:textId="77777777" w:rsidR="0098093E" w:rsidRPr="00FD2A42" w:rsidRDefault="0098093E" w:rsidP="0098093E">
      <w:pPr>
        <w:pStyle w:val="Default"/>
        <w:spacing w:line="360" w:lineRule="auto"/>
        <w:rPr>
          <w:b/>
          <w:bCs/>
          <w:lang w:val="en-IN"/>
        </w:rPr>
      </w:pPr>
      <w:r w:rsidRPr="00FD2A42">
        <w:rPr>
          <w:b/>
          <w:bCs/>
          <w:lang w:val="en-IN"/>
        </w:rPr>
        <w:lastRenderedPageBreak/>
        <w:t>3. RESULTS AND DISCUSSION</w:t>
      </w:r>
    </w:p>
    <w:p w14:paraId="4DE76CB6" w14:textId="77777777" w:rsidR="0098093E" w:rsidRPr="00FD2A42" w:rsidRDefault="0098093E" w:rsidP="0098093E">
      <w:pPr>
        <w:spacing w:after="0" w:line="360" w:lineRule="auto"/>
        <w:jc w:val="both"/>
        <w:rPr>
          <w:rFonts w:ascii="Times New Roman" w:hAnsi="Times New Roman" w:cs="Times New Roman"/>
          <w:b/>
          <w:bCs/>
          <w:i/>
          <w:iCs/>
          <w:sz w:val="24"/>
          <w:szCs w:val="24"/>
        </w:rPr>
      </w:pPr>
      <w:r w:rsidRPr="00FD2A42">
        <w:rPr>
          <w:rFonts w:ascii="Times New Roman" w:hAnsi="Times New Roman" w:cs="Times New Roman"/>
          <w:b/>
          <w:bCs/>
          <w:sz w:val="24"/>
          <w:szCs w:val="24"/>
        </w:rPr>
        <w:t xml:space="preserve">3.1 Effect of different culture media on mycelial growth (mm) of </w:t>
      </w:r>
      <w:r w:rsidRPr="00FD2A42">
        <w:rPr>
          <w:rFonts w:ascii="Times New Roman" w:hAnsi="Times New Roman" w:cs="Times New Roman"/>
          <w:b/>
          <w:bCs/>
          <w:i/>
          <w:iCs/>
          <w:sz w:val="24"/>
          <w:szCs w:val="24"/>
        </w:rPr>
        <w:t xml:space="preserve">Fusarium </w:t>
      </w:r>
      <w:proofErr w:type="spellStart"/>
      <w:r w:rsidRPr="00FD2A42">
        <w:rPr>
          <w:rFonts w:ascii="Times New Roman" w:hAnsi="Times New Roman" w:cs="Times New Roman"/>
          <w:b/>
          <w:bCs/>
          <w:i/>
          <w:iCs/>
          <w:sz w:val="24"/>
          <w:szCs w:val="24"/>
        </w:rPr>
        <w:t>oxysporum</w:t>
      </w:r>
      <w:proofErr w:type="spellEnd"/>
      <w:r w:rsidRPr="00FD2A42">
        <w:rPr>
          <w:rFonts w:ascii="Times New Roman" w:hAnsi="Times New Roman" w:cs="Times New Roman"/>
          <w:b/>
          <w:bCs/>
          <w:sz w:val="24"/>
          <w:szCs w:val="24"/>
        </w:rPr>
        <w:t xml:space="preserve"> f.   sp. </w:t>
      </w:r>
      <w:proofErr w:type="spellStart"/>
      <w:r w:rsidRPr="00FD2A42">
        <w:rPr>
          <w:rFonts w:ascii="Times New Roman" w:hAnsi="Times New Roman" w:cs="Times New Roman"/>
          <w:b/>
          <w:bCs/>
          <w:i/>
          <w:iCs/>
          <w:sz w:val="24"/>
          <w:szCs w:val="24"/>
        </w:rPr>
        <w:t>dianthi</w:t>
      </w:r>
      <w:proofErr w:type="spellEnd"/>
    </w:p>
    <w:p w14:paraId="42425104"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iCs/>
          <w:sz w:val="24"/>
          <w:szCs w:val="24"/>
        </w:rPr>
        <w:t xml:space="preserve">The results clearly showed notable differences in the mycelial growth of the pathogen across the </w:t>
      </w:r>
      <w:proofErr w:type="gramStart"/>
      <w:r w:rsidRPr="00FD2A42">
        <w:rPr>
          <w:rFonts w:ascii="Times New Roman" w:hAnsi="Times New Roman" w:cs="Times New Roman"/>
          <w:iCs/>
          <w:sz w:val="24"/>
          <w:szCs w:val="24"/>
        </w:rPr>
        <w:t>five solid</w:t>
      </w:r>
      <w:proofErr w:type="gramEnd"/>
      <w:r w:rsidRPr="00FD2A42">
        <w:rPr>
          <w:rFonts w:ascii="Times New Roman" w:hAnsi="Times New Roman" w:cs="Times New Roman"/>
          <w:iCs/>
          <w:sz w:val="24"/>
          <w:szCs w:val="24"/>
        </w:rPr>
        <w:t xml:space="preserve"> media after seven days of incubation. The maximum radial growth was observed on T1: Potato Dextrose Agar (PDA), with a mean colony diameter of (89.59 mm). This was followed by T2: Oat Meal Agar (64.82 mm), T3: </w:t>
      </w:r>
      <w:proofErr w:type="spellStart"/>
      <w:r w:rsidRPr="00FD2A42">
        <w:rPr>
          <w:rFonts w:ascii="Times New Roman" w:hAnsi="Times New Roman" w:cs="Times New Roman"/>
          <w:iCs/>
          <w:sz w:val="24"/>
          <w:szCs w:val="24"/>
        </w:rPr>
        <w:t>Czapek’s</w:t>
      </w:r>
      <w:proofErr w:type="spellEnd"/>
      <w:r w:rsidRPr="00FD2A42">
        <w:rPr>
          <w:rFonts w:ascii="Times New Roman" w:hAnsi="Times New Roman" w:cs="Times New Roman"/>
          <w:iCs/>
          <w:sz w:val="24"/>
          <w:szCs w:val="24"/>
        </w:rPr>
        <w:t xml:space="preserve"> Dextrose Agar (62.81 mm) and T4: Corn Meal Agar (80.75 mm). In contrast, T5: Rose Bengal Agar supported the least fungal growth, with the pathogen recording a mean colony diameter of only 15.61 mm.</w:t>
      </w:r>
      <w:r w:rsidRPr="00FD2A42">
        <w:rPr>
          <w:rFonts w:ascii="Times New Roman" w:hAnsi="Times New Roman" w:cs="Times New Roman"/>
          <w:sz w:val="24"/>
          <w:szCs w:val="24"/>
        </w:rPr>
        <w:t xml:space="preserve"> The present findings align with the research by Hedge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(2018) who conducted cultural studies on nine different solid media and found that the radial growth of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xml:space="preserve"> f. sp. </w:t>
      </w:r>
      <w:proofErr w:type="spellStart"/>
      <w:r w:rsidRPr="00FD2A42">
        <w:rPr>
          <w:rFonts w:ascii="Times New Roman" w:hAnsi="Times New Roman" w:cs="Times New Roman"/>
          <w:i/>
          <w:iCs/>
          <w:sz w:val="24"/>
          <w:szCs w:val="24"/>
        </w:rPr>
        <w:t>dianthi</w:t>
      </w:r>
      <w:proofErr w:type="spellEnd"/>
      <w:r w:rsidRPr="00FD2A42">
        <w:rPr>
          <w:rFonts w:ascii="Times New Roman" w:hAnsi="Times New Roman" w:cs="Times New Roman"/>
          <w:i/>
          <w:iCs/>
          <w:sz w:val="24"/>
          <w:szCs w:val="24"/>
        </w:rPr>
        <w:t xml:space="preserve"> </w:t>
      </w:r>
      <w:r w:rsidRPr="00FD2A42">
        <w:rPr>
          <w:rFonts w:ascii="Times New Roman" w:hAnsi="Times New Roman" w:cs="Times New Roman"/>
          <w:sz w:val="24"/>
          <w:szCs w:val="24"/>
        </w:rPr>
        <w:t xml:space="preserve">was most pronounced on Potato Dextrose Agar, with a growth measurement of (90 mm.)  (Munde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2020), reported that the radial growth of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xml:space="preserve"> f. sp. </w:t>
      </w:r>
      <w:r w:rsidRPr="00FD2A42">
        <w:rPr>
          <w:rFonts w:ascii="Times New Roman" w:hAnsi="Times New Roman" w:cs="Times New Roman"/>
          <w:i/>
          <w:iCs/>
          <w:sz w:val="24"/>
          <w:szCs w:val="24"/>
        </w:rPr>
        <w:t>gladioli</w:t>
      </w:r>
      <w:r w:rsidRPr="00FD2A42">
        <w:rPr>
          <w:rFonts w:ascii="Times New Roman" w:hAnsi="Times New Roman" w:cs="Times New Roman"/>
          <w:sz w:val="24"/>
          <w:szCs w:val="24"/>
        </w:rPr>
        <w:t xml:space="preserve"> </w:t>
      </w:r>
      <w:proofErr w:type="gramStart"/>
      <w:r w:rsidRPr="00FD2A42">
        <w:rPr>
          <w:rFonts w:ascii="Times New Roman" w:hAnsi="Times New Roman" w:cs="Times New Roman"/>
          <w:sz w:val="24"/>
          <w:szCs w:val="24"/>
        </w:rPr>
        <w:t>was</w:t>
      </w:r>
      <w:proofErr w:type="gramEnd"/>
      <w:r w:rsidRPr="00FD2A42">
        <w:rPr>
          <w:rFonts w:ascii="Times New Roman" w:hAnsi="Times New Roman" w:cs="Times New Roman"/>
          <w:sz w:val="24"/>
          <w:szCs w:val="24"/>
        </w:rPr>
        <w:t xml:space="preserve"> maximum on Potato Dextrose Agar, measuring (89.66 mm).</w:t>
      </w:r>
      <w:r w:rsidRPr="00FD2A42">
        <w:rPr>
          <w:rFonts w:ascii="Times New Roman" w:hAnsi="Times New Roman" w:cs="Times New Roman"/>
        </w:rPr>
        <w:t xml:space="preserve"> </w:t>
      </w:r>
      <w:r w:rsidRPr="00FD2A42">
        <w:rPr>
          <w:rFonts w:ascii="Times New Roman" w:hAnsi="Times New Roman" w:cs="Times New Roman"/>
          <w:sz w:val="24"/>
          <w:szCs w:val="24"/>
        </w:rPr>
        <w:t>This growth was significantly greater than on all other media tested.</w:t>
      </w:r>
    </w:p>
    <w:p w14:paraId="14E620D9" w14:textId="301D7D94" w:rsidR="0098093E" w:rsidRPr="00FD2A42" w:rsidRDefault="0098093E" w:rsidP="0098093E">
      <w:pPr>
        <w:spacing w:line="360" w:lineRule="auto"/>
        <w:jc w:val="both"/>
        <w:rPr>
          <w:rFonts w:ascii="Times New Roman" w:hAnsi="Times New Roman" w:cs="Times New Roman"/>
          <w:b/>
          <w:sz w:val="24"/>
          <w:szCs w:val="24"/>
        </w:rPr>
      </w:pPr>
    </w:p>
    <w:tbl>
      <w:tblPr>
        <w:tblStyle w:val="TableGrid"/>
        <w:tblpPr w:leftFromText="180" w:rightFromText="180" w:vertAnchor="page" w:horzAnchor="margin" w:tblpY="2152"/>
        <w:tblW w:w="9016" w:type="dxa"/>
        <w:tblLook w:val="04A0" w:firstRow="1" w:lastRow="0" w:firstColumn="1" w:lastColumn="0" w:noHBand="0" w:noVBand="1"/>
      </w:tblPr>
      <w:tblGrid>
        <w:gridCol w:w="2263"/>
        <w:gridCol w:w="3402"/>
        <w:gridCol w:w="3351"/>
      </w:tblGrid>
      <w:tr w:rsidR="0098093E" w:rsidRPr="00FD2A42" w14:paraId="19EE770F" w14:textId="77777777" w:rsidTr="0098093E">
        <w:trPr>
          <w:trHeight w:val="797"/>
        </w:trPr>
        <w:tc>
          <w:tcPr>
            <w:tcW w:w="2263" w:type="dxa"/>
          </w:tcPr>
          <w:p w14:paraId="0A4C2DCE" w14:textId="77777777" w:rsidR="0098093E" w:rsidRPr="00FD2A42" w:rsidRDefault="0098093E" w:rsidP="0098093E">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Treatments</w:t>
            </w:r>
          </w:p>
        </w:tc>
        <w:tc>
          <w:tcPr>
            <w:tcW w:w="3402" w:type="dxa"/>
          </w:tcPr>
          <w:p w14:paraId="2785FF9E" w14:textId="77777777" w:rsidR="0098093E" w:rsidRPr="00FD2A42" w:rsidRDefault="0098093E" w:rsidP="0098093E">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 xml:space="preserve">Treatments details </w:t>
            </w:r>
          </w:p>
        </w:tc>
        <w:tc>
          <w:tcPr>
            <w:tcW w:w="3351" w:type="dxa"/>
          </w:tcPr>
          <w:p w14:paraId="5AAC2AB0" w14:textId="77777777" w:rsidR="0098093E" w:rsidRPr="00FD2A42" w:rsidRDefault="0098093E" w:rsidP="0098093E">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Mycelial growth (mm) ± S.E. (m)</w:t>
            </w:r>
          </w:p>
        </w:tc>
      </w:tr>
      <w:tr w:rsidR="0098093E" w:rsidRPr="00FD2A42" w14:paraId="35AF0CE9" w14:textId="77777777" w:rsidTr="0098093E">
        <w:trPr>
          <w:trHeight w:val="826"/>
        </w:trPr>
        <w:tc>
          <w:tcPr>
            <w:tcW w:w="2263" w:type="dxa"/>
          </w:tcPr>
          <w:p w14:paraId="6C5A3B1C" w14:textId="77777777" w:rsidR="0098093E" w:rsidRPr="00FD2A42" w:rsidRDefault="0098093E" w:rsidP="0098093E">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1</w:t>
            </w:r>
          </w:p>
        </w:tc>
        <w:tc>
          <w:tcPr>
            <w:tcW w:w="3402" w:type="dxa"/>
          </w:tcPr>
          <w:p w14:paraId="5C9A9802" w14:textId="77777777" w:rsidR="0098093E" w:rsidRPr="00FD2A42" w:rsidRDefault="0098093E" w:rsidP="0098093E">
            <w:pPr>
              <w:spacing w:before="240" w:line="360" w:lineRule="auto"/>
              <w:jc w:val="center"/>
              <w:rPr>
                <w:rFonts w:ascii="Times New Roman" w:hAnsi="Times New Roman" w:cs="Times New Roman"/>
                <w:bCs/>
                <w:sz w:val="24"/>
                <w:szCs w:val="24"/>
              </w:rPr>
            </w:pPr>
            <w:r w:rsidRPr="00FD2A42">
              <w:rPr>
                <w:rFonts w:ascii="Times New Roman" w:hAnsi="Times New Roman" w:cs="Times New Roman"/>
                <w:bCs/>
                <w:sz w:val="24"/>
                <w:szCs w:val="24"/>
                <w:vertAlign w:val="subscript"/>
              </w:rPr>
              <w:t xml:space="preserve"> </w:t>
            </w:r>
            <w:r w:rsidRPr="00FD2A42">
              <w:rPr>
                <w:rFonts w:ascii="Times New Roman" w:hAnsi="Times New Roman" w:cs="Times New Roman"/>
                <w:bCs/>
                <w:sz w:val="24"/>
                <w:szCs w:val="24"/>
              </w:rPr>
              <w:t>Potato dextrose agar</w:t>
            </w:r>
          </w:p>
        </w:tc>
        <w:tc>
          <w:tcPr>
            <w:tcW w:w="3351" w:type="dxa"/>
          </w:tcPr>
          <w:p w14:paraId="31C661DD" w14:textId="77777777" w:rsidR="0098093E" w:rsidRPr="00FD2A42" w:rsidRDefault="0098093E" w:rsidP="0098093E">
            <w:pPr>
              <w:jc w:val="center"/>
              <w:rPr>
                <w:rFonts w:ascii="Times New Roman" w:hAnsi="Times New Roman" w:cs="Times New Roman"/>
                <w:bCs/>
                <w:color w:val="000000"/>
                <w:sz w:val="24"/>
                <w:szCs w:val="24"/>
              </w:rPr>
            </w:pPr>
            <w:r w:rsidRPr="00FD2A42">
              <w:rPr>
                <w:rFonts w:ascii="Times New Roman" w:hAnsi="Times New Roman" w:cs="Times New Roman"/>
                <w:bCs/>
                <w:color w:val="000000"/>
                <w:sz w:val="24"/>
                <w:szCs w:val="24"/>
              </w:rPr>
              <w:t>89.59</w:t>
            </w:r>
            <w:r w:rsidRPr="00FD2A42">
              <w:rPr>
                <w:rFonts w:ascii="Times New Roman" w:hAnsi="Times New Roman" w:cs="Times New Roman"/>
                <w:bCs/>
                <w:sz w:val="24"/>
                <w:szCs w:val="24"/>
              </w:rPr>
              <w:t>±</w:t>
            </w:r>
            <w:r w:rsidRPr="00FD2A42">
              <w:rPr>
                <w:rFonts w:ascii="Times New Roman" w:hAnsi="Times New Roman" w:cs="Times New Roman"/>
                <w:bCs/>
                <w:color w:val="000000"/>
                <w:sz w:val="24"/>
                <w:szCs w:val="24"/>
              </w:rPr>
              <w:t>0.22</w:t>
            </w:r>
          </w:p>
          <w:p w14:paraId="22A52CA9" w14:textId="77777777" w:rsidR="0098093E" w:rsidRPr="00FD2A42" w:rsidRDefault="0098093E" w:rsidP="0098093E">
            <w:pPr>
              <w:jc w:val="center"/>
              <w:rPr>
                <w:rFonts w:ascii="Times New Roman" w:hAnsi="Times New Roman" w:cs="Times New Roman"/>
                <w:bCs/>
                <w:color w:val="000000"/>
                <w:sz w:val="24"/>
                <w:szCs w:val="24"/>
              </w:rPr>
            </w:pPr>
          </w:p>
        </w:tc>
      </w:tr>
      <w:tr w:rsidR="0098093E" w:rsidRPr="00FD2A42" w14:paraId="09EE1B35" w14:textId="77777777" w:rsidTr="0098093E">
        <w:trPr>
          <w:trHeight w:val="859"/>
        </w:trPr>
        <w:tc>
          <w:tcPr>
            <w:tcW w:w="2263" w:type="dxa"/>
          </w:tcPr>
          <w:p w14:paraId="178F255B" w14:textId="77777777" w:rsidR="0098093E" w:rsidRPr="00FD2A42" w:rsidRDefault="0098093E" w:rsidP="0098093E">
            <w:pPr>
              <w:pStyle w:val="Default"/>
              <w:spacing w:before="240" w:line="480" w:lineRule="auto"/>
              <w:jc w:val="center"/>
              <w:rPr>
                <w:b/>
              </w:rPr>
            </w:pPr>
            <w:r w:rsidRPr="00FD2A42">
              <w:rPr>
                <w:b/>
              </w:rPr>
              <w:t>T</w:t>
            </w:r>
            <w:r w:rsidRPr="00FD2A42">
              <w:rPr>
                <w:b/>
                <w:vertAlign w:val="subscript"/>
              </w:rPr>
              <w:t>2</w:t>
            </w:r>
          </w:p>
        </w:tc>
        <w:tc>
          <w:tcPr>
            <w:tcW w:w="3402" w:type="dxa"/>
          </w:tcPr>
          <w:p w14:paraId="6998DE4F" w14:textId="77777777" w:rsidR="0098093E" w:rsidRPr="00FD2A42" w:rsidRDefault="0098093E" w:rsidP="0098093E">
            <w:pPr>
              <w:pStyle w:val="Default"/>
              <w:spacing w:before="240" w:line="480" w:lineRule="auto"/>
              <w:jc w:val="center"/>
              <w:rPr>
                <w:bCs/>
              </w:rPr>
            </w:pPr>
            <w:r w:rsidRPr="00FD2A42">
              <w:rPr>
                <w:bCs/>
              </w:rPr>
              <w:t xml:space="preserve"> Oat meal agar</w:t>
            </w:r>
          </w:p>
        </w:tc>
        <w:tc>
          <w:tcPr>
            <w:tcW w:w="3351" w:type="dxa"/>
          </w:tcPr>
          <w:p w14:paraId="28957D21" w14:textId="77777777" w:rsidR="0098093E" w:rsidRPr="00FD2A42" w:rsidRDefault="0098093E" w:rsidP="0098093E">
            <w:pPr>
              <w:jc w:val="center"/>
              <w:rPr>
                <w:rFonts w:ascii="Times New Roman" w:hAnsi="Times New Roman" w:cs="Times New Roman"/>
                <w:bCs/>
                <w:color w:val="000000"/>
                <w:sz w:val="24"/>
                <w:szCs w:val="24"/>
              </w:rPr>
            </w:pPr>
            <w:r w:rsidRPr="00FD2A42">
              <w:rPr>
                <w:rFonts w:ascii="Times New Roman" w:hAnsi="Times New Roman" w:cs="Times New Roman"/>
                <w:bCs/>
                <w:color w:val="000000"/>
                <w:sz w:val="24"/>
                <w:szCs w:val="24"/>
              </w:rPr>
              <w:t>84.41</w:t>
            </w:r>
            <w:r w:rsidRPr="00FD2A42">
              <w:rPr>
                <w:rFonts w:ascii="Times New Roman" w:hAnsi="Times New Roman" w:cs="Times New Roman"/>
                <w:bCs/>
                <w:sz w:val="24"/>
                <w:szCs w:val="24"/>
              </w:rPr>
              <w:t>±</w:t>
            </w:r>
            <w:r w:rsidRPr="00FD2A42">
              <w:rPr>
                <w:rFonts w:ascii="Times New Roman" w:hAnsi="Times New Roman" w:cs="Times New Roman"/>
                <w:bCs/>
                <w:color w:val="000000"/>
                <w:sz w:val="24"/>
                <w:szCs w:val="24"/>
              </w:rPr>
              <w:t>0.24</w:t>
            </w:r>
          </w:p>
        </w:tc>
      </w:tr>
      <w:tr w:rsidR="0098093E" w:rsidRPr="00FD2A42" w14:paraId="01292B46" w14:textId="77777777" w:rsidTr="0098093E">
        <w:trPr>
          <w:trHeight w:val="859"/>
        </w:trPr>
        <w:tc>
          <w:tcPr>
            <w:tcW w:w="2263" w:type="dxa"/>
          </w:tcPr>
          <w:p w14:paraId="0E9666EC" w14:textId="77777777" w:rsidR="0098093E" w:rsidRPr="00FD2A42" w:rsidRDefault="0098093E" w:rsidP="0098093E">
            <w:pPr>
              <w:pStyle w:val="Default"/>
              <w:spacing w:before="240" w:line="480" w:lineRule="auto"/>
              <w:jc w:val="center"/>
              <w:rPr>
                <w:b/>
              </w:rPr>
            </w:pPr>
            <w:r w:rsidRPr="00FD2A42">
              <w:rPr>
                <w:b/>
              </w:rPr>
              <w:t>T</w:t>
            </w:r>
            <w:r w:rsidRPr="00FD2A42">
              <w:rPr>
                <w:b/>
                <w:vertAlign w:val="subscript"/>
              </w:rPr>
              <w:t>3</w:t>
            </w:r>
          </w:p>
        </w:tc>
        <w:tc>
          <w:tcPr>
            <w:tcW w:w="3402" w:type="dxa"/>
          </w:tcPr>
          <w:p w14:paraId="3AF714B9" w14:textId="77777777" w:rsidR="0098093E" w:rsidRPr="00FD2A42" w:rsidRDefault="0098093E" w:rsidP="0098093E">
            <w:pPr>
              <w:pStyle w:val="Default"/>
              <w:spacing w:before="240" w:line="480" w:lineRule="auto"/>
              <w:jc w:val="center"/>
              <w:rPr>
                <w:bCs/>
              </w:rPr>
            </w:pPr>
            <w:proofErr w:type="spellStart"/>
            <w:r w:rsidRPr="00FD2A42">
              <w:rPr>
                <w:bCs/>
              </w:rPr>
              <w:t>Czapek’s</w:t>
            </w:r>
            <w:proofErr w:type="spellEnd"/>
            <w:r w:rsidRPr="00FD2A42">
              <w:rPr>
                <w:bCs/>
              </w:rPr>
              <w:t xml:space="preserve"> dextrose agar media</w:t>
            </w:r>
          </w:p>
        </w:tc>
        <w:tc>
          <w:tcPr>
            <w:tcW w:w="3351" w:type="dxa"/>
          </w:tcPr>
          <w:p w14:paraId="33E2BE65" w14:textId="77777777" w:rsidR="0098093E" w:rsidRPr="00FD2A42" w:rsidRDefault="0098093E" w:rsidP="0098093E">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83.72±0.28</w:t>
            </w:r>
          </w:p>
          <w:p w14:paraId="1CAF0395" w14:textId="77777777" w:rsidR="0098093E" w:rsidRPr="00FD2A42" w:rsidRDefault="0098093E" w:rsidP="0098093E">
            <w:pPr>
              <w:jc w:val="center"/>
              <w:rPr>
                <w:rFonts w:ascii="Times New Roman" w:hAnsi="Times New Roman" w:cs="Times New Roman"/>
                <w:bCs/>
                <w:color w:val="000000"/>
                <w:sz w:val="24"/>
                <w:szCs w:val="24"/>
              </w:rPr>
            </w:pPr>
          </w:p>
        </w:tc>
      </w:tr>
      <w:tr w:rsidR="0098093E" w:rsidRPr="00FD2A42" w14:paraId="35FD37D8" w14:textId="77777777" w:rsidTr="0098093E">
        <w:trPr>
          <w:trHeight w:val="868"/>
        </w:trPr>
        <w:tc>
          <w:tcPr>
            <w:tcW w:w="2263" w:type="dxa"/>
          </w:tcPr>
          <w:p w14:paraId="236DBC20" w14:textId="77777777" w:rsidR="0098093E" w:rsidRPr="00FD2A42" w:rsidRDefault="0098093E" w:rsidP="0098093E">
            <w:pPr>
              <w:pStyle w:val="Default"/>
              <w:spacing w:before="240" w:line="360" w:lineRule="auto"/>
              <w:jc w:val="center"/>
              <w:rPr>
                <w:b/>
              </w:rPr>
            </w:pPr>
            <w:r w:rsidRPr="00FD2A42">
              <w:rPr>
                <w:b/>
              </w:rPr>
              <w:t>T</w:t>
            </w:r>
            <w:r w:rsidRPr="00FD2A42">
              <w:rPr>
                <w:b/>
                <w:vertAlign w:val="subscript"/>
              </w:rPr>
              <w:t>4</w:t>
            </w:r>
          </w:p>
        </w:tc>
        <w:tc>
          <w:tcPr>
            <w:tcW w:w="3402" w:type="dxa"/>
          </w:tcPr>
          <w:p w14:paraId="43D6EB19" w14:textId="77777777" w:rsidR="0098093E" w:rsidRPr="00FD2A42" w:rsidRDefault="0098093E" w:rsidP="0098093E">
            <w:pPr>
              <w:pStyle w:val="Default"/>
              <w:spacing w:before="240" w:line="360" w:lineRule="auto"/>
              <w:jc w:val="center"/>
              <w:rPr>
                <w:bCs/>
              </w:rPr>
            </w:pPr>
            <w:r w:rsidRPr="00FD2A42">
              <w:rPr>
                <w:bCs/>
              </w:rPr>
              <w:t>Corn meal agar</w:t>
            </w:r>
          </w:p>
        </w:tc>
        <w:tc>
          <w:tcPr>
            <w:tcW w:w="3351" w:type="dxa"/>
          </w:tcPr>
          <w:p w14:paraId="2705EA66" w14:textId="77777777" w:rsidR="0098093E" w:rsidRPr="00FD2A42" w:rsidRDefault="0098093E" w:rsidP="0098093E">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80.75±0.28</w:t>
            </w:r>
          </w:p>
          <w:p w14:paraId="28FE11CA" w14:textId="77777777" w:rsidR="0098093E" w:rsidRPr="00FD2A42" w:rsidRDefault="0098093E" w:rsidP="0098093E">
            <w:pPr>
              <w:jc w:val="center"/>
              <w:rPr>
                <w:rFonts w:ascii="Times New Roman" w:hAnsi="Times New Roman" w:cs="Times New Roman"/>
                <w:bCs/>
                <w:color w:val="000000"/>
                <w:sz w:val="24"/>
                <w:szCs w:val="24"/>
              </w:rPr>
            </w:pPr>
          </w:p>
        </w:tc>
      </w:tr>
      <w:tr w:rsidR="0098093E" w:rsidRPr="00FD2A42" w14:paraId="37EC4B39" w14:textId="77777777" w:rsidTr="0098093E">
        <w:trPr>
          <w:trHeight w:val="826"/>
        </w:trPr>
        <w:tc>
          <w:tcPr>
            <w:tcW w:w="2263" w:type="dxa"/>
          </w:tcPr>
          <w:p w14:paraId="4E541B8E" w14:textId="77777777" w:rsidR="0098093E" w:rsidRPr="00FD2A42" w:rsidRDefault="0098093E" w:rsidP="0098093E">
            <w:pPr>
              <w:pStyle w:val="Default"/>
              <w:spacing w:before="240" w:line="360" w:lineRule="auto"/>
              <w:jc w:val="center"/>
              <w:rPr>
                <w:b/>
              </w:rPr>
            </w:pPr>
            <w:r w:rsidRPr="00FD2A42">
              <w:rPr>
                <w:b/>
              </w:rPr>
              <w:t>T</w:t>
            </w:r>
            <w:r w:rsidRPr="00FD2A42">
              <w:rPr>
                <w:b/>
                <w:vertAlign w:val="subscript"/>
              </w:rPr>
              <w:t>5</w:t>
            </w:r>
          </w:p>
        </w:tc>
        <w:tc>
          <w:tcPr>
            <w:tcW w:w="3402" w:type="dxa"/>
          </w:tcPr>
          <w:p w14:paraId="0BB1F85F" w14:textId="77777777" w:rsidR="0098093E" w:rsidRPr="00FD2A42" w:rsidRDefault="0098093E" w:rsidP="0098093E">
            <w:pPr>
              <w:pStyle w:val="Default"/>
              <w:spacing w:before="240" w:line="360" w:lineRule="auto"/>
              <w:jc w:val="center"/>
              <w:rPr>
                <w:bCs/>
              </w:rPr>
            </w:pPr>
            <w:r w:rsidRPr="00FD2A42">
              <w:rPr>
                <w:bCs/>
              </w:rPr>
              <w:t>Rose Bengal agar media</w:t>
            </w:r>
          </w:p>
        </w:tc>
        <w:tc>
          <w:tcPr>
            <w:tcW w:w="3351" w:type="dxa"/>
          </w:tcPr>
          <w:p w14:paraId="45920990" w14:textId="77777777" w:rsidR="0098093E" w:rsidRPr="00FD2A42" w:rsidRDefault="0098093E" w:rsidP="0098093E">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15.61±0.36</w:t>
            </w:r>
          </w:p>
          <w:p w14:paraId="0E85A3DF" w14:textId="77777777" w:rsidR="0098093E" w:rsidRPr="00FD2A42" w:rsidRDefault="0098093E" w:rsidP="0098093E">
            <w:pPr>
              <w:jc w:val="center"/>
              <w:rPr>
                <w:rFonts w:ascii="Times New Roman" w:hAnsi="Times New Roman" w:cs="Times New Roman"/>
                <w:bCs/>
                <w:color w:val="000000"/>
                <w:sz w:val="24"/>
                <w:szCs w:val="24"/>
              </w:rPr>
            </w:pPr>
          </w:p>
        </w:tc>
      </w:tr>
      <w:tr w:rsidR="0098093E" w:rsidRPr="00FD2A42" w14:paraId="78B82345" w14:textId="77777777" w:rsidTr="0098093E">
        <w:trPr>
          <w:trHeight w:val="855"/>
        </w:trPr>
        <w:tc>
          <w:tcPr>
            <w:tcW w:w="2263" w:type="dxa"/>
          </w:tcPr>
          <w:p w14:paraId="7F0E9FCC" w14:textId="77777777" w:rsidR="0098093E" w:rsidRPr="00FD2A42" w:rsidRDefault="0098093E" w:rsidP="0098093E">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SE</w:t>
            </w:r>
            <w:r w:rsidRPr="00FD2A42">
              <w:rPr>
                <w:rFonts w:ascii="Times New Roman" w:hAnsi="Times New Roman" w:cs="Times New Roman"/>
                <w:b/>
                <w:sz w:val="24"/>
                <w:szCs w:val="24"/>
                <w:vertAlign w:val="subscript"/>
              </w:rPr>
              <w:t>(d)</w:t>
            </w:r>
          </w:p>
        </w:tc>
        <w:tc>
          <w:tcPr>
            <w:tcW w:w="3402" w:type="dxa"/>
            <w:vMerge w:val="restart"/>
          </w:tcPr>
          <w:p w14:paraId="6F1549FF" w14:textId="77777777" w:rsidR="0098093E" w:rsidRPr="00FD2A42" w:rsidRDefault="0098093E" w:rsidP="0098093E">
            <w:pPr>
              <w:spacing w:before="240" w:line="360" w:lineRule="auto"/>
              <w:jc w:val="center"/>
              <w:rPr>
                <w:rFonts w:ascii="Times New Roman" w:hAnsi="Times New Roman" w:cs="Times New Roman"/>
                <w:b/>
                <w:sz w:val="24"/>
                <w:szCs w:val="24"/>
              </w:rPr>
            </w:pPr>
          </w:p>
        </w:tc>
        <w:tc>
          <w:tcPr>
            <w:tcW w:w="3351" w:type="dxa"/>
          </w:tcPr>
          <w:p w14:paraId="1EC4A344" w14:textId="77777777" w:rsidR="0098093E" w:rsidRPr="00FD2A42" w:rsidRDefault="0098093E" w:rsidP="0098093E">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0.40</w:t>
            </w:r>
          </w:p>
        </w:tc>
      </w:tr>
      <w:tr w:rsidR="0098093E" w:rsidRPr="00FD2A42" w14:paraId="36B9B0E3" w14:textId="77777777" w:rsidTr="0098093E">
        <w:trPr>
          <w:trHeight w:val="826"/>
        </w:trPr>
        <w:tc>
          <w:tcPr>
            <w:tcW w:w="2263" w:type="dxa"/>
          </w:tcPr>
          <w:p w14:paraId="4B2DF76A" w14:textId="77777777" w:rsidR="0098093E" w:rsidRPr="00FD2A42" w:rsidRDefault="0098093E" w:rsidP="0098093E">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 xml:space="preserve">C.D </w:t>
            </w:r>
            <w:r w:rsidRPr="00FD2A42">
              <w:rPr>
                <w:rFonts w:ascii="Times New Roman" w:hAnsi="Times New Roman" w:cs="Times New Roman"/>
                <w:b/>
                <w:sz w:val="24"/>
                <w:szCs w:val="24"/>
                <w:vertAlign w:val="subscript"/>
              </w:rPr>
              <w:t>(0.05)</w:t>
            </w:r>
          </w:p>
        </w:tc>
        <w:tc>
          <w:tcPr>
            <w:tcW w:w="3402" w:type="dxa"/>
            <w:vMerge/>
          </w:tcPr>
          <w:p w14:paraId="3D798655" w14:textId="77777777" w:rsidR="0098093E" w:rsidRPr="00FD2A42" w:rsidRDefault="0098093E" w:rsidP="0098093E">
            <w:pPr>
              <w:spacing w:before="240" w:line="360" w:lineRule="auto"/>
              <w:jc w:val="center"/>
              <w:rPr>
                <w:rFonts w:ascii="Times New Roman" w:hAnsi="Times New Roman" w:cs="Times New Roman"/>
                <w:b/>
                <w:sz w:val="24"/>
                <w:szCs w:val="24"/>
              </w:rPr>
            </w:pPr>
          </w:p>
        </w:tc>
        <w:tc>
          <w:tcPr>
            <w:tcW w:w="3351" w:type="dxa"/>
          </w:tcPr>
          <w:p w14:paraId="7A234923" w14:textId="77777777" w:rsidR="0098093E" w:rsidRPr="00FD2A42" w:rsidRDefault="0098093E" w:rsidP="0098093E">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0.85</w:t>
            </w:r>
          </w:p>
        </w:tc>
      </w:tr>
    </w:tbl>
    <w:p w14:paraId="3460DC7A" w14:textId="76676F07" w:rsidR="0098093E" w:rsidRPr="00FD2A42" w:rsidRDefault="0098093E" w:rsidP="0098093E">
      <w:pPr>
        <w:spacing w:line="360" w:lineRule="auto"/>
        <w:jc w:val="both"/>
        <w:rPr>
          <w:rFonts w:ascii="Times New Roman" w:hAnsi="Times New Roman" w:cs="Times New Roman"/>
          <w:b/>
          <w:sz w:val="24"/>
          <w:szCs w:val="24"/>
        </w:rPr>
      </w:pPr>
      <w:r w:rsidRPr="00FD2A42">
        <w:rPr>
          <w:rFonts w:ascii="Times New Roman" w:hAnsi="Times New Roman" w:cs="Times New Roman"/>
          <w:b/>
          <w:sz w:val="24"/>
          <w:szCs w:val="24"/>
        </w:rPr>
        <w:t>Table 1. Effect of Different Culture Media on Mycelial Growth of Fungi</w:t>
      </w:r>
    </w:p>
    <w:p w14:paraId="2A0CB5F2" w14:textId="77777777" w:rsidR="0098093E" w:rsidRPr="00FD2A42" w:rsidRDefault="0098093E" w:rsidP="0098093E">
      <w:pPr>
        <w:spacing w:line="360" w:lineRule="auto"/>
        <w:jc w:val="both"/>
        <w:rPr>
          <w:rFonts w:ascii="Times New Roman" w:hAnsi="Times New Roman" w:cs="Times New Roman"/>
          <w:sz w:val="24"/>
          <w:szCs w:val="24"/>
        </w:rPr>
      </w:pPr>
    </w:p>
    <w:p w14:paraId="67B5ADA8" w14:textId="73B4BEDC" w:rsidR="0098093E" w:rsidRPr="00FD2A42" w:rsidRDefault="0098093E" w:rsidP="0098093E">
      <w:pPr>
        <w:spacing w:line="360" w:lineRule="auto"/>
        <w:jc w:val="both"/>
        <w:rPr>
          <w:rFonts w:ascii="Times New Roman" w:hAnsi="Times New Roman" w:cs="Times New Roman"/>
          <w:b/>
          <w:sz w:val="24"/>
          <w:szCs w:val="24"/>
        </w:rPr>
      </w:pPr>
      <w:r w:rsidRPr="00FD2A42">
        <w:rPr>
          <w:rFonts w:ascii="Times New Roman" w:hAnsi="Times New Roman" w:cs="Times New Roman"/>
          <w:noProof/>
        </w:rPr>
        <w:drawing>
          <wp:anchor distT="0" distB="0" distL="114300" distR="114300" simplePos="0" relativeHeight="251659264" behindDoc="1" locked="0" layoutInCell="1" allowOverlap="1" wp14:anchorId="6D575930" wp14:editId="41E9C966">
            <wp:simplePos x="0" y="0"/>
            <wp:positionH relativeFrom="margin">
              <wp:posOffset>0</wp:posOffset>
            </wp:positionH>
            <wp:positionV relativeFrom="paragraph">
              <wp:posOffset>364490</wp:posOffset>
            </wp:positionV>
            <wp:extent cx="5616575" cy="3170555"/>
            <wp:effectExtent l="0" t="0" r="3175" b="10795"/>
            <wp:wrapTight wrapText="bothSides">
              <wp:wrapPolygon edited="0">
                <wp:start x="0" y="0"/>
                <wp:lineTo x="0" y="21544"/>
                <wp:lineTo x="21539" y="21544"/>
                <wp:lineTo x="21539" y="0"/>
                <wp:lineTo x="0" y="0"/>
              </wp:wrapPolygon>
            </wp:wrapTight>
            <wp:docPr id="1291276959" name="Chart 1">
              <a:extLst xmlns:a="http://schemas.openxmlformats.org/drawingml/2006/main">
                <a:ext uri="{FF2B5EF4-FFF2-40B4-BE49-F238E27FC236}">
                  <a16:creationId xmlns:a16="http://schemas.microsoft.com/office/drawing/2014/main" id="{8CE05E5A-07F6-DA1D-0A35-5E2FA6304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436A2A03" w14:textId="32DCFCFA" w:rsidR="0098093E" w:rsidRPr="00FD2A42" w:rsidRDefault="0098093E" w:rsidP="0098093E">
      <w:pPr>
        <w:spacing w:line="360" w:lineRule="auto"/>
        <w:jc w:val="both"/>
        <w:rPr>
          <w:rFonts w:ascii="Times New Roman" w:hAnsi="Times New Roman" w:cs="Times New Roman"/>
          <w:b/>
          <w:i/>
          <w:sz w:val="24"/>
          <w:szCs w:val="24"/>
        </w:rPr>
      </w:pPr>
      <w:r w:rsidRPr="00FD2A42">
        <w:rPr>
          <w:rFonts w:ascii="Times New Roman" w:hAnsi="Times New Roman" w:cs="Times New Roman"/>
          <w:b/>
          <w:sz w:val="24"/>
          <w:szCs w:val="24"/>
        </w:rPr>
        <w:t xml:space="preserve">3.2 Effect of different temperature on mycelial growth (mm) of </w:t>
      </w:r>
      <w:r w:rsidRPr="00FD2A42">
        <w:rPr>
          <w:rFonts w:ascii="Times New Roman" w:hAnsi="Times New Roman" w:cs="Times New Roman"/>
          <w:b/>
          <w:i/>
          <w:sz w:val="24"/>
          <w:szCs w:val="24"/>
        </w:rPr>
        <w:t xml:space="preserve">F. </w:t>
      </w:r>
      <w:proofErr w:type="spellStart"/>
      <w:r w:rsidRPr="00FD2A42">
        <w:rPr>
          <w:rFonts w:ascii="Times New Roman" w:hAnsi="Times New Roman" w:cs="Times New Roman"/>
          <w:b/>
          <w:i/>
          <w:sz w:val="24"/>
          <w:szCs w:val="24"/>
        </w:rPr>
        <w:t>oxysporum</w:t>
      </w:r>
      <w:proofErr w:type="spellEnd"/>
      <w:r w:rsidRPr="00FD2A42">
        <w:rPr>
          <w:rFonts w:ascii="Times New Roman" w:hAnsi="Times New Roman" w:cs="Times New Roman"/>
          <w:b/>
          <w:i/>
          <w:sz w:val="24"/>
          <w:szCs w:val="24"/>
        </w:rPr>
        <w:t xml:space="preserve"> </w:t>
      </w:r>
      <w:r w:rsidRPr="00FD2A42">
        <w:rPr>
          <w:rFonts w:ascii="Times New Roman" w:hAnsi="Times New Roman" w:cs="Times New Roman"/>
          <w:b/>
          <w:iCs/>
          <w:sz w:val="24"/>
          <w:szCs w:val="24"/>
        </w:rPr>
        <w:t>f. sp</w:t>
      </w:r>
      <w:r w:rsidRPr="00FD2A42">
        <w:rPr>
          <w:rFonts w:ascii="Times New Roman" w:hAnsi="Times New Roman" w:cs="Times New Roman"/>
          <w:b/>
          <w:i/>
          <w:sz w:val="24"/>
          <w:szCs w:val="24"/>
        </w:rPr>
        <w:t xml:space="preserve">. </w:t>
      </w:r>
      <w:proofErr w:type="spellStart"/>
      <w:r w:rsidRPr="00FD2A42">
        <w:rPr>
          <w:rFonts w:ascii="Times New Roman" w:hAnsi="Times New Roman" w:cs="Times New Roman"/>
          <w:b/>
          <w:i/>
          <w:sz w:val="24"/>
          <w:szCs w:val="24"/>
        </w:rPr>
        <w:t>dianthi</w:t>
      </w:r>
      <w:proofErr w:type="spellEnd"/>
      <w:r w:rsidRPr="00FD2A42">
        <w:rPr>
          <w:rFonts w:ascii="Times New Roman" w:hAnsi="Times New Roman" w:cs="Times New Roman"/>
          <w:b/>
          <w:i/>
          <w:sz w:val="24"/>
          <w:szCs w:val="24"/>
        </w:rPr>
        <w:t xml:space="preserve"> </w:t>
      </w:r>
    </w:p>
    <w:p w14:paraId="330D5262"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bCs/>
          <w:iCs/>
          <w:color w:val="000000" w:themeColor="text1"/>
          <w:sz w:val="24"/>
          <w:szCs w:val="24"/>
        </w:rPr>
        <w:t>Among the tested temperature conditions, the maximum mycelial growth was recorded at 30°C (T</w:t>
      </w:r>
      <w:r w:rsidRPr="00FD2A42">
        <w:rPr>
          <w:rFonts w:ascii="Times New Roman" w:hAnsi="Times New Roman" w:cs="Times New Roman"/>
          <w:bCs/>
          <w:iCs/>
          <w:color w:val="000000" w:themeColor="text1"/>
          <w:sz w:val="24"/>
          <w:szCs w:val="24"/>
          <w:vertAlign w:val="subscript"/>
        </w:rPr>
        <w:t>4</w:t>
      </w:r>
      <w:r w:rsidRPr="00FD2A42">
        <w:rPr>
          <w:rFonts w:ascii="Times New Roman" w:hAnsi="Times New Roman" w:cs="Times New Roman"/>
          <w:bCs/>
          <w:iCs/>
          <w:color w:val="000000" w:themeColor="text1"/>
          <w:sz w:val="24"/>
          <w:szCs w:val="24"/>
        </w:rPr>
        <w:t>), with the maximum radial expansion reaching an average of (79.10 mm). This suggests that 30°C provides the most favourable environmental conditions for the pathogen’s metabolic activity and vegetative development. The second maximum growth was observed at 25°C (T</w:t>
      </w:r>
      <w:r w:rsidRPr="00FD2A42">
        <w:rPr>
          <w:rFonts w:ascii="Times New Roman" w:hAnsi="Times New Roman" w:cs="Times New Roman"/>
          <w:bCs/>
          <w:iCs/>
          <w:color w:val="000000" w:themeColor="text1"/>
          <w:sz w:val="24"/>
          <w:szCs w:val="24"/>
          <w:vertAlign w:val="subscript"/>
        </w:rPr>
        <w:t>3</w:t>
      </w:r>
      <w:r w:rsidRPr="00FD2A42">
        <w:rPr>
          <w:rFonts w:ascii="Times New Roman" w:hAnsi="Times New Roman" w:cs="Times New Roman"/>
          <w:bCs/>
          <w:iCs/>
          <w:color w:val="000000" w:themeColor="text1"/>
          <w:sz w:val="24"/>
          <w:szCs w:val="24"/>
        </w:rPr>
        <w:t>), with a mean colony diameter of (61.78) mm, indicating that slightly higher temperatures still support substantial, though slightly reduced growth.</w:t>
      </w:r>
      <w:r w:rsidRPr="00FD2A42">
        <w:rPr>
          <w:rFonts w:ascii="Times New Roman" w:hAnsi="Times New Roman" w:cs="Times New Roman"/>
          <w:sz w:val="24"/>
          <w:szCs w:val="24"/>
        </w:rPr>
        <w:t xml:space="preserve"> These results align with the research conducted by </w:t>
      </w:r>
      <w:proofErr w:type="spellStart"/>
      <w:r w:rsidRPr="00FD2A42">
        <w:rPr>
          <w:rFonts w:ascii="Times New Roman" w:hAnsi="Times New Roman" w:cs="Times New Roman"/>
          <w:sz w:val="24"/>
          <w:szCs w:val="24"/>
        </w:rPr>
        <w:t>Pempee</w:t>
      </w:r>
      <w:proofErr w:type="spellEnd"/>
      <w:r w:rsidRPr="00FD2A42">
        <w:rPr>
          <w:rFonts w:ascii="Times New Roman" w:hAnsi="Times New Roman" w:cs="Times New Roman"/>
          <w:sz w:val="24"/>
          <w:szCs w:val="24"/>
        </w:rPr>
        <w:t xml:space="preserve">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(2020) found that 30°C was the most suitable temperature for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i/>
          <w:iCs/>
          <w:sz w:val="24"/>
          <w:szCs w:val="24"/>
        </w:rPr>
        <w:t xml:space="preserve"> </w:t>
      </w:r>
      <w:r w:rsidRPr="00FD2A42">
        <w:rPr>
          <w:rFonts w:ascii="Times New Roman" w:hAnsi="Times New Roman" w:cs="Times New Roman"/>
          <w:sz w:val="24"/>
          <w:szCs w:val="24"/>
        </w:rPr>
        <w:t>f. sp.</w:t>
      </w:r>
      <w:r w:rsidRPr="00FD2A42">
        <w:rPr>
          <w:rFonts w:ascii="Times New Roman" w:hAnsi="Times New Roman" w:cs="Times New Roman"/>
          <w:i/>
          <w:iCs/>
          <w:sz w:val="24"/>
          <w:szCs w:val="24"/>
        </w:rPr>
        <w:t xml:space="preserve"> </w:t>
      </w:r>
      <w:proofErr w:type="spellStart"/>
      <w:r w:rsidRPr="00FD2A42">
        <w:rPr>
          <w:rFonts w:ascii="Times New Roman" w:hAnsi="Times New Roman" w:cs="Times New Roman"/>
          <w:i/>
          <w:iCs/>
          <w:sz w:val="24"/>
          <w:szCs w:val="24"/>
        </w:rPr>
        <w:t>ciceri</w:t>
      </w:r>
      <w:proofErr w:type="spellEnd"/>
      <w:r w:rsidRPr="00FD2A42">
        <w:rPr>
          <w:rFonts w:ascii="Times New Roman" w:hAnsi="Times New Roman" w:cs="Times New Roman"/>
          <w:i/>
          <w:iCs/>
          <w:sz w:val="24"/>
          <w:szCs w:val="24"/>
        </w:rPr>
        <w:t>.</w:t>
      </w:r>
      <w:r w:rsidRPr="00FD2A42">
        <w:rPr>
          <w:rFonts w:ascii="Times New Roman" w:hAnsi="Times New Roman" w:cs="Times New Roman"/>
          <w:sz w:val="24"/>
          <w:szCs w:val="24"/>
        </w:rPr>
        <w:t xml:space="preserve"> They found maximum radial growth of the pathogen occurred at 30°C (80.95mm). Correspondingly, Sahu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(2024) found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i/>
          <w:iCs/>
          <w:sz w:val="24"/>
          <w:szCs w:val="24"/>
        </w:rPr>
        <w:t xml:space="preserve"> </w:t>
      </w:r>
      <w:r w:rsidRPr="00FD2A42">
        <w:rPr>
          <w:rFonts w:ascii="Times New Roman" w:hAnsi="Times New Roman" w:cs="Times New Roman"/>
          <w:sz w:val="24"/>
          <w:szCs w:val="24"/>
        </w:rPr>
        <w:t>f. sp</w:t>
      </w:r>
      <w:r w:rsidRPr="00FD2A42">
        <w:rPr>
          <w:rFonts w:ascii="Times New Roman" w:hAnsi="Times New Roman" w:cs="Times New Roman"/>
          <w:i/>
          <w:iCs/>
          <w:sz w:val="24"/>
          <w:szCs w:val="24"/>
        </w:rPr>
        <w:t xml:space="preserve">. </w:t>
      </w:r>
      <w:proofErr w:type="spellStart"/>
      <w:r w:rsidRPr="00FD2A42">
        <w:rPr>
          <w:rFonts w:ascii="Times New Roman" w:hAnsi="Times New Roman" w:cs="Times New Roman"/>
          <w:i/>
          <w:iCs/>
          <w:sz w:val="24"/>
          <w:szCs w:val="24"/>
        </w:rPr>
        <w:t>glycines</w:t>
      </w:r>
      <w:proofErr w:type="spellEnd"/>
      <w:r w:rsidRPr="00FD2A42">
        <w:rPr>
          <w:rFonts w:ascii="Times New Roman" w:hAnsi="Times New Roman" w:cs="Times New Roman"/>
          <w:i/>
          <w:iCs/>
          <w:sz w:val="24"/>
          <w:szCs w:val="24"/>
        </w:rPr>
        <w:t xml:space="preserve"> </w:t>
      </w:r>
      <w:r w:rsidRPr="00FD2A42">
        <w:rPr>
          <w:rFonts w:ascii="Times New Roman" w:hAnsi="Times New Roman" w:cs="Times New Roman"/>
          <w:sz w:val="24"/>
          <w:szCs w:val="24"/>
        </w:rPr>
        <w:t>on PDA medium at temperatures ranging from 10°C to 40°C. They observed that the maximum radial growth of the pathogen occurred at 30°C (85 mm).</w:t>
      </w:r>
    </w:p>
    <w:p w14:paraId="0A39FFB3" w14:textId="77777777" w:rsidR="00CC217A" w:rsidRPr="00FD2A42" w:rsidRDefault="00CC217A" w:rsidP="00CC217A">
      <w:pPr>
        <w:pStyle w:val="NormalWeb"/>
        <w:spacing w:before="240" w:after="240" w:line="276" w:lineRule="auto"/>
        <w:jc w:val="both"/>
        <w:rPr>
          <w:b/>
        </w:rPr>
      </w:pPr>
      <w:r w:rsidRPr="00FD2A42">
        <w:rPr>
          <w:b/>
        </w:rPr>
        <w:t>Table 2.</w:t>
      </w:r>
      <w:r w:rsidRPr="00FD2A42">
        <w:t xml:space="preserve"> </w:t>
      </w:r>
      <w:r w:rsidRPr="00FD2A42">
        <w:rPr>
          <w:b/>
        </w:rPr>
        <w:t>Effect of Temperature on Mycelial Growth of Fungi</w:t>
      </w:r>
    </w:p>
    <w:p w14:paraId="217BA2FC" w14:textId="77777777" w:rsidR="00CC217A" w:rsidRPr="00FD2A42" w:rsidRDefault="00CC217A" w:rsidP="0098093E">
      <w:pPr>
        <w:spacing w:line="360" w:lineRule="auto"/>
        <w:ind w:firstLine="720"/>
        <w:jc w:val="both"/>
        <w:rPr>
          <w:rFonts w:ascii="Times New Roman" w:hAnsi="Times New Roman" w:cs="Times New Roman"/>
          <w:sz w:val="24"/>
          <w:szCs w:val="24"/>
        </w:rPr>
      </w:pPr>
    </w:p>
    <w:tbl>
      <w:tblPr>
        <w:tblStyle w:val="TableGrid"/>
        <w:tblpPr w:leftFromText="180" w:rightFromText="180" w:vertAnchor="page" w:horzAnchor="margin" w:tblpY="7631"/>
        <w:tblW w:w="8904" w:type="dxa"/>
        <w:tblLook w:val="04A0" w:firstRow="1" w:lastRow="0" w:firstColumn="1" w:lastColumn="0" w:noHBand="0" w:noVBand="1"/>
      </w:tblPr>
      <w:tblGrid>
        <w:gridCol w:w="1129"/>
        <w:gridCol w:w="2982"/>
        <w:gridCol w:w="4793"/>
      </w:tblGrid>
      <w:tr w:rsidR="0098093E" w:rsidRPr="00FD2A42" w14:paraId="092C17EC" w14:textId="77777777" w:rsidTr="00CC217A">
        <w:trPr>
          <w:trHeight w:val="670"/>
        </w:trPr>
        <w:tc>
          <w:tcPr>
            <w:tcW w:w="1129" w:type="dxa"/>
          </w:tcPr>
          <w:p w14:paraId="182E0C1F" w14:textId="77777777" w:rsidR="0098093E" w:rsidRPr="00FD2A42" w:rsidRDefault="0098093E" w:rsidP="00CC217A">
            <w:pPr>
              <w:spacing w:line="360" w:lineRule="auto"/>
              <w:jc w:val="center"/>
              <w:rPr>
                <w:rFonts w:ascii="Times New Roman" w:hAnsi="Times New Roman" w:cs="Times New Roman"/>
                <w:b/>
                <w:sz w:val="24"/>
                <w:szCs w:val="24"/>
              </w:rPr>
            </w:pPr>
            <w:bookmarkStart w:id="1" w:name="_Hlk211346628"/>
            <w:r w:rsidRPr="00FD2A42">
              <w:rPr>
                <w:rFonts w:ascii="Times New Roman" w:hAnsi="Times New Roman" w:cs="Times New Roman"/>
                <w:b/>
                <w:sz w:val="24"/>
                <w:szCs w:val="24"/>
              </w:rPr>
              <w:lastRenderedPageBreak/>
              <w:t>T. No.</w:t>
            </w:r>
          </w:p>
        </w:tc>
        <w:tc>
          <w:tcPr>
            <w:tcW w:w="2982" w:type="dxa"/>
          </w:tcPr>
          <w:p w14:paraId="3993CB24" w14:textId="77777777" w:rsidR="0098093E" w:rsidRPr="00FD2A42" w:rsidRDefault="0098093E" w:rsidP="00CC217A">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 xml:space="preserve">Temperature </w:t>
            </w:r>
            <w:r w:rsidRPr="00FD2A42">
              <w:rPr>
                <w:rFonts w:ascii="Times New Roman" w:hAnsi="Times New Roman" w:cs="Times New Roman"/>
                <w:b/>
                <w:bCs/>
                <w:sz w:val="24"/>
                <w:szCs w:val="24"/>
              </w:rPr>
              <w:t xml:space="preserve">(℃) </w:t>
            </w:r>
          </w:p>
          <w:p w14:paraId="75E501A9" w14:textId="77777777" w:rsidR="0098093E" w:rsidRPr="00FD2A42" w:rsidRDefault="0098093E" w:rsidP="00CC217A">
            <w:pPr>
              <w:spacing w:line="360" w:lineRule="auto"/>
              <w:jc w:val="center"/>
              <w:rPr>
                <w:rFonts w:ascii="Times New Roman" w:hAnsi="Times New Roman" w:cs="Times New Roman"/>
                <w:b/>
                <w:sz w:val="24"/>
                <w:szCs w:val="24"/>
              </w:rPr>
            </w:pPr>
          </w:p>
        </w:tc>
        <w:tc>
          <w:tcPr>
            <w:tcW w:w="4793" w:type="dxa"/>
          </w:tcPr>
          <w:p w14:paraId="6D7DAB93" w14:textId="77777777" w:rsidR="0098093E" w:rsidRPr="00FD2A42" w:rsidRDefault="0098093E" w:rsidP="00CC217A">
            <w:pPr>
              <w:spacing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Mycelial growth (mm) ± S.E. (m)</w:t>
            </w:r>
          </w:p>
        </w:tc>
      </w:tr>
      <w:bookmarkEnd w:id="1"/>
      <w:tr w:rsidR="0098093E" w:rsidRPr="00FD2A42" w14:paraId="1629423D" w14:textId="77777777" w:rsidTr="00CC217A">
        <w:trPr>
          <w:trHeight w:val="700"/>
        </w:trPr>
        <w:tc>
          <w:tcPr>
            <w:tcW w:w="1129" w:type="dxa"/>
          </w:tcPr>
          <w:p w14:paraId="7B9E7366" w14:textId="77777777" w:rsidR="0098093E" w:rsidRPr="00FD2A42" w:rsidRDefault="0098093E" w:rsidP="00CC217A">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1</w:t>
            </w:r>
          </w:p>
        </w:tc>
        <w:tc>
          <w:tcPr>
            <w:tcW w:w="2982" w:type="dxa"/>
          </w:tcPr>
          <w:p w14:paraId="08BE18E1" w14:textId="77777777" w:rsidR="0098093E" w:rsidRPr="00FD2A42" w:rsidRDefault="0098093E" w:rsidP="00CC217A">
            <w:pPr>
              <w:spacing w:before="240"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15</w:t>
            </w:r>
          </w:p>
        </w:tc>
        <w:tc>
          <w:tcPr>
            <w:tcW w:w="4793" w:type="dxa"/>
          </w:tcPr>
          <w:p w14:paraId="7FCD16EC" w14:textId="77777777" w:rsidR="0098093E" w:rsidRPr="00FD2A42" w:rsidRDefault="0098093E" w:rsidP="00CC217A">
            <w:pPr>
              <w:jc w:val="center"/>
              <w:rPr>
                <w:rFonts w:ascii="Times New Roman" w:hAnsi="Times New Roman" w:cs="Times New Roman"/>
                <w:color w:val="000000"/>
                <w:sz w:val="24"/>
                <w:szCs w:val="24"/>
              </w:rPr>
            </w:pPr>
          </w:p>
          <w:p w14:paraId="79F55BDC" w14:textId="77777777" w:rsidR="0098093E" w:rsidRPr="00FD2A42" w:rsidRDefault="0098093E" w:rsidP="00CC217A">
            <w:pPr>
              <w:jc w:val="center"/>
              <w:rPr>
                <w:rFonts w:ascii="Times New Roman" w:hAnsi="Times New Roman" w:cs="Times New Roman"/>
                <w:color w:val="000000"/>
                <w:sz w:val="24"/>
                <w:szCs w:val="24"/>
              </w:rPr>
            </w:pPr>
            <w:r w:rsidRPr="00FD2A42">
              <w:rPr>
                <w:rFonts w:ascii="Times New Roman" w:hAnsi="Times New Roman" w:cs="Times New Roman"/>
                <w:color w:val="000000"/>
                <w:sz w:val="24"/>
                <w:szCs w:val="24"/>
              </w:rPr>
              <w:t>21.90</w:t>
            </w:r>
            <w:r w:rsidRPr="00FD2A42">
              <w:rPr>
                <w:rFonts w:ascii="Times New Roman" w:hAnsi="Times New Roman" w:cs="Times New Roman"/>
                <w:sz w:val="24"/>
                <w:szCs w:val="24"/>
              </w:rPr>
              <w:t>±</w:t>
            </w:r>
            <w:r w:rsidRPr="00FD2A42">
              <w:rPr>
                <w:rFonts w:ascii="Times New Roman" w:hAnsi="Times New Roman" w:cs="Times New Roman"/>
                <w:color w:val="000000"/>
                <w:sz w:val="24"/>
                <w:szCs w:val="24"/>
              </w:rPr>
              <w:t>0.29</w:t>
            </w:r>
          </w:p>
          <w:p w14:paraId="54D1F823" w14:textId="77777777" w:rsidR="0098093E" w:rsidRPr="00FD2A42" w:rsidRDefault="0098093E" w:rsidP="00CC217A">
            <w:pPr>
              <w:jc w:val="center"/>
              <w:rPr>
                <w:rFonts w:ascii="Times New Roman" w:hAnsi="Times New Roman" w:cs="Times New Roman"/>
                <w:color w:val="000000"/>
                <w:sz w:val="24"/>
                <w:szCs w:val="24"/>
              </w:rPr>
            </w:pPr>
          </w:p>
        </w:tc>
      </w:tr>
      <w:tr w:rsidR="0098093E" w:rsidRPr="00FD2A42" w14:paraId="26334A91" w14:textId="77777777" w:rsidTr="00CC217A">
        <w:trPr>
          <w:trHeight w:val="700"/>
        </w:trPr>
        <w:tc>
          <w:tcPr>
            <w:tcW w:w="1129" w:type="dxa"/>
          </w:tcPr>
          <w:p w14:paraId="47DEEABD" w14:textId="77777777" w:rsidR="0098093E" w:rsidRPr="00FD2A42" w:rsidRDefault="0098093E" w:rsidP="00CC217A">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2</w:t>
            </w:r>
          </w:p>
        </w:tc>
        <w:tc>
          <w:tcPr>
            <w:tcW w:w="2982" w:type="dxa"/>
          </w:tcPr>
          <w:p w14:paraId="4DE02090" w14:textId="77777777" w:rsidR="0098093E" w:rsidRPr="00FD2A42" w:rsidRDefault="0098093E" w:rsidP="00CC217A">
            <w:pPr>
              <w:spacing w:before="240"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20</w:t>
            </w:r>
          </w:p>
        </w:tc>
        <w:tc>
          <w:tcPr>
            <w:tcW w:w="4793" w:type="dxa"/>
          </w:tcPr>
          <w:p w14:paraId="2A4E0E3A" w14:textId="77777777" w:rsidR="0098093E" w:rsidRPr="00FD2A42" w:rsidRDefault="0098093E" w:rsidP="00CC217A">
            <w:pPr>
              <w:jc w:val="center"/>
              <w:rPr>
                <w:rFonts w:ascii="Times New Roman" w:hAnsi="Times New Roman" w:cs="Times New Roman"/>
                <w:color w:val="000000"/>
                <w:sz w:val="24"/>
                <w:szCs w:val="24"/>
              </w:rPr>
            </w:pPr>
          </w:p>
          <w:p w14:paraId="0F849FB7" w14:textId="77777777" w:rsidR="0098093E" w:rsidRPr="00FD2A42" w:rsidRDefault="0098093E" w:rsidP="00CC217A">
            <w:pPr>
              <w:jc w:val="center"/>
              <w:rPr>
                <w:rFonts w:ascii="Times New Roman" w:hAnsi="Times New Roman" w:cs="Times New Roman"/>
                <w:color w:val="000000"/>
                <w:sz w:val="24"/>
                <w:szCs w:val="24"/>
              </w:rPr>
            </w:pPr>
            <w:r w:rsidRPr="00FD2A42">
              <w:rPr>
                <w:rFonts w:ascii="Times New Roman" w:hAnsi="Times New Roman" w:cs="Times New Roman"/>
                <w:color w:val="000000"/>
                <w:sz w:val="24"/>
                <w:szCs w:val="24"/>
              </w:rPr>
              <w:t>46.90</w:t>
            </w:r>
            <w:r w:rsidRPr="00FD2A42">
              <w:rPr>
                <w:rFonts w:ascii="Times New Roman" w:hAnsi="Times New Roman" w:cs="Times New Roman"/>
                <w:sz w:val="24"/>
                <w:szCs w:val="24"/>
              </w:rPr>
              <w:t xml:space="preserve"> ±</w:t>
            </w:r>
            <w:r w:rsidRPr="00FD2A42">
              <w:rPr>
                <w:rFonts w:ascii="Times New Roman" w:hAnsi="Times New Roman" w:cs="Times New Roman"/>
                <w:color w:val="000000"/>
                <w:sz w:val="24"/>
                <w:szCs w:val="24"/>
              </w:rPr>
              <w:t>0.44</w:t>
            </w:r>
          </w:p>
          <w:p w14:paraId="6DEFDE62" w14:textId="77777777" w:rsidR="0098093E" w:rsidRPr="00FD2A42" w:rsidRDefault="0098093E" w:rsidP="00CC217A">
            <w:pPr>
              <w:jc w:val="center"/>
              <w:rPr>
                <w:rFonts w:ascii="Times New Roman" w:hAnsi="Times New Roman" w:cs="Times New Roman"/>
                <w:color w:val="000000"/>
                <w:sz w:val="24"/>
                <w:szCs w:val="24"/>
              </w:rPr>
            </w:pPr>
          </w:p>
        </w:tc>
      </w:tr>
      <w:tr w:rsidR="0098093E" w:rsidRPr="00FD2A42" w14:paraId="02D1751B" w14:textId="77777777" w:rsidTr="00CC217A">
        <w:trPr>
          <w:trHeight w:val="670"/>
        </w:trPr>
        <w:tc>
          <w:tcPr>
            <w:tcW w:w="1129" w:type="dxa"/>
          </w:tcPr>
          <w:p w14:paraId="18C064FC" w14:textId="77777777" w:rsidR="0098093E" w:rsidRPr="00FD2A42" w:rsidRDefault="0098093E" w:rsidP="00CC217A">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3</w:t>
            </w:r>
          </w:p>
        </w:tc>
        <w:tc>
          <w:tcPr>
            <w:tcW w:w="2982" w:type="dxa"/>
          </w:tcPr>
          <w:p w14:paraId="27EED5E4" w14:textId="77777777" w:rsidR="0098093E" w:rsidRPr="00FD2A42" w:rsidRDefault="0098093E" w:rsidP="00CC217A">
            <w:pPr>
              <w:spacing w:before="240"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25</w:t>
            </w:r>
          </w:p>
        </w:tc>
        <w:tc>
          <w:tcPr>
            <w:tcW w:w="4793" w:type="dxa"/>
          </w:tcPr>
          <w:p w14:paraId="1090441A" w14:textId="77777777" w:rsidR="0098093E" w:rsidRPr="00FD2A42" w:rsidRDefault="0098093E" w:rsidP="00CC217A">
            <w:pPr>
              <w:jc w:val="center"/>
              <w:rPr>
                <w:rFonts w:ascii="Times New Roman" w:hAnsi="Times New Roman" w:cs="Times New Roman"/>
                <w:color w:val="000000"/>
                <w:sz w:val="24"/>
                <w:szCs w:val="24"/>
              </w:rPr>
            </w:pPr>
          </w:p>
          <w:p w14:paraId="09915CBC" w14:textId="77777777" w:rsidR="0098093E" w:rsidRPr="00FD2A42" w:rsidRDefault="0098093E" w:rsidP="00CC217A">
            <w:pPr>
              <w:jc w:val="center"/>
              <w:rPr>
                <w:rFonts w:ascii="Times New Roman" w:hAnsi="Times New Roman" w:cs="Times New Roman"/>
                <w:color w:val="000000"/>
                <w:sz w:val="24"/>
                <w:szCs w:val="24"/>
              </w:rPr>
            </w:pPr>
            <w:r w:rsidRPr="00FD2A42">
              <w:rPr>
                <w:rFonts w:ascii="Times New Roman" w:hAnsi="Times New Roman" w:cs="Times New Roman"/>
                <w:color w:val="000000"/>
                <w:sz w:val="24"/>
                <w:szCs w:val="24"/>
              </w:rPr>
              <w:t>61.78</w:t>
            </w:r>
            <w:r w:rsidRPr="00FD2A42">
              <w:rPr>
                <w:rFonts w:ascii="Times New Roman" w:hAnsi="Times New Roman" w:cs="Times New Roman"/>
                <w:sz w:val="24"/>
                <w:szCs w:val="24"/>
              </w:rPr>
              <w:t>±</w:t>
            </w:r>
            <w:r w:rsidRPr="00FD2A42">
              <w:rPr>
                <w:rFonts w:ascii="Times New Roman" w:hAnsi="Times New Roman" w:cs="Times New Roman"/>
                <w:color w:val="000000"/>
                <w:sz w:val="24"/>
                <w:szCs w:val="24"/>
              </w:rPr>
              <w:t>0.33</w:t>
            </w:r>
          </w:p>
          <w:p w14:paraId="289F501F" w14:textId="77777777" w:rsidR="0098093E" w:rsidRPr="00FD2A42" w:rsidRDefault="0098093E" w:rsidP="00CC217A">
            <w:pPr>
              <w:jc w:val="center"/>
              <w:rPr>
                <w:rFonts w:ascii="Times New Roman" w:hAnsi="Times New Roman" w:cs="Times New Roman"/>
                <w:color w:val="000000"/>
                <w:sz w:val="24"/>
                <w:szCs w:val="24"/>
              </w:rPr>
            </w:pPr>
          </w:p>
        </w:tc>
      </w:tr>
      <w:tr w:rsidR="0098093E" w:rsidRPr="00FD2A42" w14:paraId="6674DA6F" w14:textId="77777777" w:rsidTr="00CC217A">
        <w:trPr>
          <w:trHeight w:val="700"/>
        </w:trPr>
        <w:tc>
          <w:tcPr>
            <w:tcW w:w="1129" w:type="dxa"/>
          </w:tcPr>
          <w:p w14:paraId="388636FE" w14:textId="77777777" w:rsidR="0098093E" w:rsidRPr="00FD2A42" w:rsidRDefault="0098093E" w:rsidP="00CC217A">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4</w:t>
            </w:r>
          </w:p>
        </w:tc>
        <w:tc>
          <w:tcPr>
            <w:tcW w:w="2982" w:type="dxa"/>
          </w:tcPr>
          <w:p w14:paraId="0FF8923C" w14:textId="77777777" w:rsidR="0098093E" w:rsidRPr="00FD2A42" w:rsidRDefault="0098093E" w:rsidP="00CC217A">
            <w:pPr>
              <w:spacing w:before="240"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30</w:t>
            </w:r>
          </w:p>
        </w:tc>
        <w:tc>
          <w:tcPr>
            <w:tcW w:w="4793" w:type="dxa"/>
          </w:tcPr>
          <w:p w14:paraId="4E0EB7C0" w14:textId="77777777" w:rsidR="0098093E" w:rsidRPr="00FD2A42" w:rsidRDefault="0098093E" w:rsidP="00CC217A">
            <w:pPr>
              <w:jc w:val="center"/>
              <w:rPr>
                <w:rFonts w:ascii="Times New Roman" w:hAnsi="Times New Roman" w:cs="Times New Roman"/>
                <w:color w:val="000000"/>
                <w:sz w:val="24"/>
                <w:szCs w:val="24"/>
              </w:rPr>
            </w:pPr>
          </w:p>
          <w:p w14:paraId="25AC242F" w14:textId="77777777" w:rsidR="0098093E" w:rsidRPr="00FD2A42" w:rsidRDefault="0098093E" w:rsidP="00CC217A">
            <w:pPr>
              <w:jc w:val="center"/>
              <w:rPr>
                <w:rFonts w:ascii="Times New Roman" w:hAnsi="Times New Roman" w:cs="Times New Roman"/>
                <w:color w:val="000000"/>
                <w:sz w:val="24"/>
                <w:szCs w:val="24"/>
              </w:rPr>
            </w:pPr>
            <w:r w:rsidRPr="00FD2A42">
              <w:rPr>
                <w:rFonts w:ascii="Times New Roman" w:hAnsi="Times New Roman" w:cs="Times New Roman"/>
                <w:sz w:val="24"/>
                <w:szCs w:val="24"/>
              </w:rPr>
              <w:t>79.10±</w:t>
            </w:r>
            <w:r w:rsidRPr="00FD2A42">
              <w:rPr>
                <w:rFonts w:ascii="Times New Roman" w:hAnsi="Times New Roman" w:cs="Times New Roman"/>
                <w:color w:val="000000"/>
                <w:sz w:val="24"/>
                <w:szCs w:val="24"/>
              </w:rPr>
              <w:t>0.23</w:t>
            </w:r>
          </w:p>
          <w:p w14:paraId="57F4D3F9" w14:textId="77777777" w:rsidR="0098093E" w:rsidRPr="00FD2A42" w:rsidRDefault="0098093E" w:rsidP="00CC217A">
            <w:pPr>
              <w:jc w:val="center"/>
              <w:rPr>
                <w:rFonts w:ascii="Times New Roman" w:hAnsi="Times New Roman" w:cs="Times New Roman"/>
                <w:color w:val="000000"/>
                <w:sz w:val="24"/>
                <w:szCs w:val="24"/>
              </w:rPr>
            </w:pPr>
          </w:p>
        </w:tc>
      </w:tr>
      <w:tr w:rsidR="0098093E" w:rsidRPr="00FD2A42" w14:paraId="0BA8CB84" w14:textId="77777777" w:rsidTr="00CC217A">
        <w:trPr>
          <w:trHeight w:val="700"/>
        </w:trPr>
        <w:tc>
          <w:tcPr>
            <w:tcW w:w="1129" w:type="dxa"/>
          </w:tcPr>
          <w:p w14:paraId="2BECD281" w14:textId="77777777" w:rsidR="0098093E" w:rsidRPr="00FD2A42" w:rsidRDefault="0098093E" w:rsidP="00CC217A">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5</w:t>
            </w:r>
          </w:p>
        </w:tc>
        <w:tc>
          <w:tcPr>
            <w:tcW w:w="2982" w:type="dxa"/>
          </w:tcPr>
          <w:p w14:paraId="37547435" w14:textId="77777777" w:rsidR="0098093E" w:rsidRPr="00FD2A42" w:rsidRDefault="0098093E" w:rsidP="00CC217A">
            <w:pPr>
              <w:spacing w:before="240"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35</w:t>
            </w:r>
          </w:p>
        </w:tc>
        <w:tc>
          <w:tcPr>
            <w:tcW w:w="4793" w:type="dxa"/>
          </w:tcPr>
          <w:p w14:paraId="3DFAEAD3" w14:textId="77777777" w:rsidR="0098093E" w:rsidRPr="00FD2A42" w:rsidRDefault="0098093E" w:rsidP="00CC217A">
            <w:pPr>
              <w:jc w:val="center"/>
              <w:rPr>
                <w:rFonts w:ascii="Times New Roman" w:hAnsi="Times New Roman" w:cs="Times New Roman"/>
                <w:color w:val="000000"/>
                <w:sz w:val="24"/>
                <w:szCs w:val="24"/>
              </w:rPr>
            </w:pPr>
          </w:p>
          <w:p w14:paraId="5E0F64C3" w14:textId="77777777" w:rsidR="0098093E" w:rsidRPr="00FD2A42" w:rsidRDefault="0098093E" w:rsidP="00CC217A">
            <w:pPr>
              <w:jc w:val="center"/>
              <w:rPr>
                <w:rFonts w:ascii="Times New Roman" w:hAnsi="Times New Roman" w:cs="Times New Roman"/>
                <w:color w:val="000000"/>
                <w:sz w:val="24"/>
                <w:szCs w:val="24"/>
              </w:rPr>
            </w:pPr>
            <w:r w:rsidRPr="00FD2A42">
              <w:rPr>
                <w:rFonts w:ascii="Times New Roman" w:hAnsi="Times New Roman" w:cs="Times New Roman"/>
                <w:color w:val="000000"/>
                <w:sz w:val="24"/>
                <w:szCs w:val="24"/>
              </w:rPr>
              <w:t>35.15</w:t>
            </w:r>
            <w:r w:rsidRPr="00FD2A42">
              <w:rPr>
                <w:rFonts w:ascii="Times New Roman" w:hAnsi="Times New Roman" w:cs="Times New Roman"/>
                <w:sz w:val="24"/>
                <w:szCs w:val="24"/>
              </w:rPr>
              <w:t>±</w:t>
            </w:r>
            <w:r w:rsidRPr="00FD2A42">
              <w:rPr>
                <w:rFonts w:ascii="Times New Roman" w:hAnsi="Times New Roman" w:cs="Times New Roman"/>
                <w:color w:val="000000"/>
                <w:sz w:val="24"/>
                <w:szCs w:val="24"/>
              </w:rPr>
              <w:t>0.14</w:t>
            </w:r>
          </w:p>
          <w:p w14:paraId="0F996AF4" w14:textId="77777777" w:rsidR="0098093E" w:rsidRPr="00FD2A42" w:rsidRDefault="0098093E" w:rsidP="00CC217A">
            <w:pPr>
              <w:jc w:val="center"/>
              <w:rPr>
                <w:rFonts w:ascii="Times New Roman" w:hAnsi="Times New Roman" w:cs="Times New Roman"/>
                <w:color w:val="000000"/>
                <w:sz w:val="24"/>
                <w:szCs w:val="24"/>
              </w:rPr>
            </w:pPr>
          </w:p>
        </w:tc>
      </w:tr>
      <w:tr w:rsidR="0098093E" w:rsidRPr="00FD2A42" w14:paraId="0B7118CA" w14:textId="77777777" w:rsidTr="00CC217A">
        <w:trPr>
          <w:trHeight w:val="670"/>
        </w:trPr>
        <w:tc>
          <w:tcPr>
            <w:tcW w:w="4111" w:type="dxa"/>
            <w:gridSpan w:val="2"/>
          </w:tcPr>
          <w:p w14:paraId="65943542" w14:textId="77777777" w:rsidR="0098093E" w:rsidRPr="00FD2A42" w:rsidRDefault="0098093E" w:rsidP="00CC217A">
            <w:pPr>
              <w:spacing w:before="240" w:line="360" w:lineRule="auto"/>
              <w:rPr>
                <w:rFonts w:ascii="Times New Roman" w:hAnsi="Times New Roman" w:cs="Times New Roman"/>
                <w:b/>
                <w:sz w:val="24"/>
                <w:szCs w:val="24"/>
              </w:rPr>
            </w:pPr>
            <w:r w:rsidRPr="00FD2A42">
              <w:rPr>
                <w:rFonts w:ascii="Times New Roman" w:hAnsi="Times New Roman" w:cs="Times New Roman"/>
                <w:b/>
                <w:sz w:val="24"/>
                <w:szCs w:val="24"/>
              </w:rPr>
              <w:t>SE (d.)</w:t>
            </w:r>
          </w:p>
        </w:tc>
        <w:tc>
          <w:tcPr>
            <w:tcW w:w="4793" w:type="dxa"/>
          </w:tcPr>
          <w:p w14:paraId="01CC088F" w14:textId="77777777" w:rsidR="0098093E" w:rsidRPr="00FD2A42" w:rsidRDefault="0098093E" w:rsidP="00CC217A">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0.43</w:t>
            </w:r>
          </w:p>
        </w:tc>
      </w:tr>
      <w:tr w:rsidR="0098093E" w:rsidRPr="00FD2A42" w14:paraId="6724E89B" w14:textId="77777777" w:rsidTr="00CC217A">
        <w:trPr>
          <w:trHeight w:val="670"/>
        </w:trPr>
        <w:tc>
          <w:tcPr>
            <w:tcW w:w="4111" w:type="dxa"/>
            <w:gridSpan w:val="2"/>
          </w:tcPr>
          <w:p w14:paraId="0CD0B1C3" w14:textId="77777777" w:rsidR="0098093E" w:rsidRPr="00FD2A42" w:rsidRDefault="0098093E" w:rsidP="00CC217A">
            <w:pPr>
              <w:spacing w:before="240" w:line="360" w:lineRule="auto"/>
              <w:rPr>
                <w:rFonts w:ascii="Times New Roman" w:hAnsi="Times New Roman" w:cs="Times New Roman"/>
                <w:b/>
                <w:sz w:val="24"/>
                <w:szCs w:val="24"/>
              </w:rPr>
            </w:pPr>
            <w:r w:rsidRPr="00FD2A42">
              <w:rPr>
                <w:rFonts w:ascii="Times New Roman" w:hAnsi="Times New Roman" w:cs="Times New Roman"/>
                <w:b/>
                <w:sz w:val="24"/>
                <w:szCs w:val="24"/>
              </w:rPr>
              <w:t xml:space="preserve">C.D </w:t>
            </w:r>
            <w:r w:rsidRPr="00FD2A42">
              <w:rPr>
                <w:rFonts w:ascii="Times New Roman" w:hAnsi="Times New Roman" w:cs="Times New Roman"/>
                <w:b/>
                <w:sz w:val="24"/>
                <w:szCs w:val="24"/>
                <w:vertAlign w:val="subscript"/>
              </w:rPr>
              <w:t>(0.05)</w:t>
            </w:r>
          </w:p>
        </w:tc>
        <w:tc>
          <w:tcPr>
            <w:tcW w:w="4793" w:type="dxa"/>
          </w:tcPr>
          <w:p w14:paraId="3D404F09" w14:textId="77777777" w:rsidR="0098093E" w:rsidRPr="00FD2A42" w:rsidRDefault="0098093E" w:rsidP="00CC217A">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0.92</w:t>
            </w:r>
          </w:p>
        </w:tc>
      </w:tr>
    </w:tbl>
    <w:p w14:paraId="713AA5D6" w14:textId="77777777" w:rsidR="0098093E" w:rsidRPr="00FD2A42" w:rsidRDefault="0098093E" w:rsidP="0098093E">
      <w:pPr>
        <w:spacing w:line="360" w:lineRule="auto"/>
        <w:jc w:val="both"/>
        <w:rPr>
          <w:rFonts w:ascii="Times New Roman" w:hAnsi="Times New Roman" w:cs="Times New Roman"/>
          <w:sz w:val="24"/>
          <w:szCs w:val="24"/>
        </w:rPr>
      </w:pPr>
    </w:p>
    <w:p w14:paraId="3D2B5BB6" w14:textId="77777777" w:rsidR="0098093E" w:rsidRPr="00FD2A42" w:rsidRDefault="0098093E" w:rsidP="0098093E">
      <w:pPr>
        <w:spacing w:line="360" w:lineRule="auto"/>
        <w:jc w:val="both"/>
        <w:rPr>
          <w:rFonts w:ascii="Times New Roman" w:hAnsi="Times New Roman" w:cs="Times New Roman"/>
          <w:sz w:val="24"/>
          <w:szCs w:val="24"/>
        </w:rPr>
      </w:pPr>
    </w:p>
    <w:p w14:paraId="18810D4F" w14:textId="2770B3E6" w:rsidR="0098093E" w:rsidRPr="00FD2A42" w:rsidRDefault="0098093E" w:rsidP="0098093E">
      <w:pPr>
        <w:tabs>
          <w:tab w:val="left" w:pos="6508"/>
        </w:tabs>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tab/>
      </w:r>
    </w:p>
    <w:p w14:paraId="37E50429" w14:textId="29147158" w:rsidR="0098093E" w:rsidRPr="00FD2A42" w:rsidRDefault="0098093E" w:rsidP="0098093E">
      <w:pPr>
        <w:tabs>
          <w:tab w:val="left" w:pos="6508"/>
        </w:tabs>
        <w:spacing w:line="360" w:lineRule="auto"/>
        <w:jc w:val="both"/>
        <w:rPr>
          <w:rFonts w:ascii="Times New Roman" w:hAnsi="Times New Roman" w:cs="Times New Roman"/>
          <w:sz w:val="24"/>
          <w:szCs w:val="24"/>
        </w:rPr>
      </w:pPr>
      <w:r w:rsidRPr="00FD2A42">
        <w:rPr>
          <w:rFonts w:ascii="Times New Roman" w:hAnsi="Times New Roman" w:cs="Times New Roman"/>
          <w:noProof/>
        </w:rPr>
        <w:drawing>
          <wp:anchor distT="0" distB="0" distL="114300" distR="114300" simplePos="0" relativeHeight="251661312" behindDoc="1" locked="0" layoutInCell="1" allowOverlap="1" wp14:anchorId="104D12B1" wp14:editId="12585B7A">
            <wp:simplePos x="0" y="0"/>
            <wp:positionH relativeFrom="margin">
              <wp:posOffset>-83185</wp:posOffset>
            </wp:positionH>
            <wp:positionV relativeFrom="paragraph">
              <wp:posOffset>0</wp:posOffset>
            </wp:positionV>
            <wp:extent cx="6043930" cy="3023870"/>
            <wp:effectExtent l="0" t="0" r="13970" b="5080"/>
            <wp:wrapTight wrapText="bothSides">
              <wp:wrapPolygon edited="0">
                <wp:start x="0" y="0"/>
                <wp:lineTo x="0" y="21500"/>
                <wp:lineTo x="21582" y="21500"/>
                <wp:lineTo x="21582" y="0"/>
                <wp:lineTo x="0" y="0"/>
              </wp:wrapPolygon>
            </wp:wrapTight>
            <wp:docPr id="137767775" name="Chart 1">
              <a:extLst xmlns:a="http://schemas.openxmlformats.org/drawingml/2006/main">
                <a:ext uri="{FF2B5EF4-FFF2-40B4-BE49-F238E27FC236}">
                  <a16:creationId xmlns:a16="http://schemas.microsoft.com/office/drawing/2014/main" id="{8CE05E5A-07F6-DA1D-0A35-5E2FA6304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29B5C27" w14:textId="77777777" w:rsidR="0098093E" w:rsidRPr="00FD2A42" w:rsidRDefault="0098093E" w:rsidP="0098093E">
      <w:pPr>
        <w:jc w:val="both"/>
        <w:rPr>
          <w:rFonts w:ascii="Times New Roman" w:hAnsi="Times New Roman" w:cs="Times New Roman"/>
          <w:sz w:val="24"/>
          <w:szCs w:val="24"/>
        </w:rPr>
      </w:pPr>
      <w:r w:rsidRPr="00FD2A42">
        <w:rPr>
          <w:rFonts w:ascii="Times New Roman" w:hAnsi="Times New Roman" w:cs="Times New Roman"/>
          <w:b/>
          <w:bCs/>
          <w:color w:val="000000" w:themeColor="text1"/>
          <w:sz w:val="24"/>
          <w:szCs w:val="24"/>
        </w:rPr>
        <w:t>3.3 Effect of different pH on mycelial growth (mm) of</w:t>
      </w:r>
      <w:r w:rsidRPr="00FD2A42">
        <w:rPr>
          <w:rFonts w:ascii="Times New Roman" w:hAnsi="Times New Roman" w:cs="Times New Roman"/>
          <w:b/>
          <w:bCs/>
          <w:i/>
          <w:iCs/>
          <w:color w:val="000000" w:themeColor="text1"/>
          <w:sz w:val="24"/>
          <w:szCs w:val="24"/>
        </w:rPr>
        <w:t xml:space="preserve"> Fusarium </w:t>
      </w:r>
      <w:proofErr w:type="spellStart"/>
      <w:r w:rsidRPr="00FD2A42">
        <w:rPr>
          <w:rFonts w:ascii="Times New Roman" w:hAnsi="Times New Roman" w:cs="Times New Roman"/>
          <w:b/>
          <w:bCs/>
          <w:i/>
          <w:iCs/>
          <w:color w:val="000000" w:themeColor="text1"/>
          <w:sz w:val="24"/>
          <w:szCs w:val="24"/>
        </w:rPr>
        <w:t>oxysporum</w:t>
      </w:r>
      <w:proofErr w:type="spellEnd"/>
      <w:r w:rsidRPr="00FD2A42">
        <w:rPr>
          <w:rFonts w:ascii="Times New Roman" w:hAnsi="Times New Roman" w:cs="Times New Roman"/>
          <w:b/>
          <w:bCs/>
          <w:i/>
          <w:iCs/>
          <w:color w:val="000000" w:themeColor="text1"/>
          <w:sz w:val="24"/>
          <w:szCs w:val="24"/>
        </w:rPr>
        <w:t xml:space="preserve"> </w:t>
      </w:r>
      <w:r w:rsidRPr="00FD2A42">
        <w:rPr>
          <w:rFonts w:ascii="Times New Roman" w:hAnsi="Times New Roman" w:cs="Times New Roman"/>
          <w:b/>
          <w:bCs/>
          <w:color w:val="000000" w:themeColor="text1"/>
          <w:sz w:val="24"/>
          <w:szCs w:val="24"/>
        </w:rPr>
        <w:t>f. sp</w:t>
      </w:r>
      <w:r w:rsidRPr="00FD2A42">
        <w:rPr>
          <w:rFonts w:ascii="Times New Roman" w:hAnsi="Times New Roman" w:cs="Times New Roman"/>
          <w:b/>
          <w:bCs/>
          <w:i/>
          <w:iCs/>
          <w:color w:val="000000" w:themeColor="text1"/>
          <w:sz w:val="24"/>
          <w:szCs w:val="24"/>
        </w:rPr>
        <w:t xml:space="preserve">. </w:t>
      </w:r>
      <w:proofErr w:type="spellStart"/>
      <w:r w:rsidRPr="00FD2A42">
        <w:rPr>
          <w:rFonts w:ascii="Times New Roman" w:hAnsi="Times New Roman" w:cs="Times New Roman"/>
          <w:b/>
          <w:bCs/>
          <w:i/>
          <w:iCs/>
          <w:color w:val="000000" w:themeColor="text1"/>
          <w:sz w:val="24"/>
          <w:szCs w:val="24"/>
        </w:rPr>
        <w:t>dianthi</w:t>
      </w:r>
      <w:proofErr w:type="spellEnd"/>
      <w:r w:rsidRPr="00FD2A42">
        <w:rPr>
          <w:rFonts w:ascii="Times New Roman" w:hAnsi="Times New Roman" w:cs="Times New Roman"/>
          <w:b/>
          <w:bCs/>
          <w:i/>
          <w:iCs/>
          <w:sz w:val="24"/>
          <w:szCs w:val="24"/>
        </w:rPr>
        <w:t xml:space="preserve"> </w:t>
      </w:r>
    </w:p>
    <w:p w14:paraId="6D2B0D85" w14:textId="77777777" w:rsidR="0098093E" w:rsidRPr="00FD2A42" w:rsidRDefault="0098093E" w:rsidP="0098093E">
      <w:pPr>
        <w:spacing w:line="360" w:lineRule="auto"/>
        <w:ind w:firstLine="720"/>
        <w:jc w:val="both"/>
        <w:rPr>
          <w:rFonts w:ascii="Times New Roman" w:hAnsi="Times New Roman" w:cs="Times New Roman"/>
          <w:sz w:val="24"/>
          <w:szCs w:val="24"/>
        </w:rPr>
      </w:pPr>
      <w:r w:rsidRPr="00FD2A42">
        <w:rPr>
          <w:rFonts w:ascii="Times New Roman" w:hAnsi="Times New Roman" w:cs="Times New Roman"/>
          <w:sz w:val="24"/>
          <w:szCs w:val="24"/>
        </w:rPr>
        <w:lastRenderedPageBreak/>
        <w:t>The effect of varying pH levels on the radial mycelial growth of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f. sp. </w:t>
      </w:r>
      <w:proofErr w:type="spellStart"/>
      <w:r w:rsidRPr="00FD2A42">
        <w:rPr>
          <w:rFonts w:ascii="Times New Roman" w:hAnsi="Times New Roman" w:cs="Times New Roman"/>
          <w:i/>
          <w:iCs/>
          <w:sz w:val="24"/>
          <w:szCs w:val="24"/>
        </w:rPr>
        <w:t>dianthi</w:t>
      </w:r>
      <w:proofErr w:type="spellEnd"/>
      <w:r w:rsidRPr="00FD2A42">
        <w:rPr>
          <w:rFonts w:ascii="Times New Roman" w:hAnsi="Times New Roman" w:cs="Times New Roman"/>
          <w:sz w:val="24"/>
          <w:szCs w:val="24"/>
        </w:rPr>
        <w:t> was systematically evaluated by adjusting the culture medium to pH values of 5.0, 5.5, 6.0, 6.5 and 7.0. The results demonstrated that pH had a significant impact on fungal growth, with distinct variations in colony diameter across treatments. Maximum growth was observed at pH 6.0, where the colony reached a diameter of 65.35 mm, indicating that slightly acidic conditions are most favourable for fungal development. This was closely followed by pH 6.5, which supported substantial growth (64.89 mm). Moderate growth was recorded at pH 5.5 (64.19 mm), while further deviations from the optimal range led to a marked decline in mycelial expansion. Specifically, pH 5.0 and 5.5 exhibited reduced colony diameters of (43.75 mm) and (49.14 mm), respectively, suggesting that near-neutral and strongly acidic conditions are less conducive to the fungus’s growth. Overall, the findings highlight that </w:t>
      </w:r>
      <w:r w:rsidRPr="00FD2A42">
        <w:rPr>
          <w:rFonts w:ascii="Times New Roman" w:hAnsi="Times New Roman" w:cs="Times New Roman"/>
          <w:i/>
          <w:iCs/>
          <w:sz w:val="24"/>
          <w:szCs w:val="24"/>
        </w:rPr>
        <w:t xml:space="preserve">F.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f. sp. </w:t>
      </w:r>
      <w:proofErr w:type="spellStart"/>
      <w:r w:rsidRPr="00FD2A42">
        <w:rPr>
          <w:rFonts w:ascii="Times New Roman" w:hAnsi="Times New Roman" w:cs="Times New Roman"/>
          <w:i/>
          <w:iCs/>
          <w:sz w:val="24"/>
          <w:szCs w:val="24"/>
        </w:rPr>
        <w:t>dianthi</w:t>
      </w:r>
      <w:proofErr w:type="spellEnd"/>
      <w:r w:rsidRPr="00FD2A42">
        <w:rPr>
          <w:rFonts w:ascii="Times New Roman" w:hAnsi="Times New Roman" w:cs="Times New Roman"/>
          <w:sz w:val="24"/>
          <w:szCs w:val="24"/>
        </w:rPr>
        <w:t> exhibits optimal growth under mildly acidic conditions, with pH 6.0 being the most favourable for its radial mycelial development. The findings of the present investigation are in accordant with those of (</w:t>
      </w:r>
      <w:bookmarkStart w:id="2" w:name="_Hlk213251980"/>
      <w:r w:rsidRPr="00FD2A42">
        <w:rPr>
          <w:rFonts w:ascii="Times New Roman" w:hAnsi="Times New Roman" w:cs="Times New Roman"/>
          <w:sz w:val="24"/>
          <w:szCs w:val="24"/>
        </w:rPr>
        <w:t xml:space="preserve">Rao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2020</w:t>
      </w:r>
      <w:bookmarkEnd w:id="2"/>
      <w:r w:rsidRPr="00FD2A42">
        <w:rPr>
          <w:rFonts w:ascii="Times New Roman" w:hAnsi="Times New Roman" w:cs="Times New Roman"/>
          <w:sz w:val="24"/>
          <w:szCs w:val="24"/>
        </w:rPr>
        <w:t xml:space="preserve">) and Sahu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(2024) reported similar findings in their studies regarding the growth of </w:t>
      </w:r>
      <w:r w:rsidRPr="00FD2A42">
        <w:rPr>
          <w:rFonts w:ascii="Times New Roman" w:hAnsi="Times New Roman" w:cs="Times New Roman"/>
          <w:i/>
          <w:iCs/>
          <w:sz w:val="24"/>
          <w:szCs w:val="24"/>
        </w:rPr>
        <w:t xml:space="preserve">Fusarium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xml:space="preserve">. (Rao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2020) observed that the fungus exhibited the maximum mycelial growth at pH 6, with a recorded growth measurement of (90.93 mm) followed pH 7 with the mycelial extension measuring (85.3 mm). (Saho </w:t>
      </w:r>
      <w:r w:rsidRPr="00FD2A42">
        <w:rPr>
          <w:rFonts w:ascii="Times New Roman" w:hAnsi="Times New Roman" w:cs="Times New Roman"/>
          <w:i/>
          <w:iCs/>
          <w:sz w:val="24"/>
          <w:szCs w:val="24"/>
        </w:rPr>
        <w:t>et al</w:t>
      </w:r>
      <w:r w:rsidRPr="00FD2A42">
        <w:rPr>
          <w:rFonts w:ascii="Times New Roman" w:hAnsi="Times New Roman" w:cs="Times New Roman"/>
          <w:sz w:val="24"/>
          <w:szCs w:val="24"/>
        </w:rPr>
        <w:t xml:space="preserve">. 2025) demonstrated that pH 6.5 (85.00 mm) and pH 7 (82.83 mm) were also found favourable for the growth of test pathogen </w:t>
      </w:r>
      <w:r w:rsidRPr="00FD2A42">
        <w:rPr>
          <w:rFonts w:ascii="Times New Roman" w:hAnsi="Times New Roman" w:cs="Times New Roman"/>
          <w:i/>
          <w:iCs/>
          <w:sz w:val="24"/>
          <w:szCs w:val="24"/>
        </w:rPr>
        <w:t xml:space="preserve">F. </w:t>
      </w:r>
      <w:proofErr w:type="spellStart"/>
      <w:r w:rsidRPr="00FD2A42">
        <w:rPr>
          <w:rFonts w:ascii="Times New Roman" w:hAnsi="Times New Roman" w:cs="Times New Roman"/>
          <w:i/>
          <w:iCs/>
          <w:sz w:val="24"/>
          <w:szCs w:val="24"/>
        </w:rPr>
        <w:t>oxysporum</w:t>
      </w:r>
      <w:proofErr w:type="spellEnd"/>
      <w:r w:rsidRPr="00FD2A42">
        <w:rPr>
          <w:rFonts w:ascii="Times New Roman" w:hAnsi="Times New Roman" w:cs="Times New Roman"/>
          <w:sz w:val="24"/>
          <w:szCs w:val="24"/>
        </w:rPr>
        <w:t xml:space="preserve"> f. sp. </w:t>
      </w:r>
      <w:proofErr w:type="spellStart"/>
      <w:r w:rsidRPr="00FD2A42">
        <w:rPr>
          <w:rFonts w:ascii="Times New Roman" w:hAnsi="Times New Roman" w:cs="Times New Roman"/>
          <w:i/>
          <w:iCs/>
          <w:sz w:val="24"/>
          <w:szCs w:val="24"/>
        </w:rPr>
        <w:t>glycines</w:t>
      </w:r>
      <w:proofErr w:type="spellEnd"/>
      <w:r w:rsidRPr="00FD2A42">
        <w:rPr>
          <w:rFonts w:ascii="Times New Roman" w:hAnsi="Times New Roman" w:cs="Times New Roman"/>
          <w:i/>
          <w:iCs/>
          <w:sz w:val="24"/>
          <w:szCs w:val="24"/>
        </w:rPr>
        <w:t>.</w:t>
      </w:r>
    </w:p>
    <w:p w14:paraId="352E5AEF" w14:textId="77777777" w:rsidR="0098093E" w:rsidRPr="00FD2A42" w:rsidRDefault="0098093E" w:rsidP="0098093E">
      <w:pPr>
        <w:rPr>
          <w:rFonts w:ascii="Times New Roman" w:hAnsi="Times New Roman" w:cs="Times New Roman"/>
          <w:sz w:val="24"/>
          <w:szCs w:val="24"/>
        </w:rPr>
      </w:pPr>
      <w:r w:rsidRPr="00FD2A42">
        <w:rPr>
          <w:rFonts w:ascii="Times New Roman" w:hAnsi="Times New Roman" w:cs="Times New Roman"/>
          <w:b/>
          <w:sz w:val="24"/>
          <w:szCs w:val="24"/>
        </w:rPr>
        <w:t>Table 3</w:t>
      </w:r>
      <w:r w:rsidRPr="00FD2A42">
        <w:rPr>
          <w:rFonts w:ascii="Times New Roman" w:hAnsi="Times New Roman" w:cs="Times New Roman"/>
          <w:b/>
          <w:bCs/>
          <w:sz w:val="24"/>
          <w:szCs w:val="24"/>
        </w:rPr>
        <w:t>. Effect of pH on Mycelial Growth of Fungi</w:t>
      </w:r>
    </w:p>
    <w:tbl>
      <w:tblPr>
        <w:tblStyle w:val="TableGrid"/>
        <w:tblpPr w:leftFromText="180" w:rightFromText="180" w:vertAnchor="page" w:horzAnchor="margin" w:tblpY="3647"/>
        <w:tblW w:w="8904" w:type="dxa"/>
        <w:tblLook w:val="04A0" w:firstRow="1" w:lastRow="0" w:firstColumn="1" w:lastColumn="0" w:noHBand="0" w:noVBand="1"/>
      </w:tblPr>
      <w:tblGrid>
        <w:gridCol w:w="850"/>
        <w:gridCol w:w="3261"/>
        <w:gridCol w:w="4793"/>
      </w:tblGrid>
      <w:tr w:rsidR="0098093E" w:rsidRPr="00FD2A42" w14:paraId="0CB60F9D" w14:textId="77777777" w:rsidTr="007E353C">
        <w:trPr>
          <w:trHeight w:val="670"/>
        </w:trPr>
        <w:tc>
          <w:tcPr>
            <w:tcW w:w="850" w:type="dxa"/>
          </w:tcPr>
          <w:p w14:paraId="7C085732" w14:textId="77777777" w:rsidR="0098093E" w:rsidRPr="00FD2A42" w:rsidRDefault="0098093E" w:rsidP="007E353C">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lastRenderedPageBreak/>
              <w:t>T. No.</w:t>
            </w:r>
          </w:p>
        </w:tc>
        <w:tc>
          <w:tcPr>
            <w:tcW w:w="3261" w:type="dxa"/>
          </w:tcPr>
          <w:p w14:paraId="67061791" w14:textId="77777777" w:rsidR="0098093E" w:rsidRPr="00FD2A42" w:rsidRDefault="0098093E" w:rsidP="007E353C">
            <w:pPr>
              <w:spacing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pH</w:t>
            </w:r>
          </w:p>
          <w:p w14:paraId="6FC2FFFF" w14:textId="77777777" w:rsidR="0098093E" w:rsidRPr="00FD2A42" w:rsidRDefault="0098093E" w:rsidP="007E353C">
            <w:pPr>
              <w:spacing w:line="360" w:lineRule="auto"/>
              <w:jc w:val="center"/>
              <w:rPr>
                <w:rFonts w:ascii="Times New Roman" w:hAnsi="Times New Roman" w:cs="Times New Roman"/>
                <w:b/>
                <w:sz w:val="24"/>
                <w:szCs w:val="24"/>
              </w:rPr>
            </w:pPr>
          </w:p>
        </w:tc>
        <w:tc>
          <w:tcPr>
            <w:tcW w:w="4793" w:type="dxa"/>
          </w:tcPr>
          <w:p w14:paraId="26E3D02D" w14:textId="77777777" w:rsidR="0098093E" w:rsidRPr="00FD2A42" w:rsidRDefault="0098093E" w:rsidP="007E353C">
            <w:pPr>
              <w:spacing w:line="360" w:lineRule="auto"/>
              <w:jc w:val="center"/>
              <w:rPr>
                <w:rFonts w:ascii="Times New Roman" w:hAnsi="Times New Roman" w:cs="Times New Roman"/>
                <w:b/>
                <w:i/>
                <w:sz w:val="24"/>
                <w:szCs w:val="24"/>
              </w:rPr>
            </w:pPr>
            <w:r w:rsidRPr="00FD2A42">
              <w:rPr>
                <w:rFonts w:ascii="Times New Roman" w:hAnsi="Times New Roman" w:cs="Times New Roman"/>
                <w:b/>
                <w:sz w:val="24"/>
                <w:szCs w:val="24"/>
              </w:rPr>
              <w:t>Mycelial growth (mm) ± S.E. (m)</w:t>
            </w:r>
          </w:p>
        </w:tc>
      </w:tr>
      <w:tr w:rsidR="0098093E" w:rsidRPr="00FD2A42" w14:paraId="589DC26B" w14:textId="77777777" w:rsidTr="007E353C">
        <w:trPr>
          <w:trHeight w:val="700"/>
        </w:trPr>
        <w:tc>
          <w:tcPr>
            <w:tcW w:w="850" w:type="dxa"/>
          </w:tcPr>
          <w:p w14:paraId="3F81B587"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1</w:t>
            </w:r>
          </w:p>
        </w:tc>
        <w:tc>
          <w:tcPr>
            <w:tcW w:w="3261" w:type="dxa"/>
          </w:tcPr>
          <w:p w14:paraId="6E1DDE6C" w14:textId="77777777" w:rsidR="0098093E" w:rsidRPr="00FD2A42" w:rsidRDefault="0098093E" w:rsidP="007E353C">
            <w:pPr>
              <w:spacing w:before="240" w:line="360" w:lineRule="auto"/>
              <w:jc w:val="center"/>
              <w:rPr>
                <w:rFonts w:ascii="Times New Roman" w:hAnsi="Times New Roman" w:cs="Times New Roman"/>
                <w:bCs/>
                <w:iCs/>
                <w:sz w:val="24"/>
                <w:szCs w:val="24"/>
              </w:rPr>
            </w:pPr>
            <w:r w:rsidRPr="00FD2A42">
              <w:rPr>
                <w:rFonts w:ascii="Times New Roman" w:hAnsi="Times New Roman" w:cs="Times New Roman"/>
                <w:bCs/>
                <w:iCs/>
                <w:sz w:val="24"/>
                <w:szCs w:val="24"/>
              </w:rPr>
              <w:t>5.0</w:t>
            </w:r>
          </w:p>
        </w:tc>
        <w:tc>
          <w:tcPr>
            <w:tcW w:w="4793" w:type="dxa"/>
          </w:tcPr>
          <w:p w14:paraId="0AEAC209" w14:textId="77777777" w:rsidR="0098093E" w:rsidRPr="00FD2A42" w:rsidRDefault="0098093E" w:rsidP="007E353C">
            <w:pPr>
              <w:jc w:val="center"/>
              <w:rPr>
                <w:rFonts w:ascii="Times New Roman" w:hAnsi="Times New Roman" w:cs="Times New Roman"/>
                <w:bCs/>
                <w:color w:val="000000"/>
                <w:sz w:val="24"/>
                <w:szCs w:val="24"/>
              </w:rPr>
            </w:pPr>
          </w:p>
          <w:p w14:paraId="6B227CDA" w14:textId="77777777" w:rsidR="0098093E" w:rsidRPr="00FD2A42" w:rsidRDefault="0098093E" w:rsidP="007E353C">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51.02±0.30</w:t>
            </w:r>
          </w:p>
          <w:p w14:paraId="251CB022" w14:textId="77777777" w:rsidR="0098093E" w:rsidRPr="00FD2A42" w:rsidRDefault="0098093E" w:rsidP="007E353C">
            <w:pPr>
              <w:jc w:val="center"/>
              <w:rPr>
                <w:rFonts w:ascii="Times New Roman" w:hAnsi="Times New Roman" w:cs="Times New Roman"/>
                <w:bCs/>
                <w:color w:val="000000"/>
                <w:sz w:val="24"/>
                <w:szCs w:val="24"/>
              </w:rPr>
            </w:pPr>
          </w:p>
        </w:tc>
      </w:tr>
      <w:tr w:rsidR="0098093E" w:rsidRPr="00FD2A42" w14:paraId="501CADB1" w14:textId="77777777" w:rsidTr="007E353C">
        <w:trPr>
          <w:trHeight w:val="700"/>
        </w:trPr>
        <w:tc>
          <w:tcPr>
            <w:tcW w:w="850" w:type="dxa"/>
          </w:tcPr>
          <w:p w14:paraId="37387A4F"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2</w:t>
            </w:r>
          </w:p>
        </w:tc>
        <w:tc>
          <w:tcPr>
            <w:tcW w:w="3261" w:type="dxa"/>
          </w:tcPr>
          <w:p w14:paraId="0CB8F0B5" w14:textId="77777777" w:rsidR="0098093E" w:rsidRPr="00FD2A42" w:rsidRDefault="0098093E" w:rsidP="007E353C">
            <w:pPr>
              <w:spacing w:before="240" w:line="360" w:lineRule="auto"/>
              <w:jc w:val="center"/>
              <w:rPr>
                <w:rFonts w:ascii="Times New Roman" w:hAnsi="Times New Roman" w:cs="Times New Roman"/>
                <w:bCs/>
                <w:iCs/>
                <w:sz w:val="24"/>
                <w:szCs w:val="24"/>
              </w:rPr>
            </w:pPr>
            <w:r w:rsidRPr="00FD2A42">
              <w:rPr>
                <w:rFonts w:ascii="Times New Roman" w:hAnsi="Times New Roman" w:cs="Times New Roman"/>
                <w:bCs/>
                <w:iCs/>
                <w:sz w:val="24"/>
                <w:szCs w:val="24"/>
              </w:rPr>
              <w:t>5.5</w:t>
            </w:r>
          </w:p>
        </w:tc>
        <w:tc>
          <w:tcPr>
            <w:tcW w:w="4793" w:type="dxa"/>
          </w:tcPr>
          <w:p w14:paraId="2DF71896" w14:textId="77777777" w:rsidR="0098093E" w:rsidRPr="00FD2A42" w:rsidRDefault="0098093E" w:rsidP="007E353C">
            <w:pPr>
              <w:jc w:val="center"/>
              <w:rPr>
                <w:rFonts w:ascii="Times New Roman" w:hAnsi="Times New Roman" w:cs="Times New Roman"/>
                <w:bCs/>
                <w:color w:val="000000"/>
                <w:sz w:val="24"/>
                <w:szCs w:val="24"/>
              </w:rPr>
            </w:pPr>
          </w:p>
          <w:p w14:paraId="7B76FB3F" w14:textId="77777777" w:rsidR="0098093E" w:rsidRPr="00FD2A42" w:rsidRDefault="0098093E" w:rsidP="007E353C">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55.15±0.19</w:t>
            </w:r>
          </w:p>
          <w:p w14:paraId="1E91880A" w14:textId="77777777" w:rsidR="0098093E" w:rsidRPr="00FD2A42" w:rsidRDefault="0098093E" w:rsidP="007E353C">
            <w:pPr>
              <w:jc w:val="center"/>
              <w:rPr>
                <w:rFonts w:ascii="Times New Roman" w:hAnsi="Times New Roman" w:cs="Times New Roman"/>
                <w:bCs/>
                <w:color w:val="000000"/>
                <w:sz w:val="24"/>
                <w:szCs w:val="24"/>
              </w:rPr>
            </w:pPr>
          </w:p>
        </w:tc>
      </w:tr>
      <w:tr w:rsidR="0098093E" w:rsidRPr="00FD2A42" w14:paraId="4FDDCE61" w14:textId="77777777" w:rsidTr="007E353C">
        <w:trPr>
          <w:trHeight w:val="670"/>
        </w:trPr>
        <w:tc>
          <w:tcPr>
            <w:tcW w:w="850" w:type="dxa"/>
          </w:tcPr>
          <w:p w14:paraId="774032C5"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3</w:t>
            </w:r>
          </w:p>
        </w:tc>
        <w:tc>
          <w:tcPr>
            <w:tcW w:w="3261" w:type="dxa"/>
          </w:tcPr>
          <w:p w14:paraId="74E896BD" w14:textId="77777777" w:rsidR="0098093E" w:rsidRPr="00FD2A42" w:rsidRDefault="0098093E" w:rsidP="007E353C">
            <w:pPr>
              <w:spacing w:before="240" w:line="360" w:lineRule="auto"/>
              <w:jc w:val="center"/>
              <w:rPr>
                <w:rFonts w:ascii="Times New Roman" w:hAnsi="Times New Roman" w:cs="Times New Roman"/>
                <w:bCs/>
                <w:iCs/>
                <w:sz w:val="24"/>
                <w:szCs w:val="24"/>
              </w:rPr>
            </w:pPr>
            <w:r w:rsidRPr="00FD2A42">
              <w:rPr>
                <w:rFonts w:ascii="Times New Roman" w:hAnsi="Times New Roman" w:cs="Times New Roman"/>
                <w:bCs/>
                <w:iCs/>
                <w:sz w:val="24"/>
                <w:szCs w:val="24"/>
              </w:rPr>
              <w:t>6.0</w:t>
            </w:r>
          </w:p>
        </w:tc>
        <w:tc>
          <w:tcPr>
            <w:tcW w:w="4793" w:type="dxa"/>
          </w:tcPr>
          <w:p w14:paraId="19EBD583" w14:textId="77777777" w:rsidR="0098093E" w:rsidRPr="00FD2A42" w:rsidRDefault="0098093E" w:rsidP="007E353C">
            <w:pPr>
              <w:jc w:val="center"/>
              <w:rPr>
                <w:rFonts w:ascii="Times New Roman" w:hAnsi="Times New Roman" w:cs="Times New Roman"/>
                <w:bCs/>
                <w:color w:val="000000"/>
                <w:sz w:val="24"/>
                <w:szCs w:val="24"/>
              </w:rPr>
            </w:pPr>
          </w:p>
          <w:p w14:paraId="076AB804" w14:textId="77777777" w:rsidR="0098093E" w:rsidRPr="00FD2A42" w:rsidRDefault="0098093E" w:rsidP="007E353C">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69.90±0.23</w:t>
            </w:r>
          </w:p>
          <w:p w14:paraId="2422387D" w14:textId="77777777" w:rsidR="0098093E" w:rsidRPr="00FD2A42" w:rsidRDefault="0098093E" w:rsidP="007E353C">
            <w:pPr>
              <w:jc w:val="center"/>
              <w:rPr>
                <w:rFonts w:ascii="Times New Roman" w:hAnsi="Times New Roman" w:cs="Times New Roman"/>
                <w:bCs/>
                <w:color w:val="000000"/>
                <w:sz w:val="24"/>
                <w:szCs w:val="24"/>
              </w:rPr>
            </w:pPr>
          </w:p>
        </w:tc>
      </w:tr>
      <w:tr w:rsidR="0098093E" w:rsidRPr="00FD2A42" w14:paraId="761DF3DB" w14:textId="77777777" w:rsidTr="007E353C">
        <w:trPr>
          <w:trHeight w:val="700"/>
        </w:trPr>
        <w:tc>
          <w:tcPr>
            <w:tcW w:w="850" w:type="dxa"/>
          </w:tcPr>
          <w:p w14:paraId="0B433735"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4</w:t>
            </w:r>
          </w:p>
        </w:tc>
        <w:tc>
          <w:tcPr>
            <w:tcW w:w="3261" w:type="dxa"/>
          </w:tcPr>
          <w:p w14:paraId="2CA9A92C" w14:textId="77777777" w:rsidR="0098093E" w:rsidRPr="00FD2A42" w:rsidRDefault="0098093E" w:rsidP="007E353C">
            <w:pPr>
              <w:spacing w:before="240" w:line="360" w:lineRule="auto"/>
              <w:jc w:val="center"/>
              <w:rPr>
                <w:rFonts w:ascii="Times New Roman" w:hAnsi="Times New Roman" w:cs="Times New Roman"/>
                <w:bCs/>
                <w:iCs/>
                <w:sz w:val="24"/>
                <w:szCs w:val="24"/>
              </w:rPr>
            </w:pPr>
            <w:r w:rsidRPr="00FD2A42">
              <w:rPr>
                <w:rFonts w:ascii="Times New Roman" w:hAnsi="Times New Roman" w:cs="Times New Roman"/>
                <w:bCs/>
                <w:iCs/>
                <w:sz w:val="24"/>
                <w:szCs w:val="24"/>
              </w:rPr>
              <w:t>6.5</w:t>
            </w:r>
          </w:p>
        </w:tc>
        <w:tc>
          <w:tcPr>
            <w:tcW w:w="4793" w:type="dxa"/>
          </w:tcPr>
          <w:p w14:paraId="03CBCA50" w14:textId="77777777" w:rsidR="0098093E" w:rsidRPr="00FD2A42" w:rsidRDefault="0098093E" w:rsidP="007E353C">
            <w:pPr>
              <w:jc w:val="center"/>
              <w:rPr>
                <w:rFonts w:ascii="Times New Roman" w:hAnsi="Times New Roman" w:cs="Times New Roman"/>
                <w:bCs/>
                <w:color w:val="000000"/>
                <w:sz w:val="24"/>
                <w:szCs w:val="24"/>
              </w:rPr>
            </w:pPr>
          </w:p>
          <w:p w14:paraId="3C1D23EC" w14:textId="77777777" w:rsidR="0098093E" w:rsidRPr="00FD2A42" w:rsidRDefault="0098093E" w:rsidP="007E353C">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64.89±0.21</w:t>
            </w:r>
          </w:p>
          <w:p w14:paraId="44F7EBCD" w14:textId="77777777" w:rsidR="0098093E" w:rsidRPr="00FD2A42" w:rsidRDefault="0098093E" w:rsidP="007E353C">
            <w:pPr>
              <w:jc w:val="center"/>
              <w:rPr>
                <w:rFonts w:ascii="Times New Roman" w:hAnsi="Times New Roman" w:cs="Times New Roman"/>
                <w:bCs/>
                <w:color w:val="000000"/>
                <w:sz w:val="24"/>
                <w:szCs w:val="24"/>
              </w:rPr>
            </w:pPr>
          </w:p>
        </w:tc>
      </w:tr>
      <w:tr w:rsidR="0098093E" w:rsidRPr="00FD2A42" w14:paraId="71B4D866" w14:textId="77777777" w:rsidTr="007E353C">
        <w:trPr>
          <w:trHeight w:val="700"/>
        </w:trPr>
        <w:tc>
          <w:tcPr>
            <w:tcW w:w="850" w:type="dxa"/>
          </w:tcPr>
          <w:p w14:paraId="76211756"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T</w:t>
            </w:r>
            <w:r w:rsidRPr="00FD2A42">
              <w:rPr>
                <w:rFonts w:ascii="Times New Roman" w:hAnsi="Times New Roman" w:cs="Times New Roman"/>
                <w:b/>
                <w:sz w:val="24"/>
                <w:szCs w:val="24"/>
                <w:vertAlign w:val="subscript"/>
              </w:rPr>
              <w:t>5</w:t>
            </w:r>
          </w:p>
        </w:tc>
        <w:tc>
          <w:tcPr>
            <w:tcW w:w="3261" w:type="dxa"/>
          </w:tcPr>
          <w:p w14:paraId="6E8924F7" w14:textId="77777777" w:rsidR="0098093E" w:rsidRPr="00FD2A42" w:rsidRDefault="0098093E" w:rsidP="007E353C">
            <w:pPr>
              <w:spacing w:before="240" w:line="360" w:lineRule="auto"/>
              <w:jc w:val="center"/>
              <w:rPr>
                <w:rFonts w:ascii="Times New Roman" w:hAnsi="Times New Roman" w:cs="Times New Roman"/>
                <w:bCs/>
                <w:iCs/>
                <w:sz w:val="24"/>
                <w:szCs w:val="24"/>
              </w:rPr>
            </w:pPr>
            <w:r w:rsidRPr="00FD2A42">
              <w:rPr>
                <w:rFonts w:ascii="Times New Roman" w:hAnsi="Times New Roman" w:cs="Times New Roman"/>
                <w:bCs/>
                <w:iCs/>
                <w:sz w:val="24"/>
                <w:szCs w:val="24"/>
              </w:rPr>
              <w:t>7.0</w:t>
            </w:r>
          </w:p>
        </w:tc>
        <w:tc>
          <w:tcPr>
            <w:tcW w:w="4793" w:type="dxa"/>
          </w:tcPr>
          <w:p w14:paraId="1E5C1922" w14:textId="77777777" w:rsidR="0098093E" w:rsidRPr="00FD2A42" w:rsidRDefault="0098093E" w:rsidP="007E353C">
            <w:pPr>
              <w:jc w:val="center"/>
              <w:rPr>
                <w:rFonts w:ascii="Times New Roman" w:hAnsi="Times New Roman" w:cs="Times New Roman"/>
                <w:bCs/>
                <w:color w:val="000000"/>
                <w:sz w:val="24"/>
                <w:szCs w:val="24"/>
              </w:rPr>
            </w:pPr>
          </w:p>
          <w:p w14:paraId="4E3CFB80" w14:textId="77777777" w:rsidR="0098093E" w:rsidRPr="00FD2A42" w:rsidRDefault="0098093E" w:rsidP="007E353C">
            <w:pPr>
              <w:jc w:val="center"/>
              <w:rPr>
                <w:rFonts w:ascii="Times New Roman" w:hAnsi="Times New Roman" w:cs="Times New Roman"/>
                <w:bCs/>
                <w:color w:val="000000"/>
                <w:sz w:val="24"/>
                <w:szCs w:val="24"/>
              </w:rPr>
            </w:pPr>
            <w:r w:rsidRPr="00FD2A42">
              <w:rPr>
                <w:rFonts w:ascii="Times New Roman" w:hAnsi="Times New Roman" w:cs="Times New Roman"/>
                <w:bCs/>
                <w:sz w:val="24"/>
                <w:szCs w:val="24"/>
              </w:rPr>
              <w:t>62.46±0.32</w:t>
            </w:r>
          </w:p>
          <w:p w14:paraId="148948A7" w14:textId="77777777" w:rsidR="0098093E" w:rsidRPr="00FD2A42" w:rsidRDefault="0098093E" w:rsidP="007E353C">
            <w:pPr>
              <w:jc w:val="center"/>
              <w:rPr>
                <w:rFonts w:ascii="Times New Roman" w:hAnsi="Times New Roman" w:cs="Times New Roman"/>
                <w:bCs/>
                <w:color w:val="000000"/>
                <w:sz w:val="24"/>
                <w:szCs w:val="24"/>
              </w:rPr>
            </w:pPr>
          </w:p>
        </w:tc>
      </w:tr>
      <w:tr w:rsidR="0098093E" w:rsidRPr="00FD2A42" w14:paraId="5320D3F6" w14:textId="77777777" w:rsidTr="007E353C">
        <w:trPr>
          <w:trHeight w:val="670"/>
        </w:trPr>
        <w:tc>
          <w:tcPr>
            <w:tcW w:w="4111" w:type="dxa"/>
            <w:gridSpan w:val="2"/>
          </w:tcPr>
          <w:p w14:paraId="41DEC7ED"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SE (d)</w:t>
            </w:r>
          </w:p>
        </w:tc>
        <w:tc>
          <w:tcPr>
            <w:tcW w:w="4793" w:type="dxa"/>
          </w:tcPr>
          <w:p w14:paraId="1AA8A724" w14:textId="77777777" w:rsidR="0098093E" w:rsidRPr="00FD2A42" w:rsidRDefault="0098093E" w:rsidP="007E353C">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0.36</w:t>
            </w:r>
          </w:p>
        </w:tc>
      </w:tr>
      <w:tr w:rsidR="0098093E" w:rsidRPr="00FD2A42" w14:paraId="36EA99C8" w14:textId="77777777" w:rsidTr="007E353C">
        <w:trPr>
          <w:trHeight w:val="670"/>
        </w:trPr>
        <w:tc>
          <w:tcPr>
            <w:tcW w:w="4111" w:type="dxa"/>
            <w:gridSpan w:val="2"/>
          </w:tcPr>
          <w:p w14:paraId="2D7073F0" w14:textId="77777777" w:rsidR="0098093E" w:rsidRPr="00FD2A42" w:rsidRDefault="0098093E" w:rsidP="007E353C">
            <w:pPr>
              <w:spacing w:before="240" w:line="360" w:lineRule="auto"/>
              <w:jc w:val="center"/>
              <w:rPr>
                <w:rFonts w:ascii="Times New Roman" w:hAnsi="Times New Roman" w:cs="Times New Roman"/>
                <w:b/>
                <w:sz w:val="24"/>
                <w:szCs w:val="24"/>
              </w:rPr>
            </w:pPr>
            <w:r w:rsidRPr="00FD2A42">
              <w:rPr>
                <w:rFonts w:ascii="Times New Roman" w:hAnsi="Times New Roman" w:cs="Times New Roman"/>
                <w:b/>
                <w:sz w:val="24"/>
                <w:szCs w:val="24"/>
              </w:rPr>
              <w:t xml:space="preserve">C.D </w:t>
            </w:r>
            <w:r w:rsidRPr="00FD2A42">
              <w:rPr>
                <w:rFonts w:ascii="Times New Roman" w:hAnsi="Times New Roman" w:cs="Times New Roman"/>
                <w:b/>
                <w:sz w:val="24"/>
                <w:szCs w:val="24"/>
                <w:vertAlign w:val="subscript"/>
              </w:rPr>
              <w:t>(0.05)</w:t>
            </w:r>
          </w:p>
        </w:tc>
        <w:tc>
          <w:tcPr>
            <w:tcW w:w="4793" w:type="dxa"/>
          </w:tcPr>
          <w:p w14:paraId="4E1C836C" w14:textId="77777777" w:rsidR="0098093E" w:rsidRPr="00FD2A42" w:rsidRDefault="0098093E" w:rsidP="007E353C">
            <w:pPr>
              <w:jc w:val="center"/>
              <w:rPr>
                <w:rFonts w:ascii="Times New Roman" w:hAnsi="Times New Roman" w:cs="Times New Roman"/>
                <w:b/>
                <w:bCs/>
                <w:color w:val="000000"/>
                <w:sz w:val="24"/>
                <w:szCs w:val="24"/>
              </w:rPr>
            </w:pPr>
            <w:r w:rsidRPr="00FD2A42">
              <w:rPr>
                <w:rFonts w:ascii="Times New Roman" w:hAnsi="Times New Roman" w:cs="Times New Roman"/>
                <w:b/>
                <w:bCs/>
                <w:color w:val="000000"/>
                <w:sz w:val="24"/>
                <w:szCs w:val="24"/>
              </w:rPr>
              <w:t>0.78</w:t>
            </w:r>
          </w:p>
        </w:tc>
      </w:tr>
    </w:tbl>
    <w:p w14:paraId="4FDB3353" w14:textId="77777777" w:rsidR="001D2512" w:rsidRPr="00FD2A42" w:rsidRDefault="001D2512">
      <w:pPr>
        <w:rPr>
          <w:rFonts w:ascii="Times New Roman" w:hAnsi="Times New Roman" w:cs="Times New Roman"/>
        </w:rPr>
      </w:pPr>
    </w:p>
    <w:p w14:paraId="26EE8DE3" w14:textId="77777777" w:rsidR="0098093E" w:rsidRPr="00FD2A42" w:rsidRDefault="0098093E">
      <w:pPr>
        <w:rPr>
          <w:rFonts w:ascii="Times New Roman" w:hAnsi="Times New Roman" w:cs="Times New Roman"/>
        </w:rPr>
      </w:pPr>
    </w:p>
    <w:p w14:paraId="795F7F1C" w14:textId="4C279E3E" w:rsidR="0098093E" w:rsidRPr="00FD2A42" w:rsidRDefault="0098093E">
      <w:pPr>
        <w:rPr>
          <w:rFonts w:ascii="Times New Roman" w:hAnsi="Times New Roman" w:cs="Times New Roman"/>
        </w:rPr>
      </w:pPr>
      <w:r w:rsidRPr="00FD2A42">
        <w:rPr>
          <w:rFonts w:ascii="Times New Roman" w:hAnsi="Times New Roman" w:cs="Times New Roman"/>
          <w:noProof/>
        </w:rPr>
        <w:drawing>
          <wp:anchor distT="0" distB="0" distL="114300" distR="114300" simplePos="0" relativeHeight="251663360" behindDoc="1" locked="0" layoutInCell="1" allowOverlap="1" wp14:anchorId="0978ED2A" wp14:editId="0BCFF55E">
            <wp:simplePos x="0" y="0"/>
            <wp:positionH relativeFrom="margin">
              <wp:posOffset>0</wp:posOffset>
            </wp:positionH>
            <wp:positionV relativeFrom="paragraph">
              <wp:posOffset>281940</wp:posOffset>
            </wp:positionV>
            <wp:extent cx="5557520" cy="3023870"/>
            <wp:effectExtent l="0" t="0" r="5080" b="5080"/>
            <wp:wrapTight wrapText="bothSides">
              <wp:wrapPolygon edited="0">
                <wp:start x="0" y="0"/>
                <wp:lineTo x="0" y="21500"/>
                <wp:lineTo x="21546" y="21500"/>
                <wp:lineTo x="21546" y="0"/>
                <wp:lineTo x="0" y="0"/>
              </wp:wrapPolygon>
            </wp:wrapTight>
            <wp:docPr id="2082493131" name="Chart 1">
              <a:extLst xmlns:a="http://schemas.openxmlformats.org/drawingml/2006/main">
                <a:ext uri="{FF2B5EF4-FFF2-40B4-BE49-F238E27FC236}">
                  <a16:creationId xmlns:a16="http://schemas.microsoft.com/office/drawing/2014/main" id="{8CE05E5A-07F6-DA1D-0A35-5E2FA6304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E9649C1" w14:textId="77777777" w:rsidR="0098093E" w:rsidRPr="00FD2A42" w:rsidRDefault="0098093E" w:rsidP="0098093E">
      <w:pPr>
        <w:rPr>
          <w:rFonts w:ascii="Times New Roman" w:hAnsi="Times New Roman" w:cs="Times New Roman"/>
        </w:rPr>
      </w:pPr>
    </w:p>
    <w:p w14:paraId="4C6639F7" w14:textId="377D92DA" w:rsidR="0098093E" w:rsidRPr="00FD2A42" w:rsidRDefault="0098093E" w:rsidP="0098093E">
      <w:pPr>
        <w:tabs>
          <w:tab w:val="left" w:pos="2319"/>
        </w:tabs>
        <w:rPr>
          <w:rFonts w:ascii="Times New Roman" w:hAnsi="Times New Roman" w:cs="Times New Roman"/>
        </w:rPr>
      </w:pPr>
      <w:r w:rsidRPr="00FD2A42">
        <w:rPr>
          <w:rFonts w:ascii="Times New Roman" w:hAnsi="Times New Roman" w:cs="Times New Roman"/>
        </w:rPr>
        <w:tab/>
      </w:r>
    </w:p>
    <w:p w14:paraId="67133C6A" w14:textId="77777777" w:rsidR="0098093E" w:rsidRPr="00FD2A42" w:rsidRDefault="0098093E" w:rsidP="0098093E">
      <w:pPr>
        <w:rPr>
          <w:rFonts w:ascii="Times New Roman" w:hAnsi="Times New Roman" w:cs="Times New Roman"/>
          <w:b/>
          <w:bCs/>
          <w:sz w:val="24"/>
          <w:szCs w:val="24"/>
          <w:u w:val="single"/>
        </w:rPr>
      </w:pPr>
      <w:r w:rsidRPr="00FD2A42">
        <w:rPr>
          <w:rFonts w:ascii="Times New Roman" w:hAnsi="Times New Roman" w:cs="Times New Roman"/>
          <w:b/>
          <w:bCs/>
          <w:sz w:val="24"/>
          <w:szCs w:val="24"/>
          <w:u w:val="single"/>
        </w:rPr>
        <w:t>CONCLUSION</w:t>
      </w:r>
    </w:p>
    <w:p w14:paraId="2F333643" w14:textId="7DA21799" w:rsidR="0098093E" w:rsidRPr="00FD2A42" w:rsidRDefault="0098093E" w:rsidP="0098093E">
      <w:pPr>
        <w:spacing w:line="360" w:lineRule="auto"/>
        <w:ind w:firstLine="720"/>
        <w:jc w:val="both"/>
        <w:rPr>
          <w:rFonts w:ascii="Times New Roman" w:eastAsia="Times New Roman" w:hAnsi="Times New Roman" w:cs="Times New Roman"/>
          <w:sz w:val="24"/>
          <w:szCs w:val="24"/>
        </w:rPr>
      </w:pPr>
      <w:r w:rsidRPr="00FD2A42">
        <w:rPr>
          <w:rFonts w:ascii="Times New Roman" w:eastAsia="Times New Roman" w:hAnsi="Times New Roman" w:cs="Times New Roman"/>
          <w:sz w:val="24"/>
          <w:szCs w:val="24"/>
        </w:rPr>
        <w:t xml:space="preserve">The findings confirmed that </w:t>
      </w:r>
      <w:r w:rsidRPr="00FD2A42">
        <w:rPr>
          <w:rFonts w:ascii="Times New Roman" w:eastAsia="Times New Roman" w:hAnsi="Times New Roman" w:cs="Times New Roman"/>
          <w:i/>
          <w:iCs/>
          <w:sz w:val="24"/>
          <w:szCs w:val="24"/>
        </w:rPr>
        <w:t xml:space="preserve">Fusarium </w:t>
      </w:r>
      <w:proofErr w:type="spellStart"/>
      <w:r w:rsidRPr="00FD2A42">
        <w:rPr>
          <w:rFonts w:ascii="Times New Roman" w:eastAsia="Times New Roman" w:hAnsi="Times New Roman" w:cs="Times New Roman"/>
          <w:i/>
          <w:iCs/>
          <w:sz w:val="24"/>
          <w:szCs w:val="24"/>
        </w:rPr>
        <w:t>oxysporum</w:t>
      </w:r>
      <w:proofErr w:type="spellEnd"/>
      <w:r w:rsidRPr="00FD2A42">
        <w:rPr>
          <w:rFonts w:ascii="Times New Roman" w:eastAsia="Times New Roman" w:hAnsi="Times New Roman" w:cs="Times New Roman"/>
          <w:sz w:val="24"/>
          <w:szCs w:val="24"/>
        </w:rPr>
        <w:t xml:space="preserve"> f. sp. </w:t>
      </w:r>
      <w:r w:rsidRPr="00FD2A42">
        <w:rPr>
          <w:rFonts w:ascii="Times New Roman" w:eastAsia="Times New Roman" w:hAnsi="Times New Roman" w:cs="Times New Roman"/>
          <w:i/>
          <w:iCs/>
          <w:sz w:val="24"/>
          <w:szCs w:val="24"/>
        </w:rPr>
        <w:t>Dianthus</w:t>
      </w:r>
      <w:r w:rsidRPr="00FD2A42">
        <w:rPr>
          <w:rFonts w:ascii="Times New Roman" w:eastAsia="Times New Roman" w:hAnsi="Times New Roman" w:cs="Times New Roman"/>
          <w:sz w:val="24"/>
          <w:szCs w:val="24"/>
        </w:rPr>
        <w:t xml:space="preserve"> is the pathogen that causes wilt in carnation, which causes symptoms such as gradual leaf yellowing, darker vascular tissues, and complete plant death. The fungus developed with a smooth, dense mycelium, producing clearly visible microconidia and macroconidia. Of all the cultural medium tested, PDA supported the fastest growth. The pathogen also grew best at pH 6.0, and at 30 °C, it showed the most mycelial growth among all temperature treatments.</w:t>
      </w:r>
    </w:p>
    <w:p w14:paraId="5AB57298" w14:textId="77777777" w:rsidR="0098093E" w:rsidRPr="00FD2A42" w:rsidRDefault="0098093E" w:rsidP="0098093E">
      <w:pPr>
        <w:rPr>
          <w:rFonts w:ascii="Times New Roman" w:hAnsi="Times New Roman" w:cs="Times New Roman"/>
          <w:b/>
          <w:bCs/>
          <w:sz w:val="24"/>
          <w:szCs w:val="24"/>
          <w:u w:val="single"/>
        </w:rPr>
      </w:pPr>
      <w:r w:rsidRPr="00FD2A42">
        <w:rPr>
          <w:rFonts w:ascii="Times New Roman" w:hAnsi="Times New Roman" w:cs="Times New Roman"/>
          <w:b/>
          <w:bCs/>
          <w:sz w:val="24"/>
          <w:szCs w:val="24"/>
          <w:u w:val="single"/>
        </w:rPr>
        <w:t>REFERENCES</w:t>
      </w:r>
    </w:p>
    <w:p w14:paraId="66AC5274" w14:textId="35D40921" w:rsidR="00055F81" w:rsidRPr="00BB3ACE" w:rsidRDefault="00055F81" w:rsidP="00BB3ACE">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BB3ACE">
        <w:rPr>
          <w:rFonts w:ascii="Times New Roman" w:hAnsi="Times New Roman" w:cs="Times New Roman"/>
          <w:b/>
          <w:bCs/>
          <w:color w:val="000000" w:themeColor="text1"/>
          <w:sz w:val="24"/>
          <w:szCs w:val="24"/>
        </w:rPr>
        <w:t>Aalifar</w:t>
      </w:r>
      <w:proofErr w:type="spellEnd"/>
      <w:r w:rsidRPr="00BB3ACE">
        <w:rPr>
          <w:rFonts w:ascii="Times New Roman" w:hAnsi="Times New Roman" w:cs="Times New Roman"/>
          <w:b/>
          <w:bCs/>
          <w:color w:val="000000" w:themeColor="text1"/>
          <w:sz w:val="24"/>
          <w:szCs w:val="24"/>
        </w:rPr>
        <w:t xml:space="preserve">, M., </w:t>
      </w:r>
      <w:proofErr w:type="spellStart"/>
      <w:r w:rsidRPr="00BB3ACE">
        <w:rPr>
          <w:rFonts w:ascii="Times New Roman" w:hAnsi="Times New Roman" w:cs="Times New Roman"/>
          <w:b/>
          <w:bCs/>
          <w:color w:val="000000" w:themeColor="text1"/>
          <w:sz w:val="24"/>
          <w:szCs w:val="24"/>
        </w:rPr>
        <w:t>Aliniaeifard</w:t>
      </w:r>
      <w:proofErr w:type="spellEnd"/>
      <w:r w:rsidRPr="00BB3ACE">
        <w:rPr>
          <w:rFonts w:ascii="Times New Roman" w:hAnsi="Times New Roman" w:cs="Times New Roman"/>
          <w:b/>
          <w:bCs/>
          <w:color w:val="000000" w:themeColor="text1"/>
          <w:sz w:val="24"/>
          <w:szCs w:val="24"/>
        </w:rPr>
        <w:t xml:space="preserve">, S., Arab, M., </w:t>
      </w:r>
      <w:proofErr w:type="spellStart"/>
      <w:r w:rsidRPr="00BB3ACE">
        <w:rPr>
          <w:rFonts w:ascii="Times New Roman" w:hAnsi="Times New Roman" w:cs="Times New Roman"/>
          <w:b/>
          <w:bCs/>
          <w:color w:val="000000" w:themeColor="text1"/>
          <w:sz w:val="24"/>
          <w:szCs w:val="24"/>
        </w:rPr>
        <w:t>Mehrjerdi</w:t>
      </w:r>
      <w:proofErr w:type="spellEnd"/>
      <w:r w:rsidRPr="00BB3ACE">
        <w:rPr>
          <w:rFonts w:ascii="Times New Roman" w:hAnsi="Times New Roman" w:cs="Times New Roman"/>
          <w:b/>
          <w:bCs/>
          <w:color w:val="000000" w:themeColor="text1"/>
          <w:sz w:val="24"/>
          <w:szCs w:val="24"/>
        </w:rPr>
        <w:t xml:space="preserve">, M. Z., &amp; </w:t>
      </w:r>
      <w:proofErr w:type="spellStart"/>
      <w:r w:rsidRPr="00BB3ACE">
        <w:rPr>
          <w:rFonts w:ascii="Times New Roman" w:hAnsi="Times New Roman" w:cs="Times New Roman"/>
          <w:b/>
          <w:bCs/>
          <w:color w:val="000000" w:themeColor="text1"/>
          <w:sz w:val="24"/>
          <w:szCs w:val="24"/>
        </w:rPr>
        <w:t>Serek</w:t>
      </w:r>
      <w:proofErr w:type="spellEnd"/>
      <w:r w:rsidRPr="00BB3ACE">
        <w:rPr>
          <w:rFonts w:ascii="Times New Roman" w:hAnsi="Times New Roman" w:cs="Times New Roman"/>
          <w:b/>
          <w:bCs/>
          <w:color w:val="000000" w:themeColor="text1"/>
          <w:sz w:val="24"/>
          <w:szCs w:val="24"/>
        </w:rPr>
        <w:t xml:space="preserve">, M. (2020). Blue light postpones senescence of carnation flowers through regulation of ethylene and </w:t>
      </w:r>
      <w:r w:rsidRPr="00BB3ACE">
        <w:rPr>
          <w:rFonts w:ascii="Times New Roman" w:hAnsi="Times New Roman" w:cs="Times New Roman"/>
          <w:b/>
          <w:bCs/>
          <w:color w:val="000000" w:themeColor="text1"/>
          <w:sz w:val="24"/>
          <w:szCs w:val="24"/>
        </w:rPr>
        <w:lastRenderedPageBreak/>
        <w:t xml:space="preserve">abscisic acid pathway-related genes. Plant Physiology and Biochemistry, 151, 103-112. </w:t>
      </w:r>
      <w:hyperlink r:id="rId10" w:history="1">
        <w:r w:rsidRPr="00BB3ACE">
          <w:rPr>
            <w:rStyle w:val="Hyperlink"/>
            <w:rFonts w:ascii="Times New Roman" w:hAnsi="Times New Roman" w:cs="Times New Roman"/>
            <w:b/>
            <w:bCs/>
            <w:sz w:val="24"/>
            <w:szCs w:val="24"/>
          </w:rPr>
          <w:t>https://doi.org/10.1016/j.plaphy.2020.03.018</w:t>
        </w:r>
      </w:hyperlink>
    </w:p>
    <w:p w14:paraId="55426ABC" w14:textId="77777777"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shd w:val="clear" w:color="auto" w:fill="FFFFFF"/>
        </w:rPr>
        <w:t>Horticulture Statistics Division, Department of Agriculture, Cooperation &amp; Farmers Welfare, Government of India. (2015). Horticultural Statistics at a Glance 2015. Oxford University Press.</w:t>
      </w:r>
    </w:p>
    <w:p w14:paraId="3E121701" w14:textId="413EDBF1"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rPr>
        <w:t xml:space="preserve">Gomez, K. A., &amp; Gomez, A. A. (1984). Statistical procedures for agricultural research. Wiley. </w:t>
      </w:r>
      <w:hyperlink r:id="rId11" w:history="1">
        <w:r w:rsidRPr="00BB3ACE">
          <w:rPr>
            <w:rStyle w:val="Hyperlink"/>
            <w:rFonts w:ascii="Times New Roman" w:hAnsi="Times New Roman" w:cs="Times New Roman"/>
            <w:b/>
            <w:bCs/>
            <w:sz w:val="24"/>
            <w:szCs w:val="24"/>
          </w:rPr>
          <w:t>https://www.wiley.com/en-us/Statistical+Procedures+for+Agricultural+Research,+2nd+Edition-p-9780471870920</w:t>
        </w:r>
      </w:hyperlink>
    </w:p>
    <w:p w14:paraId="4FD64FB3" w14:textId="0F7501E8"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proofErr w:type="spellStart"/>
      <w:r w:rsidRPr="00BB3ACE">
        <w:rPr>
          <w:rFonts w:ascii="Times New Roman" w:hAnsi="Times New Roman" w:cs="Times New Roman"/>
          <w:b/>
          <w:bCs/>
          <w:color w:val="000000" w:themeColor="text1"/>
          <w:sz w:val="24"/>
          <w:szCs w:val="24"/>
        </w:rPr>
        <w:t>Hashemabadi</w:t>
      </w:r>
      <w:proofErr w:type="spellEnd"/>
      <w:r w:rsidRPr="00BB3ACE">
        <w:rPr>
          <w:rFonts w:ascii="Times New Roman" w:hAnsi="Times New Roman" w:cs="Times New Roman"/>
          <w:b/>
          <w:bCs/>
          <w:color w:val="000000" w:themeColor="text1"/>
          <w:sz w:val="24"/>
          <w:szCs w:val="24"/>
        </w:rPr>
        <w:t xml:space="preserve">, D., </w:t>
      </w:r>
      <w:proofErr w:type="spellStart"/>
      <w:r w:rsidRPr="00BB3ACE">
        <w:rPr>
          <w:rFonts w:ascii="Times New Roman" w:hAnsi="Times New Roman" w:cs="Times New Roman"/>
          <w:b/>
          <w:bCs/>
          <w:color w:val="000000" w:themeColor="text1"/>
          <w:sz w:val="24"/>
          <w:szCs w:val="24"/>
        </w:rPr>
        <w:t>Kaviani</w:t>
      </w:r>
      <w:proofErr w:type="spellEnd"/>
      <w:r w:rsidRPr="00BB3ACE">
        <w:rPr>
          <w:rFonts w:ascii="Times New Roman" w:hAnsi="Times New Roman" w:cs="Times New Roman"/>
          <w:b/>
          <w:bCs/>
          <w:color w:val="000000" w:themeColor="text1"/>
          <w:sz w:val="24"/>
          <w:szCs w:val="24"/>
        </w:rPr>
        <w:t xml:space="preserve">, B., </w:t>
      </w:r>
      <w:proofErr w:type="spellStart"/>
      <w:r w:rsidRPr="00BB3ACE">
        <w:rPr>
          <w:rFonts w:ascii="Times New Roman" w:hAnsi="Times New Roman" w:cs="Times New Roman"/>
          <w:b/>
          <w:bCs/>
          <w:color w:val="000000" w:themeColor="text1"/>
          <w:sz w:val="24"/>
          <w:szCs w:val="24"/>
        </w:rPr>
        <w:t>Shirinpour</w:t>
      </w:r>
      <w:proofErr w:type="spellEnd"/>
      <w:r w:rsidRPr="00BB3ACE">
        <w:rPr>
          <w:rFonts w:ascii="Times New Roman" w:hAnsi="Times New Roman" w:cs="Times New Roman"/>
          <w:b/>
          <w:bCs/>
          <w:color w:val="000000" w:themeColor="text1"/>
          <w:sz w:val="24"/>
          <w:szCs w:val="24"/>
        </w:rPr>
        <w:t xml:space="preserve">, A., &amp; Yaghoobi, D. (2015). Response of cut carnation (Dianthus </w:t>
      </w:r>
      <w:proofErr w:type="spellStart"/>
      <w:r w:rsidRPr="00BB3ACE">
        <w:rPr>
          <w:rFonts w:ascii="Times New Roman" w:hAnsi="Times New Roman" w:cs="Times New Roman"/>
          <w:b/>
          <w:bCs/>
          <w:color w:val="000000" w:themeColor="text1"/>
          <w:sz w:val="24"/>
          <w:szCs w:val="24"/>
        </w:rPr>
        <w:t>caryophllus</w:t>
      </w:r>
      <w:proofErr w:type="spellEnd"/>
      <w:r w:rsidRPr="00BB3ACE">
        <w:rPr>
          <w:rFonts w:ascii="Times New Roman" w:hAnsi="Times New Roman" w:cs="Times New Roman"/>
          <w:b/>
          <w:bCs/>
          <w:color w:val="000000" w:themeColor="text1"/>
          <w:sz w:val="24"/>
          <w:szCs w:val="24"/>
        </w:rPr>
        <w:t xml:space="preserve"> L.cv. Tempo) to essential oils and antimicrobial compounds. International Journal of Biosciences, 6(3), 36–44. </w:t>
      </w:r>
      <w:hyperlink r:id="rId12" w:history="1">
        <w:r w:rsidRPr="00BB3ACE">
          <w:rPr>
            <w:rStyle w:val="Hyperlink"/>
            <w:rFonts w:ascii="Times New Roman" w:hAnsi="Times New Roman" w:cs="Times New Roman"/>
            <w:b/>
            <w:bCs/>
            <w:sz w:val="24"/>
            <w:szCs w:val="24"/>
          </w:rPr>
          <w:t>https://doi.org/10.12692/ijb/6.3.36-44</w:t>
        </w:r>
      </w:hyperlink>
    </w:p>
    <w:p w14:paraId="184CEA30" w14:textId="086F3D9E"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rPr>
        <w:t xml:space="preserve">Hegde, K. T., </w:t>
      </w:r>
      <w:proofErr w:type="spellStart"/>
      <w:r w:rsidRPr="00BB3ACE">
        <w:rPr>
          <w:rFonts w:ascii="Times New Roman" w:hAnsi="Times New Roman" w:cs="Times New Roman"/>
          <w:b/>
          <w:bCs/>
          <w:color w:val="000000" w:themeColor="text1"/>
          <w:sz w:val="24"/>
          <w:szCs w:val="24"/>
        </w:rPr>
        <w:t>Narayanaswamy</w:t>
      </w:r>
      <w:proofErr w:type="spellEnd"/>
      <w:r w:rsidRPr="00BB3ACE">
        <w:rPr>
          <w:rFonts w:ascii="Times New Roman" w:hAnsi="Times New Roman" w:cs="Times New Roman"/>
          <w:b/>
          <w:bCs/>
          <w:color w:val="000000" w:themeColor="text1"/>
          <w:sz w:val="24"/>
          <w:szCs w:val="24"/>
        </w:rPr>
        <w:t xml:space="preserve">, H., &amp; </w:t>
      </w:r>
      <w:proofErr w:type="spellStart"/>
      <w:r w:rsidRPr="00BB3ACE">
        <w:rPr>
          <w:rFonts w:ascii="Times New Roman" w:hAnsi="Times New Roman" w:cs="Times New Roman"/>
          <w:b/>
          <w:bCs/>
          <w:color w:val="000000" w:themeColor="text1"/>
          <w:sz w:val="24"/>
          <w:szCs w:val="24"/>
        </w:rPr>
        <w:t>Veeraghanti</w:t>
      </w:r>
      <w:proofErr w:type="spellEnd"/>
      <w:r w:rsidRPr="00BB3ACE">
        <w:rPr>
          <w:rFonts w:ascii="Times New Roman" w:hAnsi="Times New Roman" w:cs="Times New Roman"/>
          <w:b/>
          <w:bCs/>
          <w:color w:val="000000" w:themeColor="text1"/>
          <w:sz w:val="24"/>
          <w:szCs w:val="24"/>
        </w:rPr>
        <w:t xml:space="preserve">, K. S. (2018). Morphological and cultural characteristics of Fusarium </w:t>
      </w:r>
      <w:proofErr w:type="spellStart"/>
      <w:r w:rsidRPr="00BB3ACE">
        <w:rPr>
          <w:rFonts w:ascii="Times New Roman" w:hAnsi="Times New Roman" w:cs="Times New Roman"/>
          <w:b/>
          <w:bCs/>
          <w:color w:val="000000" w:themeColor="text1"/>
          <w:sz w:val="24"/>
          <w:szCs w:val="24"/>
        </w:rPr>
        <w:t>oxysporum</w:t>
      </w:r>
      <w:proofErr w:type="spellEnd"/>
      <w:r w:rsidRPr="00BB3ACE">
        <w:rPr>
          <w:rFonts w:ascii="Times New Roman" w:hAnsi="Times New Roman" w:cs="Times New Roman"/>
          <w:b/>
          <w:bCs/>
          <w:color w:val="000000" w:themeColor="text1"/>
          <w:sz w:val="24"/>
          <w:szCs w:val="24"/>
        </w:rPr>
        <w:t xml:space="preserve"> f. sp. </w:t>
      </w:r>
      <w:proofErr w:type="spellStart"/>
      <w:r w:rsidRPr="00BB3ACE">
        <w:rPr>
          <w:rFonts w:ascii="Times New Roman" w:hAnsi="Times New Roman" w:cs="Times New Roman"/>
          <w:b/>
          <w:bCs/>
          <w:color w:val="000000" w:themeColor="text1"/>
          <w:sz w:val="24"/>
          <w:szCs w:val="24"/>
        </w:rPr>
        <w:t>dianthi</w:t>
      </w:r>
      <w:proofErr w:type="spellEnd"/>
      <w:r w:rsidRPr="00BB3ACE">
        <w:rPr>
          <w:rFonts w:ascii="Times New Roman" w:hAnsi="Times New Roman" w:cs="Times New Roman"/>
          <w:b/>
          <w:bCs/>
          <w:color w:val="000000" w:themeColor="text1"/>
          <w:sz w:val="24"/>
          <w:szCs w:val="24"/>
        </w:rPr>
        <w:t xml:space="preserve"> under laboratory condition. Journal of Pharmacognosy and Phytochemistry, 7(4), 2839-2842. </w:t>
      </w:r>
      <w:hyperlink r:id="rId13" w:history="1">
        <w:r w:rsidRPr="00BB3ACE">
          <w:rPr>
            <w:rStyle w:val="Hyperlink"/>
            <w:rFonts w:ascii="Times New Roman" w:hAnsi="Times New Roman" w:cs="Times New Roman"/>
            <w:b/>
            <w:bCs/>
            <w:sz w:val="24"/>
            <w:szCs w:val="24"/>
          </w:rPr>
          <w:t>http://www.phytojournal.com/archives/2018/vol7issue4/PartAR/7-4-100-100.pdf</w:t>
        </w:r>
      </w:hyperlink>
    </w:p>
    <w:p w14:paraId="6588EE9D" w14:textId="452FF5A4"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rPr>
        <w:t xml:space="preserve">Ibrahim, M. E. (2016). Agrochemical studies on Dianthus </w:t>
      </w:r>
      <w:proofErr w:type="spellStart"/>
      <w:r w:rsidRPr="00BB3ACE">
        <w:rPr>
          <w:rFonts w:ascii="Times New Roman" w:hAnsi="Times New Roman" w:cs="Times New Roman"/>
          <w:b/>
          <w:bCs/>
          <w:color w:val="000000" w:themeColor="text1"/>
          <w:sz w:val="24"/>
          <w:szCs w:val="24"/>
        </w:rPr>
        <w:t>caryophyllus</w:t>
      </w:r>
      <w:proofErr w:type="spellEnd"/>
      <w:r w:rsidRPr="00BB3ACE">
        <w:rPr>
          <w:rFonts w:ascii="Times New Roman" w:hAnsi="Times New Roman" w:cs="Times New Roman"/>
          <w:b/>
          <w:bCs/>
          <w:color w:val="000000" w:themeColor="text1"/>
          <w:sz w:val="24"/>
          <w:szCs w:val="24"/>
        </w:rPr>
        <w:t xml:space="preserve"> L. grown in Egypt. *International Journal of </w:t>
      </w:r>
      <w:proofErr w:type="spellStart"/>
      <w:r w:rsidRPr="00BB3ACE">
        <w:rPr>
          <w:rFonts w:ascii="Times New Roman" w:hAnsi="Times New Roman" w:cs="Times New Roman"/>
          <w:b/>
          <w:bCs/>
          <w:color w:val="000000" w:themeColor="text1"/>
          <w:sz w:val="24"/>
          <w:szCs w:val="24"/>
        </w:rPr>
        <w:t>PharmTech</w:t>
      </w:r>
      <w:proofErr w:type="spellEnd"/>
      <w:r w:rsidRPr="00BB3ACE">
        <w:rPr>
          <w:rFonts w:ascii="Times New Roman" w:hAnsi="Times New Roman" w:cs="Times New Roman"/>
          <w:b/>
          <w:bCs/>
          <w:color w:val="000000" w:themeColor="text1"/>
          <w:sz w:val="24"/>
          <w:szCs w:val="24"/>
        </w:rPr>
        <w:t xml:space="preserve"> Research*, *9*(4), 113-117. </w:t>
      </w:r>
      <w:hyperlink r:id="rId14" w:history="1">
        <w:r w:rsidRPr="00BB3ACE">
          <w:rPr>
            <w:rStyle w:val="Hyperlink"/>
            <w:rFonts w:ascii="Times New Roman" w:hAnsi="Times New Roman" w:cs="Times New Roman"/>
            <w:b/>
            <w:bCs/>
            <w:sz w:val="24"/>
            <w:szCs w:val="24"/>
          </w:rPr>
          <w:t>http://www.sphinxsai.com/pharmtech.php</w:t>
        </w:r>
      </w:hyperlink>
    </w:p>
    <w:p w14:paraId="0345B986" w14:textId="75D67663" w:rsidR="00055F81" w:rsidRPr="00BB3ACE" w:rsidRDefault="00055F81" w:rsidP="00BB3ACE">
      <w:pPr>
        <w:spacing w:line="360" w:lineRule="auto"/>
        <w:ind w:left="360"/>
        <w:jc w:val="both"/>
        <w:rPr>
          <w:rFonts w:ascii="Times New Roman" w:hAnsi="Times New Roman" w:cs="Times New Roman"/>
          <w:i/>
          <w:iCs/>
          <w:color w:val="000000" w:themeColor="text1"/>
          <w:sz w:val="24"/>
          <w:szCs w:val="24"/>
          <w:shd w:val="clear" w:color="auto" w:fill="FFFFFF"/>
        </w:rPr>
      </w:pPr>
      <w:proofErr w:type="spellStart"/>
      <w:r w:rsidRPr="00BB3ACE">
        <w:rPr>
          <w:rFonts w:ascii="Times New Roman" w:hAnsi="Times New Roman" w:cs="Times New Roman"/>
          <w:b/>
          <w:bCs/>
          <w:color w:val="000000" w:themeColor="text1"/>
          <w:sz w:val="24"/>
          <w:szCs w:val="24"/>
        </w:rPr>
        <w:t>Munde</w:t>
      </w:r>
      <w:proofErr w:type="spellEnd"/>
      <w:r w:rsidRPr="00BB3ACE">
        <w:rPr>
          <w:rFonts w:ascii="Times New Roman" w:hAnsi="Times New Roman" w:cs="Times New Roman"/>
          <w:b/>
          <w:bCs/>
          <w:color w:val="000000" w:themeColor="text1"/>
          <w:sz w:val="24"/>
          <w:szCs w:val="24"/>
        </w:rPr>
        <w:t xml:space="preserve">, S. S., </w:t>
      </w:r>
      <w:proofErr w:type="spellStart"/>
      <w:r w:rsidRPr="00BB3ACE">
        <w:rPr>
          <w:rFonts w:ascii="Times New Roman" w:hAnsi="Times New Roman" w:cs="Times New Roman"/>
          <w:b/>
          <w:bCs/>
          <w:color w:val="000000" w:themeColor="text1"/>
          <w:sz w:val="24"/>
          <w:szCs w:val="24"/>
        </w:rPr>
        <w:t>Dhutraj</w:t>
      </w:r>
      <w:proofErr w:type="spellEnd"/>
      <w:r w:rsidRPr="00BB3ACE">
        <w:rPr>
          <w:rFonts w:ascii="Times New Roman" w:hAnsi="Times New Roman" w:cs="Times New Roman"/>
          <w:b/>
          <w:bCs/>
          <w:color w:val="000000" w:themeColor="text1"/>
          <w:sz w:val="24"/>
          <w:szCs w:val="24"/>
        </w:rPr>
        <w:t xml:space="preserve">, D. N., </w:t>
      </w:r>
      <w:proofErr w:type="spellStart"/>
      <w:r w:rsidRPr="00BB3ACE">
        <w:rPr>
          <w:rFonts w:ascii="Times New Roman" w:hAnsi="Times New Roman" w:cs="Times New Roman"/>
          <w:b/>
          <w:bCs/>
          <w:color w:val="000000" w:themeColor="text1"/>
          <w:sz w:val="24"/>
          <w:szCs w:val="24"/>
        </w:rPr>
        <w:t>Khaire</w:t>
      </w:r>
      <w:proofErr w:type="spellEnd"/>
      <w:r w:rsidRPr="00BB3ACE">
        <w:rPr>
          <w:rFonts w:ascii="Times New Roman" w:hAnsi="Times New Roman" w:cs="Times New Roman"/>
          <w:b/>
          <w:bCs/>
          <w:color w:val="000000" w:themeColor="text1"/>
          <w:sz w:val="24"/>
          <w:szCs w:val="24"/>
        </w:rPr>
        <w:t xml:space="preserve">, P. B., &amp; </w:t>
      </w:r>
      <w:proofErr w:type="spellStart"/>
      <w:r w:rsidRPr="00BB3ACE">
        <w:rPr>
          <w:rFonts w:ascii="Times New Roman" w:hAnsi="Times New Roman" w:cs="Times New Roman"/>
          <w:b/>
          <w:bCs/>
          <w:color w:val="000000" w:themeColor="text1"/>
          <w:sz w:val="24"/>
          <w:szCs w:val="24"/>
        </w:rPr>
        <w:t>Ghante</w:t>
      </w:r>
      <w:proofErr w:type="spellEnd"/>
      <w:r w:rsidRPr="00BB3ACE">
        <w:rPr>
          <w:rFonts w:ascii="Times New Roman" w:hAnsi="Times New Roman" w:cs="Times New Roman"/>
          <w:b/>
          <w:bCs/>
          <w:color w:val="000000" w:themeColor="text1"/>
          <w:sz w:val="24"/>
          <w:szCs w:val="24"/>
        </w:rPr>
        <w:t xml:space="preserve">, P. H. (2020). Morphological, Cultural and Physiological Characteristics of Pathogen associated with Wilt of Gladiolus. International Journal of Current Microbiology and Applied Sciences, Special Issue-11, 3719–3730. </w:t>
      </w:r>
      <w:hyperlink r:id="rId15" w:history="1">
        <w:r w:rsidRPr="00BB3ACE">
          <w:rPr>
            <w:rStyle w:val="Hyperlink"/>
            <w:rFonts w:ascii="Times New Roman" w:hAnsi="Times New Roman" w:cs="Times New Roman"/>
            <w:b/>
            <w:bCs/>
            <w:sz w:val="24"/>
            <w:szCs w:val="24"/>
          </w:rPr>
          <w:t>http://www.ijcmas.com/special-issue-11-2020.php</w:t>
        </w:r>
      </w:hyperlink>
    </w:p>
    <w:p w14:paraId="0672F42F" w14:textId="7A8943BE"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proofErr w:type="spellStart"/>
      <w:r w:rsidRPr="00BB3ACE">
        <w:rPr>
          <w:rFonts w:ascii="Times New Roman" w:hAnsi="Times New Roman" w:cs="Times New Roman"/>
          <w:b/>
          <w:bCs/>
          <w:color w:val="000000" w:themeColor="text1"/>
          <w:sz w:val="24"/>
          <w:szCs w:val="24"/>
          <w:shd w:val="clear" w:color="auto" w:fill="FFFFFF"/>
        </w:rPr>
        <w:t>Pempee</w:t>
      </w:r>
      <w:proofErr w:type="spellEnd"/>
      <w:r w:rsidRPr="00BB3ACE">
        <w:rPr>
          <w:rFonts w:ascii="Times New Roman" w:hAnsi="Times New Roman" w:cs="Times New Roman"/>
          <w:b/>
          <w:bCs/>
          <w:color w:val="000000" w:themeColor="text1"/>
          <w:sz w:val="24"/>
          <w:szCs w:val="24"/>
          <w:shd w:val="clear" w:color="auto" w:fill="FFFFFF"/>
        </w:rPr>
        <w:t xml:space="preserve">, M., Singh, M., Prajapati, S., &amp; Kumari, P. (2020). Effects of Different Temperature, pH and Relative Humidity on the Growth of Fusarium </w:t>
      </w:r>
      <w:proofErr w:type="spellStart"/>
      <w:r w:rsidRPr="00BB3ACE">
        <w:rPr>
          <w:rFonts w:ascii="Times New Roman" w:hAnsi="Times New Roman" w:cs="Times New Roman"/>
          <w:b/>
          <w:bCs/>
          <w:color w:val="000000" w:themeColor="text1"/>
          <w:sz w:val="24"/>
          <w:szCs w:val="24"/>
          <w:shd w:val="clear" w:color="auto" w:fill="FFFFFF"/>
        </w:rPr>
        <w:t>oxysporum</w:t>
      </w:r>
      <w:proofErr w:type="spellEnd"/>
      <w:r w:rsidRPr="00BB3ACE">
        <w:rPr>
          <w:rFonts w:ascii="Times New Roman" w:hAnsi="Times New Roman" w:cs="Times New Roman"/>
          <w:b/>
          <w:bCs/>
          <w:color w:val="000000" w:themeColor="text1"/>
          <w:sz w:val="24"/>
          <w:szCs w:val="24"/>
          <w:shd w:val="clear" w:color="auto" w:fill="FFFFFF"/>
        </w:rPr>
        <w:t xml:space="preserve"> f. sp. </w:t>
      </w:r>
      <w:proofErr w:type="spellStart"/>
      <w:r w:rsidRPr="00BB3ACE">
        <w:rPr>
          <w:rFonts w:ascii="Times New Roman" w:hAnsi="Times New Roman" w:cs="Times New Roman"/>
          <w:b/>
          <w:bCs/>
          <w:color w:val="000000" w:themeColor="text1"/>
          <w:sz w:val="24"/>
          <w:szCs w:val="24"/>
          <w:shd w:val="clear" w:color="auto" w:fill="FFFFFF"/>
        </w:rPr>
        <w:t>ciceri</w:t>
      </w:r>
      <w:proofErr w:type="spellEnd"/>
      <w:r w:rsidRPr="00BB3ACE">
        <w:rPr>
          <w:rFonts w:ascii="Times New Roman" w:hAnsi="Times New Roman" w:cs="Times New Roman"/>
          <w:b/>
          <w:bCs/>
          <w:color w:val="000000" w:themeColor="text1"/>
          <w:sz w:val="24"/>
          <w:szCs w:val="24"/>
          <w:shd w:val="clear" w:color="auto" w:fill="FFFFFF"/>
        </w:rPr>
        <w:t xml:space="preserve"> causing Chickpea Wilt. International Journal of Current Microbiology and Applied Sciences, 9(9), 1381-1388. </w:t>
      </w:r>
      <w:hyperlink r:id="rId16" w:history="1">
        <w:r w:rsidRPr="00BB3ACE">
          <w:rPr>
            <w:rStyle w:val="Hyperlink"/>
            <w:rFonts w:ascii="Times New Roman" w:hAnsi="Times New Roman" w:cs="Times New Roman"/>
            <w:b/>
            <w:bCs/>
            <w:sz w:val="24"/>
            <w:szCs w:val="24"/>
            <w:shd w:val="clear" w:color="auto" w:fill="FFFFFF"/>
          </w:rPr>
          <w:t>https://doi.org/10.20546/ijcmas.2020.909.175</w:t>
        </w:r>
      </w:hyperlink>
    </w:p>
    <w:p w14:paraId="3AE21FC8" w14:textId="653E62C1"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rPr>
        <w:t xml:space="preserve">Gowda, G. P., </w:t>
      </w:r>
      <w:proofErr w:type="spellStart"/>
      <w:r w:rsidRPr="00BB3ACE">
        <w:rPr>
          <w:rFonts w:ascii="Times New Roman" w:hAnsi="Times New Roman" w:cs="Times New Roman"/>
          <w:b/>
          <w:bCs/>
          <w:color w:val="000000" w:themeColor="text1"/>
          <w:sz w:val="24"/>
          <w:szCs w:val="24"/>
        </w:rPr>
        <w:t>Dhananjaya</w:t>
      </w:r>
      <w:proofErr w:type="spellEnd"/>
      <w:r w:rsidRPr="00BB3ACE">
        <w:rPr>
          <w:rFonts w:ascii="Times New Roman" w:hAnsi="Times New Roman" w:cs="Times New Roman"/>
          <w:b/>
          <w:bCs/>
          <w:color w:val="000000" w:themeColor="text1"/>
          <w:sz w:val="24"/>
          <w:szCs w:val="24"/>
        </w:rPr>
        <w:t xml:space="preserve">, M. V., &amp; </w:t>
      </w:r>
      <w:proofErr w:type="spellStart"/>
      <w:r w:rsidRPr="00BB3ACE">
        <w:rPr>
          <w:rFonts w:ascii="Times New Roman" w:hAnsi="Times New Roman" w:cs="Times New Roman"/>
          <w:b/>
          <w:bCs/>
          <w:color w:val="000000" w:themeColor="text1"/>
          <w:sz w:val="24"/>
          <w:szCs w:val="24"/>
        </w:rPr>
        <w:t>Halesh</w:t>
      </w:r>
      <w:proofErr w:type="spellEnd"/>
      <w:r w:rsidRPr="00BB3ACE">
        <w:rPr>
          <w:rFonts w:ascii="Times New Roman" w:hAnsi="Times New Roman" w:cs="Times New Roman"/>
          <w:b/>
          <w:bCs/>
          <w:color w:val="000000" w:themeColor="text1"/>
          <w:sz w:val="24"/>
          <w:szCs w:val="24"/>
        </w:rPr>
        <w:t xml:space="preserve">, G. K. (2017). Screening carnation genotypes for resistance against Fusarium wilt (Fusarium </w:t>
      </w:r>
      <w:proofErr w:type="spellStart"/>
      <w:r w:rsidRPr="00BB3ACE">
        <w:rPr>
          <w:rFonts w:ascii="Times New Roman" w:hAnsi="Times New Roman" w:cs="Times New Roman"/>
          <w:b/>
          <w:bCs/>
          <w:color w:val="000000" w:themeColor="text1"/>
          <w:sz w:val="24"/>
          <w:szCs w:val="24"/>
        </w:rPr>
        <w:t>oxysporum</w:t>
      </w:r>
      <w:proofErr w:type="spellEnd"/>
      <w:r w:rsidRPr="00BB3ACE">
        <w:rPr>
          <w:rFonts w:ascii="Times New Roman" w:hAnsi="Times New Roman" w:cs="Times New Roman"/>
          <w:b/>
          <w:bCs/>
          <w:color w:val="000000" w:themeColor="text1"/>
          <w:sz w:val="24"/>
          <w:szCs w:val="24"/>
        </w:rPr>
        <w:t xml:space="preserve"> f. sp. </w:t>
      </w:r>
      <w:proofErr w:type="spellStart"/>
      <w:r w:rsidRPr="00BB3ACE">
        <w:rPr>
          <w:rFonts w:ascii="Times New Roman" w:hAnsi="Times New Roman" w:cs="Times New Roman"/>
          <w:b/>
          <w:bCs/>
          <w:color w:val="000000" w:themeColor="text1"/>
          <w:sz w:val="24"/>
          <w:szCs w:val="24"/>
        </w:rPr>
        <w:t>dianthi</w:t>
      </w:r>
      <w:proofErr w:type="spellEnd"/>
      <w:r w:rsidRPr="00BB3ACE">
        <w:rPr>
          <w:rFonts w:ascii="Times New Roman" w:hAnsi="Times New Roman" w:cs="Times New Roman"/>
          <w:b/>
          <w:bCs/>
          <w:color w:val="000000" w:themeColor="text1"/>
          <w:sz w:val="24"/>
          <w:szCs w:val="24"/>
        </w:rPr>
        <w:t xml:space="preserve">) </w:t>
      </w:r>
      <w:r w:rsidRPr="00BB3ACE">
        <w:rPr>
          <w:rFonts w:ascii="Times New Roman" w:hAnsi="Times New Roman" w:cs="Times New Roman"/>
          <w:b/>
          <w:bCs/>
          <w:color w:val="000000" w:themeColor="text1"/>
          <w:sz w:val="24"/>
          <w:szCs w:val="24"/>
        </w:rPr>
        <w:lastRenderedPageBreak/>
        <w:t xml:space="preserve">isolates viz. IIHR and Pune. *International Journal of Microbiology Research*, *9*(3), 878-880. </w:t>
      </w:r>
      <w:hyperlink r:id="rId17" w:history="1">
        <w:r w:rsidRPr="00BB3ACE">
          <w:rPr>
            <w:rStyle w:val="Hyperlink"/>
            <w:rFonts w:ascii="Times New Roman" w:hAnsi="Times New Roman" w:cs="Times New Roman"/>
            <w:b/>
            <w:bCs/>
            <w:sz w:val="24"/>
            <w:szCs w:val="24"/>
          </w:rPr>
          <w:t>https://www.bioinfopublication.org/pages.php?id=BP0000290</w:t>
        </w:r>
      </w:hyperlink>
    </w:p>
    <w:p w14:paraId="73B919B0" w14:textId="76CE5B95"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hAnsi="Times New Roman" w:cs="Times New Roman"/>
          <w:b/>
          <w:bCs/>
          <w:color w:val="000000" w:themeColor="text1"/>
          <w:sz w:val="24"/>
          <w:szCs w:val="24"/>
        </w:rPr>
        <w:t xml:space="preserve">Rao, Y. H., Devi, P. S., </w:t>
      </w:r>
      <w:proofErr w:type="spellStart"/>
      <w:r w:rsidRPr="00BB3ACE">
        <w:rPr>
          <w:rFonts w:ascii="Times New Roman" w:hAnsi="Times New Roman" w:cs="Times New Roman"/>
          <w:b/>
          <w:bCs/>
          <w:color w:val="000000" w:themeColor="text1"/>
          <w:sz w:val="24"/>
          <w:szCs w:val="24"/>
        </w:rPr>
        <w:t>Vemavarapu</w:t>
      </w:r>
      <w:proofErr w:type="spellEnd"/>
      <w:r w:rsidRPr="00BB3ACE">
        <w:rPr>
          <w:rFonts w:ascii="Times New Roman" w:hAnsi="Times New Roman" w:cs="Times New Roman"/>
          <w:b/>
          <w:bCs/>
          <w:color w:val="000000" w:themeColor="text1"/>
          <w:sz w:val="24"/>
          <w:szCs w:val="24"/>
        </w:rPr>
        <w:t xml:space="preserve">, V. V., &amp; Chowdary, K. R. (2020). Effect of media &amp; Ph on mycelial growth of Fusarium </w:t>
      </w:r>
      <w:proofErr w:type="spellStart"/>
      <w:r w:rsidRPr="00BB3ACE">
        <w:rPr>
          <w:rFonts w:ascii="Times New Roman" w:hAnsi="Times New Roman" w:cs="Times New Roman"/>
          <w:b/>
          <w:bCs/>
          <w:color w:val="000000" w:themeColor="text1"/>
          <w:sz w:val="24"/>
          <w:szCs w:val="24"/>
        </w:rPr>
        <w:t>oxysporum</w:t>
      </w:r>
      <w:proofErr w:type="spellEnd"/>
      <w:r w:rsidRPr="00BB3ACE">
        <w:rPr>
          <w:rFonts w:ascii="Times New Roman" w:hAnsi="Times New Roman" w:cs="Times New Roman"/>
          <w:b/>
          <w:bCs/>
          <w:color w:val="000000" w:themeColor="text1"/>
          <w:sz w:val="24"/>
          <w:szCs w:val="24"/>
        </w:rPr>
        <w:t xml:space="preserve"> </w:t>
      </w:r>
      <w:proofErr w:type="spellStart"/>
      <w:r w:rsidRPr="00BB3ACE">
        <w:rPr>
          <w:rFonts w:ascii="Times New Roman" w:hAnsi="Times New Roman" w:cs="Times New Roman"/>
          <w:b/>
          <w:bCs/>
          <w:color w:val="000000" w:themeColor="text1"/>
          <w:sz w:val="24"/>
          <w:szCs w:val="24"/>
        </w:rPr>
        <w:t>f.sp</w:t>
      </w:r>
      <w:proofErr w:type="spellEnd"/>
      <w:r w:rsidRPr="00BB3ACE">
        <w:rPr>
          <w:rFonts w:ascii="Times New Roman" w:hAnsi="Times New Roman" w:cs="Times New Roman"/>
          <w:b/>
          <w:bCs/>
          <w:color w:val="000000" w:themeColor="text1"/>
          <w:sz w:val="24"/>
          <w:szCs w:val="24"/>
        </w:rPr>
        <w:t xml:space="preserve">. </w:t>
      </w:r>
      <w:proofErr w:type="spellStart"/>
      <w:r w:rsidRPr="00BB3ACE">
        <w:rPr>
          <w:rFonts w:ascii="Times New Roman" w:hAnsi="Times New Roman" w:cs="Times New Roman"/>
          <w:b/>
          <w:bCs/>
          <w:color w:val="000000" w:themeColor="text1"/>
          <w:sz w:val="24"/>
          <w:szCs w:val="24"/>
        </w:rPr>
        <w:t>lycopersici</w:t>
      </w:r>
      <w:proofErr w:type="spellEnd"/>
      <w:r w:rsidRPr="00BB3ACE">
        <w:rPr>
          <w:rFonts w:ascii="Times New Roman" w:hAnsi="Times New Roman" w:cs="Times New Roman"/>
          <w:b/>
          <w:bCs/>
          <w:color w:val="000000" w:themeColor="text1"/>
          <w:sz w:val="24"/>
          <w:szCs w:val="24"/>
        </w:rPr>
        <w:t xml:space="preserve"> causing fusarium wilt of tomato in Manipur under in-vitro condition and effect of native Trichoderma spp. one chemical fungicide (Mancozeb) on growth parameters of tomato in field conditions. International Journal of Chemical Studies, 8(5), 2120-2123. </w:t>
      </w:r>
      <w:hyperlink r:id="rId18" w:history="1">
        <w:r w:rsidRPr="00BB3ACE">
          <w:rPr>
            <w:rStyle w:val="Hyperlink"/>
            <w:rFonts w:ascii="Times New Roman" w:hAnsi="Times New Roman" w:cs="Times New Roman"/>
            <w:b/>
            <w:bCs/>
            <w:sz w:val="24"/>
            <w:szCs w:val="24"/>
          </w:rPr>
          <w:t>https://doi.org/10.22271/chemi.2020.v8.i5ac.10615</w:t>
        </w:r>
      </w:hyperlink>
    </w:p>
    <w:p w14:paraId="224C9438" w14:textId="3AAE2503" w:rsidR="00055F81" w:rsidRPr="00BB3ACE" w:rsidRDefault="00055F81" w:rsidP="00BB3ACE">
      <w:pPr>
        <w:spacing w:line="360" w:lineRule="auto"/>
        <w:ind w:left="360"/>
        <w:jc w:val="both"/>
        <w:rPr>
          <w:rFonts w:ascii="Times New Roman" w:hAnsi="Times New Roman" w:cs="Times New Roman"/>
          <w:color w:val="000000" w:themeColor="text1"/>
          <w:sz w:val="24"/>
          <w:szCs w:val="24"/>
        </w:rPr>
      </w:pPr>
      <w:proofErr w:type="spellStart"/>
      <w:r w:rsidRPr="00BB3ACE">
        <w:rPr>
          <w:rFonts w:ascii="Times New Roman" w:hAnsi="Times New Roman" w:cs="Times New Roman"/>
          <w:b/>
          <w:bCs/>
          <w:color w:val="000000" w:themeColor="text1"/>
          <w:sz w:val="24"/>
          <w:szCs w:val="24"/>
          <w:shd w:val="clear" w:color="auto" w:fill="FFFFFF"/>
        </w:rPr>
        <w:t>Sahu</w:t>
      </w:r>
      <w:proofErr w:type="spellEnd"/>
      <w:r w:rsidRPr="00BB3ACE">
        <w:rPr>
          <w:rFonts w:ascii="Times New Roman" w:hAnsi="Times New Roman" w:cs="Times New Roman"/>
          <w:b/>
          <w:bCs/>
          <w:color w:val="000000" w:themeColor="text1"/>
          <w:sz w:val="24"/>
          <w:szCs w:val="24"/>
          <w:shd w:val="clear" w:color="auto" w:fill="FFFFFF"/>
        </w:rPr>
        <w:t xml:space="preserve">, R., et al. (2024). Effect of Different Media, pH and temperature on Growth and Sporulation of Fusarium Wilt of Soybean cause by Fusarium </w:t>
      </w:r>
      <w:proofErr w:type="spellStart"/>
      <w:r w:rsidRPr="00BB3ACE">
        <w:rPr>
          <w:rFonts w:ascii="Times New Roman" w:hAnsi="Times New Roman" w:cs="Times New Roman"/>
          <w:b/>
          <w:bCs/>
          <w:color w:val="000000" w:themeColor="text1"/>
          <w:sz w:val="24"/>
          <w:szCs w:val="24"/>
          <w:shd w:val="clear" w:color="auto" w:fill="FFFFFF"/>
        </w:rPr>
        <w:t>oxysporum</w:t>
      </w:r>
      <w:proofErr w:type="spellEnd"/>
      <w:r w:rsidRPr="00BB3ACE">
        <w:rPr>
          <w:rFonts w:ascii="Times New Roman" w:hAnsi="Times New Roman" w:cs="Times New Roman"/>
          <w:b/>
          <w:bCs/>
          <w:color w:val="000000" w:themeColor="text1"/>
          <w:sz w:val="24"/>
          <w:szCs w:val="24"/>
          <w:shd w:val="clear" w:color="auto" w:fill="FFFFFF"/>
        </w:rPr>
        <w:t xml:space="preserve"> f. sp. </w:t>
      </w:r>
      <w:proofErr w:type="spellStart"/>
      <w:r w:rsidRPr="00BB3ACE">
        <w:rPr>
          <w:rFonts w:ascii="Times New Roman" w:hAnsi="Times New Roman" w:cs="Times New Roman"/>
          <w:b/>
          <w:bCs/>
          <w:color w:val="000000" w:themeColor="text1"/>
          <w:sz w:val="24"/>
          <w:szCs w:val="24"/>
          <w:shd w:val="clear" w:color="auto" w:fill="FFFFFF"/>
        </w:rPr>
        <w:t>glycines</w:t>
      </w:r>
      <w:proofErr w:type="spellEnd"/>
      <w:r w:rsidRPr="00BB3ACE">
        <w:rPr>
          <w:rFonts w:ascii="Times New Roman" w:hAnsi="Times New Roman" w:cs="Times New Roman"/>
          <w:b/>
          <w:bCs/>
          <w:color w:val="000000" w:themeColor="text1"/>
          <w:sz w:val="24"/>
          <w:szCs w:val="24"/>
          <w:shd w:val="clear" w:color="auto" w:fill="FFFFFF"/>
        </w:rPr>
        <w:t xml:space="preserve">. Biological Forum – An International Journal, 16(7), 183-189. </w:t>
      </w:r>
      <w:hyperlink r:id="rId19" w:history="1">
        <w:r w:rsidRPr="00BB3ACE">
          <w:rPr>
            <w:rStyle w:val="Hyperlink"/>
            <w:rFonts w:ascii="Times New Roman" w:hAnsi="Times New Roman" w:cs="Times New Roman"/>
            <w:b/>
            <w:bCs/>
            <w:sz w:val="24"/>
            <w:szCs w:val="24"/>
            <w:shd w:val="clear" w:color="auto" w:fill="FFFFFF"/>
          </w:rPr>
          <w:t>https://www.researchtrend.net/bfij.php</w:t>
        </w:r>
      </w:hyperlink>
    </w:p>
    <w:p w14:paraId="2C627C71" w14:textId="77777777" w:rsidR="00055F81" w:rsidRPr="00BB3ACE" w:rsidRDefault="0098093E" w:rsidP="00BB3ACE">
      <w:pPr>
        <w:spacing w:line="360" w:lineRule="auto"/>
        <w:ind w:left="360"/>
        <w:jc w:val="both"/>
        <w:rPr>
          <w:rFonts w:ascii="Times New Roman" w:hAnsi="Times New Roman" w:cs="Times New Roman"/>
          <w:color w:val="000000" w:themeColor="text1"/>
          <w:sz w:val="24"/>
          <w:szCs w:val="24"/>
        </w:rPr>
      </w:pPr>
      <w:proofErr w:type="spellStart"/>
      <w:r w:rsidRPr="00BB3ACE">
        <w:rPr>
          <w:rFonts w:ascii="Times New Roman" w:hAnsi="Times New Roman" w:cs="Times New Roman"/>
          <w:b/>
          <w:bCs/>
          <w:color w:val="000000" w:themeColor="text1"/>
          <w:sz w:val="24"/>
          <w:szCs w:val="24"/>
        </w:rPr>
        <w:t>Tarannum</w:t>
      </w:r>
      <w:proofErr w:type="spellEnd"/>
      <w:r w:rsidRPr="00BB3ACE">
        <w:rPr>
          <w:rFonts w:ascii="Times New Roman" w:hAnsi="Times New Roman" w:cs="Times New Roman"/>
          <w:b/>
          <w:bCs/>
          <w:color w:val="000000" w:themeColor="text1"/>
          <w:sz w:val="24"/>
          <w:szCs w:val="24"/>
        </w:rPr>
        <w:t xml:space="preserve"> M S and Naik B H. 2014</w:t>
      </w:r>
      <w:r w:rsidRPr="00BB3ACE">
        <w:rPr>
          <w:rFonts w:ascii="Times New Roman" w:hAnsi="Times New Roman" w:cs="Times New Roman"/>
          <w:color w:val="000000" w:themeColor="text1"/>
          <w:sz w:val="24"/>
          <w:szCs w:val="24"/>
        </w:rPr>
        <w:t xml:space="preserve">. Performance of carnation (Dianthus </w:t>
      </w:r>
      <w:proofErr w:type="spellStart"/>
      <w:r w:rsidRPr="00BB3ACE">
        <w:rPr>
          <w:rFonts w:ascii="Times New Roman" w:hAnsi="Times New Roman" w:cs="Times New Roman"/>
          <w:color w:val="000000" w:themeColor="text1"/>
          <w:sz w:val="24"/>
          <w:szCs w:val="24"/>
        </w:rPr>
        <w:t>caryophyllus</w:t>
      </w:r>
      <w:proofErr w:type="spellEnd"/>
      <w:r w:rsidRPr="00BB3ACE">
        <w:rPr>
          <w:rFonts w:ascii="Times New Roman" w:hAnsi="Times New Roman" w:cs="Times New Roman"/>
          <w:color w:val="000000" w:themeColor="text1"/>
          <w:sz w:val="24"/>
          <w:szCs w:val="24"/>
        </w:rPr>
        <w:t xml:space="preserve"> L.) genotypes for qualitative and quantitative parameters to assess genetic variability among genotypes. </w:t>
      </w:r>
      <w:r w:rsidRPr="00BB3ACE">
        <w:rPr>
          <w:rFonts w:ascii="Times New Roman" w:hAnsi="Times New Roman" w:cs="Times New Roman"/>
          <w:i/>
          <w:iCs/>
          <w:color w:val="000000" w:themeColor="text1"/>
          <w:sz w:val="24"/>
          <w:szCs w:val="24"/>
        </w:rPr>
        <w:t xml:space="preserve">American International Journal of Research in Formal, Applied and Natural Sciences </w:t>
      </w:r>
      <w:r w:rsidRPr="00BB3ACE">
        <w:rPr>
          <w:rFonts w:ascii="Times New Roman" w:hAnsi="Times New Roman" w:cs="Times New Roman"/>
          <w:color w:val="000000" w:themeColor="text1"/>
          <w:sz w:val="24"/>
          <w:szCs w:val="24"/>
        </w:rPr>
        <w:t>5:96-01.</w:t>
      </w:r>
    </w:p>
    <w:p w14:paraId="724F4B93" w14:textId="57CB46A8" w:rsidR="0098093E" w:rsidRPr="00BB3ACE" w:rsidRDefault="00055F81" w:rsidP="00BB3ACE">
      <w:pPr>
        <w:spacing w:line="360" w:lineRule="auto"/>
        <w:ind w:left="360"/>
        <w:jc w:val="both"/>
        <w:rPr>
          <w:rFonts w:ascii="Times New Roman" w:hAnsi="Times New Roman" w:cs="Times New Roman"/>
          <w:color w:val="000000" w:themeColor="text1"/>
          <w:sz w:val="24"/>
          <w:szCs w:val="24"/>
        </w:rPr>
      </w:pPr>
      <w:r w:rsidRPr="00BB3ACE">
        <w:rPr>
          <w:rFonts w:ascii="Times New Roman" w:eastAsia="Times New Roman" w:hAnsi="Times New Roman" w:cs="Times New Roman"/>
          <w:b/>
          <w:bCs/>
          <w:color w:val="000000" w:themeColor="text1"/>
          <w:sz w:val="24"/>
          <w:szCs w:val="24"/>
          <w:lang w:eastAsia="en-IN"/>
        </w:rPr>
        <w:t xml:space="preserve">Vincent, J. M. (1947). Distortion of fungal hyphae in the presence of certain inhibitors. Nature, 159, 850. </w:t>
      </w:r>
      <w:hyperlink r:id="rId20" w:history="1">
        <w:r w:rsidRPr="00BB3ACE">
          <w:rPr>
            <w:rStyle w:val="Hyperlink"/>
            <w:rFonts w:ascii="Times New Roman" w:eastAsia="Times New Roman" w:hAnsi="Times New Roman" w:cs="Times New Roman"/>
            <w:b/>
            <w:bCs/>
            <w:sz w:val="24"/>
            <w:szCs w:val="24"/>
            <w:lang w:eastAsia="en-IN"/>
          </w:rPr>
          <w:t>https://doi.org/10.1038/159850b0</w:t>
        </w:r>
      </w:hyperlink>
    </w:p>
    <w:p w14:paraId="2EFB8F17" w14:textId="77777777" w:rsidR="00055F81" w:rsidRPr="00FD2A42" w:rsidRDefault="00055F81" w:rsidP="0098093E">
      <w:pPr>
        <w:tabs>
          <w:tab w:val="left" w:pos="2319"/>
        </w:tabs>
        <w:rPr>
          <w:rFonts w:ascii="Times New Roman" w:hAnsi="Times New Roman" w:cs="Times New Roman"/>
        </w:rPr>
      </w:pPr>
    </w:p>
    <w:p w14:paraId="60B02254" w14:textId="77777777" w:rsidR="0098093E" w:rsidRPr="00FD2A42" w:rsidRDefault="0098093E" w:rsidP="0098093E">
      <w:pPr>
        <w:rPr>
          <w:rFonts w:ascii="Times New Roman" w:hAnsi="Times New Roman" w:cs="Times New Roman"/>
        </w:rPr>
      </w:pPr>
    </w:p>
    <w:p w14:paraId="0BCA11D2" w14:textId="77777777" w:rsidR="0098093E" w:rsidRPr="00FD2A42" w:rsidRDefault="0098093E" w:rsidP="0098093E">
      <w:pPr>
        <w:rPr>
          <w:rFonts w:ascii="Times New Roman" w:hAnsi="Times New Roman" w:cs="Times New Roman"/>
        </w:rPr>
      </w:pPr>
    </w:p>
    <w:p w14:paraId="27422F16" w14:textId="77777777" w:rsidR="0098093E" w:rsidRPr="00FD2A42" w:rsidRDefault="0098093E" w:rsidP="0098093E">
      <w:pPr>
        <w:rPr>
          <w:rFonts w:ascii="Times New Roman" w:hAnsi="Times New Roman" w:cs="Times New Roman"/>
        </w:rPr>
      </w:pPr>
    </w:p>
    <w:p w14:paraId="11470DB3" w14:textId="77777777" w:rsidR="0098093E" w:rsidRPr="00FD2A42" w:rsidRDefault="0098093E" w:rsidP="0098093E">
      <w:pPr>
        <w:rPr>
          <w:rFonts w:ascii="Times New Roman" w:hAnsi="Times New Roman" w:cs="Times New Roman"/>
        </w:rPr>
      </w:pPr>
    </w:p>
    <w:p w14:paraId="0EFB86F4" w14:textId="77777777" w:rsidR="0098093E" w:rsidRPr="00FD2A42" w:rsidRDefault="0098093E" w:rsidP="0098093E">
      <w:pPr>
        <w:rPr>
          <w:rFonts w:ascii="Times New Roman" w:hAnsi="Times New Roman" w:cs="Times New Roman"/>
        </w:rPr>
      </w:pPr>
    </w:p>
    <w:p w14:paraId="3A9344EB" w14:textId="77777777" w:rsidR="0098093E" w:rsidRPr="00FD2A42" w:rsidRDefault="0098093E" w:rsidP="0098093E">
      <w:pPr>
        <w:rPr>
          <w:rFonts w:ascii="Times New Roman" w:hAnsi="Times New Roman" w:cs="Times New Roman"/>
        </w:rPr>
      </w:pPr>
    </w:p>
    <w:p w14:paraId="0E7E55F8" w14:textId="77777777" w:rsidR="0098093E" w:rsidRPr="00FD2A42" w:rsidRDefault="0098093E" w:rsidP="0098093E">
      <w:pPr>
        <w:rPr>
          <w:rFonts w:ascii="Times New Roman" w:hAnsi="Times New Roman" w:cs="Times New Roman"/>
        </w:rPr>
      </w:pPr>
    </w:p>
    <w:p w14:paraId="73DD3A43" w14:textId="77777777" w:rsidR="0098093E" w:rsidRPr="00FD2A42" w:rsidRDefault="0098093E" w:rsidP="0098093E">
      <w:pPr>
        <w:rPr>
          <w:rFonts w:ascii="Times New Roman" w:hAnsi="Times New Roman" w:cs="Times New Roman"/>
        </w:rPr>
      </w:pPr>
    </w:p>
    <w:p w14:paraId="6C594217" w14:textId="77777777" w:rsidR="0098093E" w:rsidRPr="00FD2A42" w:rsidRDefault="0098093E" w:rsidP="0098093E">
      <w:pPr>
        <w:rPr>
          <w:rFonts w:ascii="Times New Roman" w:hAnsi="Times New Roman" w:cs="Times New Roman"/>
        </w:rPr>
      </w:pPr>
    </w:p>
    <w:p w14:paraId="165AE12F" w14:textId="77777777" w:rsidR="0098093E" w:rsidRPr="00FD2A42" w:rsidRDefault="0098093E" w:rsidP="0098093E">
      <w:pPr>
        <w:rPr>
          <w:rFonts w:ascii="Times New Roman" w:hAnsi="Times New Roman" w:cs="Times New Roman"/>
        </w:rPr>
      </w:pPr>
    </w:p>
    <w:sectPr w:rsidR="0098093E" w:rsidRPr="00FD2A4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F5D3C" w14:textId="77777777" w:rsidR="0069286D" w:rsidRDefault="0069286D" w:rsidP="00767F6C">
      <w:pPr>
        <w:spacing w:after="0" w:line="240" w:lineRule="auto"/>
      </w:pPr>
      <w:r>
        <w:separator/>
      </w:r>
    </w:p>
  </w:endnote>
  <w:endnote w:type="continuationSeparator" w:id="0">
    <w:p w14:paraId="6567BA28" w14:textId="77777777" w:rsidR="0069286D" w:rsidRDefault="0069286D" w:rsidP="0076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AC408" w14:textId="77777777" w:rsidR="00767F6C" w:rsidRDefault="00767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E0F5" w14:textId="77777777" w:rsidR="00767F6C" w:rsidRDefault="00767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0B31" w14:textId="77777777" w:rsidR="00767F6C" w:rsidRDefault="0076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42DEA" w14:textId="77777777" w:rsidR="0069286D" w:rsidRDefault="0069286D" w:rsidP="00767F6C">
      <w:pPr>
        <w:spacing w:after="0" w:line="240" w:lineRule="auto"/>
      </w:pPr>
      <w:r>
        <w:separator/>
      </w:r>
    </w:p>
  </w:footnote>
  <w:footnote w:type="continuationSeparator" w:id="0">
    <w:p w14:paraId="020E3C74" w14:textId="77777777" w:rsidR="0069286D" w:rsidRDefault="0069286D" w:rsidP="00767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116D" w14:textId="503728AD" w:rsidR="00767F6C" w:rsidRDefault="00767F6C">
    <w:pPr>
      <w:pStyle w:val="Header"/>
    </w:pPr>
    <w:r>
      <w:rPr>
        <w:noProof/>
      </w:rPr>
      <w:pict w14:anchorId="5F90C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375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A32D9" w14:textId="5410CA49" w:rsidR="00767F6C" w:rsidRDefault="00767F6C">
    <w:pPr>
      <w:pStyle w:val="Header"/>
    </w:pPr>
    <w:r>
      <w:rPr>
        <w:noProof/>
      </w:rPr>
      <w:pict w14:anchorId="1016C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375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45EF1" w14:textId="408A1503" w:rsidR="00767F6C" w:rsidRDefault="00767F6C">
    <w:pPr>
      <w:pStyle w:val="Header"/>
    </w:pPr>
    <w:r>
      <w:rPr>
        <w:noProof/>
      </w:rPr>
      <w:pict w14:anchorId="184C4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375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D7B80"/>
    <w:multiLevelType w:val="hybridMultilevel"/>
    <w:tmpl w:val="5030D3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3E"/>
    <w:rsid w:val="00055F81"/>
    <w:rsid w:val="001C53AE"/>
    <w:rsid w:val="001D2512"/>
    <w:rsid w:val="005025BB"/>
    <w:rsid w:val="0069286D"/>
    <w:rsid w:val="00767F6C"/>
    <w:rsid w:val="007E353C"/>
    <w:rsid w:val="0098093E"/>
    <w:rsid w:val="00BB3ACE"/>
    <w:rsid w:val="00CC217A"/>
    <w:rsid w:val="00F5188A"/>
    <w:rsid w:val="00F643A7"/>
    <w:rsid w:val="00FD2A42"/>
    <w:rsid w:val="00FE1636"/>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8940D"/>
  <w15:chartTrackingRefBased/>
  <w15:docId w15:val="{1D55FA83-771D-4F91-82E5-4561CF6F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93E"/>
  </w:style>
  <w:style w:type="paragraph" w:styleId="Heading1">
    <w:name w:val="heading 1"/>
    <w:basedOn w:val="Normal"/>
    <w:next w:val="Normal"/>
    <w:link w:val="Heading1Char"/>
    <w:uiPriority w:val="9"/>
    <w:qFormat/>
    <w:rsid w:val="00980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9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9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93E"/>
    <w:rPr>
      <w:rFonts w:eastAsiaTheme="majorEastAsia" w:cstheme="majorBidi"/>
      <w:color w:val="272727" w:themeColor="text1" w:themeTint="D8"/>
    </w:rPr>
  </w:style>
  <w:style w:type="paragraph" w:styleId="Title">
    <w:name w:val="Title"/>
    <w:basedOn w:val="Normal"/>
    <w:next w:val="Normal"/>
    <w:link w:val="TitleChar"/>
    <w:uiPriority w:val="10"/>
    <w:qFormat/>
    <w:rsid w:val="00980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93E"/>
    <w:pPr>
      <w:spacing w:before="160"/>
      <w:jc w:val="center"/>
    </w:pPr>
    <w:rPr>
      <w:i/>
      <w:iCs/>
      <w:color w:val="404040" w:themeColor="text1" w:themeTint="BF"/>
    </w:rPr>
  </w:style>
  <w:style w:type="character" w:customStyle="1" w:styleId="QuoteChar">
    <w:name w:val="Quote Char"/>
    <w:basedOn w:val="DefaultParagraphFont"/>
    <w:link w:val="Quote"/>
    <w:uiPriority w:val="29"/>
    <w:rsid w:val="0098093E"/>
    <w:rPr>
      <w:i/>
      <w:iCs/>
      <w:color w:val="404040" w:themeColor="text1" w:themeTint="BF"/>
    </w:rPr>
  </w:style>
  <w:style w:type="paragraph" w:styleId="ListParagraph">
    <w:name w:val="List Paragraph"/>
    <w:basedOn w:val="Normal"/>
    <w:uiPriority w:val="34"/>
    <w:qFormat/>
    <w:rsid w:val="0098093E"/>
    <w:pPr>
      <w:ind w:left="720"/>
      <w:contextualSpacing/>
    </w:pPr>
  </w:style>
  <w:style w:type="character" w:styleId="IntenseEmphasis">
    <w:name w:val="Intense Emphasis"/>
    <w:basedOn w:val="DefaultParagraphFont"/>
    <w:uiPriority w:val="21"/>
    <w:qFormat/>
    <w:rsid w:val="0098093E"/>
    <w:rPr>
      <w:i/>
      <w:iCs/>
      <w:color w:val="2F5496" w:themeColor="accent1" w:themeShade="BF"/>
    </w:rPr>
  </w:style>
  <w:style w:type="paragraph" w:styleId="IntenseQuote">
    <w:name w:val="Intense Quote"/>
    <w:basedOn w:val="Normal"/>
    <w:next w:val="Normal"/>
    <w:link w:val="IntenseQuoteChar"/>
    <w:uiPriority w:val="30"/>
    <w:qFormat/>
    <w:rsid w:val="00980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93E"/>
    <w:rPr>
      <w:i/>
      <w:iCs/>
      <w:color w:val="2F5496" w:themeColor="accent1" w:themeShade="BF"/>
    </w:rPr>
  </w:style>
  <w:style w:type="character" w:styleId="IntenseReference">
    <w:name w:val="Intense Reference"/>
    <w:basedOn w:val="DefaultParagraphFont"/>
    <w:uiPriority w:val="32"/>
    <w:qFormat/>
    <w:rsid w:val="0098093E"/>
    <w:rPr>
      <w:b/>
      <w:bCs/>
      <w:smallCaps/>
      <w:color w:val="2F5496" w:themeColor="accent1" w:themeShade="BF"/>
      <w:spacing w:val="5"/>
    </w:rPr>
  </w:style>
  <w:style w:type="paragraph" w:customStyle="1" w:styleId="Default">
    <w:name w:val="Default"/>
    <w:qFormat/>
    <w:rsid w:val="0098093E"/>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39"/>
    <w:rsid w:val="00980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C217A"/>
    <w:rPr>
      <w:rFonts w:ascii="Times New Roman" w:hAnsi="Times New Roman" w:cs="Times New Roman"/>
      <w:sz w:val="24"/>
      <w:szCs w:val="24"/>
    </w:rPr>
  </w:style>
  <w:style w:type="character" w:styleId="Hyperlink">
    <w:name w:val="Hyperlink"/>
    <w:basedOn w:val="DefaultParagraphFont"/>
    <w:uiPriority w:val="99"/>
    <w:unhideWhenUsed/>
    <w:rsid w:val="00FE1636"/>
    <w:rPr>
      <w:color w:val="0563C1" w:themeColor="hyperlink"/>
      <w:u w:val="single"/>
    </w:rPr>
  </w:style>
  <w:style w:type="character" w:styleId="UnresolvedMention">
    <w:name w:val="Unresolved Mention"/>
    <w:basedOn w:val="DefaultParagraphFont"/>
    <w:uiPriority w:val="99"/>
    <w:semiHidden/>
    <w:unhideWhenUsed/>
    <w:rsid w:val="00FE1636"/>
    <w:rPr>
      <w:color w:val="605E5C"/>
      <w:shd w:val="clear" w:color="auto" w:fill="E1DFDD"/>
    </w:rPr>
  </w:style>
  <w:style w:type="paragraph" w:styleId="Header">
    <w:name w:val="header"/>
    <w:basedOn w:val="Normal"/>
    <w:link w:val="HeaderChar"/>
    <w:uiPriority w:val="99"/>
    <w:unhideWhenUsed/>
    <w:rsid w:val="00767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F6C"/>
  </w:style>
  <w:style w:type="paragraph" w:styleId="Footer">
    <w:name w:val="footer"/>
    <w:basedOn w:val="Normal"/>
    <w:link w:val="FooterChar"/>
    <w:uiPriority w:val="99"/>
    <w:unhideWhenUsed/>
    <w:rsid w:val="00767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phytojournal.com/archives/2018/vol7issue4/PartAR/7-4-100-100.pdf" TargetMode="External"/><Relationship Id="rId18" Type="http://schemas.openxmlformats.org/officeDocument/2006/relationships/hyperlink" Target="https://doi.org/10.22271/chemi.2020.v8.i5ac.1061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12692/ijb/6.3.36-44" TargetMode="External"/><Relationship Id="rId17" Type="http://schemas.openxmlformats.org/officeDocument/2006/relationships/hyperlink" Target="https://www.bioinfopublication.org/pages.php?id=BP000029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20546/ijcmas.2020.909.175" TargetMode="External"/><Relationship Id="rId20" Type="http://schemas.openxmlformats.org/officeDocument/2006/relationships/hyperlink" Target="https://doi.org/10.1038/15985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ley.com/en-us/Statistical+Procedures+for+Agricultural+Research,+2nd+Edition-p-978047187092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ijcmas.com/special-issue-11-2020.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plaphy.2020.03.018" TargetMode="External"/><Relationship Id="rId19" Type="http://schemas.openxmlformats.org/officeDocument/2006/relationships/hyperlink" Target="https://www.researchtrend.net/bfij.php"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sphinxsai.com/pharmtech.php"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solidFill>
                <a:sysClr val="windowText" lastClr="000000"/>
              </a:solidFill>
            </a:ln>
            <a:effectLst/>
          </c:spPr>
          <c:invertIfNegative val="0"/>
          <c:cat>
            <c:strRef>
              <c:f>Sheet1!$J$6:$N$6</c:f>
              <c:strCache>
                <c:ptCount val="5"/>
                <c:pt idx="0">
                  <c:v>PDA</c:v>
                </c:pt>
                <c:pt idx="1">
                  <c:v>OMA</c:v>
                </c:pt>
                <c:pt idx="2">
                  <c:v>Czapek’s</c:v>
                </c:pt>
                <c:pt idx="3">
                  <c:v>Corn meal</c:v>
                </c:pt>
                <c:pt idx="4">
                  <c:v>Rose Bengal</c:v>
                </c:pt>
              </c:strCache>
              <c:extLst/>
            </c:strRef>
          </c:cat>
          <c:val>
            <c:numRef>
              <c:f>Sheet1!$J$8:$N$8</c:f>
              <c:numCache>
                <c:formatCode>General</c:formatCode>
                <c:ptCount val="5"/>
                <c:pt idx="0">
                  <c:v>89.59</c:v>
                </c:pt>
                <c:pt idx="1">
                  <c:v>84.41</c:v>
                </c:pt>
                <c:pt idx="2">
                  <c:v>83.72</c:v>
                </c:pt>
                <c:pt idx="3">
                  <c:v>80.75</c:v>
                </c:pt>
                <c:pt idx="4">
                  <c:v>15.61</c:v>
                </c:pt>
              </c:numCache>
            </c:numRef>
          </c:val>
          <c:extLst>
            <c:ext xmlns:c16="http://schemas.microsoft.com/office/drawing/2014/chart" uri="{C3380CC4-5D6E-409C-BE32-E72D297353CC}">
              <c16:uniqueId val="{00000000-E03C-4936-98F5-9000894F20DC}"/>
            </c:ext>
          </c:extLst>
        </c:ser>
        <c:dLbls>
          <c:showLegendKey val="0"/>
          <c:showVal val="0"/>
          <c:showCatName val="0"/>
          <c:showSerName val="0"/>
          <c:showPercent val="0"/>
          <c:showBubbleSize val="0"/>
        </c:dLbls>
        <c:gapWidth val="219"/>
        <c:overlap val="-27"/>
        <c:axId val="2008127792"/>
        <c:axId val="2008114352"/>
      </c:barChart>
      <c:catAx>
        <c:axId val="2008127792"/>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b="1" i="0" u="none" strike="noStrike" baseline="0">
                    <a:solidFill>
                      <a:sysClr val="windowText" lastClr="000000"/>
                    </a:solidFill>
                    <a:effectLst/>
                  </a:rPr>
                  <a:t>Treatments details</a:t>
                </a:r>
                <a:endParaRPr lang="en-GB">
                  <a:solidFill>
                    <a:sysClr val="windowText" lastClr="000000"/>
                  </a:solidFill>
                </a:endParaRPr>
              </a:p>
            </c:rich>
          </c:tx>
          <c:layout>
            <c:manualLayout>
              <c:xMode val="edge"/>
              <c:yMode val="edge"/>
              <c:x val="0.43551509186351706"/>
              <c:y val="0.91358463170827053"/>
            </c:manualLayout>
          </c:layout>
          <c:overlay val="0"/>
          <c:spPr>
            <a:noFill/>
            <a:ln>
              <a:solidFill>
                <a:schemeClr val="bg1"/>
              </a:solid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14352"/>
        <c:crosses val="autoZero"/>
        <c:auto val="1"/>
        <c:lblAlgn val="ctr"/>
        <c:lblOffset val="100"/>
        <c:noMultiLvlLbl val="0"/>
      </c:catAx>
      <c:valAx>
        <c:axId val="2008114352"/>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rPr>
                  <a:t>Mycelial growth in Day 7 (mm) </a:t>
                </a:r>
                <a:endParaRPr lang="en-GB" b="1">
                  <a:solidFill>
                    <a:sysClr val="windowText" lastClr="000000"/>
                  </a:solidFill>
                </a:endParaRPr>
              </a:p>
            </c:rich>
          </c:tx>
          <c:overlay val="0"/>
          <c:spPr>
            <a:noFill/>
            <a:ln>
              <a:solidFill>
                <a:schemeClr val="bg1"/>
              </a:solid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2779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i="0" u="none" strike="noStrike" baseline="0">
                <a:solidFill>
                  <a:sysClr val="windowText" lastClr="000000"/>
                </a:solidFill>
                <a:effectLst/>
              </a:rPr>
              <a:t>Effect of different culture media on mycelial growth (mm) of </a:t>
            </a:r>
            <a:r>
              <a:rPr lang="en-IN" sz="1050" b="1" i="1" u="none" strike="noStrike" baseline="0">
                <a:solidFill>
                  <a:sysClr val="windowText" lastClr="000000"/>
                </a:solidFill>
                <a:effectLst/>
              </a:rPr>
              <a:t>Fusarium oxysporum</a:t>
            </a:r>
            <a:r>
              <a:rPr lang="en-IN" sz="1050" b="1" i="0" u="none" strike="noStrike" baseline="0">
                <a:solidFill>
                  <a:sysClr val="windowText" lastClr="000000"/>
                </a:solidFill>
                <a:effectLst/>
              </a:rPr>
              <a:t> f. sp. </a:t>
            </a:r>
            <a:r>
              <a:rPr lang="en-IN" sz="1050" b="1" i="1" u="none" strike="noStrike" baseline="0">
                <a:solidFill>
                  <a:sysClr val="windowText" lastClr="000000"/>
                </a:solidFill>
                <a:effectLst/>
              </a:rPr>
              <a:t>dianthi</a:t>
            </a:r>
            <a:endParaRPr lang="en-GB" sz="1050">
              <a:solidFill>
                <a:sysClr val="windowText" lastClr="000000"/>
              </a:solidFill>
            </a:endParaRPr>
          </a:p>
        </c:rich>
      </c:tx>
      <c:overlay val="0"/>
      <c:spPr>
        <a:noFill/>
        <a:ln>
          <a:solidFill>
            <a:schemeClr val="bg1"/>
          </a:solid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2"/>
            </a:solidFill>
            <a:ln>
              <a:solidFill>
                <a:sysClr val="windowText" lastClr="000000"/>
              </a:solidFill>
            </a:ln>
            <a:effectLst/>
          </c:spPr>
          <c:invertIfNegative val="0"/>
          <c:cat>
            <c:strRef>
              <c:f>Sheet1!$J$6:$N$6</c:f>
              <c:strCache>
                <c:ptCount val="5"/>
                <c:pt idx="0">
                  <c:v>15℃</c:v>
                </c:pt>
                <c:pt idx="1">
                  <c:v>20℃</c:v>
                </c:pt>
                <c:pt idx="2">
                  <c:v>25℃</c:v>
                </c:pt>
                <c:pt idx="3">
                  <c:v>30℃</c:v>
                </c:pt>
                <c:pt idx="4">
                  <c:v>35℃</c:v>
                </c:pt>
              </c:strCache>
              <c:extLst/>
            </c:strRef>
          </c:cat>
          <c:val>
            <c:numRef>
              <c:f>Sheet1!$J$8:$N$8</c:f>
              <c:numCache>
                <c:formatCode>General</c:formatCode>
                <c:ptCount val="5"/>
                <c:pt idx="0">
                  <c:v>21.9</c:v>
                </c:pt>
                <c:pt idx="1">
                  <c:v>46.9</c:v>
                </c:pt>
                <c:pt idx="2">
                  <c:v>61.78</c:v>
                </c:pt>
                <c:pt idx="3">
                  <c:v>79.099999999999994</c:v>
                </c:pt>
                <c:pt idx="4">
                  <c:v>35.15</c:v>
                </c:pt>
              </c:numCache>
            </c:numRef>
          </c:val>
          <c:extLst>
            <c:ext xmlns:c16="http://schemas.microsoft.com/office/drawing/2014/chart" uri="{C3380CC4-5D6E-409C-BE32-E72D297353CC}">
              <c16:uniqueId val="{00000000-B84A-4863-AB68-2A8D9BEAB514}"/>
            </c:ext>
          </c:extLst>
        </c:ser>
        <c:dLbls>
          <c:showLegendKey val="0"/>
          <c:showVal val="0"/>
          <c:showCatName val="0"/>
          <c:showSerName val="0"/>
          <c:showPercent val="0"/>
          <c:showBubbleSize val="0"/>
        </c:dLbls>
        <c:gapWidth val="219"/>
        <c:overlap val="-27"/>
        <c:axId val="2008127792"/>
        <c:axId val="2008114352"/>
      </c:barChart>
      <c:catAx>
        <c:axId val="2008127792"/>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b="1" i="0" u="none" strike="noStrike" baseline="0">
                    <a:solidFill>
                      <a:sysClr val="windowText" lastClr="000000"/>
                    </a:solidFill>
                    <a:effectLst/>
                  </a:rPr>
                  <a:t>Treatments details</a:t>
                </a:r>
                <a:endParaRPr lang="en-GB">
                  <a:solidFill>
                    <a:sysClr val="windowText" lastClr="000000"/>
                  </a:solidFill>
                </a:endParaRPr>
              </a:p>
            </c:rich>
          </c:tx>
          <c:layout>
            <c:manualLayout>
              <c:xMode val="edge"/>
              <c:yMode val="edge"/>
              <c:x val="0.43551509186351706"/>
              <c:y val="0.91358463170827053"/>
            </c:manualLayout>
          </c:layout>
          <c:overlay val="0"/>
          <c:spPr>
            <a:noFill/>
            <a:ln>
              <a:solidFill>
                <a:schemeClr val="bg1"/>
              </a:solid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14352"/>
        <c:crosses val="autoZero"/>
        <c:auto val="1"/>
        <c:lblAlgn val="ctr"/>
        <c:lblOffset val="100"/>
        <c:noMultiLvlLbl val="0"/>
      </c:catAx>
      <c:valAx>
        <c:axId val="2008114352"/>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rPr>
                  <a:t>Mycelial growth in Day 7 (mm) </a:t>
                </a:r>
                <a:endParaRPr lang="en-GB" b="1">
                  <a:solidFill>
                    <a:sysClr val="windowText" lastClr="000000"/>
                  </a:solidFill>
                </a:endParaRPr>
              </a:p>
            </c:rich>
          </c:tx>
          <c:layout>
            <c:manualLayout>
              <c:xMode val="edge"/>
              <c:yMode val="edge"/>
              <c:x val="2.5172757130464254E-2"/>
              <c:y val="0.15974865640568925"/>
            </c:manualLayout>
          </c:layout>
          <c:overlay val="0"/>
          <c:spPr>
            <a:noFill/>
            <a:ln>
              <a:solidFill>
                <a:schemeClr val="bg1"/>
              </a:solid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2779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i="0" u="none" strike="noStrike" baseline="0">
                <a:solidFill>
                  <a:sysClr val="windowText" lastClr="000000"/>
                </a:solidFill>
                <a:effectLst/>
              </a:rPr>
              <a:t>Effect of different pH on mycelial growth (mm) of </a:t>
            </a:r>
          </a:p>
          <a:p>
            <a:pPr>
              <a:defRPr/>
            </a:pPr>
            <a:r>
              <a:rPr lang="en-IN" sz="1050" b="1" i="1" u="none" strike="noStrike" baseline="0">
                <a:solidFill>
                  <a:sysClr val="windowText" lastClr="000000"/>
                </a:solidFill>
                <a:effectLst/>
              </a:rPr>
              <a:t>Fusarium oxysporum</a:t>
            </a:r>
            <a:r>
              <a:rPr lang="en-IN" sz="1050" b="1" i="0" u="none" strike="noStrike" baseline="0">
                <a:solidFill>
                  <a:sysClr val="windowText" lastClr="000000"/>
                </a:solidFill>
                <a:effectLst/>
              </a:rPr>
              <a:t> f. sp. </a:t>
            </a:r>
            <a:r>
              <a:rPr lang="en-IN" sz="1050" b="1" i="1" u="none" strike="noStrike" baseline="0">
                <a:solidFill>
                  <a:sysClr val="windowText" lastClr="000000"/>
                </a:solidFill>
                <a:effectLst/>
              </a:rPr>
              <a:t>dianthi</a:t>
            </a:r>
            <a:endParaRPr lang="en-GB" sz="1050">
              <a:solidFill>
                <a:sysClr val="windowText" lastClr="000000"/>
              </a:solidFill>
            </a:endParaRPr>
          </a:p>
        </c:rich>
      </c:tx>
      <c:overlay val="0"/>
      <c:spPr>
        <a:noFill/>
        <a:ln>
          <a:solidFill>
            <a:schemeClr val="bg1"/>
          </a:solid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2"/>
            </a:solidFill>
            <a:ln>
              <a:solidFill>
                <a:sysClr val="windowText" lastClr="000000"/>
              </a:solidFill>
            </a:ln>
            <a:effectLst/>
          </c:spPr>
          <c:invertIfNegative val="0"/>
          <c:cat>
            <c:strRef>
              <c:f>Sheet1!$J$6:$N$6</c:f>
              <c:strCache>
                <c:ptCount val="5"/>
                <c:pt idx="0">
                  <c:v>5 pH</c:v>
                </c:pt>
                <c:pt idx="1">
                  <c:v>5.5 pH</c:v>
                </c:pt>
                <c:pt idx="2">
                  <c:v>6 pH</c:v>
                </c:pt>
                <c:pt idx="3">
                  <c:v>6.5 pH</c:v>
                </c:pt>
                <c:pt idx="4">
                  <c:v>7 pH</c:v>
                </c:pt>
              </c:strCache>
              <c:extLst/>
            </c:strRef>
          </c:cat>
          <c:val>
            <c:numRef>
              <c:f>Sheet1!$J$8:$N$8</c:f>
              <c:numCache>
                <c:formatCode>General</c:formatCode>
                <c:ptCount val="5"/>
                <c:pt idx="0">
                  <c:v>51.02</c:v>
                </c:pt>
                <c:pt idx="1">
                  <c:v>55.15</c:v>
                </c:pt>
                <c:pt idx="2">
                  <c:v>69.900000000000006</c:v>
                </c:pt>
                <c:pt idx="3">
                  <c:v>64.89</c:v>
                </c:pt>
                <c:pt idx="4">
                  <c:v>62.46</c:v>
                </c:pt>
              </c:numCache>
            </c:numRef>
          </c:val>
          <c:extLst>
            <c:ext xmlns:c16="http://schemas.microsoft.com/office/drawing/2014/chart" uri="{C3380CC4-5D6E-409C-BE32-E72D297353CC}">
              <c16:uniqueId val="{00000000-4AAC-4917-A1CA-FC894F51BF93}"/>
            </c:ext>
          </c:extLst>
        </c:ser>
        <c:dLbls>
          <c:showLegendKey val="0"/>
          <c:showVal val="0"/>
          <c:showCatName val="0"/>
          <c:showSerName val="0"/>
          <c:showPercent val="0"/>
          <c:showBubbleSize val="0"/>
        </c:dLbls>
        <c:gapWidth val="219"/>
        <c:overlap val="-27"/>
        <c:axId val="2008127792"/>
        <c:axId val="2008114352"/>
      </c:barChart>
      <c:catAx>
        <c:axId val="20081277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i="0" u="none" strike="noStrike" baseline="0">
                    <a:solidFill>
                      <a:sysClr val="windowText" lastClr="000000"/>
                    </a:solidFill>
                    <a:effectLst/>
                  </a:rPr>
                  <a:t>Treatments details</a:t>
                </a:r>
                <a:endParaRPr lang="en-GB" sz="1000">
                  <a:solidFill>
                    <a:sysClr val="windowText" lastClr="000000"/>
                  </a:solidFill>
                </a:endParaRPr>
              </a:p>
            </c:rich>
          </c:tx>
          <c:layout>
            <c:manualLayout>
              <c:xMode val="edge"/>
              <c:yMode val="edge"/>
              <c:x val="0.43551509186351706"/>
              <c:y val="0.89782407407407405"/>
            </c:manualLayout>
          </c:layout>
          <c:overlay val="0"/>
          <c:spPr>
            <a:noFill/>
            <a:ln>
              <a:solidFill>
                <a:schemeClr val="bg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14352"/>
        <c:crosses val="autoZero"/>
        <c:auto val="1"/>
        <c:lblAlgn val="ctr"/>
        <c:lblOffset val="100"/>
        <c:noMultiLvlLbl val="0"/>
      </c:catAx>
      <c:valAx>
        <c:axId val="2008114352"/>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a:solidFill>
                      <a:sysClr val="windowText" lastClr="000000"/>
                    </a:solidFill>
                  </a:rPr>
                  <a:t>Mycelial</a:t>
                </a:r>
                <a:r>
                  <a:rPr lang="en-IN" sz="1000" b="1" baseline="0">
                    <a:solidFill>
                      <a:sysClr val="windowText" lastClr="000000"/>
                    </a:solidFill>
                  </a:rPr>
                  <a:t> growth in </a:t>
                </a:r>
                <a:r>
                  <a:rPr lang="en-IN" sz="1000" b="1">
                    <a:solidFill>
                      <a:sysClr val="windowText" lastClr="000000"/>
                    </a:solidFill>
                  </a:rPr>
                  <a:t>Day 7 (mm) </a:t>
                </a:r>
                <a:endParaRPr lang="en-GB" sz="1000" b="1">
                  <a:solidFill>
                    <a:sysClr val="windowText" lastClr="000000"/>
                  </a:solidFill>
                </a:endParaRPr>
              </a:p>
            </c:rich>
          </c:tx>
          <c:layout>
            <c:manualLayout>
              <c:xMode val="edge"/>
              <c:yMode val="edge"/>
              <c:x val="2.2222222222222223E-2"/>
              <c:y val="0.17031358885017422"/>
            </c:manualLayout>
          </c:layout>
          <c:overlay val="0"/>
          <c:spPr>
            <a:noFill/>
            <a:ln>
              <a:solidFill>
                <a:schemeClr val="bg1"/>
              </a:solid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812779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2563</Words>
  <Characters>14613</Characters>
  <Application>Microsoft Office Word</Application>
  <DocSecurity>0</DocSecurity>
  <Lines>121</Lines>
  <Paragraphs>34</Paragraphs>
  <ScaleCrop>false</ScaleCrop>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Anu</dc:creator>
  <cp:keywords/>
  <dc:description/>
  <cp:lastModifiedBy>SDI 1084</cp:lastModifiedBy>
  <cp:revision>10</cp:revision>
  <dcterms:created xsi:type="dcterms:W3CDTF">2025-12-01T09:54:00Z</dcterms:created>
  <dcterms:modified xsi:type="dcterms:W3CDTF">2025-12-02T10:08:00Z</dcterms:modified>
</cp:coreProperties>
</file>