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260C2" w14:textId="77777777" w:rsidR="00754C9A" w:rsidRDefault="00754C9A" w:rsidP="00441B6F">
      <w:pPr>
        <w:pStyle w:val="Title"/>
        <w:spacing w:after="0"/>
        <w:jc w:val="both"/>
        <w:rPr>
          <w:rFonts w:ascii="Arial" w:hAnsi="Arial" w:cs="Arial"/>
        </w:rPr>
      </w:pPr>
      <w:bookmarkStart w:id="0" w:name="_Hlk218597564"/>
      <w:bookmarkEnd w:id="0"/>
    </w:p>
    <w:p w14:paraId="370C0186" w14:textId="3B7DA1BC" w:rsidR="00A258C3" w:rsidRPr="006305BA" w:rsidRDefault="006305BA" w:rsidP="006305BA">
      <w:pPr>
        <w:pStyle w:val="Title"/>
        <w:rPr>
          <w:sz w:val="24"/>
          <w:szCs w:val="24"/>
        </w:rPr>
      </w:pPr>
      <w:r w:rsidRPr="006305BA">
        <w:rPr>
          <w:rFonts w:ascii="Arial" w:hAnsi="Arial" w:cs="Arial"/>
          <w:bCs/>
          <w:iCs/>
        </w:rPr>
        <w:t>Computational Investigation of Eugenol–Triazole Derivatives Targeting Breast Cancer Proteins</w:t>
      </w:r>
    </w:p>
    <w:p w14:paraId="2168788B" w14:textId="7FB26515" w:rsidR="00633614" w:rsidRDefault="00633614" w:rsidP="00441B6F">
      <w:pPr>
        <w:pStyle w:val="Affiliation"/>
        <w:spacing w:after="0" w:line="240" w:lineRule="auto"/>
        <w:rPr>
          <w:rFonts w:ascii="Arial" w:hAnsi="Arial" w:cs="Arial"/>
          <w:i/>
        </w:rPr>
      </w:pPr>
    </w:p>
    <w:p w14:paraId="3FE525D1" w14:textId="77777777" w:rsidR="00790ADA" w:rsidRDefault="00790ADA" w:rsidP="00441B6F">
      <w:pPr>
        <w:pStyle w:val="Affiliation"/>
        <w:spacing w:after="0" w:line="240" w:lineRule="auto"/>
        <w:jc w:val="both"/>
        <w:rPr>
          <w:rFonts w:ascii="Arial" w:hAnsi="Arial" w:cs="Arial"/>
        </w:rPr>
      </w:pPr>
    </w:p>
    <w:p w14:paraId="54E89B0A" w14:textId="77777777" w:rsidR="002C57D2" w:rsidRPr="00FB3A86" w:rsidRDefault="002C57D2" w:rsidP="00441B6F">
      <w:pPr>
        <w:pStyle w:val="Affiliation"/>
        <w:spacing w:after="0" w:line="240" w:lineRule="auto"/>
        <w:jc w:val="both"/>
        <w:rPr>
          <w:rFonts w:ascii="Arial" w:hAnsi="Arial" w:cs="Arial"/>
        </w:rPr>
      </w:pPr>
    </w:p>
    <w:p w14:paraId="7A90BFD9" w14:textId="3527A23D" w:rsidR="00B01FCD" w:rsidRPr="00FB3A86" w:rsidRDefault="00296D0A" w:rsidP="00441B6F">
      <w:pPr>
        <w:pStyle w:val="Copyright"/>
        <w:spacing w:after="0" w:line="240" w:lineRule="auto"/>
        <w:jc w:val="both"/>
        <w:rPr>
          <w:rFonts w:ascii="Arial" w:hAnsi="Arial" w:cs="Arial"/>
        </w:rPr>
        <w:sectPr w:rsidR="00B01FCD" w:rsidRPr="00FB3A86" w:rsidSect="00541F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A5BE5F" wp14:editId="4A0822B0">
                <wp:extent cx="5303520" cy="635"/>
                <wp:effectExtent l="11430" t="12700" r="9525" b="15875"/>
                <wp:docPr id="2001180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8E70F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E1CD348" w14:textId="3744649F" w:rsidR="00B01FCD" w:rsidRDefault="00B01FCD" w:rsidP="007D423F">
      <w:pPr>
        <w:pStyle w:val="AbstHead"/>
        <w:spacing w:after="0"/>
        <w:ind w:hanging="142"/>
        <w:jc w:val="both"/>
        <w:rPr>
          <w:rFonts w:ascii="Arial" w:hAnsi="Arial" w:cs="Arial"/>
        </w:rPr>
      </w:pPr>
      <w:r w:rsidRPr="00FB3A86">
        <w:rPr>
          <w:rFonts w:ascii="Arial" w:hAnsi="Arial" w:cs="Arial"/>
        </w:rPr>
        <w:t>ABSTRACT</w:t>
      </w:r>
      <w:r w:rsidR="0066510A">
        <w:rPr>
          <w:rFonts w:ascii="Arial" w:hAnsi="Arial" w:cs="Arial"/>
        </w:rPr>
        <w:t xml:space="preserve"> </w:t>
      </w:r>
    </w:p>
    <w:p w14:paraId="52E236E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E89A7DF" w14:textId="77777777" w:rsidTr="001E44FE">
        <w:tc>
          <w:tcPr>
            <w:tcW w:w="9576" w:type="dxa"/>
            <w:shd w:val="clear" w:color="auto" w:fill="F2F2F2"/>
          </w:tcPr>
          <w:p w14:paraId="719D61C0" w14:textId="2AE0F37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305BA" w:rsidRPr="006305BA">
              <w:rPr>
                <w:rFonts w:ascii="Arial" w:eastAsia="Calibri" w:hAnsi="Arial" w:cs="Arial"/>
                <w:szCs w:val="22"/>
              </w:rPr>
              <w:t>The present study aimed to evaluate the binding affinity and interaction profiles of newly designed eugenol–triazole derivatives against key breast cancer–associated protein targets using structure-based molecular docking, in order to identify promising lead compounds for anti-breast cancer drug development.</w:t>
            </w:r>
          </w:p>
          <w:p w14:paraId="4A112D12" w14:textId="77777777" w:rsidR="006305BA"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305BA" w:rsidRPr="006305BA">
              <w:rPr>
                <w:rFonts w:ascii="Arial" w:eastAsia="Calibri" w:hAnsi="Arial" w:cs="Arial"/>
                <w:szCs w:val="22"/>
              </w:rPr>
              <w:t>Computational in silico molecular docking study.</w:t>
            </w:r>
          </w:p>
          <w:p w14:paraId="79588001" w14:textId="77777777" w:rsidR="006305BA"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305BA" w:rsidRPr="006305BA">
              <w:rPr>
                <w:rFonts w:ascii="Arial" w:eastAsia="Calibri" w:hAnsi="Arial" w:cs="Arial"/>
                <w:szCs w:val="22"/>
              </w:rPr>
              <w:t>The study was carried out using molecular modeling facilities with Schrödinger Maestro software during the course of the present research work.</w:t>
            </w:r>
          </w:p>
          <w:p w14:paraId="383F4BC7" w14:textId="2E5DEB2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305BA" w:rsidRPr="006305BA">
              <w:rPr>
                <w:rFonts w:ascii="Arial" w:eastAsia="Calibri" w:hAnsi="Arial" w:cs="Arial"/>
                <w:szCs w:val="22"/>
              </w:rPr>
              <w:t xml:space="preserve">A series of eugenol–triazole derivatives were designed and subjected to structure-based molecular docking against breast cancer-related protein targets retrieved from the Protein Data Bank, including 1M17, 1SQN, 5DXT, 4RJ3, 4OAR, 2IOG, 4L2Y, 5GBD, and 4DRH. Protein preparation, ligand optimization, grid generation, and docking were performed using Schrödinger Maestro. Binding affinities were evaluated based on docking scores, hydrogen bonding interactions, hydrophobic contacts, and π–π stacking interactions. The performance of the </w:t>
            </w:r>
            <w:r w:rsidR="00FD1116">
              <w:rPr>
                <w:rFonts w:ascii="Arial" w:eastAsia="Calibri" w:hAnsi="Arial" w:cs="Arial"/>
                <w:szCs w:val="22"/>
              </w:rPr>
              <w:t>designed eugenol-triazole</w:t>
            </w:r>
            <w:r w:rsidR="006305BA" w:rsidRPr="006305BA">
              <w:rPr>
                <w:rFonts w:ascii="Arial" w:eastAsia="Calibri" w:hAnsi="Arial" w:cs="Arial"/>
                <w:szCs w:val="22"/>
              </w:rPr>
              <w:t xml:space="preserve"> derivatives was compared with standard reference ligands for each target.</w:t>
            </w:r>
          </w:p>
          <w:p w14:paraId="376566DE" w14:textId="77777777" w:rsidR="006305BA"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305BA" w:rsidRPr="006305BA">
              <w:rPr>
                <w:rFonts w:ascii="Arial" w:eastAsia="Calibri" w:hAnsi="Arial" w:cs="Arial"/>
                <w:szCs w:val="22"/>
              </w:rPr>
              <w:t xml:space="preserve">Several </w:t>
            </w:r>
            <w:proofErr w:type="gramStart"/>
            <w:r w:rsidR="006305BA" w:rsidRPr="006305BA">
              <w:rPr>
                <w:rFonts w:ascii="Arial" w:eastAsia="Calibri" w:hAnsi="Arial" w:cs="Arial"/>
                <w:szCs w:val="22"/>
              </w:rPr>
              <w:t>eugenol</w:t>
            </w:r>
            <w:proofErr w:type="gramEnd"/>
            <w:r w:rsidR="006305BA" w:rsidRPr="006305BA">
              <w:rPr>
                <w:rFonts w:ascii="Arial" w:eastAsia="Calibri" w:hAnsi="Arial" w:cs="Arial"/>
                <w:szCs w:val="22"/>
              </w:rPr>
              <w:t>–triazole derivatives demonstrated favorable docking scores and stable binding conformations within the active sites of multiple breast cancer-related proteins. Key interactions included hydrogen bonding with crucial active-site residues and π–π stacking interactions, attributed mainly to the presence of the triazole moiety. In multiple targets, the binding affinities of selected derivatives were comparable to or better than those of standard reference ligands, indicating enhanced protein–ligand complementarity.</w:t>
            </w:r>
          </w:p>
          <w:p w14:paraId="76373218" w14:textId="227D3BD3"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305BA" w:rsidRPr="006305BA">
              <w:rPr>
                <w:rFonts w:ascii="Arial" w:eastAsia="Calibri" w:hAnsi="Arial" w:cs="Arial"/>
                <w:szCs w:val="22"/>
              </w:rPr>
              <w:t>This in silico study suggests that eugenol–triazole derivatives possess significant potential as anti-breast cancer agents. The incorporation of the triazole ring enhances molecular interactions and binding stability with breast cancer-associated proteins. These findings provide a strong computational rationale for further in vitro and in vivo biological evaluation of these compounds.</w:t>
            </w:r>
          </w:p>
        </w:tc>
      </w:tr>
    </w:tbl>
    <w:p w14:paraId="41F9F83E" w14:textId="77777777" w:rsidR="00636EB2" w:rsidRDefault="00636EB2" w:rsidP="00441B6F">
      <w:pPr>
        <w:pStyle w:val="Body"/>
        <w:spacing w:after="0"/>
        <w:rPr>
          <w:rFonts w:ascii="Arial" w:hAnsi="Arial" w:cs="Arial"/>
          <w:i/>
        </w:rPr>
      </w:pPr>
    </w:p>
    <w:p w14:paraId="01A270E2" w14:textId="77777777" w:rsidR="006305BA" w:rsidRPr="006305BA" w:rsidRDefault="00A24E7E" w:rsidP="006305BA">
      <w:pPr>
        <w:pStyle w:val="BodyText"/>
        <w:ind w:left="100"/>
        <w:jc w:val="both"/>
        <w:rPr>
          <w:rFonts w:ascii="Arial" w:hAnsi="Arial" w:cs="Arial"/>
          <w:i/>
        </w:rPr>
      </w:pPr>
      <w:r>
        <w:rPr>
          <w:rFonts w:ascii="Arial" w:hAnsi="Arial" w:cs="Arial"/>
          <w:i/>
        </w:rPr>
        <w:t>Keywords</w:t>
      </w:r>
      <w:r w:rsidRPr="006305BA">
        <w:rPr>
          <w:rFonts w:ascii="Arial" w:hAnsi="Arial" w:cs="Arial"/>
          <w:i/>
        </w:rPr>
        <w:t xml:space="preserve">: </w:t>
      </w:r>
      <w:r w:rsidR="006305BA" w:rsidRPr="006305BA">
        <w:rPr>
          <w:rFonts w:ascii="Arial" w:hAnsi="Arial" w:cs="Arial"/>
          <w:i/>
          <w:spacing w:val="-1"/>
        </w:rPr>
        <w:t>Eugenol, Triazole derivatives, Breast cancer, Molecular docking, In silico studies, Anticancer agents.</w:t>
      </w:r>
    </w:p>
    <w:p w14:paraId="1250C7AE" w14:textId="77777777" w:rsidR="00505F06" w:rsidRPr="00A24E7E" w:rsidRDefault="00505F06" w:rsidP="00441B6F">
      <w:pPr>
        <w:pStyle w:val="Body"/>
        <w:spacing w:after="0"/>
        <w:rPr>
          <w:rFonts w:ascii="Arial" w:hAnsi="Arial" w:cs="Arial"/>
          <w:i/>
        </w:rPr>
      </w:pPr>
    </w:p>
    <w:p w14:paraId="7F2829F5" w14:textId="6F9661CE" w:rsidR="006305BA" w:rsidRDefault="00902823" w:rsidP="006305BA">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6D1574" w14:textId="77777777" w:rsidR="006305BA" w:rsidRPr="006305BA" w:rsidRDefault="006305BA" w:rsidP="006305BA">
      <w:pPr>
        <w:pStyle w:val="Heading1"/>
        <w:jc w:val="both"/>
        <w:rPr>
          <w:rFonts w:cs="Arial"/>
          <w:spacing w:val="-2"/>
          <w:sz w:val="20"/>
        </w:rPr>
      </w:pPr>
      <w:r w:rsidRPr="006305BA">
        <w:rPr>
          <w:rFonts w:cs="Arial"/>
          <w:b w:val="0"/>
          <w:spacing w:val="-2"/>
          <w:sz w:val="20"/>
        </w:rPr>
        <w:t xml:space="preserve">Breast cancer is the most frequently diagnosed malignancy among women and represents a major global health challenge worldwide. Despite significant advancements in early diagnosis and therapeutic strategies, challenges such as multidrug resistance, systemic toxicity, and limited selectivity of existing chemotherapeutic agents continue to hinder effective disease </w:t>
      </w:r>
      <w:r w:rsidRPr="006305BA">
        <w:rPr>
          <w:rFonts w:cs="Arial"/>
          <w:b w:val="0"/>
          <w:spacing w:val="-2"/>
          <w:sz w:val="20"/>
        </w:rPr>
        <w:lastRenderedPageBreak/>
        <w:t xml:space="preserve">management. Consequently, the discovery and development of new anticancer agents with improved efficacy and safety profiles remain an urgent unmet need. </w:t>
      </w:r>
      <w:r w:rsidRPr="006305BA">
        <w:rPr>
          <w:rFonts w:cs="Arial"/>
          <w:b w:val="0"/>
          <w:spacing w:val="-2"/>
          <w:sz w:val="20"/>
          <w:vertAlign w:val="superscript"/>
        </w:rPr>
        <w:t>[1-4]</w:t>
      </w:r>
    </w:p>
    <w:p w14:paraId="7FDD0237" w14:textId="77777777" w:rsidR="006305BA" w:rsidRPr="006305BA" w:rsidRDefault="006305BA" w:rsidP="006305BA">
      <w:pPr>
        <w:jc w:val="both"/>
        <w:rPr>
          <w:rFonts w:ascii="Arial" w:hAnsi="Arial" w:cs="Arial"/>
          <w:b/>
          <w:bCs/>
          <w:spacing w:val="-2"/>
          <w:vertAlign w:val="superscript"/>
        </w:rPr>
      </w:pPr>
      <w:r w:rsidRPr="006305BA">
        <w:rPr>
          <w:rFonts w:ascii="Arial" w:hAnsi="Arial" w:cs="Arial"/>
        </w:rPr>
        <w:t>Natural products have historically played a pivotal role in anticancer drug discovery, serving either as direct therapeutic agents or as lead scaffolds for structural optimization. Their immense structural diversity and biological relevance have contributed significantly to the development of many clinically used anticancer drugs.</w:t>
      </w:r>
      <w:r w:rsidRPr="006305BA">
        <w:rPr>
          <w:rFonts w:ascii="Arial" w:hAnsi="Arial" w:cs="Arial"/>
          <w:b/>
          <w:bCs/>
          <w:spacing w:val="-2"/>
          <w:vertAlign w:val="superscript"/>
        </w:rPr>
        <w:t xml:space="preserve"> [5,6] </w:t>
      </w:r>
      <w:r w:rsidRPr="006305BA">
        <w:rPr>
          <w:rFonts w:ascii="Arial" w:hAnsi="Arial" w:cs="Arial"/>
          <w:spacing w:val="-2"/>
        </w:rPr>
        <w:t>Eugenol (4-allyl-2-methoxyphenol), a phenylpropanoid obtained predominantly from clove oil, has attracted considerable attention due to its wide range of pharmacological activities, including antioxidant, anti-inflammatory, antimicrobial, and anticancer effects. However, the moderate potency and limited selectivity of native eugenol necessitate structural modification to enhance its anticancer efficacy.</w:t>
      </w:r>
      <w:r w:rsidRPr="006305BA">
        <w:rPr>
          <w:rFonts w:ascii="Arial" w:hAnsi="Arial" w:cs="Arial"/>
          <w:b/>
          <w:bCs/>
          <w:spacing w:val="-2"/>
          <w:vertAlign w:val="superscript"/>
        </w:rPr>
        <w:t xml:space="preserve"> [7,8]</w:t>
      </w:r>
    </w:p>
    <w:p w14:paraId="5CAAFA94" w14:textId="25AC4E82" w:rsidR="006305BA" w:rsidRPr="006305BA" w:rsidRDefault="006305BA" w:rsidP="006305BA">
      <w:pPr>
        <w:pStyle w:val="Heading1"/>
        <w:jc w:val="both"/>
        <w:rPr>
          <w:rFonts w:cs="Arial"/>
          <w:b w:val="0"/>
          <w:bCs/>
          <w:sz w:val="20"/>
          <w:lang w:val="en-IN"/>
        </w:rPr>
      </w:pPr>
      <w:r w:rsidRPr="006305BA">
        <w:rPr>
          <w:rFonts w:cs="Arial"/>
          <w:b w:val="0"/>
          <w:sz w:val="20"/>
          <w:lang w:val="en-IN"/>
        </w:rPr>
        <w:t>Triazoles are nitrogen-rich heterocycles widely recognized for their chemical stability, favorable pharmacokinetic properties, and strong ability to form hydrogen-bond interactions with biological targets. These features make triazole motifs highly valuable in medicinal chemistry, particularly for anticancer drug development</w:t>
      </w:r>
      <w:r w:rsidRPr="006305BA">
        <w:rPr>
          <w:rFonts w:cs="Arial"/>
          <w:spacing w:val="-2"/>
          <w:sz w:val="20"/>
        </w:rPr>
        <w:t>.</w:t>
      </w:r>
      <w:r w:rsidRPr="006305BA">
        <w:rPr>
          <w:rFonts w:cs="Arial"/>
          <w:b w:val="0"/>
          <w:spacing w:val="-2"/>
          <w:sz w:val="20"/>
          <w:vertAlign w:val="superscript"/>
        </w:rPr>
        <w:t xml:space="preserve"> [9]</w:t>
      </w:r>
      <w:r w:rsidRPr="006305BA">
        <w:rPr>
          <w:rFonts w:cs="Arial"/>
          <w:b w:val="0"/>
          <w:sz w:val="20"/>
          <w:lang w:val="en-IN"/>
        </w:rPr>
        <w:t xml:space="preserve"> Recent studies have demonstrated that 1,2,4-triazole derivatives can effectively modulate key oncogenic pathways, including cell cycle regulation and apoptosis, through enhanced ligand–protein interactions</w:t>
      </w:r>
      <w:r w:rsidRPr="006305BA">
        <w:rPr>
          <w:rFonts w:cs="Arial"/>
          <w:spacing w:val="-2"/>
          <w:sz w:val="20"/>
        </w:rPr>
        <w:t>.</w:t>
      </w:r>
      <w:r w:rsidRPr="006305BA">
        <w:rPr>
          <w:rFonts w:cs="Arial"/>
          <w:b w:val="0"/>
          <w:spacing w:val="-2"/>
          <w:sz w:val="20"/>
          <w:vertAlign w:val="superscript"/>
        </w:rPr>
        <w:t xml:space="preserve"> [10]</w:t>
      </w:r>
    </w:p>
    <w:p w14:paraId="265BF0AF" w14:textId="77777777" w:rsidR="006305BA" w:rsidRPr="006305BA" w:rsidRDefault="006305BA" w:rsidP="006305BA">
      <w:pPr>
        <w:pStyle w:val="Heading1"/>
        <w:jc w:val="both"/>
        <w:rPr>
          <w:rFonts w:cs="Arial"/>
          <w:b w:val="0"/>
          <w:bCs/>
          <w:sz w:val="20"/>
        </w:rPr>
      </w:pPr>
      <w:r w:rsidRPr="006305BA">
        <w:rPr>
          <w:rFonts w:cs="Arial"/>
          <w:b w:val="0"/>
          <w:sz w:val="20"/>
        </w:rPr>
        <w:t>Molecular docking is a key computational tool in early-stage drug discovery used to predict binding modes, affinities, and interaction patterns between small molecules and biological targets, thereby supporting rational lead identification prior to experimental validation.</w:t>
      </w:r>
      <w:r w:rsidRPr="006305BA">
        <w:rPr>
          <w:rFonts w:cs="Arial"/>
          <w:b w:val="0"/>
          <w:spacing w:val="-2"/>
          <w:sz w:val="20"/>
          <w:vertAlign w:val="superscript"/>
        </w:rPr>
        <w:t xml:space="preserve"> [11,13] </w:t>
      </w:r>
      <w:r w:rsidRPr="006305BA">
        <w:rPr>
          <w:rFonts w:cs="Arial"/>
          <w:b w:val="0"/>
          <w:sz w:val="20"/>
        </w:rPr>
        <w:t>Recent studies have successfully applied docking-based approaches to screen and optimize anticancer candidates, including heterocyclic and natural-product-based hybrids, against breast cancer–related protein targets.</w:t>
      </w:r>
      <w:r w:rsidRPr="006305BA">
        <w:rPr>
          <w:rFonts w:cs="Arial"/>
          <w:b w:val="0"/>
          <w:spacing w:val="-2"/>
          <w:sz w:val="20"/>
          <w:vertAlign w:val="superscript"/>
        </w:rPr>
        <w:t xml:space="preserve"> [14,15]</w:t>
      </w:r>
      <w:r w:rsidRPr="006305BA">
        <w:rPr>
          <w:rFonts w:cs="Arial"/>
          <w:b w:val="0"/>
          <w:sz w:val="20"/>
        </w:rPr>
        <w:t xml:space="preserve"> In the present study, newly designed eugenol–triazole derivatives were subjected to comprehensive in silico molecular docking against multiple breast cancer targets using Schrödinger Maestro software to assess their potential anticancer activity.</w:t>
      </w:r>
    </w:p>
    <w:p w14:paraId="302D3926" w14:textId="4C96DA1A" w:rsidR="006305BA" w:rsidRPr="006305BA" w:rsidRDefault="006305BA" w:rsidP="006305BA">
      <w:pPr>
        <w:pStyle w:val="Heading1"/>
        <w:jc w:val="both"/>
        <w:rPr>
          <w:rFonts w:cs="Arial"/>
          <w:b w:val="0"/>
          <w:bCs/>
          <w:sz w:val="20"/>
        </w:rPr>
      </w:pPr>
      <w:r w:rsidRPr="006305BA">
        <w:rPr>
          <w:rFonts w:cs="Arial"/>
          <w:b w:val="0"/>
          <w:sz w:val="20"/>
        </w:rPr>
        <w:t xml:space="preserve">Breast cancer progression is driven by dysregulation of multiple signaling pathways involving hormone receptors and growth factor–mediated kinases. Several receptors and enzymes have been strongly implicated in breast cancer initiation, proliferation, survival, and therapeutic resistance, making them attractive molecular targets for anticancer drug discovery. </w:t>
      </w:r>
      <w:r w:rsidRPr="006305BA">
        <w:rPr>
          <w:rFonts w:cs="Arial"/>
          <w:b w:val="0"/>
          <w:sz w:val="20"/>
          <w:vertAlign w:val="superscript"/>
        </w:rPr>
        <w:t>[16,17]</w:t>
      </w:r>
      <w:r w:rsidRPr="006305BA">
        <w:rPr>
          <w:rFonts w:cs="Arial"/>
          <w:b w:val="0"/>
          <w:sz w:val="20"/>
        </w:rPr>
        <w:t xml:space="preserve"> Among these, estrogen receptor alpha (ERα), progesterone receptor (PR), epidermal growth factor receptor (EGFR), phosphoinositide 3-kinase alpha (PI3Kα), and mammalian target of rapamycin (mTOR) play central roles in hormone-dependent and hormone-independent breast cancer subtypes </w:t>
      </w:r>
      <w:r w:rsidRPr="006305BA">
        <w:rPr>
          <w:rFonts w:cs="Arial"/>
          <w:b w:val="0"/>
          <w:sz w:val="20"/>
          <w:vertAlign w:val="superscript"/>
        </w:rPr>
        <w:t>[18-2</w:t>
      </w:r>
      <w:r w:rsidR="00704E6A">
        <w:rPr>
          <w:rFonts w:cs="Arial"/>
          <w:b w:val="0"/>
          <w:sz w:val="20"/>
          <w:vertAlign w:val="superscript"/>
        </w:rPr>
        <w:t>0]</w:t>
      </w:r>
    </w:p>
    <w:p w14:paraId="51F63CE6" w14:textId="77777777" w:rsidR="006305BA" w:rsidRPr="006305BA" w:rsidRDefault="006305BA" w:rsidP="006305BA">
      <w:pPr>
        <w:pStyle w:val="Heading1"/>
        <w:jc w:val="both"/>
        <w:rPr>
          <w:rFonts w:cs="Arial"/>
          <w:b w:val="0"/>
          <w:bCs/>
          <w:sz w:val="20"/>
        </w:rPr>
      </w:pPr>
      <w:r w:rsidRPr="006305BA">
        <w:rPr>
          <w:rFonts w:cs="Arial"/>
          <w:b w:val="0"/>
          <w:sz w:val="20"/>
        </w:rPr>
        <w:t xml:space="preserve">The estrogen receptor (ER), represented by PDB ID 2IOG, is a key transcription factor regulating cell proliferation, differentiation, and apoptosis in breast tissue. Elevated estrogen signaling is closely associated with increased breast cancer risk and tumor progression, particularly in ER-positive breast cancers </w:t>
      </w:r>
      <w:r w:rsidRPr="006305BA">
        <w:rPr>
          <w:rFonts w:cs="Arial"/>
          <w:b w:val="0"/>
          <w:sz w:val="20"/>
          <w:vertAlign w:val="superscript"/>
        </w:rPr>
        <w:t>[21]</w:t>
      </w:r>
      <w:r w:rsidRPr="006305BA">
        <w:rPr>
          <w:rFonts w:cs="Arial"/>
          <w:b w:val="0"/>
          <w:sz w:val="20"/>
        </w:rPr>
        <w:t xml:space="preserve">. Similarly, the progesterone receptor (PR), represented by 1SQN, functions as an important prognostic and predictive biomarker and contributes to hormone-driven tumor growth and endocrine therapy response </w:t>
      </w:r>
      <w:r w:rsidRPr="006305BA">
        <w:rPr>
          <w:rFonts w:cs="Arial"/>
          <w:b w:val="0"/>
          <w:sz w:val="20"/>
          <w:vertAlign w:val="superscript"/>
        </w:rPr>
        <w:t>[22]</w:t>
      </w:r>
      <w:r w:rsidRPr="006305BA">
        <w:rPr>
          <w:rFonts w:cs="Arial"/>
          <w:b w:val="0"/>
          <w:sz w:val="20"/>
        </w:rPr>
        <w:t>.</w:t>
      </w:r>
    </w:p>
    <w:p w14:paraId="6E8B1214" w14:textId="4BB461D7" w:rsidR="006305BA" w:rsidRPr="006305BA" w:rsidRDefault="006305BA" w:rsidP="006305BA">
      <w:pPr>
        <w:jc w:val="both"/>
        <w:rPr>
          <w:rFonts w:ascii="Arial" w:hAnsi="Arial" w:cs="Arial"/>
        </w:rPr>
      </w:pPr>
      <w:r w:rsidRPr="006305BA">
        <w:rPr>
          <w:rFonts w:ascii="Arial" w:hAnsi="Arial" w:cs="Arial"/>
        </w:rPr>
        <w:t xml:space="preserve">EGFR, represented by </w:t>
      </w:r>
      <w:proofErr w:type="spellStart"/>
      <w:r w:rsidRPr="006305BA">
        <w:rPr>
          <w:rFonts w:ascii="Arial" w:hAnsi="Arial" w:cs="Arial"/>
        </w:rPr>
        <w:t>P</w:t>
      </w:r>
      <w:r w:rsidR="00087098">
        <w:rPr>
          <w:rFonts w:ascii="Arial" w:hAnsi="Arial" w:cs="Arial"/>
        </w:rPr>
        <w:t>db</w:t>
      </w:r>
      <w:proofErr w:type="spellEnd"/>
      <w:r w:rsidRPr="006305BA">
        <w:rPr>
          <w:rFonts w:ascii="Arial" w:hAnsi="Arial" w:cs="Arial"/>
        </w:rPr>
        <w:t xml:space="preserve"> id 1M17 is a transmembrane tyrosine kinase receptor frequently overexpressed in aggressive and triple-negative breast cancers. Activation of EGFR promotes cell proliferation, invasion, angiogenesis, and resistance to chemotherapy, making it a critical therapeutic target. Aberrant EGFR signaling also activates downstream pathways such as PI3K/Akt/mTOR, further enhancing tumor survival </w:t>
      </w:r>
      <w:r w:rsidRPr="006305BA">
        <w:rPr>
          <w:rFonts w:ascii="Arial" w:hAnsi="Arial" w:cs="Arial"/>
          <w:vertAlign w:val="superscript"/>
        </w:rPr>
        <w:t>[</w:t>
      </w:r>
      <w:r w:rsidRPr="006305BA">
        <w:rPr>
          <w:rFonts w:ascii="Arial" w:hAnsi="Arial" w:cs="Arial"/>
          <w:b/>
          <w:bCs/>
          <w:vertAlign w:val="superscript"/>
        </w:rPr>
        <w:t>23, 24</w:t>
      </w:r>
      <w:r w:rsidRPr="006305BA">
        <w:rPr>
          <w:rFonts w:ascii="Arial" w:hAnsi="Arial" w:cs="Arial"/>
          <w:vertAlign w:val="superscript"/>
        </w:rPr>
        <w:t>]</w:t>
      </w:r>
      <w:r w:rsidRPr="006305BA">
        <w:rPr>
          <w:rFonts w:ascii="Arial" w:hAnsi="Arial" w:cs="Arial"/>
          <w:b/>
          <w:bCs/>
        </w:rPr>
        <w:t>.</w:t>
      </w:r>
    </w:p>
    <w:p w14:paraId="684170E4" w14:textId="77777777" w:rsidR="006305BA" w:rsidRPr="006305BA" w:rsidRDefault="006305BA" w:rsidP="006305BA">
      <w:pPr>
        <w:pStyle w:val="BodyText"/>
        <w:jc w:val="both"/>
        <w:rPr>
          <w:rFonts w:ascii="Arial" w:hAnsi="Arial" w:cs="Arial"/>
          <w:noProof/>
        </w:rPr>
      </w:pPr>
      <w:r w:rsidRPr="006305BA">
        <w:rPr>
          <w:rFonts w:ascii="Arial" w:hAnsi="Arial" w:cs="Arial"/>
          <w:noProof/>
        </w:rPr>
        <w:t xml:space="preserve">PI3Kα, represented by 5DXT, is a catalytic subunit frequently mutated in breast cancer and plays a pivotal role in regulating cell growth, metabolism, and survival. PI3Kα mutations lead to constitutive pathway activation and are strongly associated with poor prognosis and drug resistance </w:t>
      </w:r>
      <w:r w:rsidRPr="006305BA">
        <w:rPr>
          <w:rFonts w:ascii="Arial" w:hAnsi="Arial" w:cs="Arial"/>
          <w:noProof/>
          <w:vertAlign w:val="superscript"/>
        </w:rPr>
        <w:t>[25]</w:t>
      </w:r>
      <w:r w:rsidRPr="006305BA">
        <w:rPr>
          <w:rFonts w:ascii="Arial" w:hAnsi="Arial" w:cs="Arial"/>
          <w:noProof/>
        </w:rPr>
        <w:t xml:space="preserve">. Downstream of PI3K, mTOR (PDB ID 4DRH) serves as a master regulator of </w:t>
      </w:r>
      <w:r w:rsidRPr="006305BA">
        <w:rPr>
          <w:rFonts w:ascii="Arial" w:hAnsi="Arial" w:cs="Arial"/>
          <w:noProof/>
        </w:rPr>
        <w:lastRenderedPageBreak/>
        <w:t xml:space="preserve">protein synthesis, cell cycle progression, and cancer metabolism, and its dysregulation is commonly observed in advanced breast cancer </w:t>
      </w:r>
      <w:r w:rsidRPr="006305BA">
        <w:rPr>
          <w:rFonts w:ascii="Arial" w:hAnsi="Arial" w:cs="Arial"/>
          <w:noProof/>
          <w:vertAlign w:val="superscript"/>
        </w:rPr>
        <w:t>[26]</w:t>
      </w:r>
      <w:r w:rsidRPr="006305BA">
        <w:rPr>
          <w:rFonts w:ascii="Arial" w:hAnsi="Arial" w:cs="Arial"/>
          <w:noProof/>
        </w:rPr>
        <w:t>.</w:t>
      </w:r>
    </w:p>
    <w:p w14:paraId="4F4A9D55" w14:textId="301C7BCF" w:rsidR="006305BA" w:rsidRDefault="006305BA" w:rsidP="006305BA">
      <w:pPr>
        <w:pStyle w:val="BodyText"/>
        <w:jc w:val="both"/>
        <w:rPr>
          <w:rFonts w:ascii="Arial" w:hAnsi="Arial" w:cs="Arial"/>
          <w:noProof/>
          <w:vertAlign w:val="superscript"/>
        </w:rPr>
      </w:pPr>
      <w:r w:rsidRPr="006305BA">
        <w:rPr>
          <w:rFonts w:ascii="Arial" w:hAnsi="Arial" w:cs="Arial"/>
          <w:noProof/>
        </w:rPr>
        <w:t xml:space="preserve">The molecular docking study was performed to evaluate the anticancer potential of newly designed eugenol–triazole derivatives against key breast cancer–related targets. The crystal structures of estrogen receptor (PDB ID: 2IOG), progesterone receptor (PDB ID: 1SQN), epidermal growth factor receptor (EGFR; PDB ID: 1M17), phosphoinositide 3-kinase alpha (PI3Kα; PDB ID: 5DXT), and mammalian target of rapamycin (mTOR; PDB ID: 4DRH) were selected based on their established roles in breast cancer development, progression, and therapeutic resistance </w:t>
      </w:r>
      <w:r w:rsidRPr="006305BA">
        <w:rPr>
          <w:rFonts w:ascii="Arial" w:hAnsi="Arial" w:cs="Arial"/>
          <w:noProof/>
          <w:vertAlign w:val="superscript"/>
        </w:rPr>
        <w:t>[27,28,29,30]</w:t>
      </w:r>
      <w:r w:rsidRPr="006305BA">
        <w:rPr>
          <w:rFonts w:ascii="Arial" w:hAnsi="Arial" w:cs="Arial"/>
          <w:noProof/>
        </w:rPr>
        <w:t xml:space="preserve">. The availability of co-crystallized ligands and well-defined active sites in these protein structures enabled reliable docking validation and justified their selection as suitable targets for the present </w:t>
      </w:r>
      <w:r w:rsidRPr="006305BA">
        <w:rPr>
          <w:rFonts w:ascii="Arial" w:hAnsi="Arial" w:cs="Arial"/>
          <w:i/>
          <w:iCs/>
          <w:noProof/>
        </w:rPr>
        <w:t>in silico</w:t>
      </w:r>
      <w:r w:rsidRPr="006305BA">
        <w:rPr>
          <w:rFonts w:ascii="Arial" w:hAnsi="Arial" w:cs="Arial"/>
          <w:noProof/>
        </w:rPr>
        <w:t xml:space="preserve"> investigation.</w:t>
      </w:r>
      <w:r w:rsidRPr="006305BA">
        <w:rPr>
          <w:rFonts w:ascii="Arial" w:hAnsi="Arial" w:cs="Arial"/>
          <w:noProof/>
          <w:vertAlign w:val="superscript"/>
        </w:rPr>
        <w:t>[31,32]</w:t>
      </w:r>
    </w:p>
    <w:p w14:paraId="3A5CBB44" w14:textId="77777777" w:rsidR="00A51B3E" w:rsidRPr="006305BA" w:rsidRDefault="00A51B3E" w:rsidP="006305BA">
      <w:pPr>
        <w:pStyle w:val="BodyText"/>
        <w:jc w:val="both"/>
        <w:rPr>
          <w:rFonts w:ascii="Arial" w:hAnsi="Arial" w:cs="Arial"/>
          <w:noProof/>
          <w:vertAlign w:val="superscript"/>
        </w:rPr>
      </w:pPr>
    </w:p>
    <w:p w14:paraId="5A91C489" w14:textId="647723E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A7E60A4" w14:textId="77777777" w:rsidR="00A51B3E" w:rsidRDefault="00A51B3E" w:rsidP="00A51B3E">
      <w:pPr>
        <w:pStyle w:val="Heading1"/>
        <w:spacing w:after="240"/>
        <w:jc w:val="both"/>
        <w:rPr>
          <w:b w:val="0"/>
          <w:noProof/>
          <w:sz w:val="20"/>
        </w:rPr>
      </w:pPr>
      <w:r w:rsidRPr="00A51B3E">
        <w:rPr>
          <w:b w:val="0"/>
          <w:noProof/>
          <w:sz w:val="20"/>
        </w:rPr>
        <w:t xml:space="preserve">This section consists of four sections drug-likeness,  protein preparation, ligand preparation, </w:t>
      </w:r>
      <w:r w:rsidRPr="00A51B3E">
        <w:rPr>
          <w:b w:val="0"/>
          <w:sz w:val="20"/>
        </w:rPr>
        <w:t xml:space="preserve">Receptor grid generation </w:t>
      </w:r>
      <w:r w:rsidRPr="00A51B3E">
        <w:rPr>
          <w:b w:val="0"/>
          <w:noProof/>
          <w:sz w:val="20"/>
        </w:rPr>
        <w:t>and molecular docking.</w:t>
      </w:r>
    </w:p>
    <w:p w14:paraId="189C0316" w14:textId="51D9101C" w:rsidR="00BB5096" w:rsidRPr="00BB5096" w:rsidRDefault="00BB5096" w:rsidP="00BB5096">
      <w:pPr>
        <w:pStyle w:val="BodyText"/>
        <w:ind w:left="1015" w:hanging="1015"/>
        <w:rPr>
          <w:rFonts w:ascii="Arial" w:hAnsi="Arial" w:cs="Arial"/>
          <w:b/>
          <w:bCs/>
          <w:noProof/>
          <w:sz w:val="22"/>
          <w:szCs w:val="22"/>
        </w:rPr>
      </w:pPr>
      <w:r w:rsidRPr="00BB5096">
        <w:rPr>
          <w:rFonts w:ascii="Arial" w:hAnsi="Arial" w:cs="Arial"/>
          <w:b/>
          <w:bCs/>
          <w:noProof/>
          <w:sz w:val="22"/>
          <w:szCs w:val="22"/>
        </w:rPr>
        <w:t>Drug</w:t>
      </w:r>
      <w:r w:rsidRPr="00BB5096">
        <w:rPr>
          <w:rFonts w:ascii="Arial" w:hAnsi="Arial" w:cs="Arial"/>
          <w:b/>
          <w:bCs/>
          <w:noProof/>
          <w:sz w:val="22"/>
          <w:szCs w:val="22"/>
        </w:rPr>
        <w:noBreakHyphen/>
        <w:t>likeness</w:t>
      </w:r>
    </w:p>
    <w:p w14:paraId="0C7DF6C7" w14:textId="4BEE3C17" w:rsidR="00BB5096" w:rsidRPr="008A3369" w:rsidRDefault="00BB5096" w:rsidP="00BB5096">
      <w:pPr>
        <w:pStyle w:val="BodyText"/>
        <w:jc w:val="both"/>
        <w:rPr>
          <w:rFonts w:ascii="Arial" w:hAnsi="Arial" w:cs="Arial"/>
          <w:noProof/>
          <w:lang w:val="en-IN"/>
        </w:rPr>
      </w:pPr>
      <w:r w:rsidRPr="008A3369">
        <w:rPr>
          <w:rFonts w:ascii="Arial" w:hAnsi="Arial" w:cs="Arial"/>
          <w:noProof/>
          <w:lang w:val="en-IN"/>
        </w:rPr>
        <w:t xml:space="preserve">Drug-likeness and physicochemical properties of the designed compounds were predicted using the SwissADME web tool, including molecular weight, lipophilicity (logP), hydrogen bond donors (HBD), and hydrogen bond acceptors (HBA) </w:t>
      </w:r>
      <w:r w:rsidRPr="008A3369">
        <w:rPr>
          <w:rFonts w:ascii="Arial" w:hAnsi="Arial" w:cs="Arial"/>
          <w:noProof/>
          <w:vertAlign w:val="superscript"/>
          <w:lang w:val="en-IN"/>
        </w:rPr>
        <w:t>[33]</w:t>
      </w:r>
      <w:r w:rsidRPr="008A3369">
        <w:rPr>
          <w:rFonts w:ascii="Arial" w:hAnsi="Arial" w:cs="Arial"/>
          <w:noProof/>
          <w:lang w:val="en-IN"/>
        </w:rPr>
        <w:t xml:space="preserve">. Drug-likeness was further evaluated based on Lipinski’s rule of five, which assesses the suitability of compounds for oral bioavailability and biological activity </w:t>
      </w:r>
      <w:r w:rsidRPr="008A3369">
        <w:rPr>
          <w:rFonts w:ascii="Arial" w:hAnsi="Arial" w:cs="Arial"/>
          <w:noProof/>
          <w:vertAlign w:val="superscript"/>
          <w:lang w:val="en-IN"/>
        </w:rPr>
        <w:t>[34]</w:t>
      </w:r>
      <w:r w:rsidRPr="008A3369">
        <w:rPr>
          <w:rFonts w:ascii="Arial" w:hAnsi="Arial" w:cs="Arial"/>
          <w:noProof/>
          <w:lang w:val="en-IN"/>
        </w:rPr>
        <w:t>. According to this rule, acceptable limits include molecular weight ≤ 500 g/mol, logP ≤ 5, HBD &lt; 5, HBA &lt; 10, topological polar surface area (TPSA) ≤ 140 Å², and rotatable bonds ≤ 10.</w:t>
      </w:r>
    </w:p>
    <w:p w14:paraId="240689E6" w14:textId="5A9EB81F" w:rsidR="00BB5096" w:rsidRPr="006344C6" w:rsidRDefault="00BB5096" w:rsidP="00BB5096">
      <w:pPr>
        <w:pStyle w:val="BodyText"/>
        <w:ind w:left="1015" w:hanging="1015"/>
        <w:rPr>
          <w:rFonts w:ascii="Arial" w:hAnsi="Arial" w:cs="Arial"/>
          <w:b/>
          <w:bCs/>
          <w:noProof/>
          <w:sz w:val="22"/>
          <w:szCs w:val="22"/>
        </w:rPr>
      </w:pPr>
      <w:r w:rsidRPr="006344C6">
        <w:rPr>
          <w:rFonts w:ascii="Arial" w:hAnsi="Arial" w:cs="Arial"/>
          <w:b/>
          <w:bCs/>
          <w:noProof/>
          <w:sz w:val="22"/>
          <w:szCs w:val="22"/>
        </w:rPr>
        <w:t>Protein preparation</w:t>
      </w:r>
    </w:p>
    <w:p w14:paraId="53769F6D" w14:textId="42073B93" w:rsidR="00BB5096" w:rsidRPr="008A3369" w:rsidRDefault="00BB5096" w:rsidP="00BB5096">
      <w:pPr>
        <w:pStyle w:val="BodyText"/>
        <w:jc w:val="both"/>
        <w:rPr>
          <w:rFonts w:ascii="Arial" w:hAnsi="Arial" w:cs="Arial"/>
          <w:noProof/>
        </w:rPr>
      </w:pPr>
      <w:r w:rsidRPr="008A3369">
        <w:rPr>
          <w:rFonts w:ascii="Arial" w:hAnsi="Arial" w:cs="Arial"/>
          <w:noProof/>
        </w:rPr>
        <w:t>The three-dimensional crystal structures of selected breast cancer targets were retrieved from the Protein Data Bank (PDB) (</w:t>
      </w:r>
      <w:hyperlink r:id="rId14" w:tgtFrame="_new" w:history="1">
        <w:r w:rsidRPr="008A3369">
          <w:rPr>
            <w:rStyle w:val="Hyperlink"/>
            <w:rFonts w:ascii="Arial" w:hAnsi="Arial" w:cs="Arial"/>
            <w:noProof/>
          </w:rPr>
          <w:t>https://www.rcsb.org</w:t>
        </w:r>
      </w:hyperlink>
      <w:r w:rsidRPr="008A3369">
        <w:rPr>
          <w:rFonts w:ascii="Arial" w:hAnsi="Arial" w:cs="Arial"/>
          <w:noProof/>
        </w:rPr>
        <w:t xml:space="preserve">) </w:t>
      </w:r>
      <w:r w:rsidRPr="008A3369">
        <w:rPr>
          <w:rFonts w:ascii="Arial" w:hAnsi="Arial" w:cs="Arial"/>
          <w:noProof/>
          <w:vertAlign w:val="superscript"/>
        </w:rPr>
        <w:t>[35]</w:t>
      </w:r>
      <w:r w:rsidRPr="008A3369">
        <w:rPr>
          <w:rFonts w:ascii="Arial" w:hAnsi="Arial" w:cs="Arial"/>
          <w:noProof/>
        </w:rPr>
        <w:t xml:space="preserve">, including estrogen receptor (PDB ID: 2IOG; 1.60 Å) </w:t>
      </w:r>
      <w:r w:rsidRPr="008A3369">
        <w:rPr>
          <w:rFonts w:ascii="Arial" w:hAnsi="Arial" w:cs="Arial"/>
          <w:noProof/>
          <w:vertAlign w:val="superscript"/>
        </w:rPr>
        <w:t>[36]</w:t>
      </w:r>
      <w:r w:rsidRPr="008A3369">
        <w:rPr>
          <w:rFonts w:ascii="Arial" w:hAnsi="Arial" w:cs="Arial"/>
          <w:noProof/>
        </w:rPr>
        <w:t xml:space="preserve">, progesterone receptor (PDB ID: 1SQN; 1.45 Å) </w:t>
      </w:r>
      <w:r w:rsidRPr="008A3369">
        <w:rPr>
          <w:rFonts w:ascii="Arial" w:hAnsi="Arial" w:cs="Arial"/>
          <w:noProof/>
          <w:vertAlign w:val="superscript"/>
        </w:rPr>
        <w:t>[37]</w:t>
      </w:r>
      <w:r w:rsidRPr="008A3369">
        <w:rPr>
          <w:rFonts w:ascii="Arial" w:hAnsi="Arial" w:cs="Arial"/>
          <w:noProof/>
        </w:rPr>
        <w:t xml:space="preserve">, epidermal growth factor receptor (EGFR; PDB ID: 1M17; 2.60 Å) </w:t>
      </w:r>
      <w:r w:rsidRPr="008A3369">
        <w:rPr>
          <w:rFonts w:ascii="Arial" w:hAnsi="Arial" w:cs="Arial"/>
          <w:noProof/>
          <w:vertAlign w:val="superscript"/>
        </w:rPr>
        <w:t>[38]</w:t>
      </w:r>
      <w:r w:rsidRPr="008A3369">
        <w:rPr>
          <w:rFonts w:ascii="Arial" w:hAnsi="Arial" w:cs="Arial"/>
          <w:noProof/>
        </w:rPr>
        <w:t xml:space="preserve">, PI3Kα (PDB ID: 5DXT; 2.25 Å) </w:t>
      </w:r>
      <w:r w:rsidRPr="008A3369">
        <w:rPr>
          <w:rFonts w:ascii="Arial" w:hAnsi="Arial" w:cs="Arial"/>
          <w:noProof/>
          <w:vertAlign w:val="superscript"/>
        </w:rPr>
        <w:t>[39]</w:t>
      </w:r>
      <w:r w:rsidRPr="008A3369">
        <w:rPr>
          <w:rFonts w:ascii="Arial" w:hAnsi="Arial" w:cs="Arial"/>
          <w:noProof/>
        </w:rPr>
        <w:t xml:space="preserve">, and mTOR (PDB ID: 4DRH; 2.30 Å) </w:t>
      </w:r>
      <w:r w:rsidRPr="008A3369">
        <w:rPr>
          <w:rFonts w:ascii="Arial" w:hAnsi="Arial" w:cs="Arial"/>
          <w:noProof/>
          <w:vertAlign w:val="superscript"/>
        </w:rPr>
        <w:t>[40]</w:t>
      </w:r>
      <w:r w:rsidRPr="008A3369">
        <w:rPr>
          <w:rFonts w:ascii="Arial" w:hAnsi="Arial" w:cs="Arial"/>
          <w:noProof/>
        </w:rPr>
        <w:t>. The downloaded protein structures were prepared for docking using the Protein Preparation Wizard in Schrodinger Maestro, where water molecules were removed, bond orders and charges were assigned, hydrogens were added, selenomethionines were converted to methionines, and the proteins were optimized and energy-minimized to obtain biologically relevant conformations suitable for molecular docking.</w:t>
      </w:r>
    </w:p>
    <w:p w14:paraId="0548EF19" w14:textId="310CB4CC" w:rsidR="00BB5096" w:rsidRPr="006344C6" w:rsidRDefault="00BB5096" w:rsidP="006344C6">
      <w:pPr>
        <w:pStyle w:val="BodyText"/>
        <w:ind w:left="1015" w:hanging="1015"/>
        <w:rPr>
          <w:rFonts w:ascii="Arial" w:hAnsi="Arial" w:cs="Arial"/>
          <w:b/>
          <w:bCs/>
          <w:noProof/>
          <w:sz w:val="22"/>
          <w:szCs w:val="22"/>
        </w:rPr>
      </w:pPr>
      <w:r w:rsidRPr="006344C6">
        <w:rPr>
          <w:rFonts w:ascii="Arial" w:hAnsi="Arial" w:cs="Arial"/>
          <w:b/>
          <w:bCs/>
          <w:noProof/>
          <w:sz w:val="22"/>
          <w:szCs w:val="22"/>
        </w:rPr>
        <w:t>Ligand Preparation</w:t>
      </w:r>
    </w:p>
    <w:p w14:paraId="5A0941E3" w14:textId="77777777" w:rsidR="00BB5096" w:rsidRPr="00BB5096" w:rsidRDefault="00BB5096" w:rsidP="00BB5096">
      <w:pPr>
        <w:pStyle w:val="Heading1"/>
        <w:spacing w:after="240"/>
        <w:jc w:val="both"/>
        <w:rPr>
          <w:rFonts w:cs="Arial"/>
          <w:b w:val="0"/>
          <w:bCs/>
          <w:sz w:val="20"/>
          <w:lang w:val="en-IN"/>
        </w:rPr>
      </w:pPr>
      <w:r w:rsidRPr="00BB5096">
        <w:rPr>
          <w:rFonts w:cs="Arial"/>
          <w:b w:val="0"/>
          <w:sz w:val="20"/>
          <w:lang w:val="en-IN"/>
        </w:rPr>
        <w:t>The structures of all ligands were drawn using ChemDraw Professional, and their SMILES notations were used to import the two-dimensional structures into the project workspace. Structures of standard drugs were obtained from the PubChem database in SDF format and similarly imported. Ligand preparation was carried out using the LigPrep module in Schrodinger Maestro employing the OPLS 2005 force field at pH 7.0 ± 2.0 with Epik for ionization state generation. Stereochemical settings were maintained as retain specified chiralities (vary other chiral centers), and a maximum of 32 stereoisomers per ligand was generated.</w:t>
      </w:r>
    </w:p>
    <w:p w14:paraId="303176F6" w14:textId="77777777" w:rsidR="00BB5096" w:rsidRPr="006344C6" w:rsidRDefault="00BB5096" w:rsidP="006344C6">
      <w:pPr>
        <w:pStyle w:val="BodyText"/>
        <w:ind w:left="1015" w:hanging="1015"/>
        <w:rPr>
          <w:rFonts w:ascii="Arial" w:hAnsi="Arial" w:cs="Arial"/>
          <w:b/>
          <w:bCs/>
          <w:noProof/>
          <w:sz w:val="22"/>
          <w:szCs w:val="22"/>
        </w:rPr>
      </w:pPr>
      <w:r w:rsidRPr="006344C6">
        <w:rPr>
          <w:rFonts w:ascii="Arial" w:hAnsi="Arial" w:cs="Arial"/>
          <w:b/>
          <w:bCs/>
          <w:noProof/>
          <w:sz w:val="22"/>
          <w:szCs w:val="22"/>
        </w:rPr>
        <w:t>Receptor grid generation</w:t>
      </w:r>
    </w:p>
    <w:p w14:paraId="74AD7881" w14:textId="77777777" w:rsidR="00BB5096" w:rsidRPr="00BB5096" w:rsidRDefault="00BB5096" w:rsidP="00BB5096">
      <w:pPr>
        <w:pStyle w:val="Heading1"/>
        <w:spacing w:after="240"/>
        <w:jc w:val="both"/>
        <w:rPr>
          <w:rFonts w:cs="Arial"/>
          <w:b w:val="0"/>
          <w:bCs/>
          <w:sz w:val="20"/>
        </w:rPr>
      </w:pPr>
      <w:r w:rsidRPr="00BB5096">
        <w:rPr>
          <w:rFonts w:cs="Arial"/>
          <w:b w:val="0"/>
          <w:sz w:val="20"/>
        </w:rPr>
        <w:lastRenderedPageBreak/>
        <w:t>The receptor grid defines the area of interaction between the protein and the ligand. This was carried out with the receptor grid generation tool in Maestro, which defines the area around the active site in terms of x, y, and z coordinates.</w:t>
      </w:r>
    </w:p>
    <w:p w14:paraId="7979686F" w14:textId="0A3A4298" w:rsidR="00BB5096" w:rsidRPr="006344C6" w:rsidRDefault="00BB5096" w:rsidP="006344C6">
      <w:pPr>
        <w:pStyle w:val="BodyText"/>
        <w:ind w:left="1015" w:hanging="1015"/>
        <w:rPr>
          <w:rFonts w:ascii="Arial" w:hAnsi="Arial" w:cs="Arial"/>
          <w:b/>
          <w:bCs/>
          <w:noProof/>
          <w:sz w:val="22"/>
          <w:szCs w:val="22"/>
        </w:rPr>
      </w:pPr>
      <w:r w:rsidRPr="006344C6">
        <w:rPr>
          <w:rFonts w:ascii="Arial" w:hAnsi="Arial" w:cs="Arial"/>
          <w:b/>
          <w:bCs/>
          <w:noProof/>
          <w:sz w:val="22"/>
          <w:szCs w:val="22"/>
        </w:rPr>
        <w:t>Molecular docking</w:t>
      </w:r>
    </w:p>
    <w:p w14:paraId="41A86FD9" w14:textId="77777777" w:rsidR="00BB5096" w:rsidRPr="00BB5096" w:rsidRDefault="00BB5096" w:rsidP="00BB5096">
      <w:pPr>
        <w:ind w:right="-59"/>
        <w:jc w:val="both"/>
        <w:rPr>
          <w:rFonts w:ascii="Arial" w:hAnsi="Arial" w:cs="Arial"/>
          <w:color w:val="252525"/>
          <w:lang w:val="en-IN"/>
        </w:rPr>
      </w:pPr>
      <w:r w:rsidRPr="00BB5096">
        <w:rPr>
          <w:rFonts w:ascii="Arial" w:hAnsi="Arial" w:cs="Arial"/>
          <w:color w:val="252525"/>
          <w:lang w:val="en-IN"/>
        </w:rPr>
        <w:t>Molecular docking was performed using the Glide module in Schrödinger Maestro. The prepared ligands were docked into the active sites of the prepared target proteins using the standard precision (SP) mode with flexible ligand sampling. Binding interactions were evaluated using the Glide score, which reflects the best-fit orientation of the ligand within the receptor binding pocket, and ligands were ranked based on their docking scores (more negative values indicating stronger binding affinity). The ligand interaction diagram tool was employed to visualize key interactions between ligands and active-site residues. The structures of ligands are showed in the Fig.1.</w:t>
      </w:r>
    </w:p>
    <w:p w14:paraId="576676E1" w14:textId="77777777" w:rsidR="008A3369" w:rsidRPr="00FB3A86" w:rsidRDefault="008A3369" w:rsidP="008A3369">
      <w:pPr>
        <w:pStyle w:val="Body"/>
        <w:spacing w:after="0"/>
        <w:rPr>
          <w:rFonts w:ascii="Arial" w:hAnsi="Arial" w:cs="Arial"/>
        </w:rPr>
      </w:pPr>
    </w:p>
    <w:p w14:paraId="75D7A5AE" w14:textId="77777777" w:rsidR="00BB5096" w:rsidRDefault="00BB5096" w:rsidP="00BB5096">
      <w:pPr>
        <w:ind w:right="-59"/>
        <w:jc w:val="both"/>
        <w:rPr>
          <w:color w:val="252525"/>
          <w:sz w:val="24"/>
          <w:szCs w:val="24"/>
          <w:lang w:val="en-IN"/>
        </w:rPr>
      </w:pPr>
    </w:p>
    <w:p w14:paraId="63B1323C" w14:textId="542242AD" w:rsidR="00790ADA" w:rsidRPr="008A3369" w:rsidRDefault="008A3369" w:rsidP="008A3369">
      <w:pPr>
        <w:jc w:val="center"/>
      </w:pPr>
      <w:r>
        <w:object w:dxaOrig="9608" w:dyaOrig="14530" w14:anchorId="233BC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335.85pt" o:ole="">
            <v:imagedata r:id="rId15" o:title=""/>
          </v:shape>
          <o:OLEObject Type="Embed" ProgID="ChemDraw.Document.6.0" ShapeID="_x0000_i1025" DrawAspect="Content" ObjectID="_1829312152" r:id="rId16"/>
        </w:object>
      </w:r>
    </w:p>
    <w:p w14:paraId="7A7C904A" w14:textId="77777777" w:rsidR="00790ADA" w:rsidRPr="00FB3A86" w:rsidRDefault="00790ADA" w:rsidP="00441B6F">
      <w:pPr>
        <w:pStyle w:val="Body"/>
        <w:spacing w:after="0"/>
        <w:rPr>
          <w:rFonts w:ascii="Arial" w:hAnsi="Arial" w:cs="Arial"/>
        </w:rPr>
      </w:pPr>
    </w:p>
    <w:p w14:paraId="44B24B02" w14:textId="77777777" w:rsidR="008A3369" w:rsidRPr="008A3369" w:rsidRDefault="008A3369" w:rsidP="008A3369">
      <w:pPr>
        <w:spacing w:line="360" w:lineRule="auto"/>
        <w:jc w:val="center"/>
        <w:rPr>
          <w:rFonts w:ascii="Arial" w:hAnsi="Arial" w:cs="Arial"/>
          <w:b/>
          <w:bCs/>
          <w:color w:val="252525"/>
        </w:rPr>
      </w:pPr>
      <w:r w:rsidRPr="008A3369">
        <w:rPr>
          <w:rFonts w:ascii="Arial" w:hAnsi="Arial" w:cs="Arial"/>
          <w:b/>
          <w:bCs/>
          <w:color w:val="252525"/>
        </w:rPr>
        <w:t>Fig.1: Eugenol-triazole derivatives 2D structures</w:t>
      </w:r>
    </w:p>
    <w:p w14:paraId="75564462" w14:textId="77777777" w:rsidR="008A3369" w:rsidRDefault="008A3369" w:rsidP="008A3369">
      <w:pPr>
        <w:pStyle w:val="Head1"/>
        <w:spacing w:after="0"/>
        <w:jc w:val="both"/>
        <w:rPr>
          <w:rFonts w:ascii="Arial" w:hAnsi="Arial" w:cs="Arial"/>
        </w:rPr>
      </w:pPr>
      <w:r>
        <w:rPr>
          <w:rFonts w:ascii="Arial" w:hAnsi="Arial" w:cs="Arial"/>
        </w:rPr>
        <w:t>3. results and discussion</w:t>
      </w:r>
    </w:p>
    <w:p w14:paraId="098A4C81" w14:textId="77777777" w:rsidR="008A3369" w:rsidRDefault="008A3369" w:rsidP="008A3369">
      <w:pPr>
        <w:pStyle w:val="Heading1"/>
        <w:spacing w:after="240"/>
        <w:jc w:val="both"/>
        <w:rPr>
          <w:b w:val="0"/>
          <w:sz w:val="20"/>
          <w:lang w:val="en-IN"/>
        </w:rPr>
      </w:pPr>
      <w:r w:rsidRPr="008A3369">
        <w:rPr>
          <w:b w:val="0"/>
          <w:sz w:val="20"/>
          <w:lang w:val="en-IN"/>
        </w:rPr>
        <w:t xml:space="preserve">SwissADME and Lipinski’s rule of five were applied to evaluate the molecular properties and drug-likeness of the designed eugenol–triazole derivatives. Lipinski’s rule is a key criterion in rational drug design, as it helps predict oral bioavailability and potential biological activity of drug-like molecules. Compounds exhibiting more than one Lipinski violation were excluded </w:t>
      </w:r>
      <w:r w:rsidRPr="008A3369">
        <w:rPr>
          <w:b w:val="0"/>
          <w:sz w:val="20"/>
          <w:lang w:val="en-IN"/>
        </w:rPr>
        <w:lastRenderedPageBreak/>
        <w:t>from further analysis. Among the designed series, 14 compounds showed no violations of the Lipinski rule of five. The calculated molecular properties of the eugenol triazole derivatives are summarized in Table 1.</w:t>
      </w:r>
    </w:p>
    <w:p w14:paraId="61E76D66" w14:textId="51FD80FB" w:rsidR="008A3369" w:rsidRPr="008A3369" w:rsidRDefault="008A3369" w:rsidP="008A3369">
      <w:pPr>
        <w:ind w:right="-59"/>
        <w:jc w:val="center"/>
        <w:rPr>
          <w:rFonts w:ascii="Arial" w:hAnsi="Arial" w:cs="Arial"/>
          <w:b/>
          <w:bCs/>
          <w:color w:val="252525"/>
        </w:rPr>
      </w:pPr>
      <w:r w:rsidRPr="008A3369">
        <w:rPr>
          <w:rFonts w:ascii="Arial" w:hAnsi="Arial" w:cs="Arial"/>
          <w:b/>
          <w:bCs/>
          <w:color w:val="252525"/>
        </w:rPr>
        <w:t>Table 1</w:t>
      </w:r>
      <w:r>
        <w:rPr>
          <w:rFonts w:ascii="Arial" w:hAnsi="Arial" w:cs="Arial"/>
          <w:b/>
          <w:bCs/>
          <w:color w:val="252525"/>
        </w:rPr>
        <w:t>.</w:t>
      </w:r>
      <w:r w:rsidRPr="008A3369">
        <w:rPr>
          <w:rFonts w:ascii="Arial" w:hAnsi="Arial" w:cs="Arial"/>
          <w:b/>
          <w:bCs/>
          <w:color w:val="252525"/>
        </w:rPr>
        <w:t xml:space="preserve"> Druglikness properties of Eugenol-triazole derivatives</w:t>
      </w:r>
    </w:p>
    <w:p w14:paraId="46C120D3" w14:textId="77777777" w:rsidR="008A3369" w:rsidRPr="008A3369" w:rsidRDefault="008A3369" w:rsidP="008A3369">
      <w:pPr>
        <w:rPr>
          <w:lang w:val="en-IN"/>
        </w:rPr>
      </w:pPr>
    </w:p>
    <w:tbl>
      <w:tblPr>
        <w:tblStyle w:val="TableGrid"/>
        <w:tblW w:w="8513" w:type="dxa"/>
        <w:jc w:val="center"/>
        <w:tblLayout w:type="fixed"/>
        <w:tblLook w:val="04A0" w:firstRow="1" w:lastRow="0" w:firstColumn="1" w:lastColumn="0" w:noHBand="0" w:noVBand="1"/>
      </w:tblPr>
      <w:tblGrid>
        <w:gridCol w:w="1284"/>
        <w:gridCol w:w="1134"/>
        <w:gridCol w:w="1275"/>
        <w:gridCol w:w="1276"/>
        <w:gridCol w:w="1134"/>
        <w:gridCol w:w="1134"/>
        <w:gridCol w:w="1276"/>
      </w:tblGrid>
      <w:tr w:rsidR="008A3369" w:rsidRPr="008A3369" w14:paraId="135B8FBD" w14:textId="77777777" w:rsidTr="008A3369">
        <w:trPr>
          <w:trHeight w:val="324"/>
          <w:jc w:val="center"/>
        </w:trPr>
        <w:tc>
          <w:tcPr>
            <w:tcW w:w="1284" w:type="dxa"/>
          </w:tcPr>
          <w:p w14:paraId="5C9F6FDE" w14:textId="77777777" w:rsidR="008A3369" w:rsidRPr="008A3369" w:rsidRDefault="008A3369" w:rsidP="00F33760">
            <w:pPr>
              <w:tabs>
                <w:tab w:val="left" w:pos="1256"/>
              </w:tabs>
              <w:jc w:val="center"/>
              <w:rPr>
                <w:rFonts w:ascii="Arial" w:hAnsi="Arial" w:cs="Arial"/>
                <w:b/>
                <w:bCs/>
                <w:sz w:val="20"/>
                <w:szCs w:val="20"/>
              </w:rPr>
            </w:pPr>
            <w:bookmarkStart w:id="2" w:name="_Hlk218147489"/>
            <w:r w:rsidRPr="008A3369">
              <w:rPr>
                <w:rFonts w:ascii="Arial" w:hAnsi="Arial" w:cs="Arial"/>
                <w:b/>
                <w:bCs/>
                <w:sz w:val="20"/>
                <w:szCs w:val="20"/>
              </w:rPr>
              <w:t>Compound Code</w:t>
            </w:r>
          </w:p>
        </w:tc>
        <w:tc>
          <w:tcPr>
            <w:tcW w:w="7229" w:type="dxa"/>
            <w:gridSpan w:val="6"/>
          </w:tcPr>
          <w:p w14:paraId="6B93777B"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Drug likeness (Lipinski rule)</w:t>
            </w:r>
          </w:p>
        </w:tc>
      </w:tr>
      <w:tr w:rsidR="008A3369" w:rsidRPr="008A3369" w14:paraId="1ED6FA11" w14:textId="77777777" w:rsidTr="008A3369">
        <w:trPr>
          <w:trHeight w:val="691"/>
          <w:jc w:val="center"/>
        </w:trPr>
        <w:tc>
          <w:tcPr>
            <w:tcW w:w="1284" w:type="dxa"/>
          </w:tcPr>
          <w:p w14:paraId="3AA6086C" w14:textId="77777777" w:rsidR="008A3369" w:rsidRPr="008A3369" w:rsidRDefault="008A3369" w:rsidP="00F33760">
            <w:pPr>
              <w:tabs>
                <w:tab w:val="left" w:pos="1256"/>
              </w:tabs>
              <w:jc w:val="center"/>
              <w:rPr>
                <w:rFonts w:ascii="Arial" w:hAnsi="Arial" w:cs="Arial"/>
                <w:sz w:val="20"/>
                <w:szCs w:val="20"/>
              </w:rPr>
            </w:pPr>
          </w:p>
        </w:tc>
        <w:tc>
          <w:tcPr>
            <w:tcW w:w="1134" w:type="dxa"/>
          </w:tcPr>
          <w:p w14:paraId="0E9DEB02"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Mol. Wt. (g/mol)</w:t>
            </w:r>
          </w:p>
        </w:tc>
        <w:tc>
          <w:tcPr>
            <w:tcW w:w="1275" w:type="dxa"/>
          </w:tcPr>
          <w:p w14:paraId="5B4D620C"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Hydrogen bond</w:t>
            </w:r>
          </w:p>
        </w:tc>
        <w:tc>
          <w:tcPr>
            <w:tcW w:w="1276" w:type="dxa"/>
          </w:tcPr>
          <w:p w14:paraId="42B75AA6"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Hydrogen acceptor</w:t>
            </w:r>
          </w:p>
        </w:tc>
        <w:tc>
          <w:tcPr>
            <w:tcW w:w="1134" w:type="dxa"/>
          </w:tcPr>
          <w:p w14:paraId="0F1D688D" w14:textId="77777777" w:rsidR="008A3369" w:rsidRPr="008A3369" w:rsidRDefault="008A3369" w:rsidP="00F33760">
            <w:pPr>
              <w:tabs>
                <w:tab w:val="left" w:pos="1256"/>
              </w:tabs>
              <w:jc w:val="center"/>
              <w:rPr>
                <w:rFonts w:ascii="Arial" w:hAnsi="Arial" w:cs="Arial"/>
                <w:b/>
                <w:bCs/>
                <w:color w:val="626262"/>
                <w:sz w:val="20"/>
                <w:szCs w:val="20"/>
                <w:shd w:val="clear" w:color="auto" w:fill="FFFFFF"/>
              </w:rPr>
            </w:pPr>
            <w:r w:rsidRPr="008A3369">
              <w:rPr>
                <w:rFonts w:ascii="Arial" w:hAnsi="Arial" w:cs="Arial"/>
                <w:b/>
                <w:bCs/>
                <w:sz w:val="20"/>
                <w:szCs w:val="20"/>
              </w:rPr>
              <w:t>TPSA</w:t>
            </w:r>
          </w:p>
          <w:p w14:paraId="76409F51"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(Å²)</w:t>
            </w:r>
          </w:p>
        </w:tc>
        <w:tc>
          <w:tcPr>
            <w:tcW w:w="1134" w:type="dxa"/>
          </w:tcPr>
          <w:p w14:paraId="282CEC2D"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of rotatable bonds</w:t>
            </w:r>
          </w:p>
        </w:tc>
        <w:tc>
          <w:tcPr>
            <w:tcW w:w="1276" w:type="dxa"/>
          </w:tcPr>
          <w:p w14:paraId="5E6D36AA"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Log P value</w:t>
            </w:r>
          </w:p>
        </w:tc>
      </w:tr>
      <w:tr w:rsidR="008A3369" w:rsidRPr="008A3369" w14:paraId="75443CCC" w14:textId="77777777" w:rsidTr="008A3369">
        <w:trPr>
          <w:trHeight w:val="315"/>
          <w:jc w:val="center"/>
        </w:trPr>
        <w:tc>
          <w:tcPr>
            <w:tcW w:w="1284" w:type="dxa"/>
          </w:tcPr>
          <w:p w14:paraId="38441DA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Eugenol</w:t>
            </w:r>
          </w:p>
        </w:tc>
        <w:tc>
          <w:tcPr>
            <w:tcW w:w="1134" w:type="dxa"/>
          </w:tcPr>
          <w:p w14:paraId="2831F0A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164.20</w:t>
            </w:r>
          </w:p>
        </w:tc>
        <w:tc>
          <w:tcPr>
            <w:tcW w:w="1275" w:type="dxa"/>
          </w:tcPr>
          <w:p w14:paraId="1EE9E28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0DA32C4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134" w:type="dxa"/>
          </w:tcPr>
          <w:p w14:paraId="47E784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29.46</w:t>
            </w:r>
          </w:p>
        </w:tc>
        <w:tc>
          <w:tcPr>
            <w:tcW w:w="1134" w:type="dxa"/>
          </w:tcPr>
          <w:p w14:paraId="17C2C1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w:t>
            </w:r>
          </w:p>
        </w:tc>
        <w:tc>
          <w:tcPr>
            <w:tcW w:w="1276" w:type="dxa"/>
          </w:tcPr>
          <w:p w14:paraId="258B8A4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2.37</w:t>
            </w:r>
          </w:p>
        </w:tc>
      </w:tr>
      <w:tr w:rsidR="008A3369" w:rsidRPr="008A3369" w14:paraId="26A97A00" w14:textId="77777777" w:rsidTr="008A3369">
        <w:trPr>
          <w:trHeight w:val="276"/>
          <w:jc w:val="center"/>
        </w:trPr>
        <w:tc>
          <w:tcPr>
            <w:tcW w:w="1284" w:type="dxa"/>
          </w:tcPr>
          <w:p w14:paraId="55DD661A"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w:t>
            </w:r>
          </w:p>
        </w:tc>
        <w:tc>
          <w:tcPr>
            <w:tcW w:w="1134" w:type="dxa"/>
          </w:tcPr>
          <w:p w14:paraId="29A2E75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368.45</w:t>
            </w:r>
          </w:p>
        </w:tc>
        <w:tc>
          <w:tcPr>
            <w:tcW w:w="1275" w:type="dxa"/>
          </w:tcPr>
          <w:p w14:paraId="69928E2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3665922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1A44C9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471B0A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7376911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3.75</w:t>
            </w:r>
          </w:p>
        </w:tc>
      </w:tr>
      <w:tr w:rsidR="008A3369" w:rsidRPr="008A3369" w14:paraId="2EDE152F" w14:textId="77777777" w:rsidTr="008A3369">
        <w:trPr>
          <w:trHeight w:val="101"/>
          <w:jc w:val="center"/>
        </w:trPr>
        <w:tc>
          <w:tcPr>
            <w:tcW w:w="1284" w:type="dxa"/>
          </w:tcPr>
          <w:p w14:paraId="4EBA06A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w:t>
            </w:r>
          </w:p>
        </w:tc>
        <w:tc>
          <w:tcPr>
            <w:tcW w:w="1134" w:type="dxa"/>
          </w:tcPr>
          <w:p w14:paraId="519EE8E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402.90</w:t>
            </w:r>
          </w:p>
        </w:tc>
        <w:tc>
          <w:tcPr>
            <w:tcW w:w="1275" w:type="dxa"/>
          </w:tcPr>
          <w:p w14:paraId="585A89E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469AA3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04B453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14E8CD7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421EB3A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3.93</w:t>
            </w:r>
          </w:p>
        </w:tc>
      </w:tr>
      <w:tr w:rsidR="008A3369" w:rsidRPr="008A3369" w14:paraId="132C1A6C" w14:textId="77777777" w:rsidTr="008A3369">
        <w:trPr>
          <w:trHeight w:val="207"/>
          <w:jc w:val="center"/>
        </w:trPr>
        <w:tc>
          <w:tcPr>
            <w:tcW w:w="1284" w:type="dxa"/>
          </w:tcPr>
          <w:p w14:paraId="18DF82E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w:t>
            </w:r>
          </w:p>
        </w:tc>
        <w:tc>
          <w:tcPr>
            <w:tcW w:w="1134" w:type="dxa"/>
          </w:tcPr>
          <w:p w14:paraId="51AE38D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437.34</w:t>
            </w:r>
          </w:p>
        </w:tc>
        <w:tc>
          <w:tcPr>
            <w:tcW w:w="1275" w:type="dxa"/>
          </w:tcPr>
          <w:p w14:paraId="23C7E7F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71B21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6D021F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9B4526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05C9361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4.32</w:t>
            </w:r>
          </w:p>
        </w:tc>
      </w:tr>
      <w:tr w:rsidR="008A3369" w:rsidRPr="008A3369" w14:paraId="7C99B0E5" w14:textId="77777777" w:rsidTr="008A3369">
        <w:trPr>
          <w:trHeight w:val="276"/>
          <w:jc w:val="center"/>
        </w:trPr>
        <w:tc>
          <w:tcPr>
            <w:tcW w:w="1284" w:type="dxa"/>
          </w:tcPr>
          <w:p w14:paraId="1DFE5875"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Tria-4</w:t>
            </w:r>
          </w:p>
        </w:tc>
        <w:tc>
          <w:tcPr>
            <w:tcW w:w="1134" w:type="dxa"/>
          </w:tcPr>
          <w:p w14:paraId="4194555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402.90</w:t>
            </w:r>
          </w:p>
        </w:tc>
        <w:tc>
          <w:tcPr>
            <w:tcW w:w="1275" w:type="dxa"/>
          </w:tcPr>
          <w:p w14:paraId="729A1C4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D3CBD4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3E36C1E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5B8DA8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FA5898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w:t>
            </w:r>
          </w:p>
        </w:tc>
      </w:tr>
      <w:tr w:rsidR="008A3369" w:rsidRPr="008A3369" w14:paraId="24CE182C" w14:textId="77777777" w:rsidTr="008A3369">
        <w:trPr>
          <w:trHeight w:val="276"/>
          <w:jc w:val="center"/>
        </w:trPr>
        <w:tc>
          <w:tcPr>
            <w:tcW w:w="1284" w:type="dxa"/>
          </w:tcPr>
          <w:p w14:paraId="2F242B8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Tria-5</w:t>
            </w:r>
          </w:p>
        </w:tc>
        <w:tc>
          <w:tcPr>
            <w:tcW w:w="1134" w:type="dxa"/>
          </w:tcPr>
          <w:p w14:paraId="19A6373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437.34</w:t>
            </w:r>
          </w:p>
        </w:tc>
        <w:tc>
          <w:tcPr>
            <w:tcW w:w="1275" w:type="dxa"/>
          </w:tcPr>
          <w:p w14:paraId="18A08DF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6273594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E33FD9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B95323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15B390F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4.12</w:t>
            </w:r>
          </w:p>
        </w:tc>
      </w:tr>
      <w:tr w:rsidR="008A3369" w:rsidRPr="008A3369" w14:paraId="1DBE9024" w14:textId="77777777" w:rsidTr="008A3369">
        <w:trPr>
          <w:trHeight w:val="276"/>
          <w:jc w:val="center"/>
        </w:trPr>
        <w:tc>
          <w:tcPr>
            <w:tcW w:w="1284" w:type="dxa"/>
          </w:tcPr>
          <w:p w14:paraId="118216C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Tria-6</w:t>
            </w:r>
          </w:p>
        </w:tc>
        <w:tc>
          <w:tcPr>
            <w:tcW w:w="1134" w:type="dxa"/>
          </w:tcPr>
          <w:p w14:paraId="46B136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5" w:type="dxa"/>
          </w:tcPr>
          <w:p w14:paraId="17781A5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59651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2B6A9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4873F2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638FC6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4.09</w:t>
            </w:r>
          </w:p>
        </w:tc>
      </w:tr>
      <w:tr w:rsidR="008A3369" w:rsidRPr="008A3369" w14:paraId="2143B4E7" w14:textId="77777777" w:rsidTr="008A3369">
        <w:trPr>
          <w:trHeight w:val="276"/>
          <w:jc w:val="center"/>
        </w:trPr>
        <w:tc>
          <w:tcPr>
            <w:tcW w:w="1284" w:type="dxa"/>
          </w:tcPr>
          <w:p w14:paraId="32AC69AE"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Tria-7</w:t>
            </w:r>
          </w:p>
        </w:tc>
        <w:tc>
          <w:tcPr>
            <w:tcW w:w="1134" w:type="dxa"/>
          </w:tcPr>
          <w:p w14:paraId="1B5EFF5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5" w:type="dxa"/>
          </w:tcPr>
          <w:p w14:paraId="2675AEB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BBCE96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69536B2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4042F41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6399E06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3.93</w:t>
            </w:r>
          </w:p>
        </w:tc>
      </w:tr>
      <w:tr w:rsidR="008A3369" w:rsidRPr="008A3369" w14:paraId="5DEF4CC6" w14:textId="77777777" w:rsidTr="008A3369">
        <w:trPr>
          <w:trHeight w:val="276"/>
          <w:jc w:val="center"/>
        </w:trPr>
        <w:tc>
          <w:tcPr>
            <w:tcW w:w="1284" w:type="dxa"/>
          </w:tcPr>
          <w:p w14:paraId="3D7FCCB2"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Tria-8</w:t>
            </w:r>
          </w:p>
        </w:tc>
        <w:tc>
          <w:tcPr>
            <w:tcW w:w="1134" w:type="dxa"/>
          </w:tcPr>
          <w:p w14:paraId="6ADCAD2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5" w:type="dxa"/>
          </w:tcPr>
          <w:p w14:paraId="2EEB2E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F571DA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1C18ACE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79AE576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305C3F2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3.92</w:t>
            </w:r>
          </w:p>
        </w:tc>
      </w:tr>
      <w:tr w:rsidR="008A3369" w:rsidRPr="008A3369" w14:paraId="7554B571" w14:textId="77777777" w:rsidTr="008A3369">
        <w:trPr>
          <w:trHeight w:val="207"/>
          <w:jc w:val="center"/>
        </w:trPr>
        <w:tc>
          <w:tcPr>
            <w:tcW w:w="1284" w:type="dxa"/>
          </w:tcPr>
          <w:p w14:paraId="40613C12"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Tria-9</w:t>
            </w:r>
          </w:p>
        </w:tc>
        <w:tc>
          <w:tcPr>
            <w:tcW w:w="1134" w:type="dxa"/>
          </w:tcPr>
          <w:p w14:paraId="6D4A46D8" w14:textId="77777777" w:rsidR="008A3369" w:rsidRPr="008A3369" w:rsidRDefault="008A3369" w:rsidP="00F33760">
            <w:pPr>
              <w:tabs>
                <w:tab w:val="left" w:pos="1256"/>
              </w:tabs>
              <w:jc w:val="center"/>
              <w:rPr>
                <w:rFonts w:ascii="Arial" w:hAnsi="Arial" w:cs="Arial"/>
                <w:color w:val="FF0000"/>
                <w:sz w:val="20"/>
                <w:szCs w:val="20"/>
              </w:rPr>
            </w:pPr>
            <w:r w:rsidRPr="008A3369">
              <w:rPr>
                <w:rFonts w:ascii="Arial" w:hAnsi="Arial" w:cs="Arial"/>
                <w:sz w:val="20"/>
                <w:szCs w:val="20"/>
              </w:rPr>
              <w:t>526.24</w:t>
            </w:r>
          </w:p>
        </w:tc>
        <w:tc>
          <w:tcPr>
            <w:tcW w:w="1275" w:type="dxa"/>
          </w:tcPr>
          <w:p w14:paraId="558CB1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175C39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6DDE6E0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930A08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98BDA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4.50</w:t>
            </w:r>
          </w:p>
        </w:tc>
      </w:tr>
      <w:tr w:rsidR="008A3369" w:rsidRPr="008A3369" w14:paraId="79B27BBD" w14:textId="77777777" w:rsidTr="008A3369">
        <w:trPr>
          <w:trHeight w:val="276"/>
          <w:jc w:val="center"/>
        </w:trPr>
        <w:tc>
          <w:tcPr>
            <w:tcW w:w="1284" w:type="dxa"/>
          </w:tcPr>
          <w:p w14:paraId="4DC1B63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Tria-10</w:t>
            </w:r>
          </w:p>
        </w:tc>
        <w:tc>
          <w:tcPr>
            <w:tcW w:w="1134" w:type="dxa"/>
          </w:tcPr>
          <w:p w14:paraId="1B79750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526.24</w:t>
            </w:r>
          </w:p>
        </w:tc>
        <w:tc>
          <w:tcPr>
            <w:tcW w:w="1275" w:type="dxa"/>
          </w:tcPr>
          <w:p w14:paraId="1D8AE4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45AEEF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F8EF87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ADF9D1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3F995DD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4.39</w:t>
            </w:r>
          </w:p>
        </w:tc>
      </w:tr>
      <w:tr w:rsidR="008A3369" w:rsidRPr="008A3369" w14:paraId="2E8200E9" w14:textId="77777777" w:rsidTr="008A3369">
        <w:trPr>
          <w:trHeight w:val="276"/>
          <w:jc w:val="center"/>
        </w:trPr>
        <w:tc>
          <w:tcPr>
            <w:tcW w:w="1284" w:type="dxa"/>
          </w:tcPr>
          <w:p w14:paraId="4F41F20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Tria-11</w:t>
            </w:r>
          </w:p>
        </w:tc>
        <w:tc>
          <w:tcPr>
            <w:tcW w:w="1134" w:type="dxa"/>
          </w:tcPr>
          <w:p w14:paraId="2FEFC83F" w14:textId="77777777" w:rsidR="008A3369" w:rsidRPr="008A3369" w:rsidRDefault="008A3369" w:rsidP="00F33760">
            <w:pPr>
              <w:tabs>
                <w:tab w:val="left" w:pos="1256"/>
              </w:tabs>
              <w:jc w:val="center"/>
              <w:rPr>
                <w:rFonts w:ascii="Arial" w:hAnsi="Arial" w:cs="Arial"/>
                <w:color w:val="FF0000"/>
                <w:sz w:val="20"/>
                <w:szCs w:val="20"/>
              </w:rPr>
            </w:pPr>
            <w:r w:rsidRPr="008A3369">
              <w:rPr>
                <w:rFonts w:ascii="Arial" w:hAnsi="Arial" w:cs="Arial"/>
                <w:sz w:val="20"/>
                <w:szCs w:val="20"/>
              </w:rPr>
              <w:t>386.44</w:t>
            </w:r>
          </w:p>
        </w:tc>
        <w:tc>
          <w:tcPr>
            <w:tcW w:w="1275" w:type="dxa"/>
          </w:tcPr>
          <w:p w14:paraId="1CE1E57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12CD22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4F863C4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6BC2D5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C7F66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3.96</w:t>
            </w:r>
          </w:p>
        </w:tc>
      </w:tr>
      <w:tr w:rsidR="008A3369" w:rsidRPr="008A3369" w14:paraId="7E3F7658" w14:textId="77777777" w:rsidTr="008A3369">
        <w:trPr>
          <w:trHeight w:val="276"/>
          <w:jc w:val="center"/>
        </w:trPr>
        <w:tc>
          <w:tcPr>
            <w:tcW w:w="1284" w:type="dxa"/>
          </w:tcPr>
          <w:p w14:paraId="4C69C0D0"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Tria-12</w:t>
            </w:r>
          </w:p>
        </w:tc>
        <w:tc>
          <w:tcPr>
            <w:tcW w:w="1134" w:type="dxa"/>
          </w:tcPr>
          <w:p w14:paraId="1016C1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386.44</w:t>
            </w:r>
          </w:p>
        </w:tc>
        <w:tc>
          <w:tcPr>
            <w:tcW w:w="1275" w:type="dxa"/>
          </w:tcPr>
          <w:p w14:paraId="53F9199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657981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397262D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74471D6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673F30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3.78</w:t>
            </w:r>
          </w:p>
        </w:tc>
      </w:tr>
      <w:tr w:rsidR="008A3369" w:rsidRPr="008A3369" w14:paraId="045C6AB5" w14:textId="77777777" w:rsidTr="008A3369">
        <w:trPr>
          <w:trHeight w:val="276"/>
          <w:jc w:val="center"/>
        </w:trPr>
        <w:tc>
          <w:tcPr>
            <w:tcW w:w="1284" w:type="dxa"/>
          </w:tcPr>
          <w:p w14:paraId="63ABFA50"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Tria-13</w:t>
            </w:r>
          </w:p>
        </w:tc>
        <w:tc>
          <w:tcPr>
            <w:tcW w:w="1134" w:type="dxa"/>
          </w:tcPr>
          <w:p w14:paraId="57AEC2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386.44</w:t>
            </w:r>
          </w:p>
        </w:tc>
        <w:tc>
          <w:tcPr>
            <w:tcW w:w="1275" w:type="dxa"/>
          </w:tcPr>
          <w:p w14:paraId="66584C2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646DB08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F1944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675BD04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4851C76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w:t>
            </w:r>
          </w:p>
        </w:tc>
      </w:tr>
      <w:tr w:rsidR="008A3369" w:rsidRPr="008A3369" w14:paraId="583DC351" w14:textId="77777777" w:rsidTr="008A3369">
        <w:trPr>
          <w:trHeight w:val="276"/>
          <w:jc w:val="center"/>
        </w:trPr>
        <w:tc>
          <w:tcPr>
            <w:tcW w:w="1284" w:type="dxa"/>
          </w:tcPr>
          <w:p w14:paraId="6876478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Tria-14</w:t>
            </w:r>
          </w:p>
        </w:tc>
        <w:tc>
          <w:tcPr>
            <w:tcW w:w="1134" w:type="dxa"/>
          </w:tcPr>
          <w:p w14:paraId="1CA281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404.43</w:t>
            </w:r>
          </w:p>
        </w:tc>
        <w:tc>
          <w:tcPr>
            <w:tcW w:w="1275" w:type="dxa"/>
          </w:tcPr>
          <w:p w14:paraId="215955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B26A8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520AC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1805CC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5472EEB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4.06</w:t>
            </w:r>
          </w:p>
        </w:tc>
      </w:tr>
      <w:tr w:rsidR="008A3369" w:rsidRPr="008A3369" w14:paraId="1B5B2260" w14:textId="77777777" w:rsidTr="008A3369">
        <w:trPr>
          <w:trHeight w:val="276"/>
          <w:jc w:val="center"/>
        </w:trPr>
        <w:tc>
          <w:tcPr>
            <w:tcW w:w="1284" w:type="dxa"/>
          </w:tcPr>
          <w:p w14:paraId="547AE187"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Tria-15</w:t>
            </w:r>
          </w:p>
        </w:tc>
        <w:tc>
          <w:tcPr>
            <w:tcW w:w="1134" w:type="dxa"/>
          </w:tcPr>
          <w:p w14:paraId="092ACF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494.35</w:t>
            </w:r>
          </w:p>
        </w:tc>
        <w:tc>
          <w:tcPr>
            <w:tcW w:w="1275" w:type="dxa"/>
          </w:tcPr>
          <w:p w14:paraId="4A66A0E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E37F4D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3B7DE8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FE0AA6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48F5DE3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4.22</w:t>
            </w:r>
          </w:p>
        </w:tc>
      </w:tr>
      <w:tr w:rsidR="008A3369" w:rsidRPr="008A3369" w14:paraId="5543FA2E" w14:textId="77777777" w:rsidTr="008A3369">
        <w:trPr>
          <w:trHeight w:val="276"/>
          <w:jc w:val="center"/>
        </w:trPr>
        <w:tc>
          <w:tcPr>
            <w:tcW w:w="1284" w:type="dxa"/>
          </w:tcPr>
          <w:p w14:paraId="1242856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Tria-16</w:t>
            </w:r>
          </w:p>
        </w:tc>
        <w:tc>
          <w:tcPr>
            <w:tcW w:w="1134" w:type="dxa"/>
          </w:tcPr>
          <w:p w14:paraId="1D04BA0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494.35</w:t>
            </w:r>
          </w:p>
        </w:tc>
        <w:tc>
          <w:tcPr>
            <w:tcW w:w="1275" w:type="dxa"/>
          </w:tcPr>
          <w:p w14:paraId="596170D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A31C6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3292A4D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3ECB81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0220C7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3.85</w:t>
            </w:r>
          </w:p>
        </w:tc>
      </w:tr>
      <w:tr w:rsidR="008A3369" w:rsidRPr="008A3369" w14:paraId="40BEFF41" w14:textId="77777777" w:rsidTr="008A3369">
        <w:trPr>
          <w:trHeight w:val="276"/>
          <w:jc w:val="center"/>
        </w:trPr>
        <w:tc>
          <w:tcPr>
            <w:tcW w:w="1284" w:type="dxa"/>
          </w:tcPr>
          <w:p w14:paraId="2BE19A38"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Tria-17</w:t>
            </w:r>
          </w:p>
        </w:tc>
        <w:tc>
          <w:tcPr>
            <w:tcW w:w="1134" w:type="dxa"/>
          </w:tcPr>
          <w:p w14:paraId="08E612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5" w:type="dxa"/>
          </w:tcPr>
          <w:p w14:paraId="7D55807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42EA08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BD093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2BB6EA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2348F3D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3.29</w:t>
            </w:r>
          </w:p>
        </w:tc>
      </w:tr>
      <w:tr w:rsidR="008A3369" w:rsidRPr="008A3369" w14:paraId="6931689E" w14:textId="77777777" w:rsidTr="008A3369">
        <w:trPr>
          <w:trHeight w:val="276"/>
          <w:jc w:val="center"/>
        </w:trPr>
        <w:tc>
          <w:tcPr>
            <w:tcW w:w="1284" w:type="dxa"/>
          </w:tcPr>
          <w:p w14:paraId="7A534863"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Tria-18</w:t>
            </w:r>
          </w:p>
        </w:tc>
        <w:tc>
          <w:tcPr>
            <w:tcW w:w="1134" w:type="dxa"/>
          </w:tcPr>
          <w:p w14:paraId="680CEDC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5" w:type="dxa"/>
          </w:tcPr>
          <w:p w14:paraId="530A059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286459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34282E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047ADEF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78C99A4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3.25</w:t>
            </w:r>
          </w:p>
        </w:tc>
      </w:tr>
      <w:tr w:rsidR="008A3369" w:rsidRPr="008A3369" w14:paraId="65A67084" w14:textId="77777777" w:rsidTr="008A3369">
        <w:trPr>
          <w:trHeight w:val="276"/>
          <w:jc w:val="center"/>
        </w:trPr>
        <w:tc>
          <w:tcPr>
            <w:tcW w:w="1284" w:type="dxa"/>
          </w:tcPr>
          <w:p w14:paraId="27875DE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Tria-19</w:t>
            </w:r>
          </w:p>
        </w:tc>
        <w:tc>
          <w:tcPr>
            <w:tcW w:w="1134" w:type="dxa"/>
          </w:tcPr>
          <w:p w14:paraId="0F2B0F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5" w:type="dxa"/>
          </w:tcPr>
          <w:p w14:paraId="01FDDF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36DD78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27F26ED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1A926D2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7E718FC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3.38</w:t>
            </w:r>
          </w:p>
        </w:tc>
      </w:tr>
      <w:tr w:rsidR="008A3369" w:rsidRPr="008A3369" w14:paraId="639CA583" w14:textId="77777777" w:rsidTr="008A3369">
        <w:trPr>
          <w:trHeight w:val="276"/>
          <w:jc w:val="center"/>
        </w:trPr>
        <w:tc>
          <w:tcPr>
            <w:tcW w:w="1284" w:type="dxa"/>
          </w:tcPr>
          <w:p w14:paraId="3D3773A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Tria-20</w:t>
            </w:r>
          </w:p>
        </w:tc>
        <w:tc>
          <w:tcPr>
            <w:tcW w:w="1134" w:type="dxa"/>
          </w:tcPr>
          <w:p w14:paraId="135CEFF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458.45</w:t>
            </w:r>
          </w:p>
        </w:tc>
        <w:tc>
          <w:tcPr>
            <w:tcW w:w="1275" w:type="dxa"/>
          </w:tcPr>
          <w:p w14:paraId="6F6E9A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137083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134" w:type="dxa"/>
          </w:tcPr>
          <w:p w14:paraId="374305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133.10</w:t>
            </w:r>
          </w:p>
        </w:tc>
        <w:tc>
          <w:tcPr>
            <w:tcW w:w="1134" w:type="dxa"/>
          </w:tcPr>
          <w:p w14:paraId="212BE3A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276" w:type="dxa"/>
          </w:tcPr>
          <w:p w14:paraId="2BC9465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2.75</w:t>
            </w:r>
          </w:p>
        </w:tc>
      </w:tr>
      <w:tr w:rsidR="008A3369" w:rsidRPr="008A3369" w14:paraId="5DDE3627" w14:textId="77777777" w:rsidTr="008A3369">
        <w:trPr>
          <w:trHeight w:val="287"/>
          <w:jc w:val="center"/>
        </w:trPr>
        <w:tc>
          <w:tcPr>
            <w:tcW w:w="1284" w:type="dxa"/>
          </w:tcPr>
          <w:p w14:paraId="0B8682FC"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Tria-21</w:t>
            </w:r>
          </w:p>
        </w:tc>
        <w:tc>
          <w:tcPr>
            <w:tcW w:w="1134" w:type="dxa"/>
          </w:tcPr>
          <w:p w14:paraId="425BC2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458.45</w:t>
            </w:r>
          </w:p>
        </w:tc>
        <w:tc>
          <w:tcPr>
            <w:tcW w:w="1275" w:type="dxa"/>
          </w:tcPr>
          <w:p w14:paraId="5549665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BE796C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134" w:type="dxa"/>
          </w:tcPr>
          <w:p w14:paraId="7E90509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189.22</w:t>
            </w:r>
          </w:p>
        </w:tc>
        <w:tc>
          <w:tcPr>
            <w:tcW w:w="1134" w:type="dxa"/>
          </w:tcPr>
          <w:p w14:paraId="016FC9A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276" w:type="dxa"/>
          </w:tcPr>
          <w:p w14:paraId="3898ED8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2.72</w:t>
            </w:r>
          </w:p>
        </w:tc>
      </w:tr>
      <w:tr w:rsidR="008A3369" w:rsidRPr="008A3369" w14:paraId="6AADA9BB" w14:textId="77777777" w:rsidTr="008A3369">
        <w:trPr>
          <w:trHeight w:val="276"/>
          <w:jc w:val="center"/>
        </w:trPr>
        <w:tc>
          <w:tcPr>
            <w:tcW w:w="1284" w:type="dxa"/>
          </w:tcPr>
          <w:p w14:paraId="30D06C1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Tria-22</w:t>
            </w:r>
          </w:p>
        </w:tc>
        <w:tc>
          <w:tcPr>
            <w:tcW w:w="1134" w:type="dxa"/>
          </w:tcPr>
          <w:p w14:paraId="46D01DE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5" w:type="dxa"/>
          </w:tcPr>
          <w:p w14:paraId="3917F57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672FD7A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3171E9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7A1F80C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59BF25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3.27</w:t>
            </w:r>
          </w:p>
        </w:tc>
      </w:tr>
      <w:tr w:rsidR="008A3369" w:rsidRPr="008A3369" w14:paraId="4923F8D4" w14:textId="77777777" w:rsidTr="008A3369">
        <w:trPr>
          <w:trHeight w:val="276"/>
          <w:jc w:val="center"/>
        </w:trPr>
        <w:tc>
          <w:tcPr>
            <w:tcW w:w="1284" w:type="dxa"/>
          </w:tcPr>
          <w:p w14:paraId="235563D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Tria-23</w:t>
            </w:r>
          </w:p>
        </w:tc>
        <w:tc>
          <w:tcPr>
            <w:tcW w:w="1134" w:type="dxa"/>
          </w:tcPr>
          <w:p w14:paraId="1DE51BE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5" w:type="dxa"/>
          </w:tcPr>
          <w:p w14:paraId="796D62F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747A479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121A408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142B5E6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5ED2697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3.03</w:t>
            </w:r>
          </w:p>
        </w:tc>
      </w:tr>
      <w:tr w:rsidR="008A3369" w:rsidRPr="008A3369" w14:paraId="76E71F93" w14:textId="77777777" w:rsidTr="008A3369">
        <w:trPr>
          <w:trHeight w:val="276"/>
          <w:jc w:val="center"/>
        </w:trPr>
        <w:tc>
          <w:tcPr>
            <w:tcW w:w="1284" w:type="dxa"/>
          </w:tcPr>
          <w:p w14:paraId="040DC29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Tria-24</w:t>
            </w:r>
          </w:p>
        </w:tc>
        <w:tc>
          <w:tcPr>
            <w:tcW w:w="1134" w:type="dxa"/>
          </w:tcPr>
          <w:p w14:paraId="1EF00CE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5" w:type="dxa"/>
          </w:tcPr>
          <w:p w14:paraId="7A2CBEA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219B15B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59CC97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7AEAF9E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38315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3.26</w:t>
            </w:r>
          </w:p>
        </w:tc>
      </w:tr>
      <w:tr w:rsidR="008A3369" w:rsidRPr="008A3369" w14:paraId="66F391E8" w14:textId="77777777" w:rsidTr="008A3369">
        <w:trPr>
          <w:trHeight w:val="276"/>
          <w:jc w:val="center"/>
        </w:trPr>
        <w:tc>
          <w:tcPr>
            <w:tcW w:w="1284" w:type="dxa"/>
          </w:tcPr>
          <w:p w14:paraId="1BB331A8"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Tria-25</w:t>
            </w:r>
          </w:p>
        </w:tc>
        <w:tc>
          <w:tcPr>
            <w:tcW w:w="1134" w:type="dxa"/>
          </w:tcPr>
          <w:p w14:paraId="4484B93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400.45</w:t>
            </w:r>
          </w:p>
        </w:tc>
        <w:tc>
          <w:tcPr>
            <w:tcW w:w="1275" w:type="dxa"/>
          </w:tcPr>
          <w:p w14:paraId="32C191B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276" w:type="dxa"/>
          </w:tcPr>
          <w:p w14:paraId="470048E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70F90EC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138.04</w:t>
            </w:r>
          </w:p>
        </w:tc>
        <w:tc>
          <w:tcPr>
            <w:tcW w:w="1134" w:type="dxa"/>
          </w:tcPr>
          <w:p w14:paraId="1DB8816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4A48D3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3.14</w:t>
            </w:r>
          </w:p>
        </w:tc>
      </w:tr>
      <w:tr w:rsidR="008A3369" w:rsidRPr="008A3369" w14:paraId="567097F3" w14:textId="77777777" w:rsidTr="008A3369">
        <w:trPr>
          <w:trHeight w:val="276"/>
          <w:jc w:val="center"/>
        </w:trPr>
        <w:tc>
          <w:tcPr>
            <w:tcW w:w="1284" w:type="dxa"/>
          </w:tcPr>
          <w:p w14:paraId="293150F7"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Tria-26</w:t>
            </w:r>
          </w:p>
        </w:tc>
        <w:tc>
          <w:tcPr>
            <w:tcW w:w="1134" w:type="dxa"/>
          </w:tcPr>
          <w:p w14:paraId="63FBEBD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400.45</w:t>
            </w:r>
          </w:p>
        </w:tc>
        <w:tc>
          <w:tcPr>
            <w:tcW w:w="1275" w:type="dxa"/>
          </w:tcPr>
          <w:p w14:paraId="5293AEA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276" w:type="dxa"/>
          </w:tcPr>
          <w:p w14:paraId="06A15B0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134" w:type="dxa"/>
          </w:tcPr>
          <w:p w14:paraId="772DBA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138.04</w:t>
            </w:r>
          </w:p>
        </w:tc>
        <w:tc>
          <w:tcPr>
            <w:tcW w:w="1134" w:type="dxa"/>
          </w:tcPr>
          <w:p w14:paraId="3063A76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7A1A1A5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3.19</w:t>
            </w:r>
          </w:p>
        </w:tc>
      </w:tr>
      <w:tr w:rsidR="008A3369" w:rsidRPr="008A3369" w14:paraId="5D149B7F" w14:textId="77777777" w:rsidTr="008A3369">
        <w:trPr>
          <w:trHeight w:val="276"/>
          <w:jc w:val="center"/>
        </w:trPr>
        <w:tc>
          <w:tcPr>
            <w:tcW w:w="1284" w:type="dxa"/>
          </w:tcPr>
          <w:p w14:paraId="38822F4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Tria-27</w:t>
            </w:r>
          </w:p>
        </w:tc>
        <w:tc>
          <w:tcPr>
            <w:tcW w:w="1134" w:type="dxa"/>
          </w:tcPr>
          <w:p w14:paraId="755D77A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383.47</w:t>
            </w:r>
          </w:p>
        </w:tc>
        <w:tc>
          <w:tcPr>
            <w:tcW w:w="1275" w:type="dxa"/>
          </w:tcPr>
          <w:p w14:paraId="1DC379D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6F24F30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78D5FC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123.60</w:t>
            </w:r>
          </w:p>
        </w:tc>
        <w:tc>
          <w:tcPr>
            <w:tcW w:w="1134" w:type="dxa"/>
          </w:tcPr>
          <w:p w14:paraId="059FA97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5934E3D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352</w:t>
            </w:r>
          </w:p>
        </w:tc>
      </w:tr>
      <w:tr w:rsidR="008A3369" w:rsidRPr="008A3369" w14:paraId="7BBDE798" w14:textId="77777777" w:rsidTr="008A3369">
        <w:trPr>
          <w:trHeight w:val="276"/>
          <w:jc w:val="center"/>
        </w:trPr>
        <w:tc>
          <w:tcPr>
            <w:tcW w:w="1284" w:type="dxa"/>
          </w:tcPr>
          <w:p w14:paraId="7A9E376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Tria-28</w:t>
            </w:r>
          </w:p>
        </w:tc>
        <w:tc>
          <w:tcPr>
            <w:tcW w:w="1134" w:type="dxa"/>
          </w:tcPr>
          <w:p w14:paraId="22C0ED5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383.47</w:t>
            </w:r>
          </w:p>
        </w:tc>
        <w:tc>
          <w:tcPr>
            <w:tcW w:w="1275" w:type="dxa"/>
          </w:tcPr>
          <w:p w14:paraId="5E5F25C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033871E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7773A8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123.60</w:t>
            </w:r>
          </w:p>
        </w:tc>
        <w:tc>
          <w:tcPr>
            <w:tcW w:w="1134" w:type="dxa"/>
          </w:tcPr>
          <w:p w14:paraId="240D5E6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2FEB94F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3.53</w:t>
            </w:r>
          </w:p>
        </w:tc>
      </w:tr>
      <w:tr w:rsidR="008A3369" w:rsidRPr="008A3369" w14:paraId="4B9949C5" w14:textId="77777777" w:rsidTr="008A3369">
        <w:trPr>
          <w:trHeight w:val="276"/>
          <w:jc w:val="center"/>
        </w:trPr>
        <w:tc>
          <w:tcPr>
            <w:tcW w:w="1284" w:type="dxa"/>
          </w:tcPr>
          <w:p w14:paraId="3F6AB0B3"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Tria-29</w:t>
            </w:r>
          </w:p>
        </w:tc>
        <w:tc>
          <w:tcPr>
            <w:tcW w:w="1134" w:type="dxa"/>
          </w:tcPr>
          <w:p w14:paraId="7B098DE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398.48</w:t>
            </w:r>
          </w:p>
        </w:tc>
        <w:tc>
          <w:tcPr>
            <w:tcW w:w="1275" w:type="dxa"/>
          </w:tcPr>
          <w:p w14:paraId="3894DC3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1CFE33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F4BD31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106.81</w:t>
            </w:r>
          </w:p>
        </w:tc>
        <w:tc>
          <w:tcPr>
            <w:tcW w:w="1134" w:type="dxa"/>
          </w:tcPr>
          <w:p w14:paraId="7AEF43E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480D91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3.51</w:t>
            </w:r>
          </w:p>
        </w:tc>
      </w:tr>
      <w:tr w:rsidR="008A3369" w:rsidRPr="008A3369" w14:paraId="7128F9F1" w14:textId="77777777" w:rsidTr="008A3369">
        <w:trPr>
          <w:trHeight w:val="327"/>
          <w:jc w:val="center"/>
        </w:trPr>
        <w:tc>
          <w:tcPr>
            <w:tcW w:w="1284" w:type="dxa"/>
          </w:tcPr>
          <w:p w14:paraId="52AFFAC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Tria-30</w:t>
            </w:r>
          </w:p>
        </w:tc>
        <w:tc>
          <w:tcPr>
            <w:tcW w:w="1134" w:type="dxa"/>
          </w:tcPr>
          <w:p w14:paraId="4435B4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398.48</w:t>
            </w:r>
          </w:p>
        </w:tc>
        <w:tc>
          <w:tcPr>
            <w:tcW w:w="1275" w:type="dxa"/>
          </w:tcPr>
          <w:p w14:paraId="5B6557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9E79E4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25AF2AF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106.81</w:t>
            </w:r>
          </w:p>
        </w:tc>
        <w:tc>
          <w:tcPr>
            <w:tcW w:w="1134" w:type="dxa"/>
          </w:tcPr>
          <w:p w14:paraId="4C0EEE5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73D9449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w:t>
            </w:r>
          </w:p>
        </w:tc>
      </w:tr>
      <w:tr w:rsidR="008A3369" w:rsidRPr="008A3369" w14:paraId="68E5CDC6" w14:textId="77777777" w:rsidTr="008A3369">
        <w:trPr>
          <w:trHeight w:val="276"/>
          <w:jc w:val="center"/>
        </w:trPr>
        <w:tc>
          <w:tcPr>
            <w:tcW w:w="1284" w:type="dxa"/>
          </w:tcPr>
          <w:p w14:paraId="4C098F75"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Tria-31</w:t>
            </w:r>
          </w:p>
        </w:tc>
        <w:tc>
          <w:tcPr>
            <w:tcW w:w="1134" w:type="dxa"/>
          </w:tcPr>
          <w:p w14:paraId="25D14D8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428.50</w:t>
            </w:r>
          </w:p>
        </w:tc>
        <w:tc>
          <w:tcPr>
            <w:tcW w:w="1275" w:type="dxa"/>
          </w:tcPr>
          <w:p w14:paraId="6998F01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2B3F82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3E78113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116.04</w:t>
            </w:r>
          </w:p>
        </w:tc>
        <w:tc>
          <w:tcPr>
            <w:tcW w:w="1134" w:type="dxa"/>
          </w:tcPr>
          <w:p w14:paraId="1F39E52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276" w:type="dxa"/>
          </w:tcPr>
          <w:p w14:paraId="0B1969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w:t>
            </w:r>
          </w:p>
        </w:tc>
      </w:tr>
      <w:tr w:rsidR="008A3369" w:rsidRPr="008A3369" w14:paraId="335FE41D" w14:textId="77777777" w:rsidTr="008A3369">
        <w:trPr>
          <w:trHeight w:val="276"/>
          <w:jc w:val="center"/>
        </w:trPr>
        <w:tc>
          <w:tcPr>
            <w:tcW w:w="1284" w:type="dxa"/>
          </w:tcPr>
          <w:p w14:paraId="5314159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Tria-32</w:t>
            </w:r>
          </w:p>
        </w:tc>
        <w:tc>
          <w:tcPr>
            <w:tcW w:w="1134" w:type="dxa"/>
          </w:tcPr>
          <w:p w14:paraId="448E55C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414.48</w:t>
            </w:r>
          </w:p>
        </w:tc>
        <w:tc>
          <w:tcPr>
            <w:tcW w:w="1275" w:type="dxa"/>
          </w:tcPr>
          <w:p w14:paraId="237E2F3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3AE5AB4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7E928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127.04</w:t>
            </w:r>
          </w:p>
        </w:tc>
        <w:tc>
          <w:tcPr>
            <w:tcW w:w="1134" w:type="dxa"/>
          </w:tcPr>
          <w:p w14:paraId="66B333D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1276" w:type="dxa"/>
          </w:tcPr>
          <w:p w14:paraId="03D8E89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3.42</w:t>
            </w:r>
          </w:p>
        </w:tc>
      </w:tr>
      <w:tr w:rsidR="008A3369" w:rsidRPr="008A3369" w14:paraId="2F6577A9" w14:textId="77777777" w:rsidTr="008A3369">
        <w:trPr>
          <w:trHeight w:val="276"/>
          <w:jc w:val="center"/>
        </w:trPr>
        <w:tc>
          <w:tcPr>
            <w:tcW w:w="1284" w:type="dxa"/>
          </w:tcPr>
          <w:p w14:paraId="00BEFEA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Tria33</w:t>
            </w:r>
          </w:p>
        </w:tc>
        <w:tc>
          <w:tcPr>
            <w:tcW w:w="1134" w:type="dxa"/>
          </w:tcPr>
          <w:p w14:paraId="3A3C4FD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358.41</w:t>
            </w:r>
          </w:p>
        </w:tc>
        <w:tc>
          <w:tcPr>
            <w:tcW w:w="1275" w:type="dxa"/>
          </w:tcPr>
          <w:p w14:paraId="36D0D38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44F22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6ADA484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110.72</w:t>
            </w:r>
          </w:p>
        </w:tc>
        <w:tc>
          <w:tcPr>
            <w:tcW w:w="1134" w:type="dxa"/>
          </w:tcPr>
          <w:p w14:paraId="5313B9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36CB46BC"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 xml:space="preserve">       3.29</w:t>
            </w:r>
          </w:p>
        </w:tc>
      </w:tr>
      <w:tr w:rsidR="008A3369" w:rsidRPr="008A3369" w14:paraId="73A82756" w14:textId="77777777" w:rsidTr="008A3369">
        <w:trPr>
          <w:trHeight w:val="276"/>
          <w:jc w:val="center"/>
        </w:trPr>
        <w:tc>
          <w:tcPr>
            <w:tcW w:w="1284" w:type="dxa"/>
          </w:tcPr>
          <w:p w14:paraId="62AC4E4E"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lastRenderedPageBreak/>
              <w:t>Tria-34</w:t>
            </w:r>
          </w:p>
        </w:tc>
        <w:tc>
          <w:tcPr>
            <w:tcW w:w="1134" w:type="dxa"/>
          </w:tcPr>
          <w:p w14:paraId="0745043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382.48</w:t>
            </w:r>
          </w:p>
        </w:tc>
        <w:tc>
          <w:tcPr>
            <w:tcW w:w="1275" w:type="dxa"/>
          </w:tcPr>
          <w:p w14:paraId="7DBF91C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3949BE9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D22762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E1BD6A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5D07147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4.15</w:t>
            </w:r>
          </w:p>
        </w:tc>
      </w:tr>
      <w:tr w:rsidR="008A3369" w:rsidRPr="008A3369" w14:paraId="200CDE9B" w14:textId="77777777" w:rsidTr="008A3369">
        <w:trPr>
          <w:trHeight w:val="276"/>
          <w:jc w:val="center"/>
        </w:trPr>
        <w:tc>
          <w:tcPr>
            <w:tcW w:w="1284" w:type="dxa"/>
          </w:tcPr>
          <w:p w14:paraId="14FA0ADA"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Tria-35</w:t>
            </w:r>
          </w:p>
        </w:tc>
        <w:tc>
          <w:tcPr>
            <w:tcW w:w="1134" w:type="dxa"/>
          </w:tcPr>
          <w:p w14:paraId="577F035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382.48</w:t>
            </w:r>
          </w:p>
        </w:tc>
        <w:tc>
          <w:tcPr>
            <w:tcW w:w="1275" w:type="dxa"/>
          </w:tcPr>
          <w:p w14:paraId="3EB1138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A45F3F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8ADE64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267586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276" w:type="dxa"/>
          </w:tcPr>
          <w:p w14:paraId="71B74CD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3.45</w:t>
            </w:r>
          </w:p>
        </w:tc>
      </w:tr>
      <w:bookmarkEnd w:id="2"/>
    </w:tbl>
    <w:p w14:paraId="6354B715" w14:textId="77777777" w:rsidR="008A3369" w:rsidRDefault="008A3369" w:rsidP="008A3369">
      <w:pPr>
        <w:rPr>
          <w:lang w:val="en-IN"/>
        </w:rPr>
      </w:pPr>
    </w:p>
    <w:p w14:paraId="43DC1811" w14:textId="77777777" w:rsidR="008A3369" w:rsidRPr="008A3369" w:rsidRDefault="008A3369" w:rsidP="008A3369">
      <w:pPr>
        <w:pStyle w:val="Heading1"/>
        <w:spacing w:after="240"/>
        <w:rPr>
          <w:sz w:val="22"/>
          <w:szCs w:val="22"/>
        </w:rPr>
      </w:pPr>
      <w:r w:rsidRPr="008A3369">
        <w:rPr>
          <w:sz w:val="22"/>
          <w:szCs w:val="22"/>
        </w:rPr>
        <w:t>Docking studies</w:t>
      </w:r>
    </w:p>
    <w:p w14:paraId="6D942B59" w14:textId="77777777" w:rsidR="008A3369" w:rsidRPr="008A3369" w:rsidRDefault="008A3369" w:rsidP="008A3369">
      <w:pPr>
        <w:pStyle w:val="BodyText"/>
        <w:jc w:val="both"/>
        <w:rPr>
          <w:rFonts w:ascii="Arial" w:hAnsi="Arial" w:cs="Arial"/>
        </w:rPr>
      </w:pPr>
      <w:r w:rsidRPr="008A3369">
        <w:rPr>
          <w:rFonts w:ascii="Arial" w:hAnsi="Arial" w:cs="Arial"/>
        </w:rPr>
        <w:t xml:space="preserve">In the present study, virtual screening was carried out on 35 eugenol–triazole derivatives designed using ChemDraw Professional, and their binding affinities were evaluated against selected breast cancer–related protein targets </w:t>
      </w:r>
      <w:r w:rsidRPr="007A1E29">
        <w:rPr>
          <w:rFonts w:ascii="Arial" w:hAnsi="Arial" w:cs="Arial"/>
          <w:vertAlign w:val="superscript"/>
        </w:rPr>
        <w:t>[41]</w:t>
      </w:r>
      <w:r w:rsidRPr="008A3369">
        <w:rPr>
          <w:rFonts w:ascii="Arial" w:hAnsi="Arial" w:cs="Arial"/>
        </w:rPr>
        <w:t>. The primary therapeutic targets included human estrogen receptor alpha (ERα), progesterone receptor (PR), epidermal growth factor receptor (EGFR), phosphatidylinositol 3-kinase (PI3K), and mammalian target of rapamycin (mTOR). The prepared ligands were docked into the active sites of each target protein using Schrödinger Maestro, with grid box dimensions fixed at 10 × 10 × 10 Å along the x, y, and z axes. Standard anticancer drugs doxorubicin, erlotinib, letrozole, gefitinib, progesterone, tamoxifen, and fulvestrant were used as reference compounds for comparative analysis. Binding affinity energies were calculated, and the docking results of eugenol–triazole derivatives exhibiting hydrogen-bond interactions comparable to those of the co-crystallized ligands in the respective protein structures (PDB IDs) are summarized in Table 2.</w:t>
      </w:r>
    </w:p>
    <w:p w14:paraId="2EE8BC0B" w14:textId="77777777" w:rsidR="008A3369" w:rsidRDefault="008A3369" w:rsidP="008A3369">
      <w:pPr>
        <w:rPr>
          <w:lang w:val="en-IN"/>
        </w:rPr>
      </w:pPr>
    </w:p>
    <w:p w14:paraId="2FD532D3" w14:textId="71CD6518" w:rsidR="008A3369" w:rsidRPr="008A3369" w:rsidRDefault="008A3369" w:rsidP="008A3369">
      <w:pPr>
        <w:pStyle w:val="BodyText"/>
        <w:jc w:val="center"/>
        <w:rPr>
          <w:rFonts w:ascii="Arial" w:hAnsi="Arial" w:cs="Arial"/>
          <w:b/>
          <w:bCs/>
        </w:rPr>
      </w:pPr>
      <w:r w:rsidRPr="008A3369">
        <w:rPr>
          <w:rFonts w:ascii="Arial" w:hAnsi="Arial" w:cs="Arial"/>
          <w:b/>
          <w:bCs/>
        </w:rPr>
        <w:t>Table 2</w:t>
      </w:r>
      <w:r>
        <w:rPr>
          <w:rFonts w:ascii="Arial" w:hAnsi="Arial" w:cs="Arial"/>
          <w:b/>
          <w:bCs/>
        </w:rPr>
        <w:t>.</w:t>
      </w:r>
      <w:r w:rsidRPr="008A3369">
        <w:rPr>
          <w:rFonts w:ascii="Arial" w:hAnsi="Arial" w:cs="Arial"/>
          <w:b/>
          <w:bCs/>
        </w:rPr>
        <w:t xml:space="preserve"> List docking scores and its interactions</w:t>
      </w:r>
    </w:p>
    <w:p w14:paraId="4025E96B" w14:textId="77777777" w:rsidR="008A3369" w:rsidRDefault="008A3369" w:rsidP="008A3369">
      <w:pPr>
        <w:rPr>
          <w:lang w:val="en-IN"/>
        </w:rPr>
      </w:pPr>
    </w:p>
    <w:tbl>
      <w:tblPr>
        <w:tblW w:w="8048" w:type="dxa"/>
        <w:tblInd w:w="108" w:type="dxa"/>
        <w:tblLook w:val="04A0" w:firstRow="1" w:lastRow="0" w:firstColumn="1" w:lastColumn="0" w:noHBand="0" w:noVBand="1"/>
      </w:tblPr>
      <w:tblGrid>
        <w:gridCol w:w="965"/>
        <w:gridCol w:w="626"/>
        <w:gridCol w:w="2285"/>
        <w:gridCol w:w="1056"/>
        <w:gridCol w:w="3158"/>
      </w:tblGrid>
      <w:tr w:rsidR="002A4188" w:rsidRPr="008A3369" w14:paraId="3FF5A239" w14:textId="77777777" w:rsidTr="00F82095">
        <w:trPr>
          <w:trHeight w:val="269"/>
        </w:trPr>
        <w:tc>
          <w:tcPr>
            <w:tcW w:w="937" w:type="dxa"/>
            <w:tcBorders>
              <w:top w:val="single" w:sz="4" w:space="0" w:color="auto"/>
              <w:left w:val="single" w:sz="4" w:space="0" w:color="auto"/>
              <w:bottom w:val="single" w:sz="4" w:space="0" w:color="auto"/>
              <w:right w:val="single" w:sz="4" w:space="0" w:color="auto"/>
            </w:tcBorders>
            <w:noWrap/>
            <w:vAlign w:val="bottom"/>
            <w:hideMark/>
          </w:tcPr>
          <w:p w14:paraId="3CF00FBE" w14:textId="77777777" w:rsidR="008A3369" w:rsidRPr="008A3369" w:rsidRDefault="008A3369" w:rsidP="00077160">
            <w:pPr>
              <w:jc w:val="center"/>
              <w:rPr>
                <w:rFonts w:ascii="Arial" w:hAnsi="Arial" w:cs="Arial"/>
                <w:b/>
                <w:bCs/>
                <w:lang w:val="en-IN"/>
              </w:rPr>
            </w:pPr>
            <w:bookmarkStart w:id="3" w:name="_Hlk218597172"/>
            <w:r w:rsidRPr="008A3369">
              <w:rPr>
                <w:rFonts w:ascii="Arial" w:hAnsi="Arial" w:cs="Arial"/>
                <w:b/>
                <w:bCs/>
                <w:lang w:val="en-IN"/>
              </w:rPr>
              <w:t>PDB ID</w:t>
            </w:r>
          </w:p>
        </w:tc>
        <w:tc>
          <w:tcPr>
            <w:tcW w:w="655" w:type="dxa"/>
            <w:tcBorders>
              <w:top w:val="single" w:sz="4" w:space="0" w:color="auto"/>
              <w:left w:val="nil"/>
              <w:bottom w:val="single" w:sz="4" w:space="0" w:color="auto"/>
              <w:right w:val="single" w:sz="4" w:space="0" w:color="auto"/>
            </w:tcBorders>
            <w:noWrap/>
            <w:vAlign w:val="bottom"/>
            <w:hideMark/>
          </w:tcPr>
          <w:p w14:paraId="6098BE5E"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S. No</w:t>
            </w:r>
          </w:p>
        </w:tc>
        <w:tc>
          <w:tcPr>
            <w:tcW w:w="2240" w:type="dxa"/>
            <w:tcBorders>
              <w:top w:val="single" w:sz="4" w:space="0" w:color="auto"/>
              <w:left w:val="nil"/>
              <w:bottom w:val="single" w:sz="4" w:space="0" w:color="auto"/>
              <w:right w:val="single" w:sz="4" w:space="0" w:color="auto"/>
            </w:tcBorders>
            <w:noWrap/>
            <w:vAlign w:val="bottom"/>
            <w:hideMark/>
          </w:tcPr>
          <w:p w14:paraId="5ECC0DE3" w14:textId="135ACC2F" w:rsidR="008A3369" w:rsidRPr="008A3369" w:rsidRDefault="008A3369" w:rsidP="00077160">
            <w:pPr>
              <w:jc w:val="center"/>
              <w:rPr>
                <w:rFonts w:ascii="Arial" w:hAnsi="Arial" w:cs="Arial"/>
                <w:b/>
                <w:bCs/>
                <w:lang w:val="en-IN"/>
              </w:rPr>
            </w:pPr>
            <w:r w:rsidRPr="008A3369">
              <w:rPr>
                <w:rFonts w:ascii="Arial" w:hAnsi="Arial" w:cs="Arial"/>
                <w:b/>
                <w:bCs/>
                <w:lang w:val="en-IN"/>
              </w:rPr>
              <w:t xml:space="preserve">Compound </w:t>
            </w:r>
            <w:r w:rsidR="00077160">
              <w:rPr>
                <w:rFonts w:ascii="Arial" w:hAnsi="Arial" w:cs="Arial"/>
                <w:b/>
                <w:bCs/>
                <w:lang w:val="en-IN"/>
              </w:rPr>
              <w:t>name/code</w:t>
            </w:r>
          </w:p>
        </w:tc>
        <w:tc>
          <w:tcPr>
            <w:tcW w:w="1115" w:type="dxa"/>
            <w:tcBorders>
              <w:top w:val="single" w:sz="4" w:space="0" w:color="auto"/>
              <w:left w:val="nil"/>
              <w:bottom w:val="single" w:sz="4" w:space="0" w:color="auto"/>
              <w:right w:val="single" w:sz="4" w:space="0" w:color="auto"/>
            </w:tcBorders>
            <w:noWrap/>
            <w:vAlign w:val="bottom"/>
            <w:hideMark/>
          </w:tcPr>
          <w:p w14:paraId="553DB353"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Binding affinity (kcal/ mol)</w:t>
            </w:r>
          </w:p>
        </w:tc>
        <w:tc>
          <w:tcPr>
            <w:tcW w:w="3101" w:type="dxa"/>
            <w:tcBorders>
              <w:top w:val="single" w:sz="4" w:space="0" w:color="auto"/>
              <w:left w:val="nil"/>
              <w:bottom w:val="single" w:sz="4" w:space="0" w:color="auto"/>
              <w:right w:val="single" w:sz="4" w:space="0" w:color="auto"/>
            </w:tcBorders>
            <w:noWrap/>
            <w:vAlign w:val="bottom"/>
            <w:hideMark/>
          </w:tcPr>
          <w:p w14:paraId="3B156CA4"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H-Bonds</w:t>
            </w:r>
          </w:p>
        </w:tc>
      </w:tr>
      <w:tr w:rsidR="002A4188" w:rsidRPr="008A3369" w14:paraId="254954BD" w14:textId="77777777" w:rsidTr="00F82095">
        <w:trPr>
          <w:trHeight w:val="269"/>
        </w:trPr>
        <w:tc>
          <w:tcPr>
            <w:tcW w:w="937" w:type="dxa"/>
            <w:vMerge w:val="restart"/>
            <w:tcBorders>
              <w:top w:val="nil"/>
              <w:left w:val="single" w:sz="4" w:space="0" w:color="auto"/>
              <w:bottom w:val="single" w:sz="4" w:space="0" w:color="auto"/>
              <w:right w:val="single" w:sz="4" w:space="0" w:color="auto"/>
            </w:tcBorders>
            <w:vAlign w:val="center"/>
            <w:hideMark/>
          </w:tcPr>
          <w:p w14:paraId="4D5D4BF5" w14:textId="77777777" w:rsidR="008A3369" w:rsidRPr="008A3369" w:rsidRDefault="008A3369" w:rsidP="008A3369">
            <w:pPr>
              <w:rPr>
                <w:rFonts w:ascii="Arial" w:hAnsi="Arial" w:cs="Arial"/>
                <w:lang w:val="en-IN"/>
              </w:rPr>
            </w:pPr>
            <w:r w:rsidRPr="008A3369">
              <w:rPr>
                <w:rFonts w:ascii="Arial" w:hAnsi="Arial" w:cs="Arial"/>
                <w:lang w:val="en-IN"/>
              </w:rPr>
              <w:t>PDB ID:2IOG</w:t>
            </w:r>
          </w:p>
        </w:tc>
        <w:tc>
          <w:tcPr>
            <w:tcW w:w="655" w:type="dxa"/>
            <w:tcBorders>
              <w:top w:val="nil"/>
              <w:left w:val="nil"/>
              <w:bottom w:val="single" w:sz="4" w:space="0" w:color="auto"/>
              <w:right w:val="single" w:sz="4" w:space="0" w:color="auto"/>
            </w:tcBorders>
            <w:noWrap/>
            <w:vAlign w:val="bottom"/>
            <w:hideMark/>
          </w:tcPr>
          <w:p w14:paraId="0F37DB63"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6CE80F39" w14:textId="77777777" w:rsidR="008A3369" w:rsidRPr="008A3369" w:rsidRDefault="008A3369" w:rsidP="008A3369">
            <w:pPr>
              <w:rPr>
                <w:rFonts w:ascii="Arial" w:hAnsi="Arial" w:cs="Arial"/>
                <w:lang w:val="en-IN"/>
              </w:rPr>
            </w:pPr>
            <w:r w:rsidRPr="008A3369">
              <w:rPr>
                <w:rFonts w:ascii="Arial" w:hAnsi="Arial" w:cs="Arial"/>
                <w:lang w:val="en-IN"/>
              </w:rPr>
              <w:t>2-arylindole (co-crystal)</w:t>
            </w:r>
          </w:p>
        </w:tc>
        <w:tc>
          <w:tcPr>
            <w:tcW w:w="1115" w:type="dxa"/>
            <w:tcBorders>
              <w:top w:val="nil"/>
              <w:left w:val="nil"/>
              <w:bottom w:val="single" w:sz="4" w:space="0" w:color="auto"/>
              <w:right w:val="single" w:sz="4" w:space="0" w:color="auto"/>
            </w:tcBorders>
            <w:noWrap/>
            <w:vAlign w:val="bottom"/>
            <w:hideMark/>
          </w:tcPr>
          <w:p w14:paraId="1D9CE8A2" w14:textId="77777777" w:rsidR="008A3369" w:rsidRPr="008A3369" w:rsidRDefault="008A3369" w:rsidP="008A3369">
            <w:pPr>
              <w:rPr>
                <w:rFonts w:ascii="Arial" w:hAnsi="Arial" w:cs="Arial"/>
                <w:lang w:val="en-IN"/>
              </w:rPr>
            </w:pPr>
            <w:r w:rsidRPr="008A3369">
              <w:rPr>
                <w:rFonts w:ascii="Arial" w:hAnsi="Arial" w:cs="Arial"/>
                <w:lang w:val="en-IN"/>
              </w:rPr>
              <w:t>-13.922</w:t>
            </w:r>
          </w:p>
        </w:tc>
        <w:tc>
          <w:tcPr>
            <w:tcW w:w="3101" w:type="dxa"/>
            <w:tcBorders>
              <w:top w:val="nil"/>
              <w:left w:val="nil"/>
              <w:bottom w:val="single" w:sz="4" w:space="0" w:color="auto"/>
              <w:right w:val="single" w:sz="4" w:space="0" w:color="auto"/>
            </w:tcBorders>
            <w:noWrap/>
            <w:vAlign w:val="bottom"/>
            <w:hideMark/>
          </w:tcPr>
          <w:p w14:paraId="27954A1F" w14:textId="77777777" w:rsidR="008A3369" w:rsidRPr="008A3369" w:rsidRDefault="008A3369" w:rsidP="008A3369">
            <w:pPr>
              <w:rPr>
                <w:rFonts w:ascii="Arial" w:hAnsi="Arial" w:cs="Arial"/>
                <w:lang w:val="en-IN"/>
              </w:rPr>
            </w:pPr>
            <w:r w:rsidRPr="008A3369">
              <w:rPr>
                <w:rFonts w:ascii="Arial" w:hAnsi="Arial" w:cs="Arial"/>
                <w:lang w:val="en-IN"/>
              </w:rPr>
              <w:t>GLU</w:t>
            </w:r>
            <w:proofErr w:type="gramStart"/>
            <w:r w:rsidRPr="008A3369">
              <w:rPr>
                <w:rFonts w:ascii="Arial" w:hAnsi="Arial" w:cs="Arial"/>
                <w:lang w:val="en-IN"/>
              </w:rPr>
              <w:t>353,ARG</w:t>
            </w:r>
            <w:proofErr w:type="gramEnd"/>
            <w:r w:rsidRPr="008A3369">
              <w:rPr>
                <w:rFonts w:ascii="Arial" w:hAnsi="Arial" w:cs="Arial"/>
                <w:lang w:val="en-IN"/>
              </w:rPr>
              <w:t>394</w:t>
            </w:r>
          </w:p>
        </w:tc>
      </w:tr>
      <w:tr w:rsidR="002A4188" w:rsidRPr="008A3369" w14:paraId="4504CA6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944A976"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A25BC55"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04B6BFA8" w14:textId="77777777" w:rsidR="008A3369" w:rsidRPr="008A3369" w:rsidRDefault="008A3369" w:rsidP="008A3369">
            <w:pPr>
              <w:rPr>
                <w:rFonts w:ascii="Arial" w:hAnsi="Arial" w:cs="Arial"/>
                <w:lang w:val="en-IN"/>
              </w:rPr>
            </w:pPr>
            <w:r w:rsidRPr="008A3369">
              <w:rPr>
                <w:rFonts w:ascii="Arial" w:hAnsi="Arial" w:cs="Arial"/>
                <w:lang w:val="en-IN"/>
              </w:rPr>
              <w:t xml:space="preserve">4-hydroxytamoxifen </w:t>
            </w:r>
          </w:p>
        </w:tc>
        <w:tc>
          <w:tcPr>
            <w:tcW w:w="1115" w:type="dxa"/>
            <w:tcBorders>
              <w:top w:val="nil"/>
              <w:left w:val="nil"/>
              <w:bottom w:val="single" w:sz="4" w:space="0" w:color="auto"/>
              <w:right w:val="single" w:sz="4" w:space="0" w:color="auto"/>
            </w:tcBorders>
            <w:noWrap/>
            <w:vAlign w:val="bottom"/>
            <w:hideMark/>
          </w:tcPr>
          <w:p w14:paraId="71E33B0A" w14:textId="77777777" w:rsidR="008A3369" w:rsidRPr="008A3369" w:rsidRDefault="008A3369" w:rsidP="008A3369">
            <w:pPr>
              <w:rPr>
                <w:rFonts w:ascii="Arial" w:hAnsi="Arial" w:cs="Arial"/>
                <w:lang w:val="en-IN"/>
              </w:rPr>
            </w:pPr>
            <w:r w:rsidRPr="008A3369">
              <w:rPr>
                <w:rFonts w:ascii="Arial" w:hAnsi="Arial" w:cs="Arial"/>
                <w:lang w:val="en-IN"/>
              </w:rPr>
              <w:t>-11.736</w:t>
            </w:r>
          </w:p>
        </w:tc>
        <w:tc>
          <w:tcPr>
            <w:tcW w:w="3101" w:type="dxa"/>
            <w:tcBorders>
              <w:top w:val="nil"/>
              <w:left w:val="nil"/>
              <w:bottom w:val="single" w:sz="4" w:space="0" w:color="auto"/>
              <w:right w:val="single" w:sz="4" w:space="0" w:color="auto"/>
            </w:tcBorders>
            <w:noWrap/>
            <w:vAlign w:val="bottom"/>
            <w:hideMark/>
          </w:tcPr>
          <w:p w14:paraId="355CD283" w14:textId="77777777" w:rsidR="008A3369" w:rsidRPr="008A3369" w:rsidRDefault="008A3369" w:rsidP="008A3369">
            <w:pPr>
              <w:rPr>
                <w:rFonts w:ascii="Arial" w:hAnsi="Arial" w:cs="Arial"/>
                <w:lang w:val="en-IN"/>
              </w:rPr>
            </w:pPr>
            <w:r w:rsidRPr="008A3369">
              <w:rPr>
                <w:rFonts w:ascii="Arial" w:hAnsi="Arial" w:cs="Arial"/>
                <w:lang w:val="en-IN"/>
              </w:rPr>
              <w:t>ASP</w:t>
            </w:r>
            <w:proofErr w:type="gramStart"/>
            <w:r w:rsidRPr="008A3369">
              <w:rPr>
                <w:rFonts w:ascii="Arial" w:hAnsi="Arial" w:cs="Arial"/>
                <w:lang w:val="en-IN"/>
              </w:rPr>
              <w:t>351,GLU</w:t>
            </w:r>
            <w:proofErr w:type="gramEnd"/>
            <w:r w:rsidRPr="008A3369">
              <w:rPr>
                <w:rFonts w:ascii="Arial" w:hAnsi="Arial" w:cs="Arial"/>
                <w:lang w:val="en-IN"/>
              </w:rPr>
              <w:t>353,ARG394</w:t>
            </w:r>
          </w:p>
        </w:tc>
      </w:tr>
      <w:tr w:rsidR="002A4188" w:rsidRPr="008A3369" w14:paraId="1BC00DF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3D49618"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D8F1306"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4D9B422" w14:textId="77777777" w:rsidR="008A3369" w:rsidRPr="008A3369" w:rsidRDefault="008A3369" w:rsidP="008A3369">
            <w:pPr>
              <w:rPr>
                <w:rFonts w:ascii="Arial" w:hAnsi="Arial" w:cs="Arial"/>
                <w:lang w:val="en-IN"/>
              </w:rPr>
            </w:pPr>
            <w:proofErr w:type="spellStart"/>
            <w:r w:rsidRPr="008A3369">
              <w:rPr>
                <w:rFonts w:ascii="Arial" w:hAnsi="Arial" w:cs="Arial"/>
                <w:lang w:val="en-IN"/>
              </w:rPr>
              <w:t>Methylpiperidinopyrazole</w:t>
            </w:r>
            <w:proofErr w:type="spellEnd"/>
            <w:r w:rsidRPr="008A3369">
              <w:rPr>
                <w:rFonts w:ascii="Arial" w:hAnsi="Arial" w:cs="Arial"/>
                <w:lang w:val="en-IN"/>
              </w:rPr>
              <w:t xml:space="preserve"> </w:t>
            </w:r>
          </w:p>
        </w:tc>
        <w:tc>
          <w:tcPr>
            <w:tcW w:w="1115" w:type="dxa"/>
            <w:tcBorders>
              <w:top w:val="nil"/>
              <w:left w:val="nil"/>
              <w:bottom w:val="single" w:sz="4" w:space="0" w:color="auto"/>
              <w:right w:val="single" w:sz="4" w:space="0" w:color="auto"/>
            </w:tcBorders>
            <w:noWrap/>
            <w:vAlign w:val="bottom"/>
            <w:hideMark/>
          </w:tcPr>
          <w:p w14:paraId="4EE04601" w14:textId="77777777" w:rsidR="008A3369" w:rsidRPr="008A3369" w:rsidRDefault="008A3369" w:rsidP="008A3369">
            <w:pPr>
              <w:rPr>
                <w:rFonts w:ascii="Arial" w:hAnsi="Arial" w:cs="Arial"/>
                <w:lang w:val="en-IN"/>
              </w:rPr>
            </w:pPr>
            <w:r w:rsidRPr="008A3369">
              <w:rPr>
                <w:rFonts w:ascii="Arial" w:hAnsi="Arial" w:cs="Arial"/>
                <w:lang w:val="en-IN"/>
              </w:rPr>
              <w:t>-10.895</w:t>
            </w:r>
          </w:p>
        </w:tc>
        <w:tc>
          <w:tcPr>
            <w:tcW w:w="3101" w:type="dxa"/>
            <w:tcBorders>
              <w:top w:val="nil"/>
              <w:left w:val="nil"/>
              <w:bottom w:val="single" w:sz="4" w:space="0" w:color="auto"/>
              <w:right w:val="single" w:sz="4" w:space="0" w:color="auto"/>
            </w:tcBorders>
            <w:noWrap/>
            <w:vAlign w:val="bottom"/>
            <w:hideMark/>
          </w:tcPr>
          <w:p w14:paraId="0CEA8369" w14:textId="77777777" w:rsidR="008A3369" w:rsidRPr="008A3369" w:rsidRDefault="008A3369" w:rsidP="008A3369">
            <w:pPr>
              <w:rPr>
                <w:rFonts w:ascii="Arial" w:hAnsi="Arial" w:cs="Arial"/>
                <w:lang w:val="en-IN"/>
              </w:rPr>
            </w:pPr>
            <w:r w:rsidRPr="008A3369">
              <w:rPr>
                <w:rFonts w:ascii="Arial" w:hAnsi="Arial" w:cs="Arial"/>
                <w:lang w:val="en-IN"/>
              </w:rPr>
              <w:t>ARG394</w:t>
            </w:r>
          </w:p>
        </w:tc>
      </w:tr>
      <w:tr w:rsidR="002A4188" w:rsidRPr="008A3369" w14:paraId="29816CE9"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1E486C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712AC00"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125D4894" w14:textId="77777777" w:rsidR="008A3369" w:rsidRPr="008A3369" w:rsidRDefault="008A3369" w:rsidP="008A3369">
            <w:pPr>
              <w:rPr>
                <w:rFonts w:ascii="Arial" w:hAnsi="Arial" w:cs="Arial"/>
                <w:lang w:val="en-IN"/>
              </w:rPr>
            </w:pPr>
            <w:r w:rsidRPr="008A3369">
              <w:rPr>
                <w:rFonts w:ascii="Arial" w:hAnsi="Arial" w:cs="Arial"/>
                <w:lang w:val="en-IN"/>
              </w:rPr>
              <w:t xml:space="preserve">Letrozole </w:t>
            </w:r>
          </w:p>
        </w:tc>
        <w:tc>
          <w:tcPr>
            <w:tcW w:w="1115" w:type="dxa"/>
            <w:tcBorders>
              <w:top w:val="nil"/>
              <w:left w:val="nil"/>
              <w:bottom w:val="single" w:sz="4" w:space="0" w:color="auto"/>
              <w:right w:val="single" w:sz="4" w:space="0" w:color="auto"/>
            </w:tcBorders>
            <w:noWrap/>
            <w:vAlign w:val="bottom"/>
            <w:hideMark/>
          </w:tcPr>
          <w:p w14:paraId="1FB621AC" w14:textId="77777777" w:rsidR="008A3369" w:rsidRPr="008A3369" w:rsidRDefault="008A3369" w:rsidP="008A3369">
            <w:pPr>
              <w:rPr>
                <w:rFonts w:ascii="Arial" w:hAnsi="Arial" w:cs="Arial"/>
                <w:lang w:val="en-IN"/>
              </w:rPr>
            </w:pPr>
            <w:r w:rsidRPr="008A3369">
              <w:rPr>
                <w:rFonts w:ascii="Arial" w:hAnsi="Arial" w:cs="Arial"/>
                <w:lang w:val="en-IN"/>
              </w:rPr>
              <w:t>-9.072</w:t>
            </w:r>
          </w:p>
        </w:tc>
        <w:tc>
          <w:tcPr>
            <w:tcW w:w="3101" w:type="dxa"/>
            <w:tcBorders>
              <w:top w:val="nil"/>
              <w:left w:val="nil"/>
              <w:bottom w:val="single" w:sz="4" w:space="0" w:color="auto"/>
              <w:right w:val="single" w:sz="4" w:space="0" w:color="auto"/>
            </w:tcBorders>
            <w:noWrap/>
            <w:vAlign w:val="bottom"/>
            <w:hideMark/>
          </w:tcPr>
          <w:p w14:paraId="29367709" w14:textId="77777777" w:rsidR="008A3369" w:rsidRPr="008A3369" w:rsidRDefault="008A3369" w:rsidP="008A3369">
            <w:pPr>
              <w:rPr>
                <w:rFonts w:ascii="Arial" w:hAnsi="Arial" w:cs="Arial"/>
                <w:lang w:val="en-IN"/>
              </w:rPr>
            </w:pPr>
            <w:r w:rsidRPr="008A3369">
              <w:rPr>
                <w:rFonts w:ascii="Arial" w:hAnsi="Arial" w:cs="Arial"/>
                <w:lang w:val="en-IN"/>
              </w:rPr>
              <w:t>ARG</w:t>
            </w:r>
            <w:proofErr w:type="gramStart"/>
            <w:r w:rsidRPr="008A3369">
              <w:rPr>
                <w:rFonts w:ascii="Arial" w:hAnsi="Arial" w:cs="Arial"/>
                <w:lang w:val="en-IN"/>
              </w:rPr>
              <w:t>394,LYS</w:t>
            </w:r>
            <w:proofErr w:type="gramEnd"/>
            <w:r w:rsidRPr="008A3369">
              <w:rPr>
                <w:rFonts w:ascii="Arial" w:hAnsi="Arial" w:cs="Arial"/>
                <w:lang w:val="en-IN"/>
              </w:rPr>
              <w:t>531</w:t>
            </w:r>
          </w:p>
        </w:tc>
      </w:tr>
      <w:tr w:rsidR="002A4188" w:rsidRPr="008A3369" w14:paraId="362D8682"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53BFBE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93C0E9B"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20093EE8" w14:textId="77777777" w:rsidR="008A3369" w:rsidRPr="008A3369" w:rsidRDefault="008A3369" w:rsidP="008A3369">
            <w:pPr>
              <w:rPr>
                <w:rFonts w:ascii="Arial" w:hAnsi="Arial" w:cs="Arial"/>
                <w:lang w:val="en-IN"/>
              </w:rPr>
            </w:pPr>
            <w:r w:rsidRPr="008A3369">
              <w:rPr>
                <w:rFonts w:ascii="Arial" w:hAnsi="Arial" w:cs="Arial"/>
                <w:lang w:val="en-IN"/>
              </w:rPr>
              <w:t>Fulvestrant</w:t>
            </w:r>
          </w:p>
        </w:tc>
        <w:tc>
          <w:tcPr>
            <w:tcW w:w="1115" w:type="dxa"/>
            <w:tcBorders>
              <w:top w:val="nil"/>
              <w:left w:val="nil"/>
              <w:bottom w:val="single" w:sz="4" w:space="0" w:color="auto"/>
              <w:right w:val="single" w:sz="4" w:space="0" w:color="auto"/>
            </w:tcBorders>
            <w:noWrap/>
            <w:vAlign w:val="bottom"/>
            <w:hideMark/>
          </w:tcPr>
          <w:p w14:paraId="1DBF01A8" w14:textId="77777777" w:rsidR="008A3369" w:rsidRPr="008A3369" w:rsidRDefault="008A3369" w:rsidP="008A3369">
            <w:pPr>
              <w:rPr>
                <w:rFonts w:ascii="Arial" w:hAnsi="Arial" w:cs="Arial"/>
                <w:lang w:val="en-IN"/>
              </w:rPr>
            </w:pPr>
            <w:r w:rsidRPr="008A3369">
              <w:rPr>
                <w:rFonts w:ascii="Arial" w:hAnsi="Arial" w:cs="Arial"/>
                <w:lang w:val="en-IN"/>
              </w:rPr>
              <w:t>-10.903</w:t>
            </w:r>
          </w:p>
        </w:tc>
        <w:tc>
          <w:tcPr>
            <w:tcW w:w="3101" w:type="dxa"/>
            <w:tcBorders>
              <w:top w:val="nil"/>
              <w:left w:val="nil"/>
              <w:bottom w:val="single" w:sz="4" w:space="0" w:color="auto"/>
              <w:right w:val="single" w:sz="4" w:space="0" w:color="auto"/>
            </w:tcBorders>
            <w:noWrap/>
            <w:vAlign w:val="bottom"/>
            <w:hideMark/>
          </w:tcPr>
          <w:p w14:paraId="43AF466C" w14:textId="77777777" w:rsidR="008A3369" w:rsidRPr="008A3369" w:rsidRDefault="008A3369" w:rsidP="008A3369">
            <w:pPr>
              <w:rPr>
                <w:rFonts w:ascii="Arial" w:hAnsi="Arial" w:cs="Arial"/>
                <w:lang w:val="en-IN"/>
              </w:rPr>
            </w:pPr>
            <w:r w:rsidRPr="008A3369">
              <w:rPr>
                <w:rFonts w:ascii="Arial" w:hAnsi="Arial" w:cs="Arial"/>
                <w:lang w:val="en-IN"/>
              </w:rPr>
              <w:t>LEU</w:t>
            </w:r>
            <w:proofErr w:type="gramStart"/>
            <w:r w:rsidRPr="008A3369">
              <w:rPr>
                <w:rFonts w:ascii="Arial" w:hAnsi="Arial" w:cs="Arial"/>
                <w:lang w:val="en-IN"/>
              </w:rPr>
              <w:t>387,LEU</w:t>
            </w:r>
            <w:proofErr w:type="gramEnd"/>
            <w:r w:rsidRPr="008A3369">
              <w:rPr>
                <w:rFonts w:ascii="Arial" w:hAnsi="Arial" w:cs="Arial"/>
                <w:lang w:val="en-IN"/>
              </w:rPr>
              <w:t>536</w:t>
            </w:r>
          </w:p>
        </w:tc>
      </w:tr>
      <w:tr w:rsidR="002A4188" w:rsidRPr="008A3369" w14:paraId="7294B8EB"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B8E0AF0"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3464744"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1A28F0BE"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2FA87839" w14:textId="77777777" w:rsidR="008A3369" w:rsidRPr="008A3369" w:rsidRDefault="008A3369" w:rsidP="008A3369">
            <w:pPr>
              <w:rPr>
                <w:rFonts w:ascii="Arial" w:hAnsi="Arial" w:cs="Arial"/>
                <w:lang w:val="en-IN"/>
              </w:rPr>
            </w:pPr>
            <w:r w:rsidRPr="008A3369">
              <w:rPr>
                <w:rFonts w:ascii="Arial" w:hAnsi="Arial" w:cs="Arial"/>
                <w:lang w:val="en-IN"/>
              </w:rPr>
              <w:t>-6.116</w:t>
            </w:r>
          </w:p>
        </w:tc>
        <w:tc>
          <w:tcPr>
            <w:tcW w:w="3101" w:type="dxa"/>
            <w:tcBorders>
              <w:top w:val="nil"/>
              <w:left w:val="nil"/>
              <w:bottom w:val="single" w:sz="4" w:space="0" w:color="auto"/>
              <w:right w:val="single" w:sz="4" w:space="0" w:color="auto"/>
            </w:tcBorders>
            <w:noWrap/>
            <w:vAlign w:val="bottom"/>
            <w:hideMark/>
          </w:tcPr>
          <w:p w14:paraId="6D18FC52" w14:textId="77777777" w:rsidR="008A3369" w:rsidRPr="008A3369" w:rsidRDefault="008A3369" w:rsidP="008A3369">
            <w:pPr>
              <w:rPr>
                <w:rFonts w:ascii="Arial" w:hAnsi="Arial" w:cs="Arial"/>
                <w:lang w:val="en-IN"/>
              </w:rPr>
            </w:pPr>
            <w:r w:rsidRPr="008A3369">
              <w:rPr>
                <w:rFonts w:ascii="Arial" w:hAnsi="Arial" w:cs="Arial"/>
                <w:lang w:val="en-IN"/>
              </w:rPr>
              <w:t>GLU</w:t>
            </w:r>
            <w:proofErr w:type="gramStart"/>
            <w:r w:rsidRPr="008A3369">
              <w:rPr>
                <w:rFonts w:ascii="Arial" w:hAnsi="Arial" w:cs="Arial"/>
                <w:lang w:val="en-IN"/>
              </w:rPr>
              <w:t>353,ARG</w:t>
            </w:r>
            <w:proofErr w:type="gramEnd"/>
            <w:r w:rsidRPr="008A3369">
              <w:rPr>
                <w:rFonts w:ascii="Arial" w:hAnsi="Arial" w:cs="Arial"/>
                <w:lang w:val="en-IN"/>
              </w:rPr>
              <w:t>394</w:t>
            </w:r>
          </w:p>
        </w:tc>
      </w:tr>
      <w:tr w:rsidR="002A4188" w:rsidRPr="008A3369" w14:paraId="22C42C6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4E86F53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A7979AC"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113D94A7" w14:textId="77777777" w:rsidR="008A3369" w:rsidRPr="008A3369" w:rsidRDefault="008A3369" w:rsidP="008A3369">
            <w:pPr>
              <w:rPr>
                <w:rFonts w:ascii="Arial" w:hAnsi="Arial" w:cs="Arial"/>
                <w:lang w:val="en-IN"/>
              </w:rPr>
            </w:pPr>
            <w:r w:rsidRPr="008A3369">
              <w:rPr>
                <w:rFonts w:ascii="Arial" w:hAnsi="Arial" w:cs="Arial"/>
                <w:lang w:val="en-IN"/>
              </w:rPr>
              <w:t>Tria-23</w:t>
            </w:r>
          </w:p>
        </w:tc>
        <w:tc>
          <w:tcPr>
            <w:tcW w:w="1115" w:type="dxa"/>
            <w:tcBorders>
              <w:top w:val="nil"/>
              <w:left w:val="nil"/>
              <w:bottom w:val="single" w:sz="4" w:space="0" w:color="auto"/>
              <w:right w:val="single" w:sz="4" w:space="0" w:color="auto"/>
            </w:tcBorders>
            <w:noWrap/>
            <w:vAlign w:val="bottom"/>
            <w:hideMark/>
          </w:tcPr>
          <w:p w14:paraId="027C83FE" w14:textId="77777777" w:rsidR="008A3369" w:rsidRPr="008A3369" w:rsidRDefault="008A3369" w:rsidP="008A3369">
            <w:pPr>
              <w:rPr>
                <w:rFonts w:ascii="Arial" w:hAnsi="Arial" w:cs="Arial"/>
                <w:lang w:val="en-IN"/>
              </w:rPr>
            </w:pPr>
            <w:r w:rsidRPr="008A3369">
              <w:rPr>
                <w:rFonts w:ascii="Arial" w:hAnsi="Arial" w:cs="Arial"/>
                <w:lang w:val="en-IN"/>
              </w:rPr>
              <w:t>-10.102</w:t>
            </w:r>
          </w:p>
        </w:tc>
        <w:tc>
          <w:tcPr>
            <w:tcW w:w="3101" w:type="dxa"/>
            <w:tcBorders>
              <w:top w:val="nil"/>
              <w:left w:val="nil"/>
              <w:bottom w:val="single" w:sz="4" w:space="0" w:color="auto"/>
              <w:right w:val="single" w:sz="4" w:space="0" w:color="auto"/>
            </w:tcBorders>
            <w:noWrap/>
            <w:vAlign w:val="bottom"/>
            <w:hideMark/>
          </w:tcPr>
          <w:p w14:paraId="7DE05906" w14:textId="77777777" w:rsidR="008A3369" w:rsidRPr="008A3369" w:rsidRDefault="008A3369" w:rsidP="008A3369">
            <w:pPr>
              <w:rPr>
                <w:rFonts w:ascii="Arial" w:hAnsi="Arial" w:cs="Arial"/>
                <w:lang w:val="en-IN"/>
              </w:rPr>
            </w:pPr>
            <w:r w:rsidRPr="008A3369">
              <w:rPr>
                <w:rFonts w:ascii="Arial" w:hAnsi="Arial" w:cs="Arial"/>
                <w:lang w:val="en-IN"/>
              </w:rPr>
              <w:t>GLU</w:t>
            </w:r>
            <w:proofErr w:type="gramStart"/>
            <w:r w:rsidRPr="008A3369">
              <w:rPr>
                <w:rFonts w:ascii="Arial" w:hAnsi="Arial" w:cs="Arial"/>
                <w:lang w:val="en-IN"/>
              </w:rPr>
              <w:t>353,ARG</w:t>
            </w:r>
            <w:proofErr w:type="gramEnd"/>
            <w:r w:rsidRPr="008A3369">
              <w:rPr>
                <w:rFonts w:ascii="Arial" w:hAnsi="Arial" w:cs="Arial"/>
                <w:lang w:val="en-IN"/>
              </w:rPr>
              <w:t>394</w:t>
            </w:r>
          </w:p>
        </w:tc>
      </w:tr>
      <w:tr w:rsidR="002A4188" w:rsidRPr="008A3369" w14:paraId="1D92923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AE82124"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64C44FD" w14:textId="77777777" w:rsidR="008A3369" w:rsidRPr="008A3369" w:rsidRDefault="008A3369" w:rsidP="008A3369">
            <w:pPr>
              <w:rPr>
                <w:rFonts w:ascii="Arial" w:hAnsi="Arial" w:cs="Arial"/>
                <w:lang w:val="en-IN"/>
              </w:rPr>
            </w:pPr>
            <w:r w:rsidRPr="008A3369">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06FF4866" w14:textId="77777777" w:rsidR="008A3369" w:rsidRPr="008A3369" w:rsidRDefault="008A3369" w:rsidP="008A3369">
            <w:pPr>
              <w:rPr>
                <w:rFonts w:ascii="Arial" w:hAnsi="Arial" w:cs="Arial"/>
                <w:lang w:val="en-IN"/>
              </w:rPr>
            </w:pPr>
            <w:r w:rsidRPr="008A3369">
              <w:rPr>
                <w:rFonts w:ascii="Arial" w:hAnsi="Arial" w:cs="Arial"/>
                <w:lang w:val="en-IN"/>
              </w:rPr>
              <w:t>Tria-28</w:t>
            </w:r>
          </w:p>
        </w:tc>
        <w:tc>
          <w:tcPr>
            <w:tcW w:w="1115" w:type="dxa"/>
            <w:tcBorders>
              <w:top w:val="nil"/>
              <w:left w:val="nil"/>
              <w:bottom w:val="single" w:sz="4" w:space="0" w:color="auto"/>
              <w:right w:val="single" w:sz="4" w:space="0" w:color="auto"/>
            </w:tcBorders>
            <w:noWrap/>
            <w:vAlign w:val="bottom"/>
            <w:hideMark/>
          </w:tcPr>
          <w:p w14:paraId="0A892429" w14:textId="77777777" w:rsidR="008A3369" w:rsidRPr="008A3369" w:rsidRDefault="008A3369" w:rsidP="008A3369">
            <w:pPr>
              <w:rPr>
                <w:rFonts w:ascii="Arial" w:hAnsi="Arial" w:cs="Arial"/>
                <w:lang w:val="en-IN"/>
              </w:rPr>
            </w:pPr>
            <w:r w:rsidRPr="008A3369">
              <w:rPr>
                <w:rFonts w:ascii="Arial" w:hAnsi="Arial" w:cs="Arial"/>
                <w:lang w:val="en-IN"/>
              </w:rPr>
              <w:t>-9.347</w:t>
            </w:r>
          </w:p>
        </w:tc>
        <w:tc>
          <w:tcPr>
            <w:tcW w:w="3101" w:type="dxa"/>
            <w:tcBorders>
              <w:top w:val="nil"/>
              <w:left w:val="nil"/>
              <w:bottom w:val="single" w:sz="4" w:space="0" w:color="auto"/>
              <w:right w:val="single" w:sz="4" w:space="0" w:color="auto"/>
            </w:tcBorders>
            <w:noWrap/>
            <w:vAlign w:val="bottom"/>
            <w:hideMark/>
          </w:tcPr>
          <w:p w14:paraId="4A3CE7B9" w14:textId="77777777" w:rsidR="008A3369" w:rsidRPr="008A3369" w:rsidRDefault="008A3369" w:rsidP="008A3369">
            <w:pPr>
              <w:rPr>
                <w:rFonts w:ascii="Arial" w:hAnsi="Arial" w:cs="Arial"/>
                <w:lang w:val="en-IN"/>
              </w:rPr>
            </w:pPr>
            <w:r w:rsidRPr="008A3369">
              <w:rPr>
                <w:rFonts w:ascii="Arial" w:hAnsi="Arial" w:cs="Arial"/>
                <w:lang w:val="en-IN"/>
              </w:rPr>
              <w:t>GLU353</w:t>
            </w:r>
          </w:p>
        </w:tc>
      </w:tr>
      <w:tr w:rsidR="002A4188" w:rsidRPr="008A3369" w14:paraId="769500F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AFFA13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BD9A4E2" w14:textId="77777777" w:rsidR="008A3369" w:rsidRPr="008A3369" w:rsidRDefault="008A3369" w:rsidP="008A3369">
            <w:pPr>
              <w:rPr>
                <w:rFonts w:ascii="Arial" w:hAnsi="Arial" w:cs="Arial"/>
                <w:lang w:val="en-IN"/>
              </w:rPr>
            </w:pPr>
            <w:r w:rsidRPr="008A3369">
              <w:rPr>
                <w:rFonts w:ascii="Arial" w:hAnsi="Arial" w:cs="Arial"/>
                <w:lang w:val="en-IN"/>
              </w:rPr>
              <w:t>9</w:t>
            </w:r>
          </w:p>
        </w:tc>
        <w:tc>
          <w:tcPr>
            <w:tcW w:w="2240" w:type="dxa"/>
            <w:tcBorders>
              <w:top w:val="nil"/>
              <w:left w:val="nil"/>
              <w:bottom w:val="single" w:sz="4" w:space="0" w:color="auto"/>
              <w:right w:val="single" w:sz="4" w:space="0" w:color="auto"/>
            </w:tcBorders>
            <w:noWrap/>
            <w:vAlign w:val="bottom"/>
            <w:hideMark/>
          </w:tcPr>
          <w:p w14:paraId="47975861"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142658C2" w14:textId="77777777" w:rsidR="008A3369" w:rsidRPr="008A3369" w:rsidRDefault="008A3369" w:rsidP="008A3369">
            <w:pPr>
              <w:rPr>
                <w:rFonts w:ascii="Arial" w:hAnsi="Arial" w:cs="Arial"/>
                <w:lang w:val="en-IN"/>
              </w:rPr>
            </w:pPr>
            <w:r w:rsidRPr="008A3369">
              <w:rPr>
                <w:rFonts w:ascii="Arial" w:hAnsi="Arial" w:cs="Arial"/>
                <w:lang w:val="en-IN"/>
              </w:rPr>
              <w:t>-9.057</w:t>
            </w:r>
          </w:p>
        </w:tc>
        <w:tc>
          <w:tcPr>
            <w:tcW w:w="3101" w:type="dxa"/>
            <w:tcBorders>
              <w:top w:val="nil"/>
              <w:left w:val="nil"/>
              <w:bottom w:val="single" w:sz="4" w:space="0" w:color="auto"/>
              <w:right w:val="single" w:sz="4" w:space="0" w:color="auto"/>
            </w:tcBorders>
            <w:noWrap/>
            <w:vAlign w:val="bottom"/>
            <w:hideMark/>
          </w:tcPr>
          <w:p w14:paraId="1E27C3F3" w14:textId="77777777" w:rsidR="008A3369" w:rsidRPr="008A3369" w:rsidRDefault="008A3369" w:rsidP="008A3369">
            <w:pPr>
              <w:rPr>
                <w:rFonts w:ascii="Arial" w:hAnsi="Arial" w:cs="Arial"/>
                <w:lang w:val="en-IN"/>
              </w:rPr>
            </w:pPr>
            <w:r w:rsidRPr="008A3369">
              <w:rPr>
                <w:rFonts w:ascii="Arial" w:hAnsi="Arial" w:cs="Arial"/>
                <w:lang w:val="en-IN"/>
              </w:rPr>
              <w:t>LEU</w:t>
            </w:r>
            <w:proofErr w:type="gramStart"/>
            <w:r w:rsidRPr="008A3369">
              <w:rPr>
                <w:rFonts w:ascii="Arial" w:hAnsi="Arial" w:cs="Arial"/>
                <w:lang w:val="en-IN"/>
              </w:rPr>
              <w:t>346,GLU</w:t>
            </w:r>
            <w:proofErr w:type="gramEnd"/>
            <w:r w:rsidRPr="008A3369">
              <w:rPr>
                <w:rFonts w:ascii="Arial" w:hAnsi="Arial" w:cs="Arial"/>
                <w:lang w:val="en-IN"/>
              </w:rPr>
              <w:t>353</w:t>
            </w:r>
          </w:p>
        </w:tc>
      </w:tr>
      <w:tr w:rsidR="002A4188" w:rsidRPr="008A3369" w14:paraId="220FBBDB" w14:textId="77777777" w:rsidTr="00F82095">
        <w:trPr>
          <w:trHeight w:val="269"/>
        </w:trPr>
        <w:tc>
          <w:tcPr>
            <w:tcW w:w="937" w:type="dxa"/>
            <w:vMerge w:val="restart"/>
            <w:tcBorders>
              <w:top w:val="nil"/>
              <w:left w:val="single" w:sz="4" w:space="0" w:color="auto"/>
              <w:bottom w:val="single" w:sz="4" w:space="0" w:color="auto"/>
              <w:right w:val="single" w:sz="4" w:space="0" w:color="auto"/>
            </w:tcBorders>
            <w:vAlign w:val="center"/>
            <w:hideMark/>
          </w:tcPr>
          <w:p w14:paraId="4D52ECB4" w14:textId="77777777" w:rsidR="008A3369" w:rsidRPr="008A3369" w:rsidRDefault="008A3369" w:rsidP="008A3369">
            <w:pPr>
              <w:rPr>
                <w:rFonts w:ascii="Arial" w:hAnsi="Arial" w:cs="Arial"/>
                <w:lang w:val="en-IN"/>
              </w:rPr>
            </w:pPr>
            <w:r w:rsidRPr="008A3369">
              <w:rPr>
                <w:rFonts w:ascii="Arial" w:hAnsi="Arial" w:cs="Arial"/>
                <w:lang w:val="en-IN"/>
              </w:rPr>
              <w:t>PDB ID:1SQN</w:t>
            </w:r>
          </w:p>
        </w:tc>
        <w:tc>
          <w:tcPr>
            <w:tcW w:w="655" w:type="dxa"/>
            <w:tcBorders>
              <w:top w:val="nil"/>
              <w:left w:val="nil"/>
              <w:bottom w:val="single" w:sz="4" w:space="0" w:color="auto"/>
              <w:right w:val="single" w:sz="4" w:space="0" w:color="auto"/>
            </w:tcBorders>
            <w:noWrap/>
            <w:vAlign w:val="bottom"/>
            <w:hideMark/>
          </w:tcPr>
          <w:p w14:paraId="014FA1AB"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66F9BC4A" w14:textId="77777777" w:rsidR="008A3369" w:rsidRPr="008A3369" w:rsidRDefault="008A3369" w:rsidP="008A3369">
            <w:pPr>
              <w:rPr>
                <w:rFonts w:ascii="Arial" w:hAnsi="Arial" w:cs="Arial"/>
                <w:lang w:val="en-IN"/>
              </w:rPr>
            </w:pPr>
            <w:r w:rsidRPr="008A3369">
              <w:rPr>
                <w:rFonts w:ascii="Arial" w:hAnsi="Arial" w:cs="Arial"/>
                <w:lang w:val="en-IN"/>
              </w:rPr>
              <w:t>NDR (co-crystal)</w:t>
            </w:r>
          </w:p>
        </w:tc>
        <w:tc>
          <w:tcPr>
            <w:tcW w:w="1115" w:type="dxa"/>
            <w:tcBorders>
              <w:top w:val="nil"/>
              <w:left w:val="nil"/>
              <w:bottom w:val="single" w:sz="4" w:space="0" w:color="auto"/>
              <w:right w:val="single" w:sz="4" w:space="0" w:color="auto"/>
            </w:tcBorders>
            <w:noWrap/>
            <w:vAlign w:val="bottom"/>
            <w:hideMark/>
          </w:tcPr>
          <w:p w14:paraId="15B9524E" w14:textId="77777777" w:rsidR="008A3369" w:rsidRPr="008A3369" w:rsidRDefault="008A3369" w:rsidP="008A3369">
            <w:pPr>
              <w:rPr>
                <w:rFonts w:ascii="Arial" w:hAnsi="Arial" w:cs="Arial"/>
                <w:lang w:val="en-IN"/>
              </w:rPr>
            </w:pPr>
            <w:r w:rsidRPr="008A3369">
              <w:rPr>
                <w:rFonts w:ascii="Arial" w:hAnsi="Arial" w:cs="Arial"/>
                <w:lang w:val="en-IN"/>
              </w:rPr>
              <w:t>-11.531</w:t>
            </w:r>
          </w:p>
        </w:tc>
        <w:tc>
          <w:tcPr>
            <w:tcW w:w="3101" w:type="dxa"/>
            <w:tcBorders>
              <w:top w:val="nil"/>
              <w:left w:val="nil"/>
              <w:bottom w:val="single" w:sz="4" w:space="0" w:color="auto"/>
              <w:right w:val="single" w:sz="4" w:space="0" w:color="auto"/>
            </w:tcBorders>
            <w:noWrap/>
            <w:vAlign w:val="bottom"/>
            <w:hideMark/>
          </w:tcPr>
          <w:p w14:paraId="01973D1A" w14:textId="77777777" w:rsidR="008A3369" w:rsidRPr="008A3369" w:rsidRDefault="008A3369" w:rsidP="008A3369">
            <w:pPr>
              <w:rPr>
                <w:rFonts w:ascii="Arial" w:hAnsi="Arial" w:cs="Arial"/>
                <w:lang w:val="en-IN"/>
              </w:rPr>
            </w:pPr>
            <w:r w:rsidRPr="008A3369">
              <w:rPr>
                <w:rFonts w:ascii="Arial" w:hAnsi="Arial" w:cs="Arial"/>
                <w:lang w:val="en-IN"/>
              </w:rPr>
              <w:t>GLN725</w:t>
            </w:r>
          </w:p>
        </w:tc>
      </w:tr>
      <w:tr w:rsidR="002A4188" w:rsidRPr="008A3369" w14:paraId="62C2E6D2"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0A676E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D2B9588"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2C1440E6" w14:textId="77777777" w:rsidR="008A3369" w:rsidRPr="008A3369" w:rsidRDefault="008A3369" w:rsidP="008A3369">
            <w:pPr>
              <w:rPr>
                <w:rFonts w:ascii="Arial" w:hAnsi="Arial" w:cs="Arial"/>
                <w:lang w:val="en-IN"/>
              </w:rPr>
            </w:pPr>
            <w:r w:rsidRPr="008A3369">
              <w:rPr>
                <w:rFonts w:ascii="Arial" w:hAnsi="Arial" w:cs="Arial"/>
                <w:lang w:val="en-IN"/>
              </w:rPr>
              <w:t>Progesterone</w:t>
            </w:r>
          </w:p>
        </w:tc>
        <w:tc>
          <w:tcPr>
            <w:tcW w:w="1115" w:type="dxa"/>
            <w:tcBorders>
              <w:top w:val="nil"/>
              <w:left w:val="nil"/>
              <w:bottom w:val="single" w:sz="4" w:space="0" w:color="auto"/>
              <w:right w:val="single" w:sz="4" w:space="0" w:color="auto"/>
            </w:tcBorders>
            <w:noWrap/>
            <w:vAlign w:val="bottom"/>
            <w:hideMark/>
          </w:tcPr>
          <w:p w14:paraId="200A7DC4" w14:textId="77777777" w:rsidR="008A3369" w:rsidRPr="008A3369" w:rsidRDefault="008A3369" w:rsidP="008A3369">
            <w:pPr>
              <w:rPr>
                <w:rFonts w:ascii="Arial" w:hAnsi="Arial" w:cs="Arial"/>
                <w:lang w:val="en-IN"/>
              </w:rPr>
            </w:pPr>
            <w:r w:rsidRPr="008A3369">
              <w:rPr>
                <w:rFonts w:ascii="Arial" w:hAnsi="Arial" w:cs="Arial"/>
                <w:lang w:val="en-IN"/>
              </w:rPr>
              <w:t>-10.893</w:t>
            </w:r>
          </w:p>
        </w:tc>
        <w:tc>
          <w:tcPr>
            <w:tcW w:w="3101" w:type="dxa"/>
            <w:tcBorders>
              <w:top w:val="nil"/>
              <w:left w:val="nil"/>
              <w:bottom w:val="single" w:sz="4" w:space="0" w:color="auto"/>
              <w:right w:val="single" w:sz="4" w:space="0" w:color="auto"/>
            </w:tcBorders>
            <w:noWrap/>
            <w:vAlign w:val="bottom"/>
            <w:hideMark/>
          </w:tcPr>
          <w:p w14:paraId="4D87833F" w14:textId="77777777" w:rsidR="008A3369" w:rsidRPr="008A3369" w:rsidRDefault="008A3369" w:rsidP="008A3369">
            <w:pPr>
              <w:rPr>
                <w:rFonts w:ascii="Arial" w:hAnsi="Arial" w:cs="Arial"/>
                <w:lang w:val="en-IN"/>
              </w:rPr>
            </w:pPr>
            <w:r w:rsidRPr="008A3369">
              <w:rPr>
                <w:rFonts w:ascii="Arial" w:hAnsi="Arial" w:cs="Arial"/>
                <w:lang w:val="en-IN"/>
              </w:rPr>
              <w:t>GLN725</w:t>
            </w:r>
          </w:p>
        </w:tc>
      </w:tr>
      <w:tr w:rsidR="002A4188" w:rsidRPr="008A3369" w14:paraId="57673E1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A1DE57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7F83A7B"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8E84206"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7139A2A3" w14:textId="77777777" w:rsidR="008A3369" w:rsidRPr="008A3369" w:rsidRDefault="008A3369" w:rsidP="008A3369">
            <w:pPr>
              <w:rPr>
                <w:rFonts w:ascii="Arial" w:hAnsi="Arial" w:cs="Arial"/>
                <w:lang w:val="en-IN"/>
              </w:rPr>
            </w:pPr>
            <w:r w:rsidRPr="008A3369">
              <w:rPr>
                <w:rFonts w:ascii="Arial" w:hAnsi="Arial" w:cs="Arial"/>
                <w:lang w:val="en-IN"/>
              </w:rPr>
              <w:t>-5.923</w:t>
            </w:r>
          </w:p>
        </w:tc>
        <w:tc>
          <w:tcPr>
            <w:tcW w:w="3101" w:type="dxa"/>
            <w:tcBorders>
              <w:top w:val="nil"/>
              <w:left w:val="nil"/>
              <w:bottom w:val="single" w:sz="4" w:space="0" w:color="auto"/>
              <w:right w:val="single" w:sz="4" w:space="0" w:color="auto"/>
            </w:tcBorders>
            <w:noWrap/>
            <w:vAlign w:val="bottom"/>
            <w:hideMark/>
          </w:tcPr>
          <w:p w14:paraId="4B214BD6" w14:textId="77777777" w:rsidR="008A3369" w:rsidRPr="008A3369" w:rsidRDefault="008A3369" w:rsidP="008A3369">
            <w:pPr>
              <w:rPr>
                <w:rFonts w:ascii="Arial" w:hAnsi="Arial" w:cs="Arial"/>
                <w:lang w:val="en-IN"/>
              </w:rPr>
            </w:pPr>
            <w:r w:rsidRPr="008A3369">
              <w:rPr>
                <w:rFonts w:ascii="Arial" w:hAnsi="Arial" w:cs="Arial"/>
                <w:lang w:val="en-IN"/>
              </w:rPr>
              <w:t>MET759</w:t>
            </w:r>
          </w:p>
        </w:tc>
      </w:tr>
      <w:tr w:rsidR="002A4188" w:rsidRPr="008A3369" w14:paraId="63FB68F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2EC4C62D"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DF3886F"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12C5ED3C" w14:textId="77777777" w:rsidR="008A3369" w:rsidRPr="008A3369" w:rsidRDefault="008A3369" w:rsidP="008A3369">
            <w:pPr>
              <w:rPr>
                <w:rFonts w:ascii="Arial" w:hAnsi="Arial" w:cs="Arial"/>
                <w:lang w:val="en-IN"/>
              </w:rPr>
            </w:pPr>
            <w:r w:rsidRPr="008A3369">
              <w:rPr>
                <w:rFonts w:ascii="Arial" w:hAnsi="Arial" w:cs="Arial"/>
                <w:lang w:val="en-IN"/>
              </w:rPr>
              <w:t>Tria-8</w:t>
            </w:r>
          </w:p>
        </w:tc>
        <w:tc>
          <w:tcPr>
            <w:tcW w:w="1115" w:type="dxa"/>
            <w:tcBorders>
              <w:top w:val="nil"/>
              <w:left w:val="nil"/>
              <w:bottom w:val="single" w:sz="4" w:space="0" w:color="auto"/>
              <w:right w:val="single" w:sz="4" w:space="0" w:color="auto"/>
            </w:tcBorders>
            <w:noWrap/>
            <w:vAlign w:val="bottom"/>
            <w:hideMark/>
          </w:tcPr>
          <w:p w14:paraId="4E2AC148" w14:textId="77777777" w:rsidR="008A3369" w:rsidRPr="008A3369" w:rsidRDefault="008A3369" w:rsidP="008A3369">
            <w:pPr>
              <w:rPr>
                <w:rFonts w:ascii="Arial" w:hAnsi="Arial" w:cs="Arial"/>
                <w:lang w:val="en-IN"/>
              </w:rPr>
            </w:pPr>
            <w:r w:rsidRPr="008A3369">
              <w:rPr>
                <w:rFonts w:ascii="Arial" w:hAnsi="Arial" w:cs="Arial"/>
                <w:lang w:val="en-IN"/>
              </w:rPr>
              <w:t>-8.976</w:t>
            </w:r>
          </w:p>
        </w:tc>
        <w:tc>
          <w:tcPr>
            <w:tcW w:w="3101" w:type="dxa"/>
            <w:tcBorders>
              <w:top w:val="nil"/>
              <w:left w:val="nil"/>
              <w:bottom w:val="single" w:sz="4" w:space="0" w:color="auto"/>
              <w:right w:val="single" w:sz="4" w:space="0" w:color="auto"/>
            </w:tcBorders>
            <w:noWrap/>
            <w:vAlign w:val="bottom"/>
            <w:hideMark/>
          </w:tcPr>
          <w:p w14:paraId="5945C09F" w14:textId="77777777" w:rsidR="008A3369" w:rsidRPr="008A3369" w:rsidRDefault="008A3369" w:rsidP="008A3369">
            <w:pPr>
              <w:rPr>
                <w:rFonts w:ascii="Arial" w:hAnsi="Arial" w:cs="Arial"/>
                <w:lang w:val="en-IN"/>
              </w:rPr>
            </w:pPr>
            <w:r w:rsidRPr="008A3369">
              <w:rPr>
                <w:rFonts w:ascii="Arial" w:hAnsi="Arial" w:cs="Arial"/>
                <w:lang w:val="en-IN"/>
              </w:rPr>
              <w:t>GLN725</w:t>
            </w:r>
          </w:p>
        </w:tc>
      </w:tr>
      <w:tr w:rsidR="002A4188" w:rsidRPr="008A3369" w14:paraId="126C329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EF646A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0900A792"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79294309" w14:textId="77777777" w:rsidR="008A3369" w:rsidRPr="008A3369" w:rsidRDefault="008A3369" w:rsidP="008A3369">
            <w:pPr>
              <w:rPr>
                <w:rFonts w:ascii="Arial" w:hAnsi="Arial" w:cs="Arial"/>
                <w:lang w:val="en-IN"/>
              </w:rPr>
            </w:pPr>
            <w:r w:rsidRPr="008A3369">
              <w:rPr>
                <w:rFonts w:ascii="Arial" w:hAnsi="Arial" w:cs="Arial"/>
                <w:lang w:val="en-IN"/>
              </w:rPr>
              <w:t>Tria-34</w:t>
            </w:r>
          </w:p>
        </w:tc>
        <w:tc>
          <w:tcPr>
            <w:tcW w:w="1115" w:type="dxa"/>
            <w:tcBorders>
              <w:top w:val="nil"/>
              <w:left w:val="nil"/>
              <w:bottom w:val="single" w:sz="4" w:space="0" w:color="auto"/>
              <w:right w:val="single" w:sz="4" w:space="0" w:color="auto"/>
            </w:tcBorders>
            <w:noWrap/>
            <w:vAlign w:val="bottom"/>
            <w:hideMark/>
          </w:tcPr>
          <w:p w14:paraId="3EFD968C" w14:textId="77777777" w:rsidR="008A3369" w:rsidRPr="008A3369" w:rsidRDefault="008A3369" w:rsidP="008A3369">
            <w:pPr>
              <w:rPr>
                <w:rFonts w:ascii="Arial" w:hAnsi="Arial" w:cs="Arial"/>
                <w:lang w:val="en-IN"/>
              </w:rPr>
            </w:pPr>
            <w:r w:rsidRPr="008A3369">
              <w:rPr>
                <w:rFonts w:ascii="Arial" w:hAnsi="Arial" w:cs="Arial"/>
                <w:lang w:val="en-IN"/>
              </w:rPr>
              <w:t>-8.180</w:t>
            </w:r>
          </w:p>
        </w:tc>
        <w:tc>
          <w:tcPr>
            <w:tcW w:w="3101" w:type="dxa"/>
            <w:tcBorders>
              <w:top w:val="nil"/>
              <w:left w:val="nil"/>
              <w:bottom w:val="single" w:sz="4" w:space="0" w:color="auto"/>
              <w:right w:val="single" w:sz="4" w:space="0" w:color="auto"/>
            </w:tcBorders>
            <w:noWrap/>
            <w:vAlign w:val="bottom"/>
            <w:hideMark/>
          </w:tcPr>
          <w:p w14:paraId="21855074" w14:textId="77777777" w:rsidR="008A3369" w:rsidRPr="008A3369" w:rsidRDefault="008A3369" w:rsidP="008A3369">
            <w:pPr>
              <w:rPr>
                <w:rFonts w:ascii="Arial" w:hAnsi="Arial" w:cs="Arial"/>
                <w:lang w:val="en-IN"/>
              </w:rPr>
            </w:pPr>
            <w:r w:rsidRPr="008A3369">
              <w:rPr>
                <w:rFonts w:ascii="Arial" w:hAnsi="Arial" w:cs="Arial"/>
                <w:lang w:val="en-IN"/>
              </w:rPr>
              <w:t>GLN725</w:t>
            </w:r>
          </w:p>
        </w:tc>
      </w:tr>
      <w:tr w:rsidR="002A4188" w:rsidRPr="008A3369" w14:paraId="770EEF78"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BDD39B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0FB4B03"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53799AC4" w14:textId="77777777" w:rsidR="008A3369" w:rsidRPr="008A3369" w:rsidRDefault="008A3369" w:rsidP="008A3369">
            <w:pPr>
              <w:rPr>
                <w:rFonts w:ascii="Arial" w:hAnsi="Arial" w:cs="Arial"/>
                <w:lang w:val="en-IN"/>
              </w:rPr>
            </w:pPr>
            <w:r w:rsidRPr="008A3369">
              <w:rPr>
                <w:rFonts w:ascii="Arial" w:hAnsi="Arial" w:cs="Arial"/>
                <w:lang w:val="en-IN"/>
              </w:rPr>
              <w:t>Tria-18</w:t>
            </w:r>
          </w:p>
        </w:tc>
        <w:tc>
          <w:tcPr>
            <w:tcW w:w="1115" w:type="dxa"/>
            <w:tcBorders>
              <w:top w:val="nil"/>
              <w:left w:val="nil"/>
              <w:bottom w:val="single" w:sz="4" w:space="0" w:color="auto"/>
              <w:right w:val="single" w:sz="4" w:space="0" w:color="auto"/>
            </w:tcBorders>
            <w:noWrap/>
            <w:vAlign w:val="bottom"/>
            <w:hideMark/>
          </w:tcPr>
          <w:p w14:paraId="7B332186" w14:textId="77777777" w:rsidR="008A3369" w:rsidRPr="008A3369" w:rsidRDefault="008A3369" w:rsidP="008A3369">
            <w:pPr>
              <w:rPr>
                <w:rFonts w:ascii="Arial" w:hAnsi="Arial" w:cs="Arial"/>
                <w:lang w:val="en-IN"/>
              </w:rPr>
            </w:pPr>
            <w:r w:rsidRPr="008A3369">
              <w:rPr>
                <w:rFonts w:ascii="Arial" w:hAnsi="Arial" w:cs="Arial"/>
                <w:lang w:val="en-IN"/>
              </w:rPr>
              <w:t>-8.161</w:t>
            </w:r>
          </w:p>
        </w:tc>
        <w:tc>
          <w:tcPr>
            <w:tcW w:w="3101" w:type="dxa"/>
            <w:tcBorders>
              <w:top w:val="nil"/>
              <w:left w:val="nil"/>
              <w:bottom w:val="single" w:sz="4" w:space="0" w:color="auto"/>
              <w:right w:val="single" w:sz="4" w:space="0" w:color="auto"/>
            </w:tcBorders>
            <w:noWrap/>
            <w:vAlign w:val="bottom"/>
            <w:hideMark/>
          </w:tcPr>
          <w:p w14:paraId="739A0717" w14:textId="77777777" w:rsidR="008A3369" w:rsidRPr="008A3369" w:rsidRDefault="008A3369" w:rsidP="008A3369">
            <w:pPr>
              <w:rPr>
                <w:rFonts w:ascii="Arial" w:hAnsi="Arial" w:cs="Arial"/>
                <w:lang w:val="en-IN"/>
              </w:rPr>
            </w:pPr>
            <w:r w:rsidRPr="008A3369">
              <w:rPr>
                <w:rFonts w:ascii="Arial" w:hAnsi="Arial" w:cs="Arial"/>
                <w:lang w:val="en-IN"/>
              </w:rPr>
              <w:t>GLN</w:t>
            </w:r>
            <w:proofErr w:type="gramStart"/>
            <w:r w:rsidRPr="008A3369">
              <w:rPr>
                <w:rFonts w:ascii="Arial" w:hAnsi="Arial" w:cs="Arial"/>
                <w:lang w:val="en-IN"/>
              </w:rPr>
              <w:t>725,LEU</w:t>
            </w:r>
            <w:proofErr w:type="gramEnd"/>
            <w:r w:rsidRPr="008A3369">
              <w:rPr>
                <w:rFonts w:ascii="Arial" w:hAnsi="Arial" w:cs="Arial"/>
                <w:lang w:val="en-IN"/>
              </w:rPr>
              <w:t>718</w:t>
            </w:r>
          </w:p>
        </w:tc>
      </w:tr>
      <w:tr w:rsidR="002A4188" w:rsidRPr="008A3369" w14:paraId="1562F873"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305C10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ECA51A7"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12AB4B0A" w14:textId="77777777" w:rsidR="008A3369" w:rsidRPr="008A3369" w:rsidRDefault="008A3369" w:rsidP="008A3369">
            <w:pPr>
              <w:rPr>
                <w:rFonts w:ascii="Arial" w:hAnsi="Arial" w:cs="Arial"/>
                <w:lang w:val="en-IN"/>
              </w:rPr>
            </w:pPr>
            <w:r w:rsidRPr="008A3369">
              <w:rPr>
                <w:rFonts w:ascii="Arial" w:hAnsi="Arial" w:cs="Arial"/>
                <w:lang w:val="en-IN"/>
              </w:rPr>
              <w:t>Tria-14</w:t>
            </w:r>
          </w:p>
        </w:tc>
        <w:tc>
          <w:tcPr>
            <w:tcW w:w="1115" w:type="dxa"/>
            <w:tcBorders>
              <w:top w:val="nil"/>
              <w:left w:val="nil"/>
              <w:bottom w:val="single" w:sz="4" w:space="0" w:color="auto"/>
              <w:right w:val="single" w:sz="4" w:space="0" w:color="auto"/>
            </w:tcBorders>
            <w:noWrap/>
            <w:vAlign w:val="bottom"/>
            <w:hideMark/>
          </w:tcPr>
          <w:p w14:paraId="506A6A2A" w14:textId="77777777" w:rsidR="008A3369" w:rsidRPr="008A3369" w:rsidRDefault="008A3369" w:rsidP="008A3369">
            <w:pPr>
              <w:rPr>
                <w:rFonts w:ascii="Arial" w:hAnsi="Arial" w:cs="Arial"/>
                <w:lang w:val="en-IN"/>
              </w:rPr>
            </w:pPr>
            <w:r w:rsidRPr="008A3369">
              <w:rPr>
                <w:rFonts w:ascii="Arial" w:hAnsi="Arial" w:cs="Arial"/>
                <w:lang w:val="en-IN"/>
              </w:rPr>
              <w:t>-7.778</w:t>
            </w:r>
          </w:p>
        </w:tc>
        <w:tc>
          <w:tcPr>
            <w:tcW w:w="3101" w:type="dxa"/>
            <w:tcBorders>
              <w:top w:val="nil"/>
              <w:left w:val="nil"/>
              <w:bottom w:val="single" w:sz="4" w:space="0" w:color="auto"/>
              <w:right w:val="single" w:sz="4" w:space="0" w:color="auto"/>
            </w:tcBorders>
            <w:noWrap/>
            <w:vAlign w:val="bottom"/>
            <w:hideMark/>
          </w:tcPr>
          <w:p w14:paraId="1D77BB8E" w14:textId="77777777" w:rsidR="008A3369" w:rsidRPr="008A3369" w:rsidRDefault="008A3369" w:rsidP="008A3369">
            <w:pPr>
              <w:rPr>
                <w:rFonts w:ascii="Arial" w:hAnsi="Arial" w:cs="Arial"/>
                <w:lang w:val="en-IN"/>
              </w:rPr>
            </w:pPr>
            <w:r w:rsidRPr="008A3369">
              <w:rPr>
                <w:rFonts w:ascii="Arial" w:hAnsi="Arial" w:cs="Arial"/>
                <w:lang w:val="en-IN"/>
              </w:rPr>
              <w:t>GLN725</w:t>
            </w:r>
          </w:p>
        </w:tc>
      </w:tr>
      <w:tr w:rsidR="002A4188" w:rsidRPr="008A3369" w14:paraId="4A890177"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10E220A8" w14:textId="77777777" w:rsidR="008A3369" w:rsidRPr="008A3369" w:rsidRDefault="008A3369" w:rsidP="008A3369">
            <w:pPr>
              <w:rPr>
                <w:rFonts w:ascii="Arial" w:hAnsi="Arial" w:cs="Arial"/>
                <w:lang w:val="en-IN"/>
              </w:rPr>
            </w:pPr>
            <w:r w:rsidRPr="008A3369">
              <w:rPr>
                <w:rFonts w:ascii="Arial" w:hAnsi="Arial" w:cs="Arial"/>
                <w:lang w:val="en-IN"/>
              </w:rPr>
              <w:t>PDB ID:1M17</w:t>
            </w:r>
          </w:p>
        </w:tc>
        <w:tc>
          <w:tcPr>
            <w:tcW w:w="655" w:type="dxa"/>
            <w:tcBorders>
              <w:top w:val="nil"/>
              <w:left w:val="nil"/>
              <w:bottom w:val="single" w:sz="4" w:space="0" w:color="auto"/>
              <w:right w:val="single" w:sz="4" w:space="0" w:color="auto"/>
            </w:tcBorders>
            <w:noWrap/>
            <w:vAlign w:val="bottom"/>
            <w:hideMark/>
          </w:tcPr>
          <w:p w14:paraId="4E0B8E71"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2C6474D8" w14:textId="77777777" w:rsidR="008A3369" w:rsidRPr="008A3369" w:rsidRDefault="008A3369" w:rsidP="008A3369">
            <w:pPr>
              <w:rPr>
                <w:rFonts w:ascii="Arial" w:hAnsi="Arial" w:cs="Arial"/>
                <w:lang w:val="en-IN"/>
              </w:rPr>
            </w:pPr>
            <w:r w:rsidRPr="008A3369">
              <w:rPr>
                <w:rFonts w:ascii="Arial" w:hAnsi="Arial" w:cs="Arial"/>
                <w:lang w:val="en-IN"/>
              </w:rPr>
              <w:t>Erlotinib (co-crystal)</w:t>
            </w:r>
          </w:p>
        </w:tc>
        <w:tc>
          <w:tcPr>
            <w:tcW w:w="1115" w:type="dxa"/>
            <w:tcBorders>
              <w:top w:val="nil"/>
              <w:left w:val="nil"/>
              <w:bottom w:val="single" w:sz="4" w:space="0" w:color="auto"/>
              <w:right w:val="single" w:sz="4" w:space="0" w:color="auto"/>
            </w:tcBorders>
            <w:noWrap/>
            <w:vAlign w:val="bottom"/>
            <w:hideMark/>
          </w:tcPr>
          <w:p w14:paraId="24E35C9C" w14:textId="77777777" w:rsidR="008A3369" w:rsidRPr="008A3369" w:rsidRDefault="008A3369" w:rsidP="008A3369">
            <w:pPr>
              <w:rPr>
                <w:rFonts w:ascii="Arial" w:hAnsi="Arial" w:cs="Arial"/>
                <w:lang w:val="en-IN"/>
              </w:rPr>
            </w:pPr>
            <w:r w:rsidRPr="008A3369">
              <w:rPr>
                <w:rFonts w:ascii="Arial" w:hAnsi="Arial" w:cs="Arial"/>
                <w:lang w:val="en-IN"/>
              </w:rPr>
              <w:t>-8.412</w:t>
            </w:r>
          </w:p>
        </w:tc>
        <w:tc>
          <w:tcPr>
            <w:tcW w:w="3101" w:type="dxa"/>
            <w:tcBorders>
              <w:top w:val="nil"/>
              <w:left w:val="nil"/>
              <w:bottom w:val="single" w:sz="4" w:space="0" w:color="auto"/>
              <w:right w:val="single" w:sz="4" w:space="0" w:color="auto"/>
            </w:tcBorders>
            <w:noWrap/>
            <w:vAlign w:val="bottom"/>
            <w:hideMark/>
          </w:tcPr>
          <w:p w14:paraId="416493DB" w14:textId="77777777" w:rsidR="008A3369" w:rsidRPr="008A3369" w:rsidRDefault="008A3369" w:rsidP="008A3369">
            <w:pPr>
              <w:rPr>
                <w:rFonts w:ascii="Arial" w:hAnsi="Arial" w:cs="Arial"/>
                <w:lang w:val="en-IN"/>
              </w:rPr>
            </w:pPr>
            <w:r w:rsidRPr="008A3369">
              <w:rPr>
                <w:rFonts w:ascii="Arial" w:hAnsi="Arial" w:cs="Arial"/>
                <w:lang w:val="en-IN"/>
              </w:rPr>
              <w:t>CYS</w:t>
            </w:r>
            <w:proofErr w:type="gramStart"/>
            <w:r w:rsidRPr="008A3369">
              <w:rPr>
                <w:rFonts w:ascii="Arial" w:hAnsi="Arial" w:cs="Arial"/>
                <w:lang w:val="en-IN"/>
              </w:rPr>
              <w:t>773,MET</w:t>
            </w:r>
            <w:proofErr w:type="gramEnd"/>
            <w:r w:rsidRPr="008A3369">
              <w:rPr>
                <w:rFonts w:ascii="Arial" w:hAnsi="Arial" w:cs="Arial"/>
                <w:lang w:val="en-IN"/>
              </w:rPr>
              <w:t>769</w:t>
            </w:r>
          </w:p>
        </w:tc>
      </w:tr>
      <w:tr w:rsidR="002A4188" w:rsidRPr="008A3369" w14:paraId="5D61E51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50A01F5"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BF9D1AB"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69ED79C4" w14:textId="77777777" w:rsidR="008A3369" w:rsidRPr="008A3369" w:rsidRDefault="008A3369" w:rsidP="008A3369">
            <w:pPr>
              <w:rPr>
                <w:rFonts w:ascii="Arial" w:hAnsi="Arial" w:cs="Arial"/>
                <w:lang w:val="en-IN"/>
              </w:rPr>
            </w:pPr>
            <w:r w:rsidRPr="008A3369">
              <w:rPr>
                <w:rFonts w:ascii="Arial" w:hAnsi="Arial" w:cs="Arial"/>
                <w:lang w:val="en-IN"/>
              </w:rPr>
              <w:t>Gefitinib</w:t>
            </w:r>
          </w:p>
        </w:tc>
        <w:tc>
          <w:tcPr>
            <w:tcW w:w="1115" w:type="dxa"/>
            <w:tcBorders>
              <w:top w:val="nil"/>
              <w:left w:val="nil"/>
              <w:bottom w:val="single" w:sz="4" w:space="0" w:color="auto"/>
              <w:right w:val="single" w:sz="4" w:space="0" w:color="auto"/>
            </w:tcBorders>
            <w:noWrap/>
            <w:vAlign w:val="bottom"/>
            <w:hideMark/>
          </w:tcPr>
          <w:p w14:paraId="56653CBA" w14:textId="77777777" w:rsidR="008A3369" w:rsidRPr="008A3369" w:rsidRDefault="008A3369" w:rsidP="008A3369">
            <w:pPr>
              <w:rPr>
                <w:rFonts w:ascii="Arial" w:hAnsi="Arial" w:cs="Arial"/>
                <w:lang w:val="en-IN"/>
              </w:rPr>
            </w:pPr>
            <w:r w:rsidRPr="008A3369">
              <w:rPr>
                <w:rFonts w:ascii="Arial" w:hAnsi="Arial" w:cs="Arial"/>
                <w:lang w:val="en-IN"/>
              </w:rPr>
              <w:t>-7.676</w:t>
            </w:r>
          </w:p>
        </w:tc>
        <w:tc>
          <w:tcPr>
            <w:tcW w:w="3101" w:type="dxa"/>
            <w:tcBorders>
              <w:top w:val="nil"/>
              <w:left w:val="nil"/>
              <w:bottom w:val="single" w:sz="4" w:space="0" w:color="auto"/>
              <w:right w:val="single" w:sz="4" w:space="0" w:color="auto"/>
            </w:tcBorders>
            <w:noWrap/>
            <w:vAlign w:val="bottom"/>
            <w:hideMark/>
          </w:tcPr>
          <w:p w14:paraId="04D79453" w14:textId="77777777" w:rsidR="008A3369" w:rsidRPr="008A3369" w:rsidRDefault="008A3369" w:rsidP="008A3369">
            <w:pPr>
              <w:rPr>
                <w:rFonts w:ascii="Arial" w:hAnsi="Arial" w:cs="Arial"/>
                <w:lang w:val="en-IN"/>
              </w:rPr>
            </w:pPr>
            <w:r w:rsidRPr="008A3369">
              <w:rPr>
                <w:rFonts w:ascii="Arial" w:hAnsi="Arial" w:cs="Arial"/>
                <w:lang w:val="en-IN"/>
              </w:rPr>
              <w:t>LYS</w:t>
            </w:r>
            <w:proofErr w:type="gramStart"/>
            <w:r w:rsidRPr="008A3369">
              <w:rPr>
                <w:rFonts w:ascii="Arial" w:hAnsi="Arial" w:cs="Arial"/>
                <w:lang w:val="en-IN"/>
              </w:rPr>
              <w:t>721,MET</w:t>
            </w:r>
            <w:proofErr w:type="gramEnd"/>
            <w:r w:rsidRPr="008A3369">
              <w:rPr>
                <w:rFonts w:ascii="Arial" w:hAnsi="Arial" w:cs="Arial"/>
                <w:lang w:val="en-IN"/>
              </w:rPr>
              <w:t>769</w:t>
            </w:r>
          </w:p>
        </w:tc>
      </w:tr>
      <w:tr w:rsidR="002A4188" w:rsidRPr="008A3369" w14:paraId="2078F1B8"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F9E218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07A3700"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B9CE2DA"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3CB79598" w14:textId="77777777" w:rsidR="008A3369" w:rsidRPr="008A3369" w:rsidRDefault="008A3369" w:rsidP="008A3369">
            <w:pPr>
              <w:rPr>
                <w:rFonts w:ascii="Arial" w:hAnsi="Arial" w:cs="Arial"/>
                <w:lang w:val="en-IN"/>
              </w:rPr>
            </w:pPr>
            <w:r w:rsidRPr="008A3369">
              <w:rPr>
                <w:rFonts w:ascii="Arial" w:hAnsi="Arial" w:cs="Arial"/>
                <w:lang w:val="en-IN"/>
              </w:rPr>
              <w:t>-4.514</w:t>
            </w:r>
          </w:p>
        </w:tc>
        <w:tc>
          <w:tcPr>
            <w:tcW w:w="3101" w:type="dxa"/>
            <w:tcBorders>
              <w:top w:val="nil"/>
              <w:left w:val="nil"/>
              <w:bottom w:val="single" w:sz="4" w:space="0" w:color="auto"/>
              <w:right w:val="single" w:sz="4" w:space="0" w:color="auto"/>
            </w:tcBorders>
            <w:noWrap/>
            <w:vAlign w:val="bottom"/>
            <w:hideMark/>
          </w:tcPr>
          <w:p w14:paraId="69F2BE3C" w14:textId="77777777" w:rsidR="008A3369" w:rsidRPr="008A3369" w:rsidRDefault="008A3369" w:rsidP="008A3369">
            <w:pPr>
              <w:rPr>
                <w:rFonts w:ascii="Arial" w:hAnsi="Arial" w:cs="Arial"/>
                <w:lang w:val="en-IN"/>
              </w:rPr>
            </w:pPr>
            <w:r w:rsidRPr="008A3369">
              <w:rPr>
                <w:rFonts w:ascii="Arial" w:hAnsi="Arial" w:cs="Arial"/>
                <w:lang w:val="en-IN"/>
              </w:rPr>
              <w:t>-</w:t>
            </w:r>
          </w:p>
        </w:tc>
      </w:tr>
      <w:tr w:rsidR="002A4188" w:rsidRPr="008A3369" w14:paraId="6F1D468F"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5ADDE53A"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0DAFC38E"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2AEDDE20" w14:textId="77777777" w:rsidR="008A3369" w:rsidRPr="008A3369" w:rsidRDefault="008A3369" w:rsidP="008A3369">
            <w:pPr>
              <w:rPr>
                <w:rFonts w:ascii="Arial" w:hAnsi="Arial" w:cs="Arial"/>
                <w:lang w:val="en-IN"/>
              </w:rPr>
            </w:pPr>
            <w:r w:rsidRPr="008A3369">
              <w:rPr>
                <w:rFonts w:ascii="Arial" w:hAnsi="Arial" w:cs="Arial"/>
                <w:lang w:val="en-IN"/>
              </w:rPr>
              <w:t>Tria-25</w:t>
            </w:r>
          </w:p>
        </w:tc>
        <w:tc>
          <w:tcPr>
            <w:tcW w:w="1115" w:type="dxa"/>
            <w:tcBorders>
              <w:top w:val="nil"/>
              <w:left w:val="nil"/>
              <w:bottom w:val="single" w:sz="4" w:space="0" w:color="auto"/>
              <w:right w:val="single" w:sz="4" w:space="0" w:color="auto"/>
            </w:tcBorders>
            <w:noWrap/>
            <w:vAlign w:val="bottom"/>
            <w:hideMark/>
          </w:tcPr>
          <w:p w14:paraId="026F4CAB" w14:textId="77777777" w:rsidR="008A3369" w:rsidRPr="008A3369" w:rsidRDefault="008A3369" w:rsidP="008A3369">
            <w:pPr>
              <w:rPr>
                <w:rFonts w:ascii="Arial" w:hAnsi="Arial" w:cs="Arial"/>
                <w:lang w:val="en-IN"/>
              </w:rPr>
            </w:pPr>
            <w:r w:rsidRPr="008A3369">
              <w:rPr>
                <w:rFonts w:ascii="Arial" w:hAnsi="Arial" w:cs="Arial"/>
                <w:lang w:val="en-IN"/>
              </w:rPr>
              <w:t>-7.637</w:t>
            </w:r>
          </w:p>
        </w:tc>
        <w:tc>
          <w:tcPr>
            <w:tcW w:w="3101" w:type="dxa"/>
            <w:tcBorders>
              <w:top w:val="nil"/>
              <w:left w:val="nil"/>
              <w:bottom w:val="single" w:sz="4" w:space="0" w:color="auto"/>
              <w:right w:val="single" w:sz="4" w:space="0" w:color="auto"/>
            </w:tcBorders>
            <w:noWrap/>
            <w:vAlign w:val="bottom"/>
            <w:hideMark/>
          </w:tcPr>
          <w:p w14:paraId="02DCE3D6" w14:textId="77777777" w:rsidR="008A3369" w:rsidRPr="008A3369" w:rsidRDefault="008A3369" w:rsidP="008A3369">
            <w:pPr>
              <w:rPr>
                <w:rFonts w:ascii="Arial" w:hAnsi="Arial" w:cs="Arial"/>
                <w:lang w:val="en-IN"/>
              </w:rPr>
            </w:pPr>
            <w:r w:rsidRPr="008A3369">
              <w:rPr>
                <w:rFonts w:ascii="Arial" w:hAnsi="Arial" w:cs="Arial"/>
                <w:lang w:val="en-IN"/>
              </w:rPr>
              <w:t>MET</w:t>
            </w:r>
            <w:proofErr w:type="gramStart"/>
            <w:r w:rsidRPr="008A3369">
              <w:rPr>
                <w:rFonts w:ascii="Arial" w:hAnsi="Arial" w:cs="Arial"/>
                <w:lang w:val="en-IN"/>
              </w:rPr>
              <w:t>769,THR</w:t>
            </w:r>
            <w:proofErr w:type="gramEnd"/>
            <w:r w:rsidRPr="008A3369">
              <w:rPr>
                <w:rFonts w:ascii="Arial" w:hAnsi="Arial" w:cs="Arial"/>
                <w:lang w:val="en-IN"/>
              </w:rPr>
              <w:t>766,ASP831,GLU738</w:t>
            </w:r>
          </w:p>
        </w:tc>
      </w:tr>
      <w:tr w:rsidR="002A4188" w:rsidRPr="008A3369" w14:paraId="7C618642"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5128C72B"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46D8C1F"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19A55063"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7609B89C" w14:textId="77777777" w:rsidR="008A3369" w:rsidRPr="008A3369" w:rsidRDefault="008A3369" w:rsidP="008A3369">
            <w:pPr>
              <w:rPr>
                <w:rFonts w:ascii="Arial" w:hAnsi="Arial" w:cs="Arial"/>
                <w:lang w:val="en-IN"/>
              </w:rPr>
            </w:pPr>
            <w:r w:rsidRPr="008A3369">
              <w:rPr>
                <w:rFonts w:ascii="Arial" w:hAnsi="Arial" w:cs="Arial"/>
                <w:lang w:val="en-IN"/>
              </w:rPr>
              <w:t>-7.422</w:t>
            </w:r>
          </w:p>
        </w:tc>
        <w:tc>
          <w:tcPr>
            <w:tcW w:w="3101" w:type="dxa"/>
            <w:tcBorders>
              <w:top w:val="nil"/>
              <w:left w:val="nil"/>
              <w:bottom w:val="single" w:sz="4" w:space="0" w:color="auto"/>
              <w:right w:val="single" w:sz="4" w:space="0" w:color="auto"/>
            </w:tcBorders>
            <w:noWrap/>
            <w:vAlign w:val="bottom"/>
            <w:hideMark/>
          </w:tcPr>
          <w:p w14:paraId="6DFC1FEC" w14:textId="77777777" w:rsidR="008A3369" w:rsidRPr="008A3369" w:rsidRDefault="008A3369" w:rsidP="008A3369">
            <w:pPr>
              <w:rPr>
                <w:rFonts w:ascii="Arial" w:hAnsi="Arial" w:cs="Arial"/>
                <w:lang w:val="en-IN"/>
              </w:rPr>
            </w:pPr>
            <w:r w:rsidRPr="008A3369">
              <w:rPr>
                <w:rFonts w:ascii="Arial" w:hAnsi="Arial" w:cs="Arial"/>
                <w:lang w:val="en-IN"/>
              </w:rPr>
              <w:t>GLN</w:t>
            </w:r>
            <w:proofErr w:type="gramStart"/>
            <w:r w:rsidRPr="008A3369">
              <w:rPr>
                <w:rFonts w:ascii="Arial" w:hAnsi="Arial" w:cs="Arial"/>
                <w:lang w:val="en-IN"/>
              </w:rPr>
              <w:t>767,ASP</w:t>
            </w:r>
            <w:proofErr w:type="gramEnd"/>
            <w:r w:rsidRPr="008A3369">
              <w:rPr>
                <w:rFonts w:ascii="Arial" w:hAnsi="Arial" w:cs="Arial"/>
                <w:lang w:val="en-IN"/>
              </w:rPr>
              <w:t>831,GLU738</w:t>
            </w:r>
          </w:p>
        </w:tc>
      </w:tr>
      <w:tr w:rsidR="002A4188" w:rsidRPr="008A3369" w14:paraId="038776C2"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446896F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B74B82D"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47CAA1DD" w14:textId="77777777" w:rsidR="008A3369" w:rsidRPr="008A3369" w:rsidRDefault="008A3369" w:rsidP="008A3369">
            <w:pPr>
              <w:rPr>
                <w:rFonts w:ascii="Arial" w:hAnsi="Arial" w:cs="Arial"/>
                <w:lang w:val="en-IN"/>
              </w:rPr>
            </w:pPr>
            <w:r w:rsidRPr="008A3369">
              <w:rPr>
                <w:rFonts w:ascii="Arial" w:hAnsi="Arial" w:cs="Arial"/>
                <w:lang w:val="en-IN"/>
              </w:rPr>
              <w:t>Tria-13</w:t>
            </w:r>
          </w:p>
        </w:tc>
        <w:tc>
          <w:tcPr>
            <w:tcW w:w="1115" w:type="dxa"/>
            <w:tcBorders>
              <w:top w:val="nil"/>
              <w:left w:val="nil"/>
              <w:bottom w:val="single" w:sz="4" w:space="0" w:color="auto"/>
              <w:right w:val="single" w:sz="4" w:space="0" w:color="auto"/>
            </w:tcBorders>
            <w:noWrap/>
            <w:vAlign w:val="bottom"/>
            <w:hideMark/>
          </w:tcPr>
          <w:p w14:paraId="43B07D84" w14:textId="77777777" w:rsidR="008A3369" w:rsidRPr="008A3369" w:rsidRDefault="008A3369" w:rsidP="008A3369">
            <w:pPr>
              <w:rPr>
                <w:rFonts w:ascii="Arial" w:hAnsi="Arial" w:cs="Arial"/>
                <w:lang w:val="en-IN"/>
              </w:rPr>
            </w:pPr>
            <w:r w:rsidRPr="008A3369">
              <w:rPr>
                <w:rFonts w:ascii="Arial" w:hAnsi="Arial" w:cs="Arial"/>
                <w:lang w:val="en-IN"/>
              </w:rPr>
              <w:t>-6.974</w:t>
            </w:r>
          </w:p>
        </w:tc>
        <w:tc>
          <w:tcPr>
            <w:tcW w:w="3101" w:type="dxa"/>
            <w:tcBorders>
              <w:top w:val="nil"/>
              <w:left w:val="nil"/>
              <w:bottom w:val="single" w:sz="4" w:space="0" w:color="auto"/>
              <w:right w:val="single" w:sz="4" w:space="0" w:color="auto"/>
            </w:tcBorders>
            <w:noWrap/>
            <w:vAlign w:val="bottom"/>
            <w:hideMark/>
          </w:tcPr>
          <w:p w14:paraId="64CC0FCF" w14:textId="77777777" w:rsidR="008A3369" w:rsidRPr="008A3369" w:rsidRDefault="008A3369" w:rsidP="008A3369">
            <w:pPr>
              <w:rPr>
                <w:rFonts w:ascii="Arial" w:hAnsi="Arial" w:cs="Arial"/>
                <w:lang w:val="en-IN"/>
              </w:rPr>
            </w:pPr>
            <w:r w:rsidRPr="008A3369">
              <w:rPr>
                <w:rFonts w:ascii="Arial" w:hAnsi="Arial" w:cs="Arial"/>
                <w:lang w:val="en-IN"/>
              </w:rPr>
              <w:t>MET</w:t>
            </w:r>
            <w:proofErr w:type="gramStart"/>
            <w:r w:rsidRPr="008A3369">
              <w:rPr>
                <w:rFonts w:ascii="Arial" w:hAnsi="Arial" w:cs="Arial"/>
                <w:lang w:val="en-IN"/>
              </w:rPr>
              <w:t>769,ASP</w:t>
            </w:r>
            <w:proofErr w:type="gramEnd"/>
            <w:r w:rsidRPr="008A3369">
              <w:rPr>
                <w:rFonts w:ascii="Arial" w:hAnsi="Arial" w:cs="Arial"/>
                <w:lang w:val="en-IN"/>
              </w:rPr>
              <w:t>831</w:t>
            </w:r>
          </w:p>
        </w:tc>
      </w:tr>
      <w:tr w:rsidR="002A4188" w:rsidRPr="008A3369" w14:paraId="152EB101"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7EE39BEE"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CE20726"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0639293B" w14:textId="77777777" w:rsidR="008A3369" w:rsidRPr="008A3369" w:rsidRDefault="008A3369" w:rsidP="008A3369">
            <w:pPr>
              <w:rPr>
                <w:rFonts w:ascii="Arial" w:hAnsi="Arial" w:cs="Arial"/>
                <w:lang w:val="en-IN"/>
              </w:rPr>
            </w:pPr>
            <w:r w:rsidRPr="008A3369">
              <w:rPr>
                <w:rFonts w:ascii="Arial" w:hAnsi="Arial" w:cs="Arial"/>
                <w:lang w:val="en-IN"/>
              </w:rPr>
              <w:t>Tria-11</w:t>
            </w:r>
          </w:p>
        </w:tc>
        <w:tc>
          <w:tcPr>
            <w:tcW w:w="1115" w:type="dxa"/>
            <w:tcBorders>
              <w:top w:val="nil"/>
              <w:left w:val="nil"/>
              <w:bottom w:val="single" w:sz="4" w:space="0" w:color="auto"/>
              <w:right w:val="single" w:sz="4" w:space="0" w:color="auto"/>
            </w:tcBorders>
            <w:noWrap/>
            <w:vAlign w:val="bottom"/>
            <w:hideMark/>
          </w:tcPr>
          <w:p w14:paraId="59EF699D" w14:textId="77777777" w:rsidR="008A3369" w:rsidRPr="008A3369" w:rsidRDefault="008A3369" w:rsidP="008A3369">
            <w:pPr>
              <w:rPr>
                <w:rFonts w:ascii="Arial" w:hAnsi="Arial" w:cs="Arial"/>
                <w:lang w:val="en-IN"/>
              </w:rPr>
            </w:pPr>
            <w:r w:rsidRPr="008A3369">
              <w:rPr>
                <w:rFonts w:ascii="Arial" w:hAnsi="Arial" w:cs="Arial"/>
                <w:lang w:val="en-IN"/>
              </w:rPr>
              <w:t>-6.809</w:t>
            </w:r>
          </w:p>
        </w:tc>
        <w:tc>
          <w:tcPr>
            <w:tcW w:w="3101" w:type="dxa"/>
            <w:tcBorders>
              <w:top w:val="nil"/>
              <w:left w:val="nil"/>
              <w:bottom w:val="single" w:sz="4" w:space="0" w:color="auto"/>
              <w:right w:val="single" w:sz="4" w:space="0" w:color="auto"/>
            </w:tcBorders>
            <w:noWrap/>
            <w:vAlign w:val="bottom"/>
            <w:hideMark/>
          </w:tcPr>
          <w:p w14:paraId="50B39A2E" w14:textId="77777777" w:rsidR="008A3369" w:rsidRPr="008A3369" w:rsidRDefault="008A3369" w:rsidP="008A3369">
            <w:pPr>
              <w:rPr>
                <w:rFonts w:ascii="Arial" w:hAnsi="Arial" w:cs="Arial"/>
                <w:lang w:val="en-IN"/>
              </w:rPr>
            </w:pPr>
            <w:r w:rsidRPr="008A3369">
              <w:rPr>
                <w:rFonts w:ascii="Arial" w:hAnsi="Arial" w:cs="Arial"/>
                <w:lang w:val="en-IN"/>
              </w:rPr>
              <w:t>MET</w:t>
            </w:r>
            <w:proofErr w:type="gramStart"/>
            <w:r w:rsidRPr="008A3369">
              <w:rPr>
                <w:rFonts w:ascii="Arial" w:hAnsi="Arial" w:cs="Arial"/>
                <w:lang w:val="en-IN"/>
              </w:rPr>
              <w:t>769,THR</w:t>
            </w:r>
            <w:proofErr w:type="gramEnd"/>
            <w:r w:rsidRPr="008A3369">
              <w:rPr>
                <w:rFonts w:ascii="Arial" w:hAnsi="Arial" w:cs="Arial"/>
                <w:lang w:val="en-IN"/>
              </w:rPr>
              <w:t>766</w:t>
            </w:r>
          </w:p>
        </w:tc>
      </w:tr>
      <w:tr w:rsidR="002A4188" w:rsidRPr="008A3369" w14:paraId="01220AAC"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3B49221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FAEBFEC" w14:textId="77777777" w:rsidR="008A3369" w:rsidRPr="008A3369" w:rsidRDefault="008A3369" w:rsidP="008A3369">
            <w:pPr>
              <w:rPr>
                <w:rFonts w:ascii="Arial" w:hAnsi="Arial" w:cs="Arial"/>
                <w:lang w:val="en-IN"/>
              </w:rPr>
            </w:pPr>
            <w:r w:rsidRPr="008A3369">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6E05B791" w14:textId="77777777" w:rsidR="008A3369" w:rsidRPr="008A3369" w:rsidRDefault="008A3369" w:rsidP="008A3369">
            <w:pPr>
              <w:rPr>
                <w:rFonts w:ascii="Arial" w:hAnsi="Arial" w:cs="Arial"/>
                <w:lang w:val="en-IN"/>
              </w:rPr>
            </w:pPr>
            <w:r w:rsidRPr="008A3369">
              <w:rPr>
                <w:rFonts w:ascii="Arial" w:hAnsi="Arial" w:cs="Arial"/>
                <w:lang w:val="en-IN"/>
              </w:rPr>
              <w:t>Tria-22</w:t>
            </w:r>
          </w:p>
        </w:tc>
        <w:tc>
          <w:tcPr>
            <w:tcW w:w="1115" w:type="dxa"/>
            <w:tcBorders>
              <w:top w:val="nil"/>
              <w:left w:val="nil"/>
              <w:bottom w:val="single" w:sz="4" w:space="0" w:color="auto"/>
              <w:right w:val="single" w:sz="4" w:space="0" w:color="auto"/>
            </w:tcBorders>
            <w:noWrap/>
            <w:vAlign w:val="bottom"/>
            <w:hideMark/>
          </w:tcPr>
          <w:p w14:paraId="6C60392C" w14:textId="77777777" w:rsidR="008A3369" w:rsidRPr="008A3369" w:rsidRDefault="008A3369" w:rsidP="008A3369">
            <w:pPr>
              <w:rPr>
                <w:rFonts w:ascii="Arial" w:hAnsi="Arial" w:cs="Arial"/>
                <w:lang w:val="en-IN"/>
              </w:rPr>
            </w:pPr>
            <w:r w:rsidRPr="008A3369">
              <w:rPr>
                <w:rFonts w:ascii="Arial" w:hAnsi="Arial" w:cs="Arial"/>
                <w:lang w:val="en-IN"/>
              </w:rPr>
              <w:t>-6.752</w:t>
            </w:r>
          </w:p>
        </w:tc>
        <w:tc>
          <w:tcPr>
            <w:tcW w:w="3101" w:type="dxa"/>
            <w:tcBorders>
              <w:top w:val="nil"/>
              <w:left w:val="nil"/>
              <w:bottom w:val="single" w:sz="4" w:space="0" w:color="auto"/>
              <w:right w:val="single" w:sz="4" w:space="0" w:color="auto"/>
            </w:tcBorders>
            <w:noWrap/>
            <w:vAlign w:val="bottom"/>
            <w:hideMark/>
          </w:tcPr>
          <w:p w14:paraId="427E44CB" w14:textId="77777777" w:rsidR="008A3369" w:rsidRPr="008A3369" w:rsidRDefault="008A3369" w:rsidP="008A3369">
            <w:pPr>
              <w:rPr>
                <w:rFonts w:ascii="Arial" w:hAnsi="Arial" w:cs="Arial"/>
                <w:lang w:val="en-IN"/>
              </w:rPr>
            </w:pPr>
            <w:r w:rsidRPr="008A3369">
              <w:rPr>
                <w:rFonts w:ascii="Arial" w:hAnsi="Arial" w:cs="Arial"/>
                <w:lang w:val="en-IN"/>
              </w:rPr>
              <w:t>MET</w:t>
            </w:r>
            <w:proofErr w:type="gramStart"/>
            <w:r w:rsidRPr="008A3369">
              <w:rPr>
                <w:rFonts w:ascii="Arial" w:hAnsi="Arial" w:cs="Arial"/>
                <w:lang w:val="en-IN"/>
              </w:rPr>
              <w:t>769,ASP</w:t>
            </w:r>
            <w:proofErr w:type="gramEnd"/>
            <w:r w:rsidRPr="008A3369">
              <w:rPr>
                <w:rFonts w:ascii="Arial" w:hAnsi="Arial" w:cs="Arial"/>
                <w:lang w:val="en-IN"/>
              </w:rPr>
              <w:t>831</w:t>
            </w:r>
          </w:p>
        </w:tc>
      </w:tr>
      <w:tr w:rsidR="002A4188" w:rsidRPr="008A3369" w14:paraId="6E99823B"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120023AE" w14:textId="77777777" w:rsidR="008A3369" w:rsidRPr="008A3369" w:rsidRDefault="008A3369" w:rsidP="008A3369">
            <w:pPr>
              <w:rPr>
                <w:rFonts w:ascii="Arial" w:hAnsi="Arial" w:cs="Arial"/>
                <w:lang w:val="en-IN"/>
              </w:rPr>
            </w:pPr>
            <w:r w:rsidRPr="008A3369">
              <w:rPr>
                <w:rFonts w:ascii="Arial" w:hAnsi="Arial" w:cs="Arial"/>
                <w:lang w:val="en-IN"/>
              </w:rPr>
              <w:t>PDB ID:5DXT</w:t>
            </w:r>
          </w:p>
        </w:tc>
        <w:tc>
          <w:tcPr>
            <w:tcW w:w="655" w:type="dxa"/>
            <w:tcBorders>
              <w:top w:val="nil"/>
              <w:left w:val="nil"/>
              <w:bottom w:val="single" w:sz="4" w:space="0" w:color="auto"/>
              <w:right w:val="single" w:sz="4" w:space="0" w:color="auto"/>
            </w:tcBorders>
            <w:noWrap/>
            <w:vAlign w:val="bottom"/>
            <w:hideMark/>
          </w:tcPr>
          <w:p w14:paraId="2A6590B9"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156DC544" w14:textId="77777777" w:rsidR="008A3369" w:rsidRPr="008A3369" w:rsidRDefault="008A3369" w:rsidP="008A3369">
            <w:pPr>
              <w:rPr>
                <w:rFonts w:ascii="Arial" w:hAnsi="Arial" w:cs="Arial"/>
                <w:lang w:val="en-IN"/>
              </w:rPr>
            </w:pPr>
            <w:proofErr w:type="spellStart"/>
            <w:r w:rsidRPr="008A3369">
              <w:rPr>
                <w:rFonts w:ascii="Arial" w:hAnsi="Arial" w:cs="Arial"/>
                <w:lang w:val="en-IN"/>
              </w:rPr>
              <w:t>Alplesilib</w:t>
            </w:r>
            <w:proofErr w:type="spellEnd"/>
            <w:r w:rsidRPr="008A3369">
              <w:rPr>
                <w:rFonts w:ascii="Arial" w:hAnsi="Arial" w:cs="Arial"/>
                <w:lang w:val="en-IN"/>
              </w:rPr>
              <w:t xml:space="preserve"> (co-crystal)</w:t>
            </w:r>
          </w:p>
        </w:tc>
        <w:tc>
          <w:tcPr>
            <w:tcW w:w="1115" w:type="dxa"/>
            <w:tcBorders>
              <w:top w:val="nil"/>
              <w:left w:val="nil"/>
              <w:bottom w:val="single" w:sz="4" w:space="0" w:color="auto"/>
              <w:right w:val="single" w:sz="4" w:space="0" w:color="auto"/>
            </w:tcBorders>
            <w:noWrap/>
            <w:vAlign w:val="bottom"/>
            <w:hideMark/>
          </w:tcPr>
          <w:p w14:paraId="2F357871" w14:textId="77777777" w:rsidR="008A3369" w:rsidRPr="008A3369" w:rsidRDefault="008A3369" w:rsidP="008A3369">
            <w:pPr>
              <w:rPr>
                <w:rFonts w:ascii="Arial" w:hAnsi="Arial" w:cs="Arial"/>
                <w:lang w:val="en-IN"/>
              </w:rPr>
            </w:pPr>
            <w:r w:rsidRPr="008A3369">
              <w:rPr>
                <w:rFonts w:ascii="Arial" w:hAnsi="Arial" w:cs="Arial"/>
                <w:lang w:val="en-IN"/>
              </w:rPr>
              <w:t>-10.264</w:t>
            </w:r>
          </w:p>
        </w:tc>
        <w:tc>
          <w:tcPr>
            <w:tcW w:w="3101" w:type="dxa"/>
            <w:tcBorders>
              <w:top w:val="nil"/>
              <w:left w:val="nil"/>
              <w:bottom w:val="single" w:sz="4" w:space="0" w:color="auto"/>
              <w:right w:val="single" w:sz="4" w:space="0" w:color="auto"/>
            </w:tcBorders>
            <w:noWrap/>
            <w:vAlign w:val="bottom"/>
            <w:hideMark/>
          </w:tcPr>
          <w:p w14:paraId="315A41C2" w14:textId="77777777" w:rsidR="008A3369" w:rsidRPr="008A3369" w:rsidRDefault="008A3369" w:rsidP="008A3369">
            <w:pPr>
              <w:rPr>
                <w:rFonts w:ascii="Arial" w:hAnsi="Arial" w:cs="Arial"/>
                <w:lang w:val="en-IN"/>
              </w:rPr>
            </w:pPr>
            <w:r w:rsidRPr="008A3369">
              <w:rPr>
                <w:rFonts w:ascii="Arial" w:hAnsi="Arial" w:cs="Arial"/>
                <w:lang w:val="en-IN"/>
              </w:rPr>
              <w:t>GLN859(2), SER854, VAL851(2)</w:t>
            </w:r>
          </w:p>
        </w:tc>
      </w:tr>
      <w:tr w:rsidR="002A4188" w:rsidRPr="008A3369" w14:paraId="2FA29E1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226165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A3313D7"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748D06F4" w14:textId="77777777" w:rsidR="008A3369" w:rsidRPr="008A3369" w:rsidRDefault="008A3369" w:rsidP="008A3369">
            <w:pPr>
              <w:rPr>
                <w:rFonts w:ascii="Arial" w:hAnsi="Arial" w:cs="Arial"/>
                <w:lang w:val="en-IN"/>
              </w:rPr>
            </w:pPr>
            <w:r w:rsidRPr="008A3369">
              <w:rPr>
                <w:rFonts w:ascii="Arial" w:hAnsi="Arial" w:cs="Arial"/>
                <w:lang w:val="en-IN"/>
              </w:rPr>
              <w:t>Tamoxifen</w:t>
            </w:r>
          </w:p>
        </w:tc>
        <w:tc>
          <w:tcPr>
            <w:tcW w:w="1115" w:type="dxa"/>
            <w:tcBorders>
              <w:top w:val="nil"/>
              <w:left w:val="nil"/>
              <w:bottom w:val="single" w:sz="4" w:space="0" w:color="auto"/>
              <w:right w:val="single" w:sz="4" w:space="0" w:color="auto"/>
            </w:tcBorders>
            <w:noWrap/>
            <w:vAlign w:val="bottom"/>
            <w:hideMark/>
          </w:tcPr>
          <w:p w14:paraId="6150B566" w14:textId="77777777" w:rsidR="008A3369" w:rsidRPr="008A3369" w:rsidRDefault="008A3369" w:rsidP="008A3369">
            <w:pPr>
              <w:rPr>
                <w:rFonts w:ascii="Arial" w:hAnsi="Arial" w:cs="Arial"/>
                <w:lang w:val="en-IN"/>
              </w:rPr>
            </w:pPr>
            <w:r w:rsidRPr="008A3369">
              <w:rPr>
                <w:rFonts w:ascii="Arial" w:hAnsi="Arial" w:cs="Arial"/>
                <w:lang w:val="en-IN"/>
              </w:rPr>
              <w:t>-6.396</w:t>
            </w:r>
          </w:p>
        </w:tc>
        <w:tc>
          <w:tcPr>
            <w:tcW w:w="3101" w:type="dxa"/>
            <w:tcBorders>
              <w:top w:val="nil"/>
              <w:left w:val="nil"/>
              <w:bottom w:val="single" w:sz="4" w:space="0" w:color="auto"/>
              <w:right w:val="single" w:sz="4" w:space="0" w:color="auto"/>
            </w:tcBorders>
            <w:noWrap/>
            <w:vAlign w:val="bottom"/>
            <w:hideMark/>
          </w:tcPr>
          <w:p w14:paraId="704C0682" w14:textId="77777777" w:rsidR="008A3369" w:rsidRPr="008A3369" w:rsidRDefault="008A3369" w:rsidP="008A3369">
            <w:pPr>
              <w:rPr>
                <w:rFonts w:ascii="Arial" w:hAnsi="Arial" w:cs="Arial"/>
                <w:lang w:val="en-IN"/>
              </w:rPr>
            </w:pPr>
            <w:r w:rsidRPr="008A3369">
              <w:rPr>
                <w:rFonts w:ascii="Arial" w:hAnsi="Arial" w:cs="Arial"/>
                <w:lang w:val="en-IN"/>
              </w:rPr>
              <w:t>GLU798</w:t>
            </w:r>
          </w:p>
        </w:tc>
      </w:tr>
      <w:tr w:rsidR="002A4188" w:rsidRPr="008A3369" w14:paraId="11479CAB"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C98A62A"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72B54C0"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345F2C22"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422CDAC9" w14:textId="77777777" w:rsidR="008A3369" w:rsidRPr="008A3369" w:rsidRDefault="008A3369" w:rsidP="008A3369">
            <w:pPr>
              <w:rPr>
                <w:rFonts w:ascii="Arial" w:hAnsi="Arial" w:cs="Arial"/>
                <w:lang w:val="en-IN"/>
              </w:rPr>
            </w:pPr>
            <w:r w:rsidRPr="008A3369">
              <w:rPr>
                <w:rFonts w:ascii="Arial" w:hAnsi="Arial" w:cs="Arial"/>
                <w:lang w:val="en-IN"/>
              </w:rPr>
              <w:t>-5.8809</w:t>
            </w:r>
          </w:p>
        </w:tc>
        <w:tc>
          <w:tcPr>
            <w:tcW w:w="3101" w:type="dxa"/>
            <w:tcBorders>
              <w:top w:val="nil"/>
              <w:left w:val="nil"/>
              <w:bottom w:val="single" w:sz="4" w:space="0" w:color="auto"/>
              <w:right w:val="single" w:sz="4" w:space="0" w:color="auto"/>
            </w:tcBorders>
            <w:noWrap/>
            <w:vAlign w:val="bottom"/>
            <w:hideMark/>
          </w:tcPr>
          <w:p w14:paraId="4DD220F8" w14:textId="77777777" w:rsidR="008A3369" w:rsidRPr="008A3369" w:rsidRDefault="008A3369" w:rsidP="008A3369">
            <w:pPr>
              <w:rPr>
                <w:rFonts w:ascii="Arial" w:hAnsi="Arial" w:cs="Arial"/>
                <w:lang w:val="en-IN"/>
              </w:rPr>
            </w:pPr>
            <w:r w:rsidRPr="008A3369">
              <w:rPr>
                <w:rFonts w:ascii="Arial" w:hAnsi="Arial" w:cs="Arial"/>
                <w:lang w:val="en-IN"/>
              </w:rPr>
              <w:t>GLU</w:t>
            </w:r>
            <w:proofErr w:type="gramStart"/>
            <w:r w:rsidRPr="008A3369">
              <w:rPr>
                <w:rFonts w:ascii="Arial" w:hAnsi="Arial" w:cs="Arial"/>
                <w:lang w:val="en-IN"/>
              </w:rPr>
              <w:t>849,VAL</w:t>
            </w:r>
            <w:proofErr w:type="gramEnd"/>
            <w:r w:rsidRPr="008A3369">
              <w:rPr>
                <w:rFonts w:ascii="Arial" w:hAnsi="Arial" w:cs="Arial"/>
                <w:lang w:val="en-IN"/>
              </w:rPr>
              <w:t>851(2)</w:t>
            </w:r>
          </w:p>
        </w:tc>
      </w:tr>
      <w:tr w:rsidR="002A4188" w:rsidRPr="008A3369" w14:paraId="4BC36809"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352060B"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CBE9721"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36B8C39A"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6934CA07" w14:textId="77777777" w:rsidR="008A3369" w:rsidRPr="008A3369" w:rsidRDefault="008A3369" w:rsidP="008A3369">
            <w:pPr>
              <w:rPr>
                <w:rFonts w:ascii="Arial" w:hAnsi="Arial" w:cs="Arial"/>
                <w:lang w:val="en-IN"/>
              </w:rPr>
            </w:pPr>
            <w:r w:rsidRPr="008A3369">
              <w:rPr>
                <w:rFonts w:ascii="Arial" w:hAnsi="Arial" w:cs="Arial"/>
                <w:lang w:val="en-IN"/>
              </w:rPr>
              <w:t>-6.808</w:t>
            </w:r>
          </w:p>
        </w:tc>
        <w:tc>
          <w:tcPr>
            <w:tcW w:w="3101" w:type="dxa"/>
            <w:tcBorders>
              <w:top w:val="nil"/>
              <w:left w:val="nil"/>
              <w:bottom w:val="single" w:sz="4" w:space="0" w:color="auto"/>
              <w:right w:val="single" w:sz="4" w:space="0" w:color="auto"/>
            </w:tcBorders>
            <w:noWrap/>
            <w:vAlign w:val="bottom"/>
            <w:hideMark/>
          </w:tcPr>
          <w:p w14:paraId="29375BA4" w14:textId="77777777" w:rsidR="008A3369" w:rsidRPr="008A3369" w:rsidRDefault="008A3369" w:rsidP="008A3369">
            <w:pPr>
              <w:rPr>
                <w:rFonts w:ascii="Arial" w:hAnsi="Arial" w:cs="Arial"/>
                <w:lang w:val="en-IN"/>
              </w:rPr>
            </w:pPr>
            <w:r w:rsidRPr="008A3369">
              <w:rPr>
                <w:rFonts w:ascii="Arial" w:hAnsi="Arial" w:cs="Arial"/>
                <w:lang w:val="en-IN"/>
              </w:rPr>
              <w:t>SER</w:t>
            </w:r>
            <w:proofErr w:type="gramStart"/>
            <w:r w:rsidRPr="008A3369">
              <w:rPr>
                <w:rFonts w:ascii="Arial" w:hAnsi="Arial" w:cs="Arial"/>
                <w:lang w:val="en-IN"/>
              </w:rPr>
              <w:t>774,VAL</w:t>
            </w:r>
            <w:proofErr w:type="gramEnd"/>
            <w:r w:rsidRPr="008A3369">
              <w:rPr>
                <w:rFonts w:ascii="Arial" w:hAnsi="Arial" w:cs="Arial"/>
                <w:lang w:val="en-IN"/>
              </w:rPr>
              <w:t>851</w:t>
            </w:r>
          </w:p>
        </w:tc>
      </w:tr>
      <w:tr w:rsidR="002A4188" w:rsidRPr="008A3369" w14:paraId="088BF4B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227B09B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530B9A0"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194E0A8A" w14:textId="77777777" w:rsidR="008A3369" w:rsidRPr="008A3369" w:rsidRDefault="008A3369" w:rsidP="008A3369">
            <w:pPr>
              <w:rPr>
                <w:rFonts w:ascii="Arial" w:hAnsi="Arial" w:cs="Arial"/>
                <w:lang w:val="en-IN"/>
              </w:rPr>
            </w:pPr>
            <w:r w:rsidRPr="008A3369">
              <w:rPr>
                <w:rFonts w:ascii="Arial" w:hAnsi="Arial" w:cs="Arial"/>
                <w:lang w:val="en-IN"/>
              </w:rPr>
              <w:t>Tria-29</w:t>
            </w:r>
          </w:p>
        </w:tc>
        <w:tc>
          <w:tcPr>
            <w:tcW w:w="1115" w:type="dxa"/>
            <w:tcBorders>
              <w:top w:val="nil"/>
              <w:left w:val="nil"/>
              <w:bottom w:val="single" w:sz="4" w:space="0" w:color="auto"/>
              <w:right w:val="single" w:sz="4" w:space="0" w:color="auto"/>
            </w:tcBorders>
            <w:noWrap/>
            <w:vAlign w:val="bottom"/>
            <w:hideMark/>
          </w:tcPr>
          <w:p w14:paraId="61F71AAF" w14:textId="77777777" w:rsidR="008A3369" w:rsidRPr="008A3369" w:rsidRDefault="008A3369" w:rsidP="008A3369">
            <w:pPr>
              <w:rPr>
                <w:rFonts w:ascii="Arial" w:hAnsi="Arial" w:cs="Arial"/>
                <w:lang w:val="en-IN"/>
              </w:rPr>
            </w:pPr>
            <w:r w:rsidRPr="008A3369">
              <w:rPr>
                <w:rFonts w:ascii="Arial" w:hAnsi="Arial" w:cs="Arial"/>
                <w:lang w:val="en-IN"/>
              </w:rPr>
              <w:t>-6.264</w:t>
            </w:r>
          </w:p>
        </w:tc>
        <w:tc>
          <w:tcPr>
            <w:tcW w:w="3101" w:type="dxa"/>
            <w:tcBorders>
              <w:top w:val="nil"/>
              <w:left w:val="nil"/>
              <w:bottom w:val="single" w:sz="4" w:space="0" w:color="auto"/>
              <w:right w:val="single" w:sz="4" w:space="0" w:color="auto"/>
            </w:tcBorders>
            <w:noWrap/>
            <w:vAlign w:val="bottom"/>
            <w:hideMark/>
          </w:tcPr>
          <w:p w14:paraId="5FC7A182" w14:textId="77777777" w:rsidR="008A3369" w:rsidRPr="008A3369" w:rsidRDefault="008A3369" w:rsidP="008A3369">
            <w:pPr>
              <w:rPr>
                <w:rFonts w:ascii="Arial" w:hAnsi="Arial" w:cs="Arial"/>
                <w:lang w:val="en-IN"/>
              </w:rPr>
            </w:pPr>
            <w:r w:rsidRPr="008A3369">
              <w:rPr>
                <w:rFonts w:ascii="Arial" w:hAnsi="Arial" w:cs="Arial"/>
                <w:lang w:val="en-IN"/>
              </w:rPr>
              <w:t>ARG770(2</w:t>
            </w:r>
            <w:proofErr w:type="gramStart"/>
            <w:r w:rsidRPr="008A3369">
              <w:rPr>
                <w:rFonts w:ascii="Arial" w:hAnsi="Arial" w:cs="Arial"/>
                <w:lang w:val="en-IN"/>
              </w:rPr>
              <w:t>),VAL</w:t>
            </w:r>
            <w:proofErr w:type="gramEnd"/>
            <w:r w:rsidRPr="008A3369">
              <w:rPr>
                <w:rFonts w:ascii="Arial" w:hAnsi="Arial" w:cs="Arial"/>
                <w:lang w:val="en-IN"/>
              </w:rPr>
              <w:t>851,SER854</w:t>
            </w:r>
          </w:p>
        </w:tc>
      </w:tr>
      <w:tr w:rsidR="002A4188" w:rsidRPr="008A3369" w14:paraId="6DBC7377"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7C36AC19" w14:textId="77777777" w:rsidR="008A3369" w:rsidRPr="008A3369" w:rsidRDefault="008A3369" w:rsidP="008A3369">
            <w:pPr>
              <w:rPr>
                <w:rFonts w:ascii="Arial" w:hAnsi="Arial" w:cs="Arial"/>
                <w:lang w:val="en-IN"/>
              </w:rPr>
            </w:pPr>
            <w:r w:rsidRPr="008A3369">
              <w:rPr>
                <w:rFonts w:ascii="Arial" w:hAnsi="Arial" w:cs="Arial"/>
                <w:lang w:val="en-IN"/>
              </w:rPr>
              <w:t>PDB ID:4DRH</w:t>
            </w:r>
          </w:p>
        </w:tc>
        <w:tc>
          <w:tcPr>
            <w:tcW w:w="655" w:type="dxa"/>
            <w:tcBorders>
              <w:top w:val="nil"/>
              <w:left w:val="nil"/>
              <w:bottom w:val="single" w:sz="4" w:space="0" w:color="auto"/>
              <w:right w:val="single" w:sz="4" w:space="0" w:color="auto"/>
            </w:tcBorders>
            <w:noWrap/>
            <w:vAlign w:val="bottom"/>
            <w:hideMark/>
          </w:tcPr>
          <w:p w14:paraId="587522B5"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20C15BB0" w14:textId="5903C8EC" w:rsidR="008A3369" w:rsidRPr="008A3369" w:rsidRDefault="002A4188" w:rsidP="008A3369">
            <w:pPr>
              <w:rPr>
                <w:rFonts w:ascii="Arial" w:hAnsi="Arial" w:cs="Arial"/>
                <w:lang w:val="en-IN"/>
              </w:rPr>
            </w:pPr>
            <w:r>
              <w:rPr>
                <w:rFonts w:ascii="Arial" w:hAnsi="Arial" w:cs="Arial"/>
                <w:lang w:val="en-IN"/>
              </w:rPr>
              <w:t>RAP</w:t>
            </w:r>
          </w:p>
        </w:tc>
        <w:tc>
          <w:tcPr>
            <w:tcW w:w="1115" w:type="dxa"/>
            <w:tcBorders>
              <w:top w:val="nil"/>
              <w:left w:val="nil"/>
              <w:bottom w:val="single" w:sz="4" w:space="0" w:color="auto"/>
              <w:right w:val="single" w:sz="4" w:space="0" w:color="auto"/>
            </w:tcBorders>
            <w:noWrap/>
            <w:vAlign w:val="bottom"/>
            <w:hideMark/>
          </w:tcPr>
          <w:p w14:paraId="34E731ED" w14:textId="78EF02E6" w:rsidR="008A3369" w:rsidRPr="008A3369" w:rsidRDefault="00B972EF" w:rsidP="008A3369">
            <w:pPr>
              <w:rPr>
                <w:rFonts w:ascii="Arial" w:hAnsi="Arial" w:cs="Arial"/>
                <w:lang w:val="en-IN"/>
              </w:rPr>
            </w:pPr>
            <w:r>
              <w:rPr>
                <w:rFonts w:ascii="Arial" w:hAnsi="Arial" w:cs="Arial"/>
                <w:lang w:val="en-IN"/>
              </w:rPr>
              <w:t>-</w:t>
            </w:r>
            <w:r w:rsidR="00BD6C93">
              <w:rPr>
                <w:rFonts w:ascii="Arial" w:hAnsi="Arial" w:cs="Arial"/>
                <w:lang w:val="en-IN"/>
              </w:rPr>
              <w:t>6.457</w:t>
            </w:r>
          </w:p>
        </w:tc>
        <w:tc>
          <w:tcPr>
            <w:tcW w:w="3101" w:type="dxa"/>
            <w:tcBorders>
              <w:top w:val="nil"/>
              <w:left w:val="nil"/>
              <w:bottom w:val="single" w:sz="4" w:space="0" w:color="auto"/>
              <w:right w:val="single" w:sz="4" w:space="0" w:color="auto"/>
            </w:tcBorders>
            <w:noWrap/>
            <w:vAlign w:val="bottom"/>
            <w:hideMark/>
          </w:tcPr>
          <w:p w14:paraId="24731369" w14:textId="5855EDDC" w:rsidR="008A3369" w:rsidRPr="008A3369" w:rsidRDefault="002A4188" w:rsidP="008A3369">
            <w:pPr>
              <w:rPr>
                <w:rFonts w:ascii="Arial" w:hAnsi="Arial" w:cs="Arial"/>
                <w:lang w:val="en-IN"/>
              </w:rPr>
            </w:pPr>
            <w:r>
              <w:rPr>
                <w:rFonts w:ascii="Arial" w:hAnsi="Arial" w:cs="Arial"/>
                <w:lang w:val="en-IN"/>
              </w:rPr>
              <w:t xml:space="preserve">LYS 52, SER 80, GLN 85, </w:t>
            </w:r>
            <w:r w:rsidR="008A3369" w:rsidRPr="008A3369">
              <w:rPr>
                <w:rFonts w:ascii="Arial" w:hAnsi="Arial" w:cs="Arial"/>
                <w:lang w:val="en-IN"/>
              </w:rPr>
              <w:t>GLY</w:t>
            </w:r>
            <w:proofErr w:type="gramStart"/>
            <w:r w:rsidR="008A3369" w:rsidRPr="008A3369">
              <w:rPr>
                <w:rFonts w:ascii="Arial" w:hAnsi="Arial" w:cs="Arial"/>
                <w:lang w:val="en-IN"/>
              </w:rPr>
              <w:t>84,ILE</w:t>
            </w:r>
            <w:proofErr w:type="gramEnd"/>
            <w:r w:rsidR="008A3369" w:rsidRPr="008A3369">
              <w:rPr>
                <w:rFonts w:ascii="Arial" w:hAnsi="Arial" w:cs="Arial"/>
                <w:lang w:val="en-IN"/>
              </w:rPr>
              <w:t>87,</w:t>
            </w:r>
            <w:r>
              <w:rPr>
                <w:rFonts w:ascii="Arial" w:hAnsi="Arial" w:cs="Arial"/>
                <w:lang w:val="en-IN"/>
              </w:rPr>
              <w:t xml:space="preserve"> TYR 113</w:t>
            </w:r>
          </w:p>
        </w:tc>
      </w:tr>
      <w:tr w:rsidR="002A4188" w:rsidRPr="008A3369" w14:paraId="727C1D9F" w14:textId="77777777" w:rsidTr="00F82095">
        <w:trPr>
          <w:trHeight w:val="269"/>
        </w:trPr>
        <w:tc>
          <w:tcPr>
            <w:tcW w:w="937" w:type="dxa"/>
            <w:vMerge/>
            <w:tcBorders>
              <w:top w:val="nil"/>
              <w:left w:val="single" w:sz="4" w:space="0" w:color="auto"/>
              <w:bottom w:val="single" w:sz="4" w:space="0" w:color="auto"/>
              <w:right w:val="single" w:sz="4" w:space="0" w:color="auto"/>
            </w:tcBorders>
            <w:noWrap/>
            <w:vAlign w:val="center"/>
          </w:tcPr>
          <w:p w14:paraId="167BF27B"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tcPr>
          <w:p w14:paraId="2C121DEB" w14:textId="0E29A916" w:rsidR="002A4188" w:rsidRPr="008A3369" w:rsidRDefault="002A4188" w:rsidP="002A4188">
            <w:pPr>
              <w:rPr>
                <w:rFonts w:ascii="Arial" w:hAnsi="Arial" w:cs="Arial"/>
                <w:lang w:val="en-IN"/>
              </w:rPr>
            </w:pPr>
            <w:r>
              <w:rPr>
                <w:rFonts w:ascii="Arial" w:hAnsi="Arial" w:cs="Arial"/>
                <w:lang w:val="en-IN"/>
              </w:rPr>
              <w:t>2</w:t>
            </w:r>
          </w:p>
        </w:tc>
        <w:tc>
          <w:tcPr>
            <w:tcW w:w="2240" w:type="dxa"/>
            <w:tcBorders>
              <w:top w:val="nil"/>
              <w:left w:val="nil"/>
              <w:bottom w:val="single" w:sz="4" w:space="0" w:color="auto"/>
              <w:right w:val="single" w:sz="4" w:space="0" w:color="auto"/>
            </w:tcBorders>
            <w:noWrap/>
            <w:vAlign w:val="bottom"/>
          </w:tcPr>
          <w:p w14:paraId="4E1293EA" w14:textId="673B7968" w:rsidR="002A4188" w:rsidRPr="008A3369" w:rsidRDefault="002A4188" w:rsidP="002A4188">
            <w:pPr>
              <w:rPr>
                <w:rFonts w:ascii="Arial" w:hAnsi="Arial" w:cs="Arial"/>
                <w:lang w:val="en-IN"/>
              </w:rPr>
            </w:pPr>
            <w:r w:rsidRPr="008A3369">
              <w:rPr>
                <w:rFonts w:ascii="Arial" w:hAnsi="Arial" w:cs="Arial"/>
                <w:lang w:val="en-IN"/>
              </w:rPr>
              <w:t>Doxorubicin</w:t>
            </w:r>
          </w:p>
        </w:tc>
        <w:tc>
          <w:tcPr>
            <w:tcW w:w="1115" w:type="dxa"/>
            <w:tcBorders>
              <w:top w:val="nil"/>
              <w:left w:val="nil"/>
              <w:bottom w:val="single" w:sz="4" w:space="0" w:color="auto"/>
              <w:right w:val="single" w:sz="4" w:space="0" w:color="auto"/>
            </w:tcBorders>
            <w:noWrap/>
            <w:vAlign w:val="bottom"/>
          </w:tcPr>
          <w:p w14:paraId="39C16627" w14:textId="6FAD6FB5" w:rsidR="002A4188" w:rsidRPr="008A3369" w:rsidRDefault="002A4188" w:rsidP="002A4188">
            <w:pPr>
              <w:rPr>
                <w:rFonts w:ascii="Arial" w:hAnsi="Arial" w:cs="Arial"/>
                <w:lang w:val="en-IN"/>
              </w:rPr>
            </w:pPr>
            <w:r w:rsidRPr="008A3369">
              <w:rPr>
                <w:rFonts w:ascii="Arial" w:hAnsi="Arial" w:cs="Arial"/>
                <w:lang w:val="en-IN"/>
              </w:rPr>
              <w:t>-5.693</w:t>
            </w:r>
          </w:p>
        </w:tc>
        <w:tc>
          <w:tcPr>
            <w:tcW w:w="3101" w:type="dxa"/>
            <w:tcBorders>
              <w:top w:val="nil"/>
              <w:left w:val="nil"/>
              <w:bottom w:val="single" w:sz="4" w:space="0" w:color="auto"/>
              <w:right w:val="single" w:sz="4" w:space="0" w:color="auto"/>
            </w:tcBorders>
            <w:noWrap/>
            <w:vAlign w:val="bottom"/>
          </w:tcPr>
          <w:p w14:paraId="4B78C075" w14:textId="6BA3664A" w:rsidR="002A4188" w:rsidRPr="008A3369" w:rsidRDefault="002A4188" w:rsidP="002A4188">
            <w:pPr>
              <w:rPr>
                <w:rFonts w:ascii="Arial" w:hAnsi="Arial" w:cs="Arial"/>
                <w:lang w:val="en-IN"/>
              </w:rPr>
            </w:pPr>
            <w:r w:rsidRPr="008A3369">
              <w:rPr>
                <w:rFonts w:ascii="Arial" w:hAnsi="Arial" w:cs="Arial"/>
                <w:lang w:val="en-IN"/>
              </w:rPr>
              <w:t>GLY</w:t>
            </w:r>
            <w:proofErr w:type="gramStart"/>
            <w:r w:rsidRPr="008A3369">
              <w:rPr>
                <w:rFonts w:ascii="Arial" w:hAnsi="Arial" w:cs="Arial"/>
                <w:lang w:val="en-IN"/>
              </w:rPr>
              <w:t>84,ILE</w:t>
            </w:r>
            <w:proofErr w:type="gramEnd"/>
            <w:r w:rsidRPr="008A3369">
              <w:rPr>
                <w:rFonts w:ascii="Arial" w:hAnsi="Arial" w:cs="Arial"/>
                <w:lang w:val="en-IN"/>
              </w:rPr>
              <w:t>87,ALA112</w:t>
            </w:r>
          </w:p>
        </w:tc>
      </w:tr>
      <w:tr w:rsidR="002A4188" w:rsidRPr="008A3369" w14:paraId="425B90A1"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71A691A4"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E2E32B2" w14:textId="493A2AA2" w:rsidR="002A4188" w:rsidRPr="008A3369" w:rsidRDefault="002A4188" w:rsidP="002A4188">
            <w:pPr>
              <w:rPr>
                <w:rFonts w:ascii="Arial" w:hAnsi="Arial" w:cs="Arial"/>
                <w:lang w:val="en-IN"/>
              </w:rPr>
            </w:pPr>
            <w:r>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6D5BA2B7" w14:textId="77777777" w:rsidR="002A4188" w:rsidRPr="008A3369" w:rsidRDefault="002A4188" w:rsidP="002A4188">
            <w:pPr>
              <w:rPr>
                <w:rFonts w:ascii="Arial" w:hAnsi="Arial" w:cs="Arial"/>
                <w:lang w:val="en-IN"/>
              </w:rPr>
            </w:pPr>
            <w:r w:rsidRPr="008A3369">
              <w:rPr>
                <w:rFonts w:ascii="Arial" w:hAnsi="Arial" w:cs="Arial"/>
                <w:lang w:val="en-IN"/>
              </w:rPr>
              <w:t xml:space="preserve">Letrozole </w:t>
            </w:r>
          </w:p>
        </w:tc>
        <w:tc>
          <w:tcPr>
            <w:tcW w:w="1115" w:type="dxa"/>
            <w:tcBorders>
              <w:top w:val="nil"/>
              <w:left w:val="nil"/>
              <w:bottom w:val="single" w:sz="4" w:space="0" w:color="auto"/>
              <w:right w:val="single" w:sz="4" w:space="0" w:color="auto"/>
            </w:tcBorders>
            <w:noWrap/>
            <w:vAlign w:val="bottom"/>
            <w:hideMark/>
          </w:tcPr>
          <w:p w14:paraId="6F7E2E54" w14:textId="77777777" w:rsidR="002A4188" w:rsidRPr="008A3369" w:rsidRDefault="002A4188" w:rsidP="002A4188">
            <w:pPr>
              <w:rPr>
                <w:rFonts w:ascii="Arial" w:hAnsi="Arial" w:cs="Arial"/>
                <w:lang w:val="en-IN"/>
              </w:rPr>
            </w:pPr>
            <w:r w:rsidRPr="008A3369">
              <w:rPr>
                <w:rFonts w:ascii="Arial" w:hAnsi="Arial" w:cs="Arial"/>
                <w:lang w:val="en-IN"/>
              </w:rPr>
              <w:t>-4.862</w:t>
            </w:r>
          </w:p>
        </w:tc>
        <w:tc>
          <w:tcPr>
            <w:tcW w:w="3101" w:type="dxa"/>
            <w:tcBorders>
              <w:top w:val="nil"/>
              <w:left w:val="nil"/>
              <w:bottom w:val="single" w:sz="4" w:space="0" w:color="auto"/>
              <w:right w:val="single" w:sz="4" w:space="0" w:color="auto"/>
            </w:tcBorders>
            <w:noWrap/>
            <w:vAlign w:val="bottom"/>
            <w:hideMark/>
          </w:tcPr>
          <w:p w14:paraId="56C4436D" w14:textId="77777777" w:rsidR="002A4188" w:rsidRPr="008A3369" w:rsidRDefault="002A4188" w:rsidP="002A4188">
            <w:pPr>
              <w:rPr>
                <w:rFonts w:ascii="Arial" w:hAnsi="Arial" w:cs="Arial"/>
                <w:lang w:val="en-IN"/>
              </w:rPr>
            </w:pPr>
            <w:r w:rsidRPr="008A3369">
              <w:rPr>
                <w:rFonts w:ascii="Arial" w:hAnsi="Arial" w:cs="Arial"/>
                <w:lang w:val="en-IN"/>
              </w:rPr>
              <w:t>ILE</w:t>
            </w:r>
            <w:proofErr w:type="gramStart"/>
            <w:r w:rsidRPr="008A3369">
              <w:rPr>
                <w:rFonts w:ascii="Arial" w:hAnsi="Arial" w:cs="Arial"/>
                <w:lang w:val="en-IN"/>
              </w:rPr>
              <w:t>87,LYS</w:t>
            </w:r>
            <w:proofErr w:type="gramEnd"/>
            <w:r w:rsidRPr="008A3369">
              <w:rPr>
                <w:rFonts w:ascii="Arial" w:hAnsi="Arial" w:cs="Arial"/>
                <w:lang w:val="en-IN"/>
              </w:rPr>
              <w:t>121</w:t>
            </w:r>
          </w:p>
        </w:tc>
      </w:tr>
      <w:tr w:rsidR="002A4188" w:rsidRPr="008A3369" w14:paraId="7F371E0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4DC836C5"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4EA0BF2" w14:textId="412AA54D" w:rsidR="002A4188" w:rsidRPr="008A3369" w:rsidRDefault="002A4188" w:rsidP="002A4188">
            <w:pPr>
              <w:rPr>
                <w:rFonts w:ascii="Arial" w:hAnsi="Arial" w:cs="Arial"/>
                <w:lang w:val="en-IN"/>
              </w:rPr>
            </w:pPr>
            <w:r>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71D8F75C" w14:textId="77777777" w:rsidR="002A4188" w:rsidRPr="008A3369" w:rsidRDefault="002A4188" w:rsidP="002A4188">
            <w:pPr>
              <w:rPr>
                <w:rFonts w:ascii="Arial" w:hAnsi="Arial" w:cs="Arial"/>
                <w:lang w:val="en-IN"/>
              </w:rPr>
            </w:pPr>
            <w:proofErr w:type="spellStart"/>
            <w:r w:rsidRPr="008A3369">
              <w:rPr>
                <w:rFonts w:ascii="Arial" w:hAnsi="Arial" w:cs="Arial"/>
                <w:lang w:val="en-IN"/>
              </w:rPr>
              <w:t>Nertinib</w:t>
            </w:r>
            <w:proofErr w:type="spellEnd"/>
          </w:p>
        </w:tc>
        <w:tc>
          <w:tcPr>
            <w:tcW w:w="1115" w:type="dxa"/>
            <w:tcBorders>
              <w:top w:val="nil"/>
              <w:left w:val="nil"/>
              <w:bottom w:val="single" w:sz="4" w:space="0" w:color="auto"/>
              <w:right w:val="single" w:sz="4" w:space="0" w:color="auto"/>
            </w:tcBorders>
            <w:noWrap/>
            <w:vAlign w:val="bottom"/>
            <w:hideMark/>
          </w:tcPr>
          <w:p w14:paraId="2B968A52" w14:textId="77777777" w:rsidR="002A4188" w:rsidRPr="008A3369" w:rsidRDefault="002A4188" w:rsidP="002A4188">
            <w:pPr>
              <w:rPr>
                <w:rFonts w:ascii="Arial" w:hAnsi="Arial" w:cs="Arial"/>
                <w:lang w:val="en-IN"/>
              </w:rPr>
            </w:pPr>
            <w:r w:rsidRPr="008A3369">
              <w:rPr>
                <w:rFonts w:ascii="Arial" w:hAnsi="Arial" w:cs="Arial"/>
                <w:lang w:val="en-IN"/>
              </w:rPr>
              <w:t>-5.202</w:t>
            </w:r>
          </w:p>
        </w:tc>
        <w:tc>
          <w:tcPr>
            <w:tcW w:w="3101" w:type="dxa"/>
            <w:tcBorders>
              <w:top w:val="nil"/>
              <w:left w:val="nil"/>
              <w:bottom w:val="single" w:sz="4" w:space="0" w:color="auto"/>
              <w:right w:val="single" w:sz="4" w:space="0" w:color="auto"/>
            </w:tcBorders>
            <w:noWrap/>
            <w:vAlign w:val="bottom"/>
            <w:hideMark/>
          </w:tcPr>
          <w:p w14:paraId="4945360B" w14:textId="77777777" w:rsidR="002A4188" w:rsidRPr="008A3369" w:rsidRDefault="002A4188" w:rsidP="002A4188">
            <w:pPr>
              <w:rPr>
                <w:rFonts w:ascii="Arial" w:hAnsi="Arial" w:cs="Arial"/>
                <w:lang w:val="en-IN"/>
              </w:rPr>
            </w:pPr>
            <w:r w:rsidRPr="008A3369">
              <w:rPr>
                <w:rFonts w:ascii="Arial" w:hAnsi="Arial" w:cs="Arial"/>
                <w:lang w:val="en-IN"/>
              </w:rPr>
              <w:t>ALA</w:t>
            </w:r>
            <w:proofErr w:type="gramStart"/>
            <w:r w:rsidRPr="008A3369">
              <w:rPr>
                <w:rFonts w:ascii="Arial" w:hAnsi="Arial" w:cs="Arial"/>
                <w:lang w:val="en-IN"/>
              </w:rPr>
              <w:t>112,TYR</w:t>
            </w:r>
            <w:proofErr w:type="gramEnd"/>
            <w:r w:rsidRPr="008A3369">
              <w:rPr>
                <w:rFonts w:ascii="Arial" w:hAnsi="Arial" w:cs="Arial"/>
                <w:lang w:val="en-IN"/>
              </w:rPr>
              <w:t>113,SER118</w:t>
            </w:r>
          </w:p>
        </w:tc>
      </w:tr>
      <w:tr w:rsidR="002A4188" w:rsidRPr="008A3369" w14:paraId="7FB8682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0890C08"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49F35A5" w14:textId="4FED24ED" w:rsidR="002A4188" w:rsidRPr="008A3369" w:rsidRDefault="002A4188" w:rsidP="002A4188">
            <w:pPr>
              <w:rPr>
                <w:rFonts w:ascii="Arial" w:hAnsi="Arial" w:cs="Arial"/>
                <w:lang w:val="en-IN"/>
              </w:rPr>
            </w:pPr>
            <w:r>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0AD9D143" w14:textId="77777777" w:rsidR="002A4188" w:rsidRPr="008A3369" w:rsidRDefault="002A4188" w:rsidP="002A4188">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613DBFE8" w14:textId="77777777" w:rsidR="002A4188" w:rsidRPr="008A3369" w:rsidRDefault="002A4188" w:rsidP="002A4188">
            <w:pPr>
              <w:rPr>
                <w:rFonts w:ascii="Arial" w:hAnsi="Arial" w:cs="Arial"/>
                <w:lang w:val="en-IN"/>
              </w:rPr>
            </w:pPr>
            <w:r w:rsidRPr="008A3369">
              <w:rPr>
                <w:rFonts w:ascii="Arial" w:hAnsi="Arial" w:cs="Arial"/>
                <w:lang w:val="en-IN"/>
              </w:rPr>
              <w:t>-4.315</w:t>
            </w:r>
          </w:p>
        </w:tc>
        <w:tc>
          <w:tcPr>
            <w:tcW w:w="3101" w:type="dxa"/>
            <w:tcBorders>
              <w:top w:val="nil"/>
              <w:left w:val="nil"/>
              <w:bottom w:val="single" w:sz="4" w:space="0" w:color="auto"/>
              <w:right w:val="single" w:sz="4" w:space="0" w:color="auto"/>
            </w:tcBorders>
            <w:noWrap/>
            <w:vAlign w:val="bottom"/>
            <w:hideMark/>
          </w:tcPr>
          <w:p w14:paraId="18F81132" w14:textId="77777777" w:rsidR="002A4188" w:rsidRPr="008A3369" w:rsidRDefault="002A4188" w:rsidP="002A4188">
            <w:pPr>
              <w:rPr>
                <w:rFonts w:ascii="Arial" w:hAnsi="Arial" w:cs="Arial"/>
                <w:lang w:val="en-IN"/>
              </w:rPr>
            </w:pPr>
            <w:r w:rsidRPr="008A3369">
              <w:rPr>
                <w:rFonts w:ascii="Arial" w:hAnsi="Arial" w:cs="Arial"/>
                <w:lang w:val="en-IN"/>
              </w:rPr>
              <w:t>ASP68</w:t>
            </w:r>
          </w:p>
        </w:tc>
      </w:tr>
      <w:tr w:rsidR="002A4188" w:rsidRPr="008A3369" w14:paraId="62D9B13F"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0809AD3"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0C077D4" w14:textId="5DFEEBB3" w:rsidR="002A4188" w:rsidRPr="008A3369" w:rsidRDefault="002A4188" w:rsidP="002A4188">
            <w:pPr>
              <w:rPr>
                <w:rFonts w:ascii="Arial" w:hAnsi="Arial" w:cs="Arial"/>
                <w:lang w:val="en-IN"/>
              </w:rPr>
            </w:pPr>
            <w:r>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32C1DE6D" w14:textId="77777777" w:rsidR="002A4188" w:rsidRPr="008A3369" w:rsidRDefault="002A4188" w:rsidP="002A4188">
            <w:pPr>
              <w:rPr>
                <w:rFonts w:ascii="Arial" w:hAnsi="Arial" w:cs="Arial"/>
                <w:lang w:val="en-IN"/>
              </w:rPr>
            </w:pPr>
            <w:r w:rsidRPr="008A3369">
              <w:rPr>
                <w:rFonts w:ascii="Arial" w:hAnsi="Arial" w:cs="Arial"/>
                <w:lang w:val="en-IN"/>
              </w:rPr>
              <w:t>Tria-25</w:t>
            </w:r>
          </w:p>
        </w:tc>
        <w:tc>
          <w:tcPr>
            <w:tcW w:w="1115" w:type="dxa"/>
            <w:tcBorders>
              <w:top w:val="nil"/>
              <w:left w:val="nil"/>
              <w:bottom w:val="single" w:sz="4" w:space="0" w:color="auto"/>
              <w:right w:val="single" w:sz="4" w:space="0" w:color="auto"/>
            </w:tcBorders>
            <w:noWrap/>
            <w:vAlign w:val="bottom"/>
            <w:hideMark/>
          </w:tcPr>
          <w:p w14:paraId="527ED057" w14:textId="77777777" w:rsidR="002A4188" w:rsidRPr="008A3369" w:rsidRDefault="002A4188" w:rsidP="002A4188">
            <w:pPr>
              <w:rPr>
                <w:rFonts w:ascii="Arial" w:hAnsi="Arial" w:cs="Arial"/>
                <w:lang w:val="en-IN"/>
              </w:rPr>
            </w:pPr>
            <w:r w:rsidRPr="008A3369">
              <w:rPr>
                <w:rFonts w:ascii="Arial" w:hAnsi="Arial" w:cs="Arial"/>
                <w:lang w:val="en-IN"/>
              </w:rPr>
              <w:t>-5.434</w:t>
            </w:r>
          </w:p>
        </w:tc>
        <w:tc>
          <w:tcPr>
            <w:tcW w:w="3101" w:type="dxa"/>
            <w:tcBorders>
              <w:top w:val="nil"/>
              <w:left w:val="nil"/>
              <w:bottom w:val="single" w:sz="4" w:space="0" w:color="auto"/>
              <w:right w:val="single" w:sz="4" w:space="0" w:color="auto"/>
            </w:tcBorders>
            <w:noWrap/>
            <w:vAlign w:val="bottom"/>
            <w:hideMark/>
          </w:tcPr>
          <w:p w14:paraId="660B8427" w14:textId="77777777" w:rsidR="002A4188" w:rsidRPr="008A3369" w:rsidRDefault="002A4188" w:rsidP="002A4188">
            <w:pPr>
              <w:rPr>
                <w:rFonts w:ascii="Arial" w:hAnsi="Arial" w:cs="Arial"/>
                <w:lang w:val="en-IN"/>
              </w:rPr>
            </w:pPr>
            <w:r w:rsidRPr="008A3369">
              <w:rPr>
                <w:rFonts w:ascii="Arial" w:hAnsi="Arial" w:cs="Arial"/>
                <w:lang w:val="en-IN"/>
              </w:rPr>
              <w:t>LYS121</w:t>
            </w:r>
          </w:p>
        </w:tc>
      </w:tr>
      <w:tr w:rsidR="002A4188" w:rsidRPr="008A3369" w14:paraId="1F28759D"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4719900"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5076A0C" w14:textId="31971764" w:rsidR="002A4188" w:rsidRPr="008A3369" w:rsidRDefault="002A4188" w:rsidP="002A4188">
            <w:pPr>
              <w:rPr>
                <w:rFonts w:ascii="Arial" w:hAnsi="Arial" w:cs="Arial"/>
                <w:lang w:val="en-IN"/>
              </w:rPr>
            </w:pPr>
            <w:r>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287C080E" w14:textId="77777777" w:rsidR="002A4188" w:rsidRPr="008A3369" w:rsidRDefault="002A4188" w:rsidP="002A4188">
            <w:pPr>
              <w:rPr>
                <w:rFonts w:ascii="Arial" w:hAnsi="Arial" w:cs="Arial"/>
                <w:lang w:val="en-IN"/>
              </w:rPr>
            </w:pPr>
            <w:r w:rsidRPr="008A3369">
              <w:rPr>
                <w:rFonts w:ascii="Arial" w:hAnsi="Arial" w:cs="Arial"/>
                <w:lang w:val="en-IN"/>
              </w:rPr>
              <w:t>Tria-14</w:t>
            </w:r>
          </w:p>
        </w:tc>
        <w:tc>
          <w:tcPr>
            <w:tcW w:w="1115" w:type="dxa"/>
            <w:tcBorders>
              <w:top w:val="nil"/>
              <w:left w:val="nil"/>
              <w:bottom w:val="single" w:sz="4" w:space="0" w:color="auto"/>
              <w:right w:val="single" w:sz="4" w:space="0" w:color="auto"/>
            </w:tcBorders>
            <w:noWrap/>
            <w:vAlign w:val="bottom"/>
            <w:hideMark/>
          </w:tcPr>
          <w:p w14:paraId="394DD5AE" w14:textId="77777777" w:rsidR="002A4188" w:rsidRPr="008A3369" w:rsidRDefault="002A4188" w:rsidP="002A4188">
            <w:pPr>
              <w:rPr>
                <w:rFonts w:ascii="Arial" w:hAnsi="Arial" w:cs="Arial"/>
                <w:lang w:val="en-IN"/>
              </w:rPr>
            </w:pPr>
            <w:r w:rsidRPr="008A3369">
              <w:rPr>
                <w:rFonts w:ascii="Arial" w:hAnsi="Arial" w:cs="Arial"/>
                <w:lang w:val="en-IN"/>
              </w:rPr>
              <w:t>-5.405</w:t>
            </w:r>
          </w:p>
        </w:tc>
        <w:tc>
          <w:tcPr>
            <w:tcW w:w="3101" w:type="dxa"/>
            <w:tcBorders>
              <w:top w:val="nil"/>
              <w:left w:val="nil"/>
              <w:bottom w:val="single" w:sz="4" w:space="0" w:color="auto"/>
              <w:right w:val="single" w:sz="4" w:space="0" w:color="auto"/>
            </w:tcBorders>
            <w:noWrap/>
            <w:vAlign w:val="bottom"/>
            <w:hideMark/>
          </w:tcPr>
          <w:p w14:paraId="7A0B50D2" w14:textId="77777777" w:rsidR="002A4188" w:rsidRPr="008A3369" w:rsidRDefault="002A4188" w:rsidP="002A4188">
            <w:pPr>
              <w:rPr>
                <w:rFonts w:ascii="Arial" w:hAnsi="Arial" w:cs="Arial"/>
                <w:lang w:val="en-IN"/>
              </w:rPr>
            </w:pPr>
            <w:r w:rsidRPr="008A3369">
              <w:rPr>
                <w:rFonts w:ascii="Arial" w:hAnsi="Arial" w:cs="Arial"/>
                <w:lang w:val="en-IN"/>
              </w:rPr>
              <w:t>TYR113</w:t>
            </w:r>
          </w:p>
        </w:tc>
      </w:tr>
      <w:tr w:rsidR="002A4188" w:rsidRPr="008A3369" w14:paraId="0BFCE2FC"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E34BC1C"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8216139" w14:textId="38E0E3B1" w:rsidR="002A4188" w:rsidRPr="008A3369" w:rsidRDefault="002A4188" w:rsidP="002A4188">
            <w:pPr>
              <w:rPr>
                <w:rFonts w:ascii="Arial" w:hAnsi="Arial" w:cs="Arial"/>
                <w:lang w:val="en-IN"/>
              </w:rPr>
            </w:pPr>
            <w:r>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339BCD01" w14:textId="77777777" w:rsidR="002A4188" w:rsidRPr="008A3369" w:rsidRDefault="002A4188" w:rsidP="002A4188">
            <w:pPr>
              <w:rPr>
                <w:rFonts w:ascii="Arial" w:hAnsi="Arial" w:cs="Arial"/>
                <w:lang w:val="en-IN"/>
              </w:rPr>
            </w:pPr>
            <w:r w:rsidRPr="008A3369">
              <w:rPr>
                <w:rFonts w:ascii="Arial" w:hAnsi="Arial" w:cs="Arial"/>
                <w:lang w:val="en-IN"/>
              </w:rPr>
              <w:t>Tria-22</w:t>
            </w:r>
          </w:p>
        </w:tc>
        <w:tc>
          <w:tcPr>
            <w:tcW w:w="1115" w:type="dxa"/>
            <w:tcBorders>
              <w:top w:val="nil"/>
              <w:left w:val="nil"/>
              <w:bottom w:val="single" w:sz="4" w:space="0" w:color="auto"/>
              <w:right w:val="single" w:sz="4" w:space="0" w:color="auto"/>
            </w:tcBorders>
            <w:noWrap/>
            <w:vAlign w:val="bottom"/>
            <w:hideMark/>
          </w:tcPr>
          <w:p w14:paraId="7B147E98" w14:textId="77777777" w:rsidR="002A4188" w:rsidRPr="008A3369" w:rsidRDefault="002A4188" w:rsidP="002A4188">
            <w:pPr>
              <w:rPr>
                <w:rFonts w:ascii="Arial" w:hAnsi="Arial" w:cs="Arial"/>
                <w:lang w:val="en-IN"/>
              </w:rPr>
            </w:pPr>
            <w:r w:rsidRPr="008A3369">
              <w:rPr>
                <w:rFonts w:ascii="Arial" w:hAnsi="Arial" w:cs="Arial"/>
                <w:lang w:val="en-IN"/>
              </w:rPr>
              <w:t>-5.397</w:t>
            </w:r>
          </w:p>
        </w:tc>
        <w:tc>
          <w:tcPr>
            <w:tcW w:w="3101" w:type="dxa"/>
            <w:tcBorders>
              <w:top w:val="nil"/>
              <w:left w:val="nil"/>
              <w:bottom w:val="single" w:sz="4" w:space="0" w:color="auto"/>
              <w:right w:val="single" w:sz="4" w:space="0" w:color="auto"/>
            </w:tcBorders>
            <w:noWrap/>
            <w:vAlign w:val="bottom"/>
            <w:hideMark/>
          </w:tcPr>
          <w:p w14:paraId="5C498840" w14:textId="77777777" w:rsidR="002A4188" w:rsidRPr="008A3369" w:rsidRDefault="002A4188" w:rsidP="002A4188">
            <w:pPr>
              <w:rPr>
                <w:rFonts w:ascii="Arial" w:hAnsi="Arial" w:cs="Arial"/>
                <w:lang w:val="en-IN"/>
              </w:rPr>
            </w:pPr>
            <w:r w:rsidRPr="008A3369">
              <w:rPr>
                <w:rFonts w:ascii="Arial" w:hAnsi="Arial" w:cs="Arial"/>
                <w:lang w:val="en-IN"/>
              </w:rPr>
              <w:t>TYR113</w:t>
            </w:r>
          </w:p>
        </w:tc>
      </w:tr>
      <w:tr w:rsidR="002A4188" w:rsidRPr="008A3369" w14:paraId="5ED9501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7F9C87F4"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33189480" w14:textId="5E5ECB06" w:rsidR="002A4188" w:rsidRPr="008A3369" w:rsidRDefault="002A4188" w:rsidP="002A4188">
            <w:pPr>
              <w:rPr>
                <w:rFonts w:ascii="Arial" w:hAnsi="Arial" w:cs="Arial"/>
                <w:lang w:val="en-IN"/>
              </w:rPr>
            </w:pPr>
            <w:r>
              <w:rPr>
                <w:rFonts w:ascii="Arial" w:hAnsi="Arial" w:cs="Arial"/>
                <w:lang w:val="en-IN"/>
              </w:rPr>
              <w:t>9</w:t>
            </w:r>
          </w:p>
        </w:tc>
        <w:tc>
          <w:tcPr>
            <w:tcW w:w="2240" w:type="dxa"/>
            <w:tcBorders>
              <w:top w:val="nil"/>
              <w:left w:val="nil"/>
              <w:bottom w:val="single" w:sz="4" w:space="0" w:color="auto"/>
              <w:right w:val="single" w:sz="4" w:space="0" w:color="auto"/>
            </w:tcBorders>
            <w:noWrap/>
            <w:vAlign w:val="bottom"/>
            <w:hideMark/>
          </w:tcPr>
          <w:p w14:paraId="5105CBE4" w14:textId="77777777" w:rsidR="002A4188" w:rsidRPr="008A3369" w:rsidRDefault="002A4188" w:rsidP="002A4188">
            <w:pPr>
              <w:rPr>
                <w:rFonts w:ascii="Arial" w:hAnsi="Arial" w:cs="Arial"/>
                <w:lang w:val="en-IN"/>
              </w:rPr>
            </w:pPr>
            <w:r w:rsidRPr="008A3369">
              <w:rPr>
                <w:rFonts w:ascii="Arial" w:hAnsi="Arial" w:cs="Arial"/>
                <w:lang w:val="en-IN"/>
              </w:rPr>
              <w:t>Tria-1</w:t>
            </w:r>
          </w:p>
        </w:tc>
        <w:tc>
          <w:tcPr>
            <w:tcW w:w="1115" w:type="dxa"/>
            <w:tcBorders>
              <w:top w:val="nil"/>
              <w:left w:val="nil"/>
              <w:bottom w:val="single" w:sz="4" w:space="0" w:color="auto"/>
              <w:right w:val="single" w:sz="4" w:space="0" w:color="auto"/>
            </w:tcBorders>
            <w:noWrap/>
            <w:vAlign w:val="bottom"/>
            <w:hideMark/>
          </w:tcPr>
          <w:p w14:paraId="666BB80D" w14:textId="77777777" w:rsidR="002A4188" w:rsidRPr="008A3369" w:rsidRDefault="002A4188" w:rsidP="002A4188">
            <w:pPr>
              <w:rPr>
                <w:rFonts w:ascii="Arial" w:hAnsi="Arial" w:cs="Arial"/>
                <w:lang w:val="en-IN"/>
              </w:rPr>
            </w:pPr>
            <w:r w:rsidRPr="008A3369">
              <w:rPr>
                <w:rFonts w:ascii="Arial" w:hAnsi="Arial" w:cs="Arial"/>
                <w:lang w:val="en-IN"/>
              </w:rPr>
              <w:t>-5.302</w:t>
            </w:r>
          </w:p>
        </w:tc>
        <w:tc>
          <w:tcPr>
            <w:tcW w:w="3101" w:type="dxa"/>
            <w:tcBorders>
              <w:top w:val="nil"/>
              <w:left w:val="nil"/>
              <w:bottom w:val="single" w:sz="4" w:space="0" w:color="auto"/>
              <w:right w:val="single" w:sz="4" w:space="0" w:color="auto"/>
            </w:tcBorders>
            <w:noWrap/>
            <w:vAlign w:val="bottom"/>
            <w:hideMark/>
          </w:tcPr>
          <w:p w14:paraId="4D80BCD7" w14:textId="77777777" w:rsidR="002A4188" w:rsidRPr="008A3369" w:rsidRDefault="002A4188" w:rsidP="002A4188">
            <w:pPr>
              <w:rPr>
                <w:rFonts w:ascii="Arial" w:hAnsi="Arial" w:cs="Arial"/>
                <w:lang w:val="en-IN"/>
              </w:rPr>
            </w:pPr>
            <w:r w:rsidRPr="008A3369">
              <w:rPr>
                <w:rFonts w:ascii="Arial" w:hAnsi="Arial" w:cs="Arial"/>
                <w:lang w:val="en-IN"/>
              </w:rPr>
              <w:t>LYS121</w:t>
            </w:r>
          </w:p>
        </w:tc>
      </w:tr>
      <w:tr w:rsidR="002A4188" w:rsidRPr="008A3369" w14:paraId="401CF84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1E21683"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986741B" w14:textId="0B3A2E48" w:rsidR="002A4188" w:rsidRPr="008A3369" w:rsidRDefault="002A4188" w:rsidP="002A4188">
            <w:pPr>
              <w:rPr>
                <w:rFonts w:ascii="Arial" w:hAnsi="Arial" w:cs="Arial"/>
                <w:lang w:val="en-IN"/>
              </w:rPr>
            </w:pPr>
            <w:r>
              <w:rPr>
                <w:rFonts w:ascii="Arial" w:hAnsi="Arial" w:cs="Arial"/>
                <w:lang w:val="en-IN"/>
              </w:rPr>
              <w:t>10</w:t>
            </w:r>
          </w:p>
        </w:tc>
        <w:tc>
          <w:tcPr>
            <w:tcW w:w="2240" w:type="dxa"/>
            <w:tcBorders>
              <w:top w:val="nil"/>
              <w:left w:val="nil"/>
              <w:bottom w:val="single" w:sz="4" w:space="0" w:color="auto"/>
              <w:right w:val="single" w:sz="4" w:space="0" w:color="auto"/>
            </w:tcBorders>
            <w:noWrap/>
            <w:vAlign w:val="bottom"/>
            <w:hideMark/>
          </w:tcPr>
          <w:p w14:paraId="66212BD0" w14:textId="77777777" w:rsidR="002A4188" w:rsidRPr="008A3369" w:rsidRDefault="002A4188" w:rsidP="002A4188">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219ABC02" w14:textId="77777777" w:rsidR="002A4188" w:rsidRPr="008A3369" w:rsidRDefault="002A4188" w:rsidP="002A4188">
            <w:pPr>
              <w:rPr>
                <w:rFonts w:ascii="Arial" w:hAnsi="Arial" w:cs="Arial"/>
                <w:lang w:val="en-IN"/>
              </w:rPr>
            </w:pPr>
            <w:r w:rsidRPr="008A3369">
              <w:rPr>
                <w:rFonts w:ascii="Arial" w:hAnsi="Arial" w:cs="Arial"/>
                <w:lang w:val="en-IN"/>
              </w:rPr>
              <w:t>-4.962</w:t>
            </w:r>
          </w:p>
        </w:tc>
        <w:tc>
          <w:tcPr>
            <w:tcW w:w="3101" w:type="dxa"/>
            <w:tcBorders>
              <w:top w:val="nil"/>
              <w:left w:val="nil"/>
              <w:bottom w:val="single" w:sz="4" w:space="0" w:color="auto"/>
              <w:right w:val="single" w:sz="4" w:space="0" w:color="auto"/>
            </w:tcBorders>
            <w:noWrap/>
            <w:vAlign w:val="bottom"/>
            <w:hideMark/>
          </w:tcPr>
          <w:p w14:paraId="482B4C5A" w14:textId="77777777" w:rsidR="002A4188" w:rsidRPr="008A3369" w:rsidRDefault="002A4188" w:rsidP="002A4188">
            <w:pPr>
              <w:rPr>
                <w:rFonts w:ascii="Arial" w:hAnsi="Arial" w:cs="Arial"/>
                <w:lang w:val="en-IN"/>
              </w:rPr>
            </w:pPr>
            <w:r w:rsidRPr="008A3369">
              <w:rPr>
                <w:rFonts w:ascii="Arial" w:hAnsi="Arial" w:cs="Arial"/>
                <w:lang w:val="en-IN"/>
              </w:rPr>
              <w:t>LYS121</w:t>
            </w:r>
          </w:p>
        </w:tc>
      </w:tr>
      <w:tr w:rsidR="002A4188" w:rsidRPr="008A3369" w14:paraId="2620D38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26E997C"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802F905" w14:textId="043352CC" w:rsidR="002A4188" w:rsidRPr="008A3369" w:rsidRDefault="002A4188" w:rsidP="002A4188">
            <w:pPr>
              <w:rPr>
                <w:rFonts w:ascii="Arial" w:hAnsi="Arial" w:cs="Arial"/>
                <w:lang w:val="en-IN"/>
              </w:rPr>
            </w:pPr>
            <w:r w:rsidRPr="008A3369">
              <w:rPr>
                <w:rFonts w:ascii="Arial" w:hAnsi="Arial" w:cs="Arial"/>
                <w:lang w:val="en-IN"/>
              </w:rPr>
              <w:t>1</w:t>
            </w:r>
            <w:r>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05181FE5" w14:textId="77777777" w:rsidR="002A4188" w:rsidRPr="008A3369" w:rsidRDefault="002A4188" w:rsidP="002A4188">
            <w:pPr>
              <w:rPr>
                <w:rFonts w:ascii="Arial" w:hAnsi="Arial" w:cs="Arial"/>
                <w:lang w:val="en-IN"/>
              </w:rPr>
            </w:pPr>
            <w:r w:rsidRPr="008A3369">
              <w:rPr>
                <w:rFonts w:ascii="Arial" w:hAnsi="Arial" w:cs="Arial"/>
                <w:lang w:val="en-IN"/>
              </w:rPr>
              <w:t>Tria-21</w:t>
            </w:r>
          </w:p>
        </w:tc>
        <w:tc>
          <w:tcPr>
            <w:tcW w:w="1115" w:type="dxa"/>
            <w:tcBorders>
              <w:top w:val="nil"/>
              <w:left w:val="nil"/>
              <w:bottom w:val="single" w:sz="4" w:space="0" w:color="auto"/>
              <w:right w:val="single" w:sz="4" w:space="0" w:color="auto"/>
            </w:tcBorders>
            <w:noWrap/>
            <w:vAlign w:val="bottom"/>
            <w:hideMark/>
          </w:tcPr>
          <w:p w14:paraId="098C36F6" w14:textId="77777777" w:rsidR="002A4188" w:rsidRPr="008A3369" w:rsidRDefault="002A4188" w:rsidP="002A4188">
            <w:pPr>
              <w:rPr>
                <w:rFonts w:ascii="Arial" w:hAnsi="Arial" w:cs="Arial"/>
                <w:lang w:val="en-IN"/>
              </w:rPr>
            </w:pPr>
            <w:r w:rsidRPr="008A3369">
              <w:rPr>
                <w:rFonts w:ascii="Arial" w:hAnsi="Arial" w:cs="Arial"/>
                <w:lang w:val="en-IN"/>
              </w:rPr>
              <w:t>-4.803</w:t>
            </w:r>
          </w:p>
        </w:tc>
        <w:tc>
          <w:tcPr>
            <w:tcW w:w="3101" w:type="dxa"/>
            <w:tcBorders>
              <w:top w:val="nil"/>
              <w:left w:val="nil"/>
              <w:bottom w:val="single" w:sz="4" w:space="0" w:color="auto"/>
              <w:right w:val="single" w:sz="4" w:space="0" w:color="auto"/>
            </w:tcBorders>
            <w:noWrap/>
            <w:vAlign w:val="bottom"/>
            <w:hideMark/>
          </w:tcPr>
          <w:p w14:paraId="632539A1" w14:textId="77777777" w:rsidR="002A4188" w:rsidRPr="008A3369" w:rsidRDefault="002A4188" w:rsidP="002A4188">
            <w:pPr>
              <w:rPr>
                <w:rFonts w:ascii="Arial" w:hAnsi="Arial" w:cs="Arial"/>
                <w:lang w:val="en-IN"/>
              </w:rPr>
            </w:pPr>
            <w:r w:rsidRPr="008A3369">
              <w:rPr>
                <w:rFonts w:ascii="Arial" w:hAnsi="Arial" w:cs="Arial"/>
                <w:lang w:val="en-IN"/>
              </w:rPr>
              <w:t>TYR113</w:t>
            </w:r>
          </w:p>
        </w:tc>
      </w:tr>
      <w:bookmarkEnd w:id="3"/>
    </w:tbl>
    <w:p w14:paraId="313A2457" w14:textId="77777777" w:rsidR="008A3369" w:rsidRDefault="008A3369" w:rsidP="008A3369">
      <w:pPr>
        <w:rPr>
          <w:lang w:val="en-IN"/>
        </w:rPr>
      </w:pPr>
    </w:p>
    <w:p w14:paraId="4140FA0C" w14:textId="77777777" w:rsidR="008A3369" w:rsidRDefault="008A3369" w:rsidP="008A3369">
      <w:pPr>
        <w:rPr>
          <w:lang w:val="en-IN"/>
        </w:rPr>
      </w:pPr>
    </w:p>
    <w:p w14:paraId="3C5E77A3" w14:textId="77777777" w:rsidR="00077160" w:rsidRPr="00077160" w:rsidRDefault="00077160" w:rsidP="00077160">
      <w:pPr>
        <w:pStyle w:val="BodyText"/>
        <w:jc w:val="both"/>
        <w:rPr>
          <w:rFonts w:ascii="Arial" w:hAnsi="Arial" w:cs="Arial"/>
          <w:noProof/>
          <w:lang w:val="en-IN"/>
        </w:rPr>
      </w:pPr>
      <w:r w:rsidRPr="00077160">
        <w:rPr>
          <w:rFonts w:ascii="Arial" w:hAnsi="Arial" w:cs="Arial"/>
          <w:noProof/>
          <w:lang w:val="en-IN"/>
        </w:rPr>
        <w:t xml:space="preserve">Eugenol, a phenylpropanoid primarily derived from clove oil, has attracted considerable attention for its anticancer potential against breast cancer. Previous studies have demonstrated that eugenol inhibits breast cancer cell proliferation by inducing apoptosis, causing cell cycle arrest, and suppressing tumor metastasis, while modulating oxidative stress and inflammatory signaling pathways </w:t>
      </w:r>
      <w:r w:rsidRPr="007A1E29">
        <w:rPr>
          <w:rFonts w:ascii="Arial" w:hAnsi="Arial" w:cs="Arial"/>
          <w:noProof/>
          <w:vertAlign w:val="superscript"/>
          <w:lang w:val="en-IN"/>
        </w:rPr>
        <w:t>[8,15]</w:t>
      </w:r>
      <w:r w:rsidRPr="00077160">
        <w:rPr>
          <w:rFonts w:ascii="Arial" w:hAnsi="Arial" w:cs="Arial"/>
          <w:noProof/>
          <w:lang w:val="en-IN"/>
        </w:rPr>
        <w:t xml:space="preserve">. Both eugenol and its derivatives have shown activity against hormone-dependent and hormone-independent breast cancer cell lines, underscoring their broad therapeutic relevance </w:t>
      </w:r>
      <w:r w:rsidRPr="007A1E29">
        <w:rPr>
          <w:rFonts w:ascii="Arial" w:hAnsi="Arial" w:cs="Arial"/>
          <w:noProof/>
          <w:vertAlign w:val="superscript"/>
          <w:lang w:val="en-IN"/>
        </w:rPr>
        <w:t>[42]</w:t>
      </w:r>
      <w:r w:rsidRPr="00077160">
        <w:rPr>
          <w:rFonts w:ascii="Arial" w:hAnsi="Arial" w:cs="Arial"/>
          <w:noProof/>
          <w:lang w:val="en-IN"/>
        </w:rPr>
        <w:t xml:space="preserve">. However, poor bioavailability and dose-dependent toxicity limit the direct clinical application of eugenol </w:t>
      </w:r>
      <w:r w:rsidRPr="007A1E29">
        <w:rPr>
          <w:rFonts w:ascii="Arial" w:hAnsi="Arial" w:cs="Arial"/>
          <w:noProof/>
          <w:vertAlign w:val="superscript"/>
          <w:lang w:val="en-IN"/>
        </w:rPr>
        <w:t>[43]</w:t>
      </w:r>
      <w:r w:rsidRPr="00077160">
        <w:rPr>
          <w:rFonts w:ascii="Arial" w:hAnsi="Arial" w:cs="Arial"/>
          <w:noProof/>
          <w:lang w:val="en-IN"/>
        </w:rPr>
        <w:t xml:space="preserve">. Consequently, structural modification and advanced formulation strategies are being explored to enhance the breast cancer–targeted efficacy of eugenol-based compounds </w:t>
      </w:r>
      <w:r w:rsidRPr="007A1E29">
        <w:rPr>
          <w:rFonts w:ascii="Arial" w:hAnsi="Arial" w:cs="Arial"/>
          <w:noProof/>
          <w:vertAlign w:val="superscript"/>
          <w:lang w:val="en-IN"/>
        </w:rPr>
        <w:t>[7]</w:t>
      </w:r>
      <w:r w:rsidRPr="00077160">
        <w:rPr>
          <w:rFonts w:ascii="Arial" w:hAnsi="Arial" w:cs="Arial"/>
          <w:noProof/>
          <w:lang w:val="en-IN"/>
        </w:rPr>
        <w:t>.</w:t>
      </w:r>
    </w:p>
    <w:p w14:paraId="0F2083DB" w14:textId="77777777" w:rsidR="00077160" w:rsidRPr="00077160" w:rsidRDefault="00077160" w:rsidP="00077160">
      <w:pPr>
        <w:pStyle w:val="BodyText"/>
        <w:jc w:val="both"/>
        <w:rPr>
          <w:rFonts w:ascii="Arial" w:hAnsi="Arial" w:cs="Arial"/>
          <w:noProof/>
          <w:lang w:val="en-IN"/>
        </w:rPr>
      </w:pPr>
      <w:r w:rsidRPr="00077160">
        <w:rPr>
          <w:rFonts w:ascii="Arial" w:hAnsi="Arial" w:cs="Arial"/>
          <w:noProof/>
          <w:lang w:val="en-IN"/>
        </w:rPr>
        <w:t>In the present study, 35 eugenol–triazole derivatives were virtually screened, among which 20 compounds exhibited docking energies and hydrogen-bonding interactions comparable to those of co-crystallized ligands across key breast cancer targets, including ERα, PR, EGFR, PI3K, and mTOR receptors. Molecular docking was performed to evaluate the binding interactions of eugenol, standard anticancer drugs, co-crystallized ligands, and designed eugenol–triazole derivatives against ERα (PDB ID: 2IOG), PR (1SQN), EGFR (1M17), PI3K (5DXT), and mTOR (4DRH). Binding affinity scores (kcal/mol) and hydrogen-bond interactions with conserved active-site residues were analyzed to assess binding stability and biological relevance.</w:t>
      </w:r>
    </w:p>
    <w:p w14:paraId="6D6F21A7" w14:textId="77777777" w:rsidR="00077160" w:rsidRPr="00077160" w:rsidRDefault="00077160" w:rsidP="00077160">
      <w:pPr>
        <w:pStyle w:val="BodyText"/>
        <w:jc w:val="both"/>
        <w:rPr>
          <w:rFonts w:ascii="Arial" w:hAnsi="Arial" w:cs="Arial"/>
          <w:noProof/>
          <w:lang w:val="en-IN"/>
        </w:rPr>
      </w:pPr>
    </w:p>
    <w:p w14:paraId="3935F570" w14:textId="77777777" w:rsidR="004859EB" w:rsidRPr="004859EB" w:rsidRDefault="004859EB" w:rsidP="004859EB">
      <w:pPr>
        <w:jc w:val="both"/>
        <w:rPr>
          <w:rFonts w:ascii="Arial" w:hAnsi="Arial" w:cs="Arial"/>
          <w:noProof/>
          <w:lang w:val="en-IN"/>
        </w:rPr>
      </w:pPr>
      <w:r w:rsidRPr="004859EB">
        <w:rPr>
          <w:rFonts w:ascii="Arial" w:hAnsi="Arial" w:cs="Arial"/>
          <w:noProof/>
          <w:lang w:val="en-IN"/>
        </w:rPr>
        <w:t>The molecular docking study evaluated the binding affinities and interaction profiles of various ligands within the Estrogen Receptor α (ERα) active site using the crystal structure (PDB ID: 2IOG). Binding free energy (ΔG, kcal/mol) was used as the primary metric of interaction strength, with more negative values indicating stronger binding. The co-crystallized ligand, 2-</w:t>
      </w:r>
      <w:r w:rsidRPr="004859EB">
        <w:rPr>
          <w:rFonts w:ascii="Arial" w:hAnsi="Arial" w:cs="Arial"/>
          <w:noProof/>
          <w:lang w:val="en-IN"/>
        </w:rPr>
        <w:lastRenderedPageBreak/>
        <w:t>arylindole, exhibited the highest binding affinity (ΔG = −13.922 kcal/mol), reflecting its optimal accommodation within the ERα binding pocket. This superior binding arises from strong hydrogen bond interactions with the conserved residues GLU353 and ARG394, complemented by extensive hydrophobic and π–π stacking interactions with surrounding aromatic residues.</w:t>
      </w:r>
    </w:p>
    <w:p w14:paraId="661590A5" w14:textId="77777777" w:rsidR="004859EB" w:rsidRPr="004859EB" w:rsidRDefault="004859EB" w:rsidP="004859EB">
      <w:pPr>
        <w:jc w:val="both"/>
        <w:rPr>
          <w:rFonts w:ascii="Arial" w:hAnsi="Arial" w:cs="Arial"/>
          <w:noProof/>
          <w:lang w:val="en-IN"/>
        </w:rPr>
      </w:pPr>
      <w:r w:rsidRPr="004859EB">
        <w:rPr>
          <w:rFonts w:ascii="Arial" w:hAnsi="Arial" w:cs="Arial"/>
          <w:noProof/>
          <w:lang w:val="en-IN"/>
        </w:rPr>
        <w:t>Clinically established ERα inhibitors also demonstrated strong binding affinities. 4-Hydroxytamoxifen showed a high binding score (ΔG = −11.736 kcal/mol), interacting with ASP351, GLU353, and ARG394, consistent with its known competitive binding mode. Fulvestrant (ΔG = −10.903 kcal/mol) and methylpiperidinopyrazole (ΔG = −10.895 kcal/mol) exhibited comparable affinities, engaging ARG394 and hydrophobic residues such as LEU387 and LEU536, indicating flexibility in ligand accommodation within the ERα binding cavity.</w:t>
      </w:r>
    </w:p>
    <w:p w14:paraId="645AE44E" w14:textId="77777777" w:rsidR="004859EB" w:rsidRPr="004859EB" w:rsidRDefault="004859EB" w:rsidP="004859EB">
      <w:pPr>
        <w:jc w:val="both"/>
        <w:rPr>
          <w:rFonts w:ascii="Arial" w:hAnsi="Arial" w:cs="Arial"/>
          <w:noProof/>
          <w:lang w:val="en-IN"/>
        </w:rPr>
      </w:pPr>
      <w:r w:rsidRPr="004859EB">
        <w:rPr>
          <w:rFonts w:ascii="Arial" w:hAnsi="Arial" w:cs="Arial"/>
          <w:noProof/>
          <w:lang w:val="en-IN"/>
        </w:rPr>
        <w:t>The designed eugenol–triazole derivatives displayed promising binding profiles. Tria-23 emerged as the most potent compound in the series (ΔG = −10.102 kcal/mol), forming strong hydrogen bonds with GLU353 and ARG394, closely mimicking the interaction pattern of the co-crystallized ligand. Tria-28 also showed favorable binding (ΔG = −9.347 kcal/mol), whereas eugenol exhibited the weakest affinity (ΔG = −6.116 kcal/mol), despite interacting with the same key residues. This observation underscores the importance of optimal molecular geometry and hydrophobic complementarity for enhanced binding stability. Letrozole and Tria-24 demonstrated moderate binding affinities of approximately −9.0 kcal/mol.</w:t>
      </w:r>
    </w:p>
    <w:p w14:paraId="0DF5606D" w14:textId="77777777" w:rsidR="004859EB" w:rsidRPr="004859EB" w:rsidRDefault="004859EB" w:rsidP="004859EB">
      <w:pPr>
        <w:jc w:val="both"/>
        <w:rPr>
          <w:rFonts w:ascii="Arial" w:hAnsi="Arial" w:cs="Arial"/>
          <w:noProof/>
          <w:lang w:val="en-IN"/>
        </w:rPr>
      </w:pPr>
      <w:r w:rsidRPr="004859EB">
        <w:rPr>
          <w:rFonts w:ascii="Arial" w:hAnsi="Arial" w:cs="Arial"/>
          <w:noProof/>
          <w:lang w:val="en-IN"/>
        </w:rPr>
        <w:t>As illustrated in Fig. 1a and 1b, interaction analysis revealed that both 2-arylindole and Tria-23 are anchored by strong hydrogen bonds with GLU353 and ARG394, reinforced by extensive hydrophobic and van der Waals interactions involving residues such as LEU354, LEU391, ILE424, and PHE404. Notably, Tria-23 formed a very short hydrogen bond (~1.8 Å) with GLU353, contributing significantly to enhanced complex stability (Fig. 1c).</w:t>
      </w:r>
    </w:p>
    <w:p w14:paraId="1980F224" w14:textId="77777777" w:rsidR="004859EB" w:rsidRPr="004859EB" w:rsidRDefault="004859EB" w:rsidP="004859EB">
      <w:pPr>
        <w:jc w:val="both"/>
        <w:rPr>
          <w:rFonts w:ascii="Arial" w:hAnsi="Arial" w:cs="Arial"/>
          <w:noProof/>
          <w:lang w:val="en-IN"/>
        </w:rPr>
      </w:pPr>
      <w:r w:rsidRPr="004859EB">
        <w:rPr>
          <w:rFonts w:ascii="Arial" w:hAnsi="Arial" w:cs="Arial"/>
          <w:noProof/>
          <w:lang w:val="en-IN"/>
        </w:rPr>
        <w:t>Superposition of the docked eugenol–triazole derivatives confirmed a shared binding mode within the ERα active site, with strong overlap of the triazole and aromatic cores identifying key pharmacophoric elements. The observed variability in peripheral substituents suggests opportunities for further structural optimization (Fig. 1d).</w:t>
      </w:r>
    </w:p>
    <w:p w14:paraId="02D61FEE" w14:textId="742E89E6" w:rsidR="004859EB" w:rsidRPr="004859EB" w:rsidRDefault="004859EB" w:rsidP="004859EB">
      <w:pPr>
        <w:jc w:val="both"/>
        <w:rPr>
          <w:rFonts w:ascii="Arial" w:hAnsi="Arial" w:cs="Arial"/>
          <w:noProof/>
          <w:lang w:val="en-IN"/>
        </w:rPr>
      </w:pPr>
      <w:r>
        <w:rPr>
          <w:rFonts w:ascii="Arial" w:hAnsi="Arial" w:cs="Arial"/>
          <w:noProof/>
          <w:lang w:val="en-IN"/>
        </w:rPr>
        <w:t>S</w:t>
      </w:r>
      <w:r w:rsidRPr="004859EB">
        <w:rPr>
          <w:rFonts w:ascii="Arial" w:hAnsi="Arial" w:cs="Arial"/>
          <w:noProof/>
          <w:lang w:val="en-IN"/>
        </w:rPr>
        <w:t>trong ERα binding is governed by specific hydrogen bonding with GLU353 and ARG394, favorable geometric fit, and extensive hydrophobic interactions. While 2-arylindole remains the most potent binder, Tria-23 stands out as a promising lead compound that warrants further optimization and experimental validation.</w:t>
      </w:r>
    </w:p>
    <w:p w14:paraId="64EA387A" w14:textId="77777777" w:rsidR="008A3369" w:rsidRPr="00077160" w:rsidRDefault="008A3369" w:rsidP="00077160">
      <w:pPr>
        <w:jc w:val="both"/>
        <w:rPr>
          <w:rFonts w:ascii="Arial" w:hAnsi="Arial" w:cs="Arial"/>
          <w:lang w:val="en-IN"/>
        </w:rPr>
      </w:pPr>
    </w:p>
    <w:p w14:paraId="141BA1DE" w14:textId="46EF2525" w:rsidR="00077160" w:rsidRDefault="00077160" w:rsidP="00077160">
      <w:pPr>
        <w:pStyle w:val="BodyText"/>
        <w:jc w:val="both"/>
        <w:rPr>
          <w:noProof/>
          <w:lang w:val="en-IN"/>
        </w:rPr>
      </w:pPr>
      <w:r w:rsidRPr="001F214C">
        <w:rPr>
          <w:noProof/>
          <w:lang w:val="en-IN"/>
        </w:rPr>
        <w:drawing>
          <wp:inline distT="0" distB="0" distL="0" distR="0" wp14:anchorId="3503C88B" wp14:editId="7F343CEF">
            <wp:extent cx="2147978" cy="1572756"/>
            <wp:effectExtent l="0" t="0" r="0" b="0"/>
            <wp:docPr id="42062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23634" name=""/>
                    <pic:cNvPicPr/>
                  </pic:nvPicPr>
                  <pic:blipFill>
                    <a:blip r:embed="rId17"/>
                    <a:stretch>
                      <a:fillRect/>
                    </a:stretch>
                  </pic:blipFill>
                  <pic:spPr>
                    <a:xfrm>
                      <a:off x="0" y="0"/>
                      <a:ext cx="2157857" cy="1579989"/>
                    </a:xfrm>
                    <a:prstGeom prst="rect">
                      <a:avLst/>
                    </a:prstGeom>
                  </pic:spPr>
                </pic:pic>
              </a:graphicData>
            </a:graphic>
          </wp:inline>
        </w:drawing>
      </w:r>
      <w:r>
        <w:rPr>
          <w:noProof/>
          <w:lang w:val="en-IN"/>
        </w:rPr>
        <w:t xml:space="preserve">                  </w:t>
      </w:r>
      <w:r w:rsidR="00B34F45">
        <w:rPr>
          <w:noProof/>
          <w:lang w:val="en-IN"/>
        </w:rPr>
        <w:t xml:space="preserve">       </w:t>
      </w:r>
      <w:r w:rsidR="00B34F45" w:rsidRPr="001F214C">
        <w:rPr>
          <w:noProof/>
          <w:lang w:val="en-IN"/>
        </w:rPr>
        <w:drawing>
          <wp:inline distT="0" distB="0" distL="0" distR="0" wp14:anchorId="238B3544" wp14:editId="581D7A0C">
            <wp:extent cx="1905915" cy="1511935"/>
            <wp:effectExtent l="0" t="0" r="0" b="0"/>
            <wp:docPr id="155704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8690" name=""/>
                    <pic:cNvPicPr/>
                  </pic:nvPicPr>
                  <pic:blipFill>
                    <a:blip r:embed="rId18"/>
                    <a:stretch>
                      <a:fillRect/>
                    </a:stretch>
                  </pic:blipFill>
                  <pic:spPr>
                    <a:xfrm>
                      <a:off x="0" y="0"/>
                      <a:ext cx="1987976" cy="1577033"/>
                    </a:xfrm>
                    <a:prstGeom prst="rect">
                      <a:avLst/>
                    </a:prstGeom>
                  </pic:spPr>
                </pic:pic>
              </a:graphicData>
            </a:graphic>
          </wp:inline>
        </w:drawing>
      </w:r>
      <w:r w:rsidR="00B34F45">
        <w:rPr>
          <w:noProof/>
          <w:lang w:val="en-IN"/>
        </w:rPr>
        <w:t xml:space="preserve">            </w:t>
      </w:r>
      <w:r>
        <w:rPr>
          <w:noProof/>
          <w:lang w:val="en-IN"/>
        </w:rPr>
        <w:t xml:space="preserve">    </w:t>
      </w:r>
    </w:p>
    <w:p w14:paraId="1B85056A" w14:textId="0087501E" w:rsidR="00077160" w:rsidRPr="00077160" w:rsidRDefault="00077160" w:rsidP="00077160">
      <w:pPr>
        <w:pStyle w:val="BodyText"/>
        <w:widowControl w:val="0"/>
        <w:numPr>
          <w:ilvl w:val="0"/>
          <w:numId w:val="31"/>
        </w:numPr>
        <w:tabs>
          <w:tab w:val="left" w:pos="6313"/>
        </w:tabs>
        <w:autoSpaceDE w:val="0"/>
        <w:autoSpaceDN w:val="0"/>
        <w:spacing w:after="0"/>
        <w:jc w:val="both"/>
        <w:rPr>
          <w:noProof/>
          <w:lang w:val="en-IN"/>
        </w:rPr>
      </w:pPr>
      <w:r>
        <w:rPr>
          <w:noProof/>
          <w:lang w:val="en-IN"/>
        </w:rPr>
        <w:t xml:space="preserve">    b)</w:t>
      </w:r>
    </w:p>
    <w:p w14:paraId="592D6303" w14:textId="77777777" w:rsidR="00077160" w:rsidRDefault="00077160" w:rsidP="00077160">
      <w:pPr>
        <w:pStyle w:val="BodyText"/>
        <w:jc w:val="both"/>
        <w:rPr>
          <w:noProof/>
          <w:lang w:val="en-IN"/>
        </w:rPr>
      </w:pPr>
    </w:p>
    <w:p w14:paraId="3D3C6114" w14:textId="77777777" w:rsidR="00077160" w:rsidRDefault="00077160" w:rsidP="00077160">
      <w:pPr>
        <w:pStyle w:val="BodyText"/>
        <w:jc w:val="both"/>
        <w:rPr>
          <w:noProof/>
          <w:lang w:val="en-IN"/>
        </w:rPr>
      </w:pPr>
      <w:r w:rsidRPr="0083429E">
        <w:rPr>
          <w:noProof/>
          <w:lang w:val="en-IN"/>
        </w:rPr>
        <w:lastRenderedPageBreak/>
        <w:drawing>
          <wp:inline distT="0" distB="0" distL="0" distR="0" wp14:anchorId="3F2F3C33" wp14:editId="506D59FA">
            <wp:extent cx="2197673" cy="1486894"/>
            <wp:effectExtent l="0" t="0" r="0" b="0"/>
            <wp:docPr id="137381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2135" name=""/>
                    <pic:cNvPicPr/>
                  </pic:nvPicPr>
                  <pic:blipFill>
                    <a:blip r:embed="rId19"/>
                    <a:stretch>
                      <a:fillRect/>
                    </a:stretch>
                  </pic:blipFill>
                  <pic:spPr>
                    <a:xfrm>
                      <a:off x="0" y="0"/>
                      <a:ext cx="2197673" cy="1486894"/>
                    </a:xfrm>
                    <a:prstGeom prst="rect">
                      <a:avLst/>
                    </a:prstGeom>
                  </pic:spPr>
                </pic:pic>
              </a:graphicData>
            </a:graphic>
          </wp:inline>
        </w:drawing>
      </w:r>
      <w:r>
        <w:rPr>
          <w:noProof/>
          <w:lang w:val="en-IN"/>
        </w:rPr>
        <w:t xml:space="preserve">                     </w:t>
      </w:r>
      <w:r w:rsidRPr="0083429E">
        <w:rPr>
          <w:noProof/>
          <w:lang w:val="en-IN"/>
        </w:rPr>
        <w:drawing>
          <wp:inline distT="0" distB="0" distL="0" distR="0" wp14:anchorId="3DC4F140" wp14:editId="07A82276">
            <wp:extent cx="2186609" cy="1556980"/>
            <wp:effectExtent l="0" t="0" r="0" b="0"/>
            <wp:docPr id="103248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84969" name=""/>
                    <pic:cNvPicPr/>
                  </pic:nvPicPr>
                  <pic:blipFill>
                    <a:blip r:embed="rId20"/>
                    <a:stretch>
                      <a:fillRect/>
                    </a:stretch>
                  </pic:blipFill>
                  <pic:spPr>
                    <a:xfrm>
                      <a:off x="0" y="0"/>
                      <a:ext cx="2266649" cy="1613973"/>
                    </a:xfrm>
                    <a:prstGeom prst="rect">
                      <a:avLst/>
                    </a:prstGeom>
                  </pic:spPr>
                </pic:pic>
              </a:graphicData>
            </a:graphic>
          </wp:inline>
        </w:drawing>
      </w:r>
    </w:p>
    <w:p w14:paraId="506500D3" w14:textId="77777777" w:rsidR="00077160" w:rsidRDefault="00077160" w:rsidP="00077160">
      <w:pPr>
        <w:pStyle w:val="BodyText"/>
        <w:jc w:val="both"/>
        <w:rPr>
          <w:noProof/>
          <w:lang w:val="en-IN"/>
        </w:rPr>
      </w:pPr>
    </w:p>
    <w:p w14:paraId="4DDD8035" w14:textId="2045D208" w:rsidR="00077160" w:rsidRDefault="00077160" w:rsidP="00077160">
      <w:pPr>
        <w:pStyle w:val="BodyText"/>
        <w:numPr>
          <w:ilvl w:val="0"/>
          <w:numId w:val="32"/>
        </w:numPr>
        <w:tabs>
          <w:tab w:val="left" w:pos="7626"/>
        </w:tabs>
        <w:jc w:val="both"/>
        <w:rPr>
          <w:noProof/>
          <w:lang w:val="en-IN"/>
        </w:rPr>
      </w:pPr>
      <w:r>
        <w:rPr>
          <w:noProof/>
          <w:lang w:val="en-IN"/>
        </w:rPr>
        <w:t xml:space="preserve">                                                                       d)</w:t>
      </w:r>
    </w:p>
    <w:p w14:paraId="5F63A9F5" w14:textId="156F6975" w:rsidR="00077160" w:rsidRPr="007D423F" w:rsidRDefault="00077160" w:rsidP="00077160">
      <w:pPr>
        <w:pStyle w:val="BodyText"/>
        <w:ind w:right="82"/>
        <w:jc w:val="both"/>
        <w:rPr>
          <w:rFonts w:ascii="Arial" w:hAnsi="Arial" w:cs="Arial"/>
          <w:b/>
          <w:bCs/>
          <w:noProof/>
          <w:color w:val="000000" w:themeColor="text1"/>
          <w:lang w:val="en-IN"/>
        </w:rPr>
      </w:pPr>
      <w:r w:rsidRPr="007D423F">
        <w:rPr>
          <w:rFonts w:ascii="Arial" w:hAnsi="Arial" w:cs="Arial"/>
          <w:b/>
          <w:bCs/>
          <w:noProof/>
          <w:color w:val="000000" w:themeColor="text1"/>
        </w:rPr>
        <w:t>Fig 1.  a)</w:t>
      </w:r>
      <w:r w:rsidRPr="007D423F">
        <w:rPr>
          <w:rFonts w:ascii="Arial" w:eastAsiaTheme="minorHAnsi" w:hAnsi="Arial" w:cs="Arial"/>
          <w:b/>
          <w:bCs/>
          <w:kern w:val="2"/>
          <w:sz w:val="22"/>
          <w:szCs w:val="22"/>
          <w:lang w:val="en-IN"/>
        </w:rPr>
        <w:t xml:space="preserve"> </w:t>
      </w:r>
      <w:r w:rsidRPr="007D423F">
        <w:rPr>
          <w:rFonts w:ascii="Arial" w:hAnsi="Arial" w:cs="Arial"/>
          <w:b/>
          <w:bCs/>
          <w:noProof/>
          <w:color w:val="000000" w:themeColor="text1"/>
          <w:lang w:val="en-IN"/>
        </w:rPr>
        <w:t>2D interaction diagram of 2-arylindole (Co-crystal ligand), b)</w:t>
      </w:r>
      <w:r w:rsidRPr="007D423F">
        <w:rPr>
          <w:rFonts w:ascii="Arial" w:hAnsi="Arial" w:cs="Arial"/>
          <w:b/>
          <w:bCs/>
          <w:noProof/>
          <w:color w:val="000000" w:themeColor="text1"/>
        </w:rPr>
        <w:t xml:space="preserve"> </w:t>
      </w:r>
      <w:r w:rsidRPr="007D423F">
        <w:rPr>
          <w:rFonts w:ascii="Arial" w:hAnsi="Arial" w:cs="Arial"/>
          <w:b/>
          <w:bCs/>
          <w:noProof/>
          <w:color w:val="000000" w:themeColor="text1"/>
          <w:lang w:val="en-IN"/>
        </w:rPr>
        <w:t>2D interaction diagram of Tria-23</w:t>
      </w:r>
      <w:r w:rsidRPr="007D423F">
        <w:rPr>
          <w:rFonts w:ascii="Arial" w:hAnsi="Arial" w:cs="Arial"/>
          <w:b/>
          <w:bCs/>
          <w:noProof/>
          <w:color w:val="000000" w:themeColor="text1"/>
        </w:rPr>
        <w:t xml:space="preserve">, </w:t>
      </w:r>
      <w:r w:rsidR="00F75DFE">
        <w:rPr>
          <w:rFonts w:ascii="Arial" w:hAnsi="Arial" w:cs="Arial"/>
          <w:b/>
          <w:bCs/>
          <w:noProof/>
          <w:color w:val="000000" w:themeColor="text1"/>
        </w:rPr>
        <w:t>c</w:t>
      </w:r>
      <w:r w:rsidRPr="007D423F">
        <w:rPr>
          <w:rFonts w:ascii="Arial" w:hAnsi="Arial" w:cs="Arial"/>
          <w:b/>
          <w:bCs/>
          <w:noProof/>
          <w:color w:val="000000" w:themeColor="text1"/>
        </w:rPr>
        <w:t xml:space="preserve">) </w:t>
      </w:r>
      <w:r w:rsidRPr="007D423F">
        <w:rPr>
          <w:rFonts w:ascii="Arial" w:hAnsi="Arial" w:cs="Arial"/>
          <w:b/>
          <w:bCs/>
          <w:noProof/>
          <w:color w:val="000000" w:themeColor="text1"/>
          <w:lang w:val="en-IN"/>
        </w:rPr>
        <w:t xml:space="preserve">3D docking pose of Tria-23, </w:t>
      </w:r>
      <w:r w:rsidRPr="007D423F">
        <w:rPr>
          <w:rFonts w:ascii="Arial" w:hAnsi="Arial" w:cs="Arial"/>
          <w:b/>
          <w:bCs/>
          <w:noProof/>
          <w:color w:val="000000" w:themeColor="text1"/>
        </w:rPr>
        <w:t xml:space="preserve">d) </w:t>
      </w:r>
      <w:r w:rsidRPr="007D423F">
        <w:rPr>
          <w:rFonts w:ascii="Arial" w:hAnsi="Arial" w:cs="Arial"/>
          <w:b/>
          <w:bCs/>
          <w:noProof/>
          <w:color w:val="000000" w:themeColor="text1"/>
          <w:lang w:val="en-IN"/>
        </w:rPr>
        <w:t>Superimposed docked eugenol-triazole ligands.</w:t>
      </w:r>
    </w:p>
    <w:p w14:paraId="4FF56619"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Molecular docking studies were performed to evaluate the binding affinities and interaction patterns of selected ligands within the active site of the target protein (PDB ID: 1SQN). Binding free energy (ΔG, kcal/mol) was used as an indicator of ligand–protein interaction strength. The co-crystallized ligand, NDR, exhibited the strongest binding affinity (ΔG = −11.531 kcal/mol), serving as a reliable reference for validating the docking protocol. Its interaction with the conserved residue GLN725 highlights the critical role of this residue in stabilizing ligands within the binding pocket.</w:t>
      </w:r>
    </w:p>
    <w:p w14:paraId="145AB0AA"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Progesterone also demonstrated strong binding affinity (ΔG = −10.893 kcal/mol), closely comparable to that of NDR. Its interaction with GLN725 suggests a similar binding mode, further confirming the importance of this residue as a key anchoring site for potent ligands. In contrast, eugenol showed the weakest binding affinity (ΔG = −5.923 kcal/mol), interacting primarily with MET759, indicating poor complementarity and limited stabilization within the active site.</w:t>
      </w:r>
    </w:p>
    <w:p w14:paraId="76382C97" w14:textId="0D69C13A"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 xml:space="preserve">The </w:t>
      </w:r>
      <w:r>
        <w:rPr>
          <w:rFonts w:ascii="Arial" w:hAnsi="Arial" w:cs="Arial"/>
          <w:noProof/>
          <w:lang w:val="en-IN"/>
        </w:rPr>
        <w:t>designed eugenol-</w:t>
      </w:r>
      <w:r w:rsidRPr="00887E9D">
        <w:rPr>
          <w:rFonts w:ascii="Arial" w:hAnsi="Arial" w:cs="Arial"/>
          <w:noProof/>
          <w:lang w:val="en-IN"/>
        </w:rPr>
        <w:t xml:space="preserve"> triazole derivatives exhibited improved binding affinities relative to eugenol, underscoring the positive impact of triazole incorporation. Among them, Tria-8 emerged as the most potent compound (ΔG = −8.976 kcal/mol), forming a stabilizing interaction with GLN725, analogous to the reference ligands. Tria-34 (ΔG = −8.180 kcal/mol) and Tria-18 (ΔG = −8.161 kcal/mol) also showed favorable binding profiles, with Tria-18 uniquely engaging both GLN725 and LEU718, suggesting additional hydrophobic stabilization. Tria-14 displayed moderate affinity (ΔG = −7.778 kcal/mol), interacting mainly with GLN725.</w:t>
      </w:r>
    </w:p>
    <w:p w14:paraId="64139DF4"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As shown in Fig. 2a, the 2D interaction map of NDR reveals a key hydrogen bond between the carbonyl oxygen of the ligand and the backbone amide hydrogen of GLN725, which serves as the primary anchoring interaction. This polar contact is supported by extensive hydrophobic interactions involving residues such as LEU715, LEU721, ILE722, MET759, MET760, LEU763, VAL762, and LEU867. Together, these interactions stabilize the steroidal core of NDR within the hydrophobic pocket, explaining its superior binding affinity.</w:t>
      </w:r>
    </w:p>
    <w:p w14:paraId="5F9F98A4"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The 3D binding pose of NDR (Fig. 2b) further confirms these interactions, highlighting a strong hydrogen bond with GLN725 at a distance of approximately 2.31 Å, which falls within the optimal range for hydrogen bonding. Numerous short-range van der Waals contacts (generally &lt;4.0 Å) with residues such as MET759, LEU718, and LEU721 contribute to a snug and energetically favorable fit within the active site.</w:t>
      </w:r>
    </w:p>
    <w:p w14:paraId="08AFC737"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 xml:space="preserve">The 3D interaction analysis of Tria-8 (Fig. 2c) reveals a very short hydrogen bond (~1.75 Å) with GLN725, indicative of a highly stabilizing interaction that likely serves as the primary </w:t>
      </w:r>
      <w:r w:rsidRPr="00887E9D">
        <w:rPr>
          <w:rFonts w:ascii="Arial" w:hAnsi="Arial" w:cs="Arial"/>
          <w:noProof/>
          <w:lang w:val="en-IN"/>
        </w:rPr>
        <w:lastRenderedPageBreak/>
        <w:t>anchor for this ligand series. This interaction is reinforced by multiple hydrophobic contacts with surrounding residues, including LEU718 and MET759, resulting in enhanced binding stability relative to other triazole derivatives.</w:t>
      </w:r>
    </w:p>
    <w:p w14:paraId="5A7A3137" w14:textId="77777777" w:rsidR="00887E9D" w:rsidRPr="00887E9D" w:rsidRDefault="00887E9D" w:rsidP="00887E9D">
      <w:pPr>
        <w:pStyle w:val="BodyText"/>
        <w:jc w:val="both"/>
        <w:rPr>
          <w:rFonts w:ascii="Arial" w:hAnsi="Arial" w:cs="Arial"/>
          <w:noProof/>
          <w:lang w:val="en-IN"/>
        </w:rPr>
      </w:pPr>
      <w:r w:rsidRPr="00887E9D">
        <w:rPr>
          <w:rFonts w:ascii="Arial" w:hAnsi="Arial" w:cs="Arial"/>
          <w:noProof/>
          <w:lang w:val="en-IN"/>
        </w:rPr>
        <w:t>The CPK (space-filling) representation (Fig. 2d) illustrates the steric complementarity between the docked eugenol-triazole ligand and the protein binding pocket. The absence of steric clashes and the extensive surface contact area highlight the dominance of van der Waals interactions and confirm a favorable “lock-and-key” fit. This visualization emphasizes the importance of molecular shape, size, and hydrophobic surface complementarity in achieving stable ligand binding.</w:t>
      </w:r>
    </w:p>
    <w:p w14:paraId="10A045D8" w14:textId="3106D841" w:rsidR="00077160" w:rsidRDefault="00077160" w:rsidP="00077160">
      <w:pPr>
        <w:pStyle w:val="BodyText"/>
        <w:jc w:val="both"/>
        <w:rPr>
          <w:noProof/>
          <w:lang w:val="en-IN"/>
        </w:rPr>
      </w:pPr>
      <w:r>
        <w:t xml:space="preserve">    </w:t>
      </w:r>
      <w:r w:rsidRPr="00A6757A">
        <w:rPr>
          <w:noProof/>
        </w:rPr>
        <w:drawing>
          <wp:inline distT="0" distB="0" distL="0" distR="0" wp14:anchorId="6BFEB0DE" wp14:editId="11BA157A">
            <wp:extent cx="2003729" cy="2014810"/>
            <wp:effectExtent l="0" t="0" r="0" b="0"/>
            <wp:docPr id="150101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0511" name=""/>
                    <pic:cNvPicPr/>
                  </pic:nvPicPr>
                  <pic:blipFill>
                    <a:blip r:embed="rId21"/>
                    <a:stretch>
                      <a:fillRect/>
                    </a:stretch>
                  </pic:blipFill>
                  <pic:spPr>
                    <a:xfrm>
                      <a:off x="0" y="0"/>
                      <a:ext cx="2014344" cy="2025484"/>
                    </a:xfrm>
                    <a:prstGeom prst="rect">
                      <a:avLst/>
                    </a:prstGeom>
                  </pic:spPr>
                </pic:pic>
              </a:graphicData>
            </a:graphic>
          </wp:inline>
        </w:drawing>
      </w:r>
      <w:r>
        <w:t xml:space="preserve">                   </w:t>
      </w:r>
      <w:r w:rsidRPr="00B12787">
        <w:rPr>
          <w:noProof/>
        </w:rPr>
        <w:drawing>
          <wp:inline distT="0" distB="0" distL="0" distR="0" wp14:anchorId="7930A137" wp14:editId="3A7128C1">
            <wp:extent cx="2329732" cy="1938655"/>
            <wp:effectExtent l="0" t="0" r="0" b="0"/>
            <wp:docPr id="74051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16476" name=""/>
                    <pic:cNvPicPr/>
                  </pic:nvPicPr>
                  <pic:blipFill>
                    <a:blip r:embed="rId22"/>
                    <a:stretch>
                      <a:fillRect/>
                    </a:stretch>
                  </pic:blipFill>
                  <pic:spPr>
                    <a:xfrm>
                      <a:off x="0" y="0"/>
                      <a:ext cx="2410481" cy="2005849"/>
                    </a:xfrm>
                    <a:prstGeom prst="rect">
                      <a:avLst/>
                    </a:prstGeom>
                  </pic:spPr>
                </pic:pic>
              </a:graphicData>
            </a:graphic>
          </wp:inline>
        </w:drawing>
      </w:r>
    </w:p>
    <w:p w14:paraId="6FA43380" w14:textId="7CDABA71" w:rsidR="00077160" w:rsidRPr="00077160" w:rsidRDefault="00077160" w:rsidP="00077160">
      <w:pPr>
        <w:pStyle w:val="BodyText"/>
        <w:numPr>
          <w:ilvl w:val="0"/>
          <w:numId w:val="34"/>
        </w:numPr>
        <w:tabs>
          <w:tab w:val="left" w:pos="7419"/>
        </w:tabs>
        <w:jc w:val="both"/>
        <w:rPr>
          <w:rFonts w:ascii="Arial" w:hAnsi="Arial" w:cs="Arial"/>
          <w:noProof/>
          <w:lang w:val="en-IN"/>
        </w:rPr>
      </w:pPr>
      <w:r w:rsidRPr="00077160">
        <w:rPr>
          <w:rFonts w:ascii="Arial" w:hAnsi="Arial" w:cs="Arial"/>
          <w:noProof/>
          <w:lang w:val="en-IN"/>
        </w:rPr>
        <w:t xml:space="preserve">                                                                     b)</w:t>
      </w:r>
    </w:p>
    <w:p w14:paraId="2AD810CB" w14:textId="17104A3C" w:rsidR="00077160" w:rsidRDefault="00077160" w:rsidP="00077160">
      <w:pPr>
        <w:pStyle w:val="BodyText"/>
        <w:jc w:val="both"/>
        <w:rPr>
          <w:noProof/>
          <w:lang w:val="en-IN"/>
        </w:rPr>
      </w:pPr>
    </w:p>
    <w:p w14:paraId="780A1991" w14:textId="2E51C632" w:rsidR="00077160" w:rsidRDefault="00077160" w:rsidP="00077160">
      <w:pPr>
        <w:pStyle w:val="BodyText"/>
        <w:jc w:val="both"/>
        <w:rPr>
          <w:noProof/>
          <w:lang w:val="en-IN"/>
        </w:rPr>
      </w:pPr>
      <w:r w:rsidRPr="00A6757A">
        <w:rPr>
          <w:noProof/>
        </w:rPr>
        <w:drawing>
          <wp:anchor distT="0" distB="0" distL="114300" distR="114300" simplePos="0" relativeHeight="251653632" behindDoc="0" locked="0" layoutInCell="1" allowOverlap="1" wp14:anchorId="469D654D" wp14:editId="20AC5EC8">
            <wp:simplePos x="0" y="0"/>
            <wp:positionH relativeFrom="margin">
              <wp:posOffset>0</wp:posOffset>
            </wp:positionH>
            <wp:positionV relativeFrom="paragraph">
              <wp:posOffset>10215</wp:posOffset>
            </wp:positionV>
            <wp:extent cx="2599690" cy="2078355"/>
            <wp:effectExtent l="0" t="0" r="0" b="0"/>
            <wp:wrapSquare wrapText="bothSides"/>
            <wp:docPr id="145479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7079" name=""/>
                    <pic:cNvPicPr/>
                  </pic:nvPicPr>
                  <pic:blipFill>
                    <a:blip r:embed="rId23">
                      <a:extLst>
                        <a:ext uri="{28A0092B-C50C-407E-A947-70E740481C1C}">
                          <a14:useLocalDpi xmlns:a14="http://schemas.microsoft.com/office/drawing/2010/main" val="0"/>
                        </a:ext>
                      </a:extLst>
                    </a:blip>
                    <a:stretch>
                      <a:fillRect/>
                    </a:stretch>
                  </pic:blipFill>
                  <pic:spPr>
                    <a:xfrm>
                      <a:off x="0" y="0"/>
                      <a:ext cx="2599690" cy="2078355"/>
                    </a:xfrm>
                    <a:prstGeom prst="rect">
                      <a:avLst/>
                    </a:prstGeom>
                  </pic:spPr>
                </pic:pic>
              </a:graphicData>
            </a:graphic>
            <wp14:sizeRelH relativeFrom="margin">
              <wp14:pctWidth>0</wp14:pctWidth>
            </wp14:sizeRelH>
            <wp14:sizeRelV relativeFrom="margin">
              <wp14:pctHeight>0</wp14:pctHeight>
            </wp14:sizeRelV>
          </wp:anchor>
        </w:drawing>
      </w:r>
      <w:r>
        <w:rPr>
          <w:noProof/>
          <w:lang w:val="en-IN"/>
        </w:rPr>
        <w:t xml:space="preserve">     </w:t>
      </w:r>
      <w:r w:rsidRPr="00A6757A">
        <w:rPr>
          <w:noProof/>
        </w:rPr>
        <w:drawing>
          <wp:inline distT="0" distB="0" distL="0" distR="0" wp14:anchorId="112469A5" wp14:editId="060ED953">
            <wp:extent cx="2310765" cy="2059387"/>
            <wp:effectExtent l="0" t="0" r="0" b="0"/>
            <wp:docPr id="195204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41940" name=""/>
                    <pic:cNvPicPr/>
                  </pic:nvPicPr>
                  <pic:blipFill>
                    <a:blip r:embed="rId24"/>
                    <a:stretch>
                      <a:fillRect/>
                    </a:stretch>
                  </pic:blipFill>
                  <pic:spPr>
                    <a:xfrm>
                      <a:off x="0" y="0"/>
                      <a:ext cx="2347880" cy="2092464"/>
                    </a:xfrm>
                    <a:prstGeom prst="rect">
                      <a:avLst/>
                    </a:prstGeom>
                  </pic:spPr>
                </pic:pic>
              </a:graphicData>
            </a:graphic>
          </wp:inline>
        </w:drawing>
      </w:r>
    </w:p>
    <w:p w14:paraId="791E443E" w14:textId="1877E298" w:rsidR="00077160" w:rsidRPr="00077160" w:rsidRDefault="00077160" w:rsidP="00077160">
      <w:pPr>
        <w:pStyle w:val="BodyText"/>
        <w:numPr>
          <w:ilvl w:val="0"/>
          <w:numId w:val="33"/>
        </w:numPr>
        <w:tabs>
          <w:tab w:val="left" w:pos="2039"/>
          <w:tab w:val="left" w:pos="7419"/>
        </w:tabs>
        <w:jc w:val="both"/>
        <w:rPr>
          <w:rFonts w:ascii="Arial" w:hAnsi="Arial" w:cs="Arial"/>
          <w:noProof/>
          <w:lang w:val="en-IN"/>
        </w:rPr>
      </w:pPr>
      <w:r w:rsidRPr="00077160">
        <w:rPr>
          <w:rFonts w:ascii="Arial" w:hAnsi="Arial" w:cs="Arial"/>
          <w:noProof/>
          <w:lang w:val="en-IN"/>
        </w:rPr>
        <w:t xml:space="preserve">                                                                 d)</w:t>
      </w:r>
    </w:p>
    <w:p w14:paraId="192CEFF8" w14:textId="254862F5" w:rsidR="00077160" w:rsidRPr="000042E0" w:rsidRDefault="00077160" w:rsidP="00077160">
      <w:pPr>
        <w:ind w:right="82"/>
        <w:jc w:val="both"/>
        <w:rPr>
          <w:rFonts w:ascii="Arial" w:hAnsi="Arial" w:cs="Arial"/>
          <w:b/>
          <w:bCs/>
        </w:rPr>
      </w:pPr>
      <w:r w:rsidRPr="000042E0">
        <w:rPr>
          <w:rFonts w:ascii="Arial" w:hAnsi="Arial" w:cs="Arial"/>
          <w:b/>
          <w:bCs/>
        </w:rPr>
        <w:t>Fig 2. a) 2D ligand–protein interaction map of NDR (co-crystallized ligand), b) 3D binding interactions of NDR (co-crystallized ligand) within the active site, c) 3D binding interactions of Tria-8 in the target protein active site, d) 3D CPK representation showing interactions of eugenol–triazole ligands within the binding pocket.</w:t>
      </w:r>
    </w:p>
    <w:p w14:paraId="4C66CDD9" w14:textId="77777777" w:rsidR="00077160" w:rsidRPr="00077160" w:rsidRDefault="00077160" w:rsidP="00077160">
      <w:pPr>
        <w:ind w:right="82"/>
        <w:jc w:val="both"/>
        <w:rPr>
          <w:rFonts w:ascii="Arial" w:hAnsi="Arial" w:cs="Arial"/>
        </w:rPr>
      </w:pPr>
    </w:p>
    <w:p w14:paraId="4C4E1729" w14:textId="77777777"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 xml:space="preserve">Molecular docking studies were conducted to evaluate the binding affinities and interaction profiles of eugenol-based triazole derivatives within the active site of the target protein (PDB ID: 1M17). Binding free energy (ΔG, kcal/mol) was used to assess ligand–protein interaction strength, where more negative values indicate stronger binding. Erlotinib, the co-crystallized ligand, exhibited the highest binding affinity (ΔG = −8.412 kcal/mol), validating the docking </w:t>
      </w:r>
      <w:r w:rsidRPr="00C25AA5">
        <w:rPr>
          <w:rFonts w:ascii="Arial" w:hAnsi="Arial" w:cs="Arial"/>
          <w:noProof/>
          <w:lang w:val="en-IN"/>
        </w:rPr>
        <w:lastRenderedPageBreak/>
        <w:t>protocol and serving as a benchmark for comparison. Its strong binding arises from key interactions with residues CYS773 and MET769, which are known to play critical roles in stabilizing inhibitors within the active site.</w:t>
      </w:r>
    </w:p>
    <w:p w14:paraId="6ADB6D70" w14:textId="77777777"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The clinically approved inhibitor Gefitinib also showed favorable binding (ΔG = −7.676 kcal/mol), interacting with LYS721 and MET769, suggesting a binding mode comparable to Erlotinib. In contrast, eugenol displayed very weak binding affinity (ΔG = −4.514 kcal/mol) and lacked significant interactions with key active-site residues, indicating poor complementarity and limited stabilization within the binding pocket.</w:t>
      </w:r>
    </w:p>
    <w:p w14:paraId="7F0250F4" w14:textId="673A2355"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 xml:space="preserve">Incorporation of the triazole moiety significantly enhanced binding affinity relative to eugenol. Among the </w:t>
      </w:r>
      <w:r w:rsidR="00FD1116">
        <w:rPr>
          <w:rFonts w:ascii="Arial" w:hAnsi="Arial" w:cs="Arial"/>
          <w:noProof/>
          <w:lang w:val="en-IN"/>
        </w:rPr>
        <w:t>desgined</w:t>
      </w:r>
      <w:r w:rsidRPr="00C25AA5">
        <w:rPr>
          <w:rFonts w:ascii="Arial" w:hAnsi="Arial" w:cs="Arial"/>
          <w:noProof/>
          <w:lang w:val="en-IN"/>
        </w:rPr>
        <w:t xml:space="preserve"> derivatives, Tria-25 demonstrated the strongest binding (ΔG = −7.637 kcal/mol), closely approaching that of Gefitinib. Its improved affinity is attributed to multiple hydrogen bond interactions involving MET769, THR766, ASP831, and GLU738, along with extensive hydrophobic contacts that stabilize the ligand within the pocket. Tria-24 also showed strong binding (ΔG = −7.422 kcal/mol), interacting with GLN767, ASP831, and GLU738, suggesting that engagement of acidic residues contributes positively to binding stability.</w:t>
      </w:r>
    </w:p>
    <w:p w14:paraId="16E896CE" w14:textId="77777777"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Other triazole derivatives exhibited moderate binding affinities. Tria-13 (ΔG = −6.974 kcal/mol), Tria-11 (ΔG = −6.809 kcal/mol), and Tria-22 (ΔG = −6.752 kcal/mol) primarily interacted with MET769 and ASP831, indicating partial occupation of the active site and fewer stabilizing interactions compared to Tria-25 and Tria-24. These results highlight the importance of multiple hydrogen-bond donors and acceptors, along with optimal orientation of substituents, for improved binding.</w:t>
      </w:r>
    </w:p>
    <w:p w14:paraId="73EE218B" w14:textId="77777777"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Interaction analysis of Erlotinib (Fig. 3a and 3b) revealed that its high affinity is driven by multiple hydrogen bonds involving the quinazoline core and residues such as CYS773, MET769, and GLN791, reinforced by extensive hydrophobic and π–π stacking interactions within a well-defined non-polar binding pocket. These interactions collectively ensure tight and specific binding. Similarly, Tria-25 (Fig. 3c) formed several hydrogen bonds with key residues and was further stabilized by hydrophobic contacts with surrounding non-polar amino acids, explaining its favorable docking score.</w:t>
      </w:r>
    </w:p>
    <w:p w14:paraId="1189C0FE" w14:textId="77777777" w:rsidR="00C25AA5" w:rsidRPr="00C25AA5" w:rsidRDefault="00C25AA5" w:rsidP="00C25AA5">
      <w:pPr>
        <w:pStyle w:val="BodyText"/>
        <w:jc w:val="both"/>
        <w:rPr>
          <w:rFonts w:ascii="Arial" w:hAnsi="Arial" w:cs="Arial"/>
          <w:noProof/>
          <w:lang w:val="en-IN"/>
        </w:rPr>
      </w:pPr>
      <w:r w:rsidRPr="00C25AA5">
        <w:rPr>
          <w:rFonts w:ascii="Arial" w:hAnsi="Arial" w:cs="Arial"/>
          <w:noProof/>
          <w:lang w:val="en-IN"/>
        </w:rPr>
        <w:t>Superposition of the docked eugenol–triazole derivatives (Fig. 3d) confirmed that all ligands occupy the same binding region within the active site, indicating a shared binding mode across the series. The conserved alignment of the triazole core and aromatic rings identifies these features as essential pharmacophoric elements, while variability in peripheral substituents suggests opportunities for further structural optimization.</w:t>
      </w:r>
    </w:p>
    <w:p w14:paraId="5E482492" w14:textId="60B582F0" w:rsidR="00077160" w:rsidRDefault="00B34F45" w:rsidP="00077160">
      <w:pPr>
        <w:pStyle w:val="BodyText"/>
        <w:jc w:val="both"/>
        <w:rPr>
          <w:noProof/>
          <w:lang w:val="en-IN"/>
        </w:rPr>
      </w:pPr>
      <w:r w:rsidRPr="00F9182F">
        <w:rPr>
          <w:noProof/>
        </w:rPr>
        <w:drawing>
          <wp:inline distT="0" distB="0" distL="0" distR="0" wp14:anchorId="544BB45A" wp14:editId="738E6CCD">
            <wp:extent cx="2042795" cy="1604513"/>
            <wp:effectExtent l="0" t="0" r="0" b="0"/>
            <wp:docPr id="151272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1306" name=""/>
                    <pic:cNvPicPr/>
                  </pic:nvPicPr>
                  <pic:blipFill>
                    <a:blip r:embed="rId25"/>
                    <a:stretch>
                      <a:fillRect/>
                    </a:stretch>
                  </pic:blipFill>
                  <pic:spPr>
                    <a:xfrm>
                      <a:off x="0" y="0"/>
                      <a:ext cx="2087623" cy="1639723"/>
                    </a:xfrm>
                    <a:prstGeom prst="rect">
                      <a:avLst/>
                    </a:prstGeom>
                  </pic:spPr>
                </pic:pic>
              </a:graphicData>
            </a:graphic>
          </wp:inline>
        </w:drawing>
      </w:r>
      <w:r>
        <w:rPr>
          <w:noProof/>
        </w:rPr>
        <w:t xml:space="preserve">                           </w:t>
      </w:r>
      <w:r w:rsidRPr="00F9182F">
        <w:rPr>
          <w:noProof/>
        </w:rPr>
        <w:drawing>
          <wp:inline distT="0" distB="0" distL="0" distR="0" wp14:anchorId="582E9652" wp14:editId="3E759A14">
            <wp:extent cx="2069191" cy="1466490"/>
            <wp:effectExtent l="0" t="0" r="0" b="0"/>
            <wp:docPr id="124461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17533" name=""/>
                    <pic:cNvPicPr/>
                  </pic:nvPicPr>
                  <pic:blipFill>
                    <a:blip r:embed="rId26"/>
                    <a:stretch>
                      <a:fillRect/>
                    </a:stretch>
                  </pic:blipFill>
                  <pic:spPr>
                    <a:xfrm>
                      <a:off x="0" y="0"/>
                      <a:ext cx="2130847" cy="1510187"/>
                    </a:xfrm>
                    <a:prstGeom prst="rect">
                      <a:avLst/>
                    </a:prstGeom>
                  </pic:spPr>
                </pic:pic>
              </a:graphicData>
            </a:graphic>
          </wp:inline>
        </w:drawing>
      </w:r>
    </w:p>
    <w:p w14:paraId="10AFDFD1" w14:textId="222807F3" w:rsidR="00077160" w:rsidRDefault="00077160" w:rsidP="00B34F45">
      <w:pPr>
        <w:pStyle w:val="BodyText"/>
        <w:tabs>
          <w:tab w:val="left" w:pos="6575"/>
        </w:tabs>
        <w:jc w:val="both"/>
      </w:pPr>
      <w:r>
        <w:t xml:space="preserve">                             </w:t>
      </w:r>
      <w:r w:rsidR="00B34F45">
        <w:t>a)</w:t>
      </w:r>
      <w:r w:rsidR="00B34F45">
        <w:tab/>
        <w:t>b)</w:t>
      </w:r>
    </w:p>
    <w:p w14:paraId="7C0DDBD1" w14:textId="13915F2A" w:rsidR="00077160" w:rsidRDefault="00077160" w:rsidP="00077160">
      <w:pPr>
        <w:pStyle w:val="BodyText"/>
        <w:jc w:val="both"/>
      </w:pPr>
      <w:r>
        <w:t xml:space="preserve">                    </w:t>
      </w:r>
    </w:p>
    <w:p w14:paraId="3AB6DCC8" w14:textId="77777777" w:rsidR="00077160" w:rsidRDefault="00077160" w:rsidP="00077160">
      <w:pPr>
        <w:pStyle w:val="BodyText"/>
        <w:jc w:val="both"/>
        <w:rPr>
          <w:noProof/>
          <w:lang w:val="en-IN"/>
        </w:rPr>
      </w:pPr>
      <w:r w:rsidRPr="00F9182F">
        <w:rPr>
          <w:noProof/>
        </w:rPr>
        <w:lastRenderedPageBreak/>
        <w:drawing>
          <wp:inline distT="0" distB="0" distL="0" distR="0" wp14:anchorId="491DBC4A" wp14:editId="74617594">
            <wp:extent cx="2520563" cy="1938791"/>
            <wp:effectExtent l="0" t="0" r="0" b="0"/>
            <wp:docPr id="203968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1327" name=""/>
                    <pic:cNvPicPr/>
                  </pic:nvPicPr>
                  <pic:blipFill>
                    <a:blip r:embed="rId27"/>
                    <a:stretch>
                      <a:fillRect/>
                    </a:stretch>
                  </pic:blipFill>
                  <pic:spPr>
                    <a:xfrm>
                      <a:off x="0" y="0"/>
                      <a:ext cx="2572319" cy="1978601"/>
                    </a:xfrm>
                    <a:prstGeom prst="rect">
                      <a:avLst/>
                    </a:prstGeom>
                  </pic:spPr>
                </pic:pic>
              </a:graphicData>
            </a:graphic>
          </wp:inline>
        </w:drawing>
      </w:r>
      <w:r>
        <w:t xml:space="preserve">               </w:t>
      </w:r>
      <w:r w:rsidRPr="00F9182F">
        <w:rPr>
          <w:noProof/>
        </w:rPr>
        <w:drawing>
          <wp:inline distT="0" distB="0" distL="0" distR="0" wp14:anchorId="232BD986" wp14:editId="1ACBE8A9">
            <wp:extent cx="2075290" cy="1908885"/>
            <wp:effectExtent l="0" t="0" r="0" b="0"/>
            <wp:docPr id="106943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36583" name=""/>
                    <pic:cNvPicPr/>
                  </pic:nvPicPr>
                  <pic:blipFill>
                    <a:blip r:embed="rId28"/>
                    <a:stretch>
                      <a:fillRect/>
                    </a:stretch>
                  </pic:blipFill>
                  <pic:spPr>
                    <a:xfrm>
                      <a:off x="0" y="0"/>
                      <a:ext cx="2136437" cy="1965129"/>
                    </a:xfrm>
                    <a:prstGeom prst="rect">
                      <a:avLst/>
                    </a:prstGeom>
                  </pic:spPr>
                </pic:pic>
              </a:graphicData>
            </a:graphic>
          </wp:inline>
        </w:drawing>
      </w:r>
    </w:p>
    <w:p w14:paraId="1440C83D" w14:textId="77777777" w:rsidR="00077160" w:rsidRDefault="00077160" w:rsidP="00077160">
      <w:pPr>
        <w:pStyle w:val="BodyText"/>
        <w:jc w:val="both"/>
        <w:rPr>
          <w:noProof/>
          <w:lang w:val="en-IN"/>
        </w:rPr>
      </w:pPr>
    </w:p>
    <w:p w14:paraId="144E8F00" w14:textId="77777777" w:rsidR="00077160" w:rsidRPr="00077160" w:rsidRDefault="00077160" w:rsidP="00077160">
      <w:pPr>
        <w:pStyle w:val="BodyText"/>
        <w:widowControl w:val="0"/>
        <w:numPr>
          <w:ilvl w:val="0"/>
          <w:numId w:val="35"/>
        </w:numPr>
        <w:tabs>
          <w:tab w:val="left" w:pos="6561"/>
        </w:tabs>
        <w:autoSpaceDE w:val="0"/>
        <w:autoSpaceDN w:val="0"/>
        <w:spacing w:after="0"/>
        <w:jc w:val="both"/>
        <w:rPr>
          <w:rFonts w:ascii="Arial" w:hAnsi="Arial" w:cs="Arial"/>
          <w:noProof/>
          <w:lang w:val="en-IN"/>
        </w:rPr>
      </w:pPr>
      <w:r>
        <w:rPr>
          <w:noProof/>
          <w:lang w:val="en-IN"/>
        </w:rPr>
        <w:t xml:space="preserve">                                                                           </w:t>
      </w:r>
      <w:r w:rsidRPr="00077160">
        <w:rPr>
          <w:rFonts w:ascii="Arial" w:hAnsi="Arial" w:cs="Arial"/>
          <w:noProof/>
          <w:lang w:val="en-IN"/>
        </w:rPr>
        <w:t>d)</w:t>
      </w:r>
    </w:p>
    <w:p w14:paraId="24D0A760" w14:textId="77777777" w:rsidR="00077160" w:rsidRDefault="00077160" w:rsidP="00077160">
      <w:pPr>
        <w:pStyle w:val="BodyText"/>
        <w:tabs>
          <w:tab w:val="left" w:pos="6561"/>
        </w:tabs>
        <w:jc w:val="both"/>
        <w:rPr>
          <w:noProof/>
          <w:lang w:val="en-IN"/>
        </w:rPr>
      </w:pPr>
    </w:p>
    <w:p w14:paraId="73B1E670" w14:textId="1ACC0D90" w:rsidR="00077160" w:rsidRPr="000042E0" w:rsidRDefault="00077160" w:rsidP="00905C98">
      <w:pPr>
        <w:ind w:right="82"/>
        <w:jc w:val="both"/>
        <w:rPr>
          <w:rFonts w:ascii="Arial" w:hAnsi="Arial" w:cs="Arial"/>
          <w:b/>
          <w:bCs/>
        </w:rPr>
      </w:pPr>
      <w:r w:rsidRPr="000042E0">
        <w:rPr>
          <w:rFonts w:ascii="Arial" w:hAnsi="Arial" w:cs="Arial"/>
          <w:b/>
          <w:bCs/>
        </w:rPr>
        <w:t>Fig 3. a) 2D ligand–protein interaction map of Erlotinib (co-crystallized ligand), b) 3D binding interactions of Erlotinib (co-crystallized ligand) within the active site, c) 2D ligand–protein interaction map of Tria-25, d) 3D ligand interactions of eugenol–triazole ligands within the binding pocket.</w:t>
      </w:r>
    </w:p>
    <w:p w14:paraId="6FA347BB" w14:textId="77777777" w:rsidR="000174DE" w:rsidRDefault="000174DE" w:rsidP="00905C98">
      <w:pPr>
        <w:pStyle w:val="BodyText"/>
        <w:ind w:right="82"/>
        <w:jc w:val="both"/>
        <w:rPr>
          <w:noProof/>
          <w:lang w:val="en-IN"/>
        </w:rPr>
      </w:pPr>
    </w:p>
    <w:p w14:paraId="0A5063CD" w14:textId="2B4EE190" w:rsidR="001D29B2" w:rsidRPr="001D29B2" w:rsidRDefault="001D29B2" w:rsidP="001D29B2">
      <w:pPr>
        <w:pStyle w:val="BodyText"/>
        <w:jc w:val="both"/>
        <w:rPr>
          <w:rFonts w:ascii="Arial" w:hAnsi="Arial" w:cs="Arial"/>
          <w:noProof/>
          <w:lang w:val="en-IN"/>
        </w:rPr>
      </w:pPr>
      <w:r w:rsidRPr="001D29B2">
        <w:rPr>
          <w:rFonts w:ascii="Arial" w:hAnsi="Arial" w:cs="Arial"/>
          <w:noProof/>
          <w:lang w:val="en-IN"/>
        </w:rPr>
        <w:t xml:space="preserve">Molecular docking studies against the PI3Kα target (PDB ID: 5DXT) were performed to assess the binding affinities and interaction profiles of reference drugs, eugenol, and the </w:t>
      </w:r>
      <w:r w:rsidR="00FD1116">
        <w:rPr>
          <w:rFonts w:ascii="Arial" w:hAnsi="Arial" w:cs="Arial"/>
          <w:noProof/>
          <w:lang w:val="en-IN"/>
        </w:rPr>
        <w:t>designed</w:t>
      </w:r>
      <w:r w:rsidRPr="001D29B2">
        <w:rPr>
          <w:rFonts w:ascii="Arial" w:hAnsi="Arial" w:cs="Arial"/>
          <w:noProof/>
          <w:lang w:val="en-IN"/>
        </w:rPr>
        <w:t xml:space="preserve"> triazole derivatives. The co-crystallized inhibitor Alpelisib exhibited the strongest binding affinity (ΔG = −10.264 kcal/mol), forming multiple stabilizing hydrogen bonds with GLN859 and SER854, along with extensive hydrophobic interactions involving VAL851, HIS850, and ILE848, thereby validating the docking protocol. In comparison, Tamoxifen showed moderate binding (ΔG = −6.396 kcal/mol) with limited interaction primarily involving GLU798, while eugenol displayed weaker affinity (ΔG = −5.8809 kcal/mol), forming minimal contacts with GLU849 and VAL851, indicating suboptimal engagement of the binding pocket.</w:t>
      </w:r>
    </w:p>
    <w:p w14:paraId="49116233" w14:textId="31029D04" w:rsidR="001D29B2" w:rsidRDefault="001D29B2" w:rsidP="001D29B2">
      <w:pPr>
        <w:pStyle w:val="BodyText"/>
        <w:jc w:val="both"/>
        <w:rPr>
          <w:rFonts w:ascii="Arial" w:hAnsi="Arial" w:cs="Arial"/>
          <w:noProof/>
          <w:lang w:val="en-IN"/>
        </w:rPr>
      </w:pPr>
      <w:r w:rsidRPr="001D29B2">
        <w:rPr>
          <w:rFonts w:ascii="Arial" w:hAnsi="Arial" w:cs="Arial"/>
          <w:noProof/>
          <w:lang w:val="en-IN"/>
        </w:rPr>
        <w:t xml:space="preserve">The 2D and 3D interaction analyses (Fig. 4a–b) reveal that Alpelisib is deeply embedded within the PI3K catalytic cavity, where short and stable hydrogen bonds with GLN859 (~2.4 Å) and SER854 (~2.6 Å), together with a well-defined hydrophobic socket, contribute to its high binding stability. Among the </w:t>
      </w:r>
      <w:r w:rsidR="00FD1116">
        <w:rPr>
          <w:rFonts w:ascii="Arial" w:hAnsi="Arial" w:cs="Arial"/>
          <w:noProof/>
          <w:lang w:val="en-IN"/>
        </w:rPr>
        <w:t>desgined</w:t>
      </w:r>
      <w:r w:rsidRPr="001D29B2">
        <w:rPr>
          <w:rFonts w:ascii="Arial" w:hAnsi="Arial" w:cs="Arial"/>
          <w:noProof/>
          <w:lang w:val="en-IN"/>
        </w:rPr>
        <w:t xml:space="preserve"> compounds, Tria-24 demonstrated improved binding affinity (ΔG = −6.808 kcal/mol) relative to Tamoxifen and eugenol. Its binding is stabilized by key hydrogen bonds with SER774, MET772, and VAL851, supplemented by hydrophobic interactions and a notable π–π stacking interaction with TRP790 (Fig. 4c–d). Tria-29 exhibited comparable affinity (ΔG = −6.264 kcal/mol), interacting mainly with ARG770, SER854, and VAL851.</w:t>
      </w:r>
    </w:p>
    <w:p w14:paraId="35CDF7CD" w14:textId="77777777" w:rsidR="00B34F45" w:rsidRDefault="00B34F45" w:rsidP="001D29B2">
      <w:pPr>
        <w:pStyle w:val="BodyText"/>
        <w:jc w:val="both"/>
        <w:rPr>
          <w:rFonts w:ascii="Arial" w:hAnsi="Arial" w:cs="Arial"/>
          <w:noProof/>
          <w:lang w:val="en-IN"/>
        </w:rPr>
      </w:pPr>
    </w:p>
    <w:p w14:paraId="0796D427" w14:textId="77777777" w:rsidR="00B34F45" w:rsidRDefault="00B34F45" w:rsidP="001D29B2">
      <w:pPr>
        <w:pStyle w:val="BodyText"/>
        <w:jc w:val="both"/>
        <w:rPr>
          <w:rFonts w:ascii="Arial" w:hAnsi="Arial" w:cs="Arial"/>
          <w:noProof/>
          <w:lang w:val="en-IN"/>
        </w:rPr>
      </w:pPr>
    </w:p>
    <w:p w14:paraId="2F2F2AB3" w14:textId="77777777" w:rsidR="00B34F45" w:rsidRDefault="00B34F45" w:rsidP="001D29B2">
      <w:pPr>
        <w:pStyle w:val="BodyText"/>
        <w:jc w:val="both"/>
        <w:rPr>
          <w:rFonts w:ascii="Arial" w:hAnsi="Arial" w:cs="Arial"/>
          <w:noProof/>
          <w:lang w:val="en-IN"/>
        </w:rPr>
      </w:pPr>
    </w:p>
    <w:p w14:paraId="0CF9310D" w14:textId="77777777" w:rsidR="00B34F45" w:rsidRDefault="00B34F45" w:rsidP="001D29B2">
      <w:pPr>
        <w:pStyle w:val="BodyText"/>
        <w:jc w:val="both"/>
        <w:rPr>
          <w:rFonts w:ascii="Arial" w:hAnsi="Arial" w:cs="Arial"/>
          <w:noProof/>
          <w:lang w:val="en-IN"/>
        </w:rPr>
      </w:pPr>
    </w:p>
    <w:p w14:paraId="56B95C59" w14:textId="77777777" w:rsidR="00B34F45" w:rsidRPr="001D29B2" w:rsidRDefault="00B34F45" w:rsidP="001D29B2">
      <w:pPr>
        <w:pStyle w:val="BodyText"/>
        <w:jc w:val="both"/>
        <w:rPr>
          <w:rFonts w:ascii="Arial" w:hAnsi="Arial" w:cs="Arial"/>
          <w:noProof/>
          <w:lang w:val="en-IN"/>
        </w:rPr>
      </w:pPr>
    </w:p>
    <w:p w14:paraId="1102CA72" w14:textId="4C2F2C39" w:rsidR="00077160" w:rsidRDefault="00695CDB" w:rsidP="00077160">
      <w:pPr>
        <w:pStyle w:val="BodyText"/>
        <w:jc w:val="both"/>
        <w:rPr>
          <w:noProof/>
          <w:lang w:val="en-IN"/>
        </w:rPr>
      </w:pPr>
      <w:r w:rsidRPr="00ED340C">
        <w:rPr>
          <w:noProof/>
          <w:lang w:val="en-IN"/>
        </w:rPr>
        <w:lastRenderedPageBreak/>
        <w:drawing>
          <wp:anchor distT="0" distB="0" distL="114300" distR="114300" simplePos="0" relativeHeight="251663872" behindDoc="0" locked="0" layoutInCell="1" allowOverlap="1" wp14:anchorId="4B189110" wp14:editId="32237C96">
            <wp:simplePos x="0" y="0"/>
            <wp:positionH relativeFrom="margin">
              <wp:posOffset>2989580</wp:posOffset>
            </wp:positionH>
            <wp:positionV relativeFrom="paragraph">
              <wp:posOffset>224155</wp:posOffset>
            </wp:positionV>
            <wp:extent cx="2170430" cy="1759585"/>
            <wp:effectExtent l="0" t="0" r="0" b="0"/>
            <wp:wrapSquare wrapText="bothSides"/>
            <wp:docPr id="173906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6680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0430" cy="1759585"/>
                    </a:xfrm>
                    <a:prstGeom prst="rect">
                      <a:avLst/>
                    </a:prstGeom>
                  </pic:spPr>
                </pic:pic>
              </a:graphicData>
            </a:graphic>
            <wp14:sizeRelH relativeFrom="margin">
              <wp14:pctWidth>0</wp14:pctWidth>
            </wp14:sizeRelH>
            <wp14:sizeRelV relativeFrom="margin">
              <wp14:pctHeight>0</wp14:pctHeight>
            </wp14:sizeRelV>
          </wp:anchor>
        </w:drawing>
      </w:r>
    </w:p>
    <w:p w14:paraId="331D33BC" w14:textId="2C3D7145" w:rsidR="00077160" w:rsidRDefault="00077160" w:rsidP="00077160">
      <w:pPr>
        <w:pStyle w:val="BodyText"/>
        <w:jc w:val="both"/>
        <w:rPr>
          <w:noProof/>
          <w:lang w:val="en-IN"/>
        </w:rPr>
      </w:pPr>
      <w:r w:rsidRPr="0059754B">
        <w:rPr>
          <w:noProof/>
          <w:lang w:val="en-IN"/>
        </w:rPr>
        <w:drawing>
          <wp:inline distT="0" distB="0" distL="0" distR="0" wp14:anchorId="15922262" wp14:editId="6E609FFB">
            <wp:extent cx="2479351" cy="1837427"/>
            <wp:effectExtent l="0" t="0" r="0" b="0"/>
            <wp:docPr id="187288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5049" name=""/>
                    <pic:cNvPicPr/>
                  </pic:nvPicPr>
                  <pic:blipFill>
                    <a:blip r:embed="rId30"/>
                    <a:stretch>
                      <a:fillRect/>
                    </a:stretch>
                  </pic:blipFill>
                  <pic:spPr>
                    <a:xfrm>
                      <a:off x="0" y="0"/>
                      <a:ext cx="2479351" cy="1837427"/>
                    </a:xfrm>
                    <a:prstGeom prst="rect">
                      <a:avLst/>
                    </a:prstGeom>
                  </pic:spPr>
                </pic:pic>
              </a:graphicData>
            </a:graphic>
          </wp:inline>
        </w:drawing>
      </w:r>
      <w:r w:rsidRPr="0059754B">
        <w:rPr>
          <w:noProof/>
        </w:rPr>
        <w:t xml:space="preserve"> </w:t>
      </w:r>
      <w:r>
        <w:rPr>
          <w:noProof/>
          <w:lang w:val="en-IN"/>
        </w:rPr>
        <w:t xml:space="preserve">                 </w:t>
      </w:r>
    </w:p>
    <w:p w14:paraId="02566F3E" w14:textId="7217689A" w:rsidR="00077160" w:rsidRPr="00077160" w:rsidRDefault="00077160" w:rsidP="00077160">
      <w:pPr>
        <w:pStyle w:val="BodyText"/>
        <w:tabs>
          <w:tab w:val="left" w:pos="7210"/>
        </w:tabs>
        <w:jc w:val="both"/>
        <w:rPr>
          <w:rFonts w:ascii="Arial" w:hAnsi="Arial" w:cs="Arial"/>
          <w:noProof/>
          <w:lang w:val="en-IN"/>
        </w:rPr>
      </w:pPr>
      <w:r w:rsidRPr="00077160">
        <w:rPr>
          <w:rFonts w:ascii="Arial" w:hAnsi="Arial" w:cs="Arial"/>
          <w:noProof/>
          <w:lang w:val="en-IN"/>
        </w:rPr>
        <w:t xml:space="preserve">                                 a)</w:t>
      </w:r>
      <w:r w:rsidR="000327DF">
        <w:rPr>
          <w:rFonts w:ascii="Arial" w:hAnsi="Arial" w:cs="Arial"/>
          <w:noProof/>
          <w:lang w:val="en-IN"/>
        </w:rPr>
        <w:t xml:space="preserve">                                                                              </w:t>
      </w:r>
      <w:r w:rsidRPr="00077160">
        <w:rPr>
          <w:rFonts w:ascii="Arial" w:hAnsi="Arial" w:cs="Arial"/>
          <w:noProof/>
          <w:lang w:val="en-IN"/>
        </w:rPr>
        <w:t>b)</w:t>
      </w:r>
    </w:p>
    <w:p w14:paraId="48F65CFD" w14:textId="49E6099B" w:rsidR="00077160" w:rsidRPr="00ED340C" w:rsidRDefault="00695CDB" w:rsidP="00077160">
      <w:pPr>
        <w:pStyle w:val="BodyText"/>
        <w:jc w:val="both"/>
        <w:rPr>
          <w:noProof/>
          <w:lang w:val="en-IN"/>
        </w:rPr>
      </w:pPr>
      <w:r w:rsidRPr="0059754B">
        <w:rPr>
          <w:noProof/>
          <w:lang w:val="en-IN"/>
        </w:rPr>
        <w:drawing>
          <wp:inline distT="0" distB="0" distL="0" distR="0" wp14:anchorId="47D238BE" wp14:editId="231F33CA">
            <wp:extent cx="2070340" cy="1767840"/>
            <wp:effectExtent l="0" t="0" r="0" b="0"/>
            <wp:docPr id="63754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41527" name=""/>
                    <pic:cNvPicPr/>
                  </pic:nvPicPr>
                  <pic:blipFill>
                    <a:blip r:embed="rId31"/>
                    <a:stretch>
                      <a:fillRect/>
                    </a:stretch>
                  </pic:blipFill>
                  <pic:spPr>
                    <a:xfrm>
                      <a:off x="0" y="0"/>
                      <a:ext cx="2072087" cy="1769332"/>
                    </a:xfrm>
                    <a:prstGeom prst="rect">
                      <a:avLst/>
                    </a:prstGeom>
                  </pic:spPr>
                </pic:pic>
              </a:graphicData>
            </a:graphic>
          </wp:inline>
        </w:drawing>
      </w:r>
      <w:r>
        <w:rPr>
          <w:noProof/>
          <w:lang w:val="en-IN"/>
        </w:rPr>
        <w:t xml:space="preserve">                         </w:t>
      </w:r>
      <w:r w:rsidRPr="00ED340C">
        <w:rPr>
          <w:noProof/>
          <w:lang w:val="en-IN"/>
        </w:rPr>
        <w:drawing>
          <wp:inline distT="0" distB="0" distL="0" distR="0" wp14:anchorId="37F6429D" wp14:editId="7D664644">
            <wp:extent cx="2228850" cy="1716657"/>
            <wp:effectExtent l="0" t="0" r="0" b="0"/>
            <wp:docPr id="145156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7941" name=""/>
                    <pic:cNvPicPr/>
                  </pic:nvPicPr>
                  <pic:blipFill>
                    <a:blip r:embed="rId32"/>
                    <a:stretch>
                      <a:fillRect/>
                    </a:stretch>
                  </pic:blipFill>
                  <pic:spPr>
                    <a:xfrm>
                      <a:off x="0" y="0"/>
                      <a:ext cx="2230612" cy="1718014"/>
                    </a:xfrm>
                    <a:prstGeom prst="rect">
                      <a:avLst/>
                    </a:prstGeom>
                  </pic:spPr>
                </pic:pic>
              </a:graphicData>
            </a:graphic>
          </wp:inline>
        </w:drawing>
      </w:r>
    </w:p>
    <w:p w14:paraId="54096B62" w14:textId="083CC1B7" w:rsidR="00077160" w:rsidRDefault="000174DE" w:rsidP="00077160">
      <w:pPr>
        <w:pStyle w:val="BodyText"/>
        <w:jc w:val="both"/>
        <w:rPr>
          <w:noProof/>
          <w:lang w:val="en-IN"/>
        </w:rPr>
      </w:pPr>
      <w:r>
        <w:rPr>
          <w:noProof/>
          <w:lang w:val="en-IN"/>
        </w:rPr>
        <w:t xml:space="preserve">                              </w:t>
      </w:r>
      <w:r w:rsidR="00695CDB" w:rsidRPr="00077160">
        <w:rPr>
          <w:rFonts w:ascii="Arial" w:hAnsi="Arial" w:cs="Arial"/>
          <w:noProof/>
          <w:lang w:val="en-IN"/>
        </w:rPr>
        <w:t xml:space="preserve">c)                                                                          </w:t>
      </w:r>
      <w:r w:rsidR="00695CDB" w:rsidRPr="00077160">
        <w:rPr>
          <w:rFonts w:ascii="Arial" w:hAnsi="Arial" w:cs="Arial"/>
          <w:noProof/>
          <w:lang w:val="en-IN"/>
        </w:rPr>
        <w:tab/>
        <w:t>d)</w:t>
      </w:r>
      <w:r>
        <w:rPr>
          <w:noProof/>
          <w:lang w:val="en-IN"/>
        </w:rPr>
        <w:t xml:space="preserve">                                                                                                                                                                            </w:t>
      </w:r>
    </w:p>
    <w:p w14:paraId="628B503D" w14:textId="6D3DA6D5" w:rsidR="00077160" w:rsidRPr="00695CDB" w:rsidRDefault="00077160" w:rsidP="00695CDB">
      <w:pPr>
        <w:pStyle w:val="BodyText"/>
        <w:jc w:val="both"/>
        <w:rPr>
          <w:rFonts w:ascii="Arial" w:hAnsi="Arial" w:cs="Arial"/>
          <w:noProof/>
          <w:lang w:val="en-IN"/>
        </w:rPr>
      </w:pPr>
      <w:r w:rsidRPr="000042E0">
        <w:rPr>
          <w:rFonts w:ascii="Arial" w:hAnsi="Arial" w:cs="Arial"/>
          <w:b/>
          <w:bCs/>
        </w:rPr>
        <w:t xml:space="preserve">Fig 4. </w:t>
      </w:r>
      <w:r w:rsidR="00EB7DBB">
        <w:rPr>
          <w:rFonts w:ascii="Arial" w:hAnsi="Arial" w:cs="Arial"/>
          <w:b/>
          <w:bCs/>
        </w:rPr>
        <w:t>a)</w:t>
      </w:r>
      <w:r w:rsidRPr="000042E0">
        <w:rPr>
          <w:rFonts w:ascii="Arial" w:hAnsi="Arial" w:cs="Arial"/>
          <w:b/>
          <w:bCs/>
        </w:rPr>
        <w:t xml:space="preserve"> 2D interaction map of Alpelisib (co-crystallized ligand), </w:t>
      </w:r>
      <w:r w:rsidR="007D37E6">
        <w:rPr>
          <w:rFonts w:ascii="Arial" w:hAnsi="Arial" w:cs="Arial"/>
          <w:b/>
          <w:bCs/>
        </w:rPr>
        <w:t>b</w:t>
      </w:r>
      <w:r w:rsidRPr="000042E0">
        <w:rPr>
          <w:rFonts w:ascii="Arial" w:hAnsi="Arial" w:cs="Arial"/>
          <w:b/>
          <w:bCs/>
        </w:rPr>
        <w:t>) 3D binding mode of Alpelisib in the active site,</w:t>
      </w:r>
      <w:r w:rsidR="000174DE">
        <w:rPr>
          <w:rFonts w:ascii="Arial" w:hAnsi="Arial" w:cs="Arial"/>
          <w:b/>
          <w:bCs/>
        </w:rPr>
        <w:t xml:space="preserve"> </w:t>
      </w:r>
      <w:r w:rsidR="007D37E6">
        <w:rPr>
          <w:rFonts w:ascii="Arial" w:hAnsi="Arial" w:cs="Arial"/>
          <w:b/>
          <w:bCs/>
        </w:rPr>
        <w:t xml:space="preserve">c) </w:t>
      </w:r>
      <w:r w:rsidR="000174DE" w:rsidRPr="000042E0">
        <w:rPr>
          <w:rFonts w:ascii="Arial" w:hAnsi="Arial" w:cs="Arial"/>
          <w:b/>
          <w:bCs/>
        </w:rPr>
        <w:t>2D interaction map of Tria-</w:t>
      </w:r>
      <w:r w:rsidR="00EB7DBB" w:rsidRPr="000042E0">
        <w:rPr>
          <w:rFonts w:ascii="Arial" w:hAnsi="Arial" w:cs="Arial"/>
          <w:b/>
          <w:bCs/>
        </w:rPr>
        <w:t>24, and</w:t>
      </w:r>
      <w:r w:rsidRPr="000042E0">
        <w:rPr>
          <w:rFonts w:ascii="Arial" w:hAnsi="Arial" w:cs="Arial"/>
          <w:b/>
          <w:bCs/>
        </w:rPr>
        <w:t xml:space="preserve"> d) 3D binding mode of Tria-24 within the binding pocket.</w:t>
      </w:r>
    </w:p>
    <w:p w14:paraId="5BB39319" w14:textId="02054E80" w:rsidR="00975EE3" w:rsidRPr="00975EE3" w:rsidRDefault="00975EE3" w:rsidP="00975EE3">
      <w:pPr>
        <w:pStyle w:val="BodyText"/>
        <w:jc w:val="both"/>
        <w:rPr>
          <w:rFonts w:ascii="Arial" w:hAnsi="Arial" w:cs="Arial"/>
          <w:noProof/>
          <w:lang w:val="en-IN"/>
        </w:rPr>
      </w:pPr>
      <w:r w:rsidRPr="00975EE3">
        <w:rPr>
          <w:rFonts w:ascii="Arial" w:hAnsi="Arial" w:cs="Arial"/>
          <w:noProof/>
          <w:lang w:val="en-IN"/>
        </w:rPr>
        <w:t>Rapamycin, the co-crystallized inhibitor, exhibited the strongest binding affinity (–</w:t>
      </w:r>
      <w:r>
        <w:rPr>
          <w:rFonts w:ascii="Arial" w:hAnsi="Arial" w:cs="Arial"/>
          <w:noProof/>
          <w:lang w:val="en-IN"/>
        </w:rPr>
        <w:t>6.457</w:t>
      </w:r>
      <w:r w:rsidRPr="00975EE3">
        <w:rPr>
          <w:rFonts w:ascii="Arial" w:hAnsi="Arial" w:cs="Arial"/>
          <w:noProof/>
          <w:lang w:val="en-IN"/>
        </w:rPr>
        <w:t xml:space="preserve"> kcal/mol) and formed multiple stabilizing hydrogen bonds with critical residues LYS52, SER80, GLN85, GLY84, ILE87, and TYR113, confirming the reliability of the docking protocol. Standard ligands such as doxorubicin (–5.693 kcal/mol), nertinib (–5.202 kcal/mol), and letrozole (–4.862 kcal/mol) also demonstrated moderate binding through interactions with residues including ILE87, ALA112, TYR113, and LYS121.</w:t>
      </w:r>
    </w:p>
    <w:p w14:paraId="131F1521" w14:textId="77777777" w:rsidR="00975EE3" w:rsidRPr="00975EE3" w:rsidRDefault="00975EE3" w:rsidP="00975EE3">
      <w:pPr>
        <w:pStyle w:val="BodyText"/>
        <w:jc w:val="both"/>
        <w:rPr>
          <w:rFonts w:ascii="Arial" w:hAnsi="Arial" w:cs="Arial"/>
          <w:noProof/>
          <w:lang w:val="en-IN"/>
        </w:rPr>
      </w:pPr>
      <w:r w:rsidRPr="00975EE3">
        <w:rPr>
          <w:rFonts w:ascii="Arial" w:hAnsi="Arial" w:cs="Arial"/>
          <w:noProof/>
          <w:lang w:val="en-IN"/>
        </w:rPr>
        <w:t>In contrast, eugenol showed the weakest binding affinity (–4.315 kcal/mol) and formed only a single hydrogen bond with ASP68, indicating poor stabilization within the mTOR binding pocket. This weak interaction profile explains its limited inhibitory potential toward mTOR when compared to reference inhibitors.</w:t>
      </w:r>
    </w:p>
    <w:p w14:paraId="2A7A4DCF" w14:textId="77777777" w:rsidR="00975EE3" w:rsidRPr="00975EE3" w:rsidRDefault="00975EE3" w:rsidP="00975EE3">
      <w:pPr>
        <w:pStyle w:val="BodyText"/>
        <w:jc w:val="both"/>
        <w:rPr>
          <w:rFonts w:ascii="Arial" w:hAnsi="Arial" w:cs="Arial"/>
          <w:noProof/>
          <w:lang w:val="en-IN"/>
        </w:rPr>
      </w:pPr>
      <w:r w:rsidRPr="00975EE3">
        <w:rPr>
          <w:rFonts w:ascii="Arial" w:hAnsi="Arial" w:cs="Arial"/>
          <w:noProof/>
          <w:lang w:val="en-IN"/>
        </w:rPr>
        <w:t>Notably, several triazole-substituted eugenol derivatives displayed improved binding affinities and interaction patterns. Tria-25 showed a binding affinity of –5.434 kcal/mol with a stabilizing hydrogen bond to LYS121, while Tria-14 (–5.405 kcal/mol) and Tria-22 (–5.397 kcal/mol) interacted strongly with TYR113, a residue critical for ligand recognition in the mTOR active site. Other derivatives, including Tria-1, Tria-24, and Tria-21, also demonstrated favorable binding through hydrogen bonding with LYS121 or TYR113, although with slightly lower docking scores.</w:t>
      </w:r>
    </w:p>
    <w:p w14:paraId="4B192319" w14:textId="482FED5B" w:rsidR="000042E0" w:rsidRPr="000327DF" w:rsidRDefault="00975EE3" w:rsidP="000042E0">
      <w:pPr>
        <w:pStyle w:val="BodyText"/>
        <w:jc w:val="both"/>
        <w:rPr>
          <w:rFonts w:ascii="Arial" w:hAnsi="Arial" w:cs="Arial"/>
          <w:noProof/>
          <w:lang w:val="en-IN"/>
        </w:rPr>
      </w:pPr>
      <w:r w:rsidRPr="00975EE3">
        <w:rPr>
          <w:rFonts w:ascii="Arial" w:hAnsi="Arial" w:cs="Arial"/>
          <w:noProof/>
          <w:lang w:val="en-IN"/>
        </w:rPr>
        <w:lastRenderedPageBreak/>
        <w:t>The 2D ligand–protein interaction maps (Fig. 5</w:t>
      </w:r>
      <w:r>
        <w:rPr>
          <w:rFonts w:ascii="Arial" w:hAnsi="Arial" w:cs="Arial"/>
          <w:noProof/>
          <w:lang w:val="en-IN"/>
        </w:rPr>
        <w:t>b</w:t>
      </w:r>
      <w:r w:rsidRPr="00975EE3">
        <w:rPr>
          <w:rFonts w:ascii="Arial" w:hAnsi="Arial" w:cs="Arial"/>
          <w:noProof/>
          <w:lang w:val="en-IN"/>
        </w:rPr>
        <w:t xml:space="preserve">) reveal that Tria-8 establish both hydrogen bonding and hydrophobic interactions with key residues such as ILE87, </w:t>
      </w:r>
      <w:r>
        <w:rPr>
          <w:rFonts w:ascii="Arial" w:hAnsi="Arial" w:cs="Arial"/>
          <w:noProof/>
          <w:lang w:val="en-IN"/>
        </w:rPr>
        <w:t>TYR57</w:t>
      </w:r>
      <w:r w:rsidRPr="00975EE3">
        <w:rPr>
          <w:rFonts w:ascii="Arial" w:hAnsi="Arial" w:cs="Arial"/>
          <w:noProof/>
          <w:lang w:val="en-IN"/>
        </w:rPr>
        <w:t xml:space="preserve">, </w:t>
      </w:r>
      <w:r>
        <w:rPr>
          <w:rFonts w:ascii="Arial" w:hAnsi="Arial" w:cs="Arial"/>
          <w:noProof/>
          <w:lang w:val="en-IN"/>
        </w:rPr>
        <w:t>LEU</w:t>
      </w:r>
      <w:r w:rsidRPr="00975EE3">
        <w:rPr>
          <w:rFonts w:ascii="Arial" w:hAnsi="Arial" w:cs="Arial"/>
          <w:noProof/>
          <w:lang w:val="en-IN"/>
        </w:rPr>
        <w:t>1</w:t>
      </w:r>
      <w:r>
        <w:rPr>
          <w:rFonts w:ascii="Arial" w:hAnsi="Arial" w:cs="Arial"/>
          <w:noProof/>
          <w:lang w:val="en-IN"/>
        </w:rPr>
        <w:t>2</w:t>
      </w:r>
      <w:r w:rsidRPr="00975EE3">
        <w:rPr>
          <w:rFonts w:ascii="Arial" w:hAnsi="Arial" w:cs="Arial"/>
          <w:noProof/>
          <w:lang w:val="en-IN"/>
        </w:rPr>
        <w:t xml:space="preserve">8, </w:t>
      </w:r>
      <w:r>
        <w:rPr>
          <w:rFonts w:ascii="Arial" w:hAnsi="Arial" w:cs="Arial"/>
          <w:noProof/>
          <w:lang w:val="en-IN"/>
        </w:rPr>
        <w:t xml:space="preserve">PHE 130 and </w:t>
      </w:r>
      <w:r w:rsidRPr="00975EE3">
        <w:rPr>
          <w:rFonts w:ascii="Arial" w:hAnsi="Arial" w:cs="Arial"/>
          <w:noProof/>
          <w:lang w:val="en-IN"/>
        </w:rPr>
        <w:t>TYR113, closely resembling the interaction pattern of rapamycin (Fig. 5a). Furthermore, the 3D binding conformation of RAP (Fig. 5d) confirms optimal accommodation of the ligand within the mTOR pocket, supporting the relevance of these residues for effective inhibition.</w:t>
      </w:r>
    </w:p>
    <w:p w14:paraId="58B6E75A" w14:textId="1554F751" w:rsidR="000042E0" w:rsidRDefault="000042E0" w:rsidP="00B536B2">
      <w:pPr>
        <w:pStyle w:val="BodyText"/>
        <w:jc w:val="both"/>
        <w:rPr>
          <w:noProof/>
          <w:lang w:val="en-IN"/>
        </w:rPr>
      </w:pPr>
      <w:r w:rsidRPr="007A7919">
        <w:rPr>
          <w:noProof/>
          <w:lang w:val="en-IN"/>
        </w:rPr>
        <w:drawing>
          <wp:inline distT="0" distB="0" distL="0" distR="0" wp14:anchorId="76112BAA" wp14:editId="5F03E6FB">
            <wp:extent cx="2458529" cy="2035709"/>
            <wp:effectExtent l="0" t="0" r="0" b="3175"/>
            <wp:docPr id="172276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3634" name=""/>
                    <pic:cNvPicPr/>
                  </pic:nvPicPr>
                  <pic:blipFill>
                    <a:blip r:embed="rId33"/>
                    <a:stretch>
                      <a:fillRect/>
                    </a:stretch>
                  </pic:blipFill>
                  <pic:spPr>
                    <a:xfrm>
                      <a:off x="0" y="0"/>
                      <a:ext cx="2464564" cy="2040706"/>
                    </a:xfrm>
                    <a:prstGeom prst="rect">
                      <a:avLst/>
                    </a:prstGeom>
                  </pic:spPr>
                </pic:pic>
              </a:graphicData>
            </a:graphic>
          </wp:inline>
        </w:drawing>
      </w:r>
      <w:r w:rsidRPr="007A7919">
        <w:rPr>
          <w:noProof/>
        </w:rPr>
        <w:t xml:space="preserve"> </w:t>
      </w:r>
      <w:r>
        <w:rPr>
          <w:noProof/>
        </w:rPr>
        <w:t xml:space="preserve">         </w:t>
      </w:r>
      <w:r>
        <w:rPr>
          <w:noProof/>
          <w:lang w:val="en-IN"/>
        </w:rPr>
        <w:t xml:space="preserve">    </w:t>
      </w:r>
      <w:r w:rsidRPr="007A7919">
        <w:rPr>
          <w:noProof/>
          <w:lang w:val="en-IN"/>
        </w:rPr>
        <w:drawing>
          <wp:inline distT="0" distB="0" distL="0" distR="0" wp14:anchorId="23EB20A6" wp14:editId="5E6157A1">
            <wp:extent cx="2380890" cy="1959610"/>
            <wp:effectExtent l="0" t="0" r="635" b="2540"/>
            <wp:docPr id="200647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6279" name=""/>
                    <pic:cNvPicPr/>
                  </pic:nvPicPr>
                  <pic:blipFill>
                    <a:blip r:embed="rId34"/>
                    <a:stretch>
                      <a:fillRect/>
                    </a:stretch>
                  </pic:blipFill>
                  <pic:spPr>
                    <a:xfrm>
                      <a:off x="0" y="0"/>
                      <a:ext cx="2422476" cy="1993838"/>
                    </a:xfrm>
                    <a:prstGeom prst="rect">
                      <a:avLst/>
                    </a:prstGeom>
                  </pic:spPr>
                </pic:pic>
              </a:graphicData>
            </a:graphic>
          </wp:inline>
        </w:drawing>
      </w:r>
    </w:p>
    <w:p w14:paraId="1C8E7D2E" w14:textId="77777777" w:rsidR="000327DF" w:rsidRDefault="000327DF" w:rsidP="00B536B2">
      <w:pPr>
        <w:pStyle w:val="BodyText"/>
        <w:jc w:val="both"/>
        <w:rPr>
          <w:noProof/>
          <w:lang w:val="en-IN"/>
        </w:rPr>
      </w:pPr>
    </w:p>
    <w:p w14:paraId="7BD65636" w14:textId="77777777" w:rsidR="000042E0" w:rsidRDefault="000042E0" w:rsidP="000042E0">
      <w:pPr>
        <w:pStyle w:val="BodyText"/>
        <w:widowControl w:val="0"/>
        <w:numPr>
          <w:ilvl w:val="0"/>
          <w:numId w:val="37"/>
        </w:numPr>
        <w:tabs>
          <w:tab w:val="left" w:pos="1965"/>
        </w:tabs>
        <w:autoSpaceDE w:val="0"/>
        <w:autoSpaceDN w:val="0"/>
        <w:spacing w:after="0"/>
        <w:jc w:val="both"/>
        <w:rPr>
          <w:rFonts w:ascii="Arial" w:hAnsi="Arial" w:cs="Arial"/>
          <w:noProof/>
          <w:lang w:val="en-IN"/>
        </w:rPr>
      </w:pPr>
      <w:r w:rsidRPr="000042E0">
        <w:rPr>
          <w:rFonts w:ascii="Arial" w:hAnsi="Arial" w:cs="Arial"/>
          <w:noProof/>
          <w:lang w:val="en-IN"/>
        </w:rPr>
        <w:t xml:space="preserve">                                                                                b)</w:t>
      </w:r>
    </w:p>
    <w:p w14:paraId="465D1861" w14:textId="77777777" w:rsidR="000327DF" w:rsidRDefault="000327DF" w:rsidP="000327DF">
      <w:pPr>
        <w:pStyle w:val="BodyText"/>
        <w:widowControl w:val="0"/>
        <w:tabs>
          <w:tab w:val="left" w:pos="1965"/>
        </w:tabs>
        <w:autoSpaceDE w:val="0"/>
        <w:autoSpaceDN w:val="0"/>
        <w:spacing w:after="0"/>
        <w:ind w:left="2325"/>
        <w:jc w:val="both"/>
        <w:rPr>
          <w:rFonts w:ascii="Arial" w:hAnsi="Arial" w:cs="Arial"/>
          <w:noProof/>
          <w:lang w:val="en-IN"/>
        </w:rPr>
      </w:pPr>
    </w:p>
    <w:p w14:paraId="4F23DDAA" w14:textId="77777777" w:rsidR="000327DF" w:rsidRPr="000042E0" w:rsidRDefault="000327DF" w:rsidP="000327DF">
      <w:pPr>
        <w:pStyle w:val="BodyText"/>
        <w:widowControl w:val="0"/>
        <w:tabs>
          <w:tab w:val="left" w:pos="1965"/>
        </w:tabs>
        <w:autoSpaceDE w:val="0"/>
        <w:autoSpaceDN w:val="0"/>
        <w:spacing w:after="0"/>
        <w:ind w:left="2325"/>
        <w:jc w:val="center"/>
        <w:rPr>
          <w:rFonts w:ascii="Arial" w:hAnsi="Arial" w:cs="Arial"/>
          <w:noProof/>
          <w:lang w:val="en-IN"/>
        </w:rPr>
      </w:pPr>
    </w:p>
    <w:p w14:paraId="3591506A" w14:textId="3C89CCDB" w:rsidR="000042E0" w:rsidRDefault="000327DF" w:rsidP="000327DF">
      <w:pPr>
        <w:pStyle w:val="BodyText"/>
        <w:jc w:val="center"/>
        <w:rPr>
          <w:noProof/>
          <w:lang w:val="en-IN"/>
        </w:rPr>
      </w:pPr>
      <w:r w:rsidRPr="007A7919">
        <w:rPr>
          <w:noProof/>
          <w:lang w:val="en-IN"/>
        </w:rPr>
        <w:drawing>
          <wp:inline distT="0" distB="0" distL="0" distR="0" wp14:anchorId="0D84B951" wp14:editId="3441338D">
            <wp:extent cx="2631057" cy="2121535"/>
            <wp:effectExtent l="0" t="0" r="0" b="0"/>
            <wp:docPr id="80801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15992" name=""/>
                    <pic:cNvPicPr/>
                  </pic:nvPicPr>
                  <pic:blipFill>
                    <a:blip r:embed="rId35"/>
                    <a:stretch>
                      <a:fillRect/>
                    </a:stretch>
                  </pic:blipFill>
                  <pic:spPr>
                    <a:xfrm>
                      <a:off x="0" y="0"/>
                      <a:ext cx="2670561" cy="2153389"/>
                    </a:xfrm>
                    <a:prstGeom prst="rect">
                      <a:avLst/>
                    </a:prstGeom>
                  </pic:spPr>
                </pic:pic>
              </a:graphicData>
            </a:graphic>
          </wp:inline>
        </w:drawing>
      </w:r>
    </w:p>
    <w:p w14:paraId="3107D418" w14:textId="7DC4889B" w:rsidR="000042E0" w:rsidRPr="00B536B2" w:rsidRDefault="000042E0" w:rsidP="00B536B2">
      <w:pPr>
        <w:pStyle w:val="BodyText"/>
        <w:tabs>
          <w:tab w:val="left" w:pos="1545"/>
        </w:tabs>
        <w:jc w:val="both"/>
        <w:rPr>
          <w:noProof/>
          <w:lang w:val="en-IN"/>
        </w:rPr>
      </w:pPr>
      <w:r w:rsidRPr="007A7919">
        <w:rPr>
          <w:noProof/>
        </w:rPr>
        <w:t xml:space="preserve"> </w:t>
      </w:r>
      <w:r>
        <w:rPr>
          <w:noProof/>
          <w:lang w:val="en-IN"/>
        </w:rPr>
        <w:t xml:space="preserve">                    </w:t>
      </w:r>
      <w:r w:rsidR="000327DF">
        <w:rPr>
          <w:noProof/>
          <w:lang w:val="en-IN"/>
        </w:rPr>
        <w:t xml:space="preserve">                                                  c)</w:t>
      </w:r>
    </w:p>
    <w:p w14:paraId="7FACD0EB" w14:textId="0487C991" w:rsidR="00B536B2" w:rsidRDefault="00B536B2" w:rsidP="000042E0">
      <w:pPr>
        <w:pStyle w:val="BodyText"/>
        <w:jc w:val="both"/>
        <w:rPr>
          <w:rFonts w:ascii="Arial" w:hAnsi="Arial" w:cs="Arial"/>
          <w:b/>
          <w:bCs/>
        </w:rPr>
      </w:pPr>
      <w:r w:rsidRPr="00B536B2">
        <w:rPr>
          <w:rFonts w:ascii="Arial" w:hAnsi="Arial" w:cs="Arial"/>
          <w:b/>
          <w:bCs/>
        </w:rPr>
        <w:t>Fig</w:t>
      </w:r>
      <w:r>
        <w:rPr>
          <w:rFonts w:ascii="Arial" w:hAnsi="Arial" w:cs="Arial"/>
          <w:b/>
          <w:bCs/>
        </w:rPr>
        <w:t xml:space="preserve"> </w:t>
      </w:r>
      <w:r w:rsidRPr="00B536B2">
        <w:rPr>
          <w:rFonts w:ascii="Arial" w:hAnsi="Arial" w:cs="Arial"/>
          <w:b/>
          <w:bCs/>
        </w:rPr>
        <w:t>5. (a) Two-dimensional ligand–protein interaction map of rapamycin (RAP, co-crystallized ligand) within the mTOR binding site, (b) two-dimensional interaction map of Tria-8, (</w:t>
      </w:r>
      <w:r w:rsidR="00A35114">
        <w:rPr>
          <w:rFonts w:ascii="Arial" w:hAnsi="Arial" w:cs="Arial"/>
          <w:b/>
          <w:bCs/>
        </w:rPr>
        <w:t>c</w:t>
      </w:r>
      <w:r w:rsidRPr="00B536B2">
        <w:rPr>
          <w:rFonts w:ascii="Arial" w:hAnsi="Arial" w:cs="Arial"/>
          <w:b/>
          <w:bCs/>
        </w:rPr>
        <w:t>) three-dimensional binding conformation of rapamycin inside the mTOR active pocket.</w:t>
      </w:r>
    </w:p>
    <w:p w14:paraId="718B9832" w14:textId="48E9A8B6" w:rsidR="000042E0" w:rsidRDefault="000042E0" w:rsidP="000042E0">
      <w:pPr>
        <w:pStyle w:val="Head1"/>
        <w:spacing w:after="0"/>
        <w:jc w:val="both"/>
        <w:rPr>
          <w:rFonts w:ascii="Arial" w:hAnsi="Arial" w:cs="Arial"/>
          <w:bCs/>
          <w:noProof/>
        </w:rPr>
      </w:pPr>
      <w:r>
        <w:rPr>
          <w:rFonts w:ascii="Arial" w:hAnsi="Arial" w:cs="Arial"/>
          <w:bCs/>
          <w:noProof/>
        </w:rPr>
        <w:t xml:space="preserve">4. </w:t>
      </w:r>
      <w:r w:rsidRPr="000042E0">
        <w:rPr>
          <w:rFonts w:ascii="Arial" w:hAnsi="Arial" w:cs="Arial"/>
          <w:bCs/>
          <w:noProof/>
        </w:rPr>
        <w:t>CONCLUSION</w:t>
      </w:r>
    </w:p>
    <w:p w14:paraId="2A8B38E9" w14:textId="77777777" w:rsidR="000042E0" w:rsidRPr="000042E0" w:rsidRDefault="000042E0" w:rsidP="000042E0">
      <w:pPr>
        <w:pStyle w:val="Head1"/>
        <w:spacing w:after="0"/>
        <w:jc w:val="both"/>
        <w:rPr>
          <w:rFonts w:ascii="Arial" w:hAnsi="Arial" w:cs="Arial"/>
          <w:b w:val="0"/>
          <w:bCs/>
          <w:noProof/>
        </w:rPr>
      </w:pPr>
    </w:p>
    <w:p w14:paraId="7C9194B4" w14:textId="7802B56C" w:rsidR="00F70EBD" w:rsidRPr="00FB3A86" w:rsidRDefault="000042E0" w:rsidP="006F08A8">
      <w:pPr>
        <w:pStyle w:val="BodyText"/>
        <w:jc w:val="both"/>
        <w:rPr>
          <w:rFonts w:ascii="Arial" w:hAnsi="Arial" w:cs="Arial"/>
          <w:noProof/>
        </w:rPr>
      </w:pPr>
      <w:r w:rsidRPr="000042E0">
        <w:rPr>
          <w:rFonts w:ascii="Arial" w:hAnsi="Arial" w:cs="Arial"/>
          <w:noProof/>
        </w:rPr>
        <w:t>The molecular docking results confirm that structural modification of eugenol through triazole hybridization significantly improves binding affinity and active-site engagement across multiple breast cancer–associated receptors. Several derivatives demonstrated binding energies and interaction profiles closely matching those of co-crystallized inhibitors and approved drugs,</w:t>
      </w:r>
      <w:r w:rsidR="006F08A8">
        <w:rPr>
          <w:rFonts w:ascii="Arial" w:hAnsi="Arial" w:cs="Arial"/>
          <w:noProof/>
        </w:rPr>
        <w:t xml:space="preserve"> </w:t>
      </w:r>
      <w:r w:rsidR="006F08A8" w:rsidRPr="000042E0">
        <w:rPr>
          <w:rFonts w:ascii="Arial" w:hAnsi="Arial" w:cs="Arial"/>
          <w:noProof/>
        </w:rPr>
        <w:t xml:space="preserve">particularly within hormone receptor and kinase signaling pathways. The poor binding of </w:t>
      </w:r>
      <w:r w:rsidR="006F08A8" w:rsidRPr="000042E0">
        <w:rPr>
          <w:rFonts w:ascii="Arial" w:hAnsi="Arial" w:cs="Arial"/>
          <w:noProof/>
        </w:rPr>
        <w:lastRenderedPageBreak/>
        <w:t>parent eugenol underscores the importance of rational molecular design in enhancing therapeutic potential. Collectively, these findings support the further optimization and biological evaluation of eugenol–triazole hybrids, with future studies focusing on molecular dynamics, pharmacokinetic profiling, and in vitro anticancer assays.</w:t>
      </w:r>
    </w:p>
    <w:p w14:paraId="2DFBB34B" w14:textId="77777777" w:rsidR="00A75CC3" w:rsidRDefault="00A75CC3" w:rsidP="00F70EBD">
      <w:pPr>
        <w:pStyle w:val="ReferHead"/>
        <w:spacing w:after="0"/>
        <w:jc w:val="both"/>
        <w:rPr>
          <w:rFonts w:ascii="Arial" w:hAnsi="Arial" w:cs="Arial"/>
          <w:b w:val="0"/>
          <w:caps w:val="0"/>
          <w:sz w:val="20"/>
        </w:rPr>
      </w:pPr>
      <w:bookmarkStart w:id="4" w:name="_Hlk218628627"/>
    </w:p>
    <w:p w14:paraId="7ED2A1D5" w14:textId="77777777" w:rsidR="006B28A3" w:rsidRPr="006B28A3" w:rsidRDefault="006B28A3" w:rsidP="006B28A3">
      <w:pPr>
        <w:spacing w:after="200" w:line="276" w:lineRule="auto"/>
        <w:jc w:val="both"/>
        <w:outlineLvl w:val="0"/>
        <w:rPr>
          <w:rFonts w:ascii="Arial" w:eastAsiaTheme="minorEastAsia" w:hAnsi="Arial" w:cs="Arial"/>
          <w:sz w:val="22"/>
          <w:szCs w:val="22"/>
          <w:lang w:val="en-GB" w:eastAsia="en-GB"/>
        </w:rPr>
      </w:pPr>
      <w:r w:rsidRPr="006B28A3">
        <w:rPr>
          <w:rFonts w:ascii="Arial" w:eastAsiaTheme="minorEastAsia" w:hAnsi="Arial" w:cs="Arial"/>
          <w:b/>
          <w:bCs/>
          <w:sz w:val="22"/>
          <w:szCs w:val="22"/>
          <w:lang w:val="en-GB" w:eastAsia="en-GB"/>
        </w:rPr>
        <w:t>COMPETING INTERESTS DISCLAIMER:</w:t>
      </w:r>
    </w:p>
    <w:p w14:paraId="719760B6" w14:textId="77777777" w:rsidR="006B28A3" w:rsidRPr="006B28A3" w:rsidRDefault="006B28A3" w:rsidP="006B28A3">
      <w:pPr>
        <w:spacing w:after="200" w:line="276" w:lineRule="auto"/>
        <w:rPr>
          <w:rFonts w:asciiTheme="minorHAnsi" w:eastAsiaTheme="minorEastAsia" w:hAnsiTheme="minorHAnsi" w:cstheme="minorBidi"/>
          <w:sz w:val="22"/>
          <w:szCs w:val="22"/>
          <w:lang w:val="en-GB" w:eastAsia="en-GB"/>
        </w:rPr>
      </w:pPr>
      <w:r w:rsidRPr="006B28A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18A4EBD" w14:textId="77777777" w:rsidR="006B28A3" w:rsidRDefault="006B28A3" w:rsidP="00F70EBD">
      <w:pPr>
        <w:pStyle w:val="ReferHead"/>
        <w:spacing w:after="0"/>
        <w:jc w:val="both"/>
        <w:rPr>
          <w:rFonts w:ascii="Arial" w:hAnsi="Arial" w:cs="Arial"/>
          <w:b w:val="0"/>
          <w:caps w:val="0"/>
          <w:sz w:val="20"/>
        </w:rPr>
      </w:pPr>
    </w:p>
    <w:p w14:paraId="00040F0D" w14:textId="77777777" w:rsidR="00A75CC3" w:rsidRDefault="00A75CC3" w:rsidP="00F70EBD">
      <w:pPr>
        <w:pStyle w:val="ReferHead"/>
        <w:spacing w:after="0"/>
        <w:jc w:val="both"/>
        <w:rPr>
          <w:rFonts w:ascii="Arial" w:hAnsi="Arial" w:cs="Arial"/>
          <w:b w:val="0"/>
          <w:caps w:val="0"/>
          <w:sz w:val="20"/>
        </w:rPr>
      </w:pPr>
    </w:p>
    <w:p w14:paraId="322685A3" w14:textId="77777777" w:rsidR="00F70EBD" w:rsidRDefault="006F08A8" w:rsidP="00F70EBD">
      <w:pPr>
        <w:pStyle w:val="ReferHead"/>
        <w:spacing w:after="0"/>
        <w:jc w:val="both"/>
        <w:rPr>
          <w:rFonts w:ascii="Arial" w:hAnsi="Arial" w:cs="Arial"/>
          <w:noProof/>
        </w:rPr>
      </w:pPr>
      <w:r>
        <w:rPr>
          <w:rFonts w:ascii="Arial" w:hAnsi="Arial" w:cs="Arial"/>
          <w:noProof/>
        </w:rPr>
        <w:t xml:space="preserve">  </w:t>
      </w:r>
      <w:bookmarkEnd w:id="4"/>
      <w:r w:rsidR="00F70EBD">
        <w:rPr>
          <w:rFonts w:ascii="Arial" w:hAnsi="Arial" w:cs="Arial"/>
          <w:noProof/>
        </w:rPr>
        <w:t xml:space="preserve"> </w:t>
      </w:r>
    </w:p>
    <w:p w14:paraId="649412FE" w14:textId="6447D0EA" w:rsidR="00F70EBD" w:rsidRDefault="00F70EBD" w:rsidP="00F70EBD">
      <w:pPr>
        <w:pStyle w:val="ReferHead"/>
        <w:spacing w:after="0"/>
        <w:jc w:val="both"/>
        <w:rPr>
          <w:rFonts w:ascii="Arial" w:hAnsi="Arial" w:cs="Arial"/>
          <w:bCs/>
          <w:caps w:val="0"/>
          <w:szCs w:val="22"/>
        </w:rPr>
      </w:pPr>
      <w:r w:rsidRPr="00565E2C">
        <w:rPr>
          <w:rFonts w:ascii="Arial" w:hAnsi="Arial" w:cs="Arial"/>
          <w:bCs/>
          <w:caps w:val="0"/>
          <w:szCs w:val="22"/>
        </w:rPr>
        <w:t>REFERENCES</w:t>
      </w:r>
    </w:p>
    <w:p w14:paraId="335006E5" w14:textId="77777777" w:rsidR="00F70EBD" w:rsidRDefault="00F70EBD" w:rsidP="00F70EBD">
      <w:pPr>
        <w:pStyle w:val="ReferHead"/>
        <w:spacing w:after="0"/>
        <w:jc w:val="both"/>
        <w:rPr>
          <w:rFonts w:ascii="Arial" w:hAnsi="Arial" w:cs="Arial"/>
          <w:bCs/>
          <w:caps w:val="0"/>
          <w:szCs w:val="22"/>
        </w:rPr>
      </w:pPr>
    </w:p>
    <w:p w14:paraId="24E36546" w14:textId="77777777" w:rsidR="00F70EBD" w:rsidRPr="00956BFC" w:rsidRDefault="00F70EBD" w:rsidP="00F70EBD">
      <w:pPr>
        <w:pStyle w:val="ReferHead"/>
        <w:numPr>
          <w:ilvl w:val="0"/>
          <w:numId w:val="38"/>
        </w:numPr>
        <w:spacing w:after="0"/>
        <w:ind w:left="426" w:hanging="426"/>
        <w:jc w:val="both"/>
        <w:rPr>
          <w:rFonts w:ascii="Arial" w:hAnsi="Arial" w:cs="Arial"/>
          <w:b w:val="0"/>
          <w:bCs/>
          <w:color w:val="FF0000"/>
          <w:sz w:val="20"/>
          <w:lang w:val="en-IN"/>
        </w:rPr>
      </w:pPr>
      <w:r w:rsidRPr="00B9341A">
        <w:rPr>
          <w:rFonts w:ascii="Arial" w:hAnsi="Arial" w:cs="Arial"/>
          <w:b w:val="0"/>
          <w:bCs/>
          <w:caps w:val="0"/>
          <w:sz w:val="20"/>
          <w:lang w:val="en-IN"/>
        </w:rPr>
        <w:t xml:space="preserve">Siegel, r. L., miller, k. D., </w:t>
      </w:r>
      <w:proofErr w:type="spellStart"/>
      <w:r w:rsidRPr="00B9341A">
        <w:rPr>
          <w:rFonts w:ascii="Arial" w:hAnsi="Arial" w:cs="Arial"/>
          <w:b w:val="0"/>
          <w:bCs/>
          <w:caps w:val="0"/>
          <w:sz w:val="20"/>
          <w:lang w:val="en-IN"/>
        </w:rPr>
        <w:t>wagle</w:t>
      </w:r>
      <w:proofErr w:type="spellEnd"/>
      <w:r w:rsidRPr="00B9341A">
        <w:rPr>
          <w:rFonts w:ascii="Arial" w:hAnsi="Arial" w:cs="Arial"/>
          <w:b w:val="0"/>
          <w:bCs/>
          <w:caps w:val="0"/>
          <w:sz w:val="20"/>
          <w:lang w:val="en-IN"/>
        </w:rPr>
        <w:t xml:space="preserve">, n. S., &amp; </w:t>
      </w:r>
      <w:proofErr w:type="spellStart"/>
      <w:r w:rsidRPr="00B9341A">
        <w:rPr>
          <w:rFonts w:ascii="Arial" w:hAnsi="Arial" w:cs="Arial"/>
          <w:b w:val="0"/>
          <w:bCs/>
          <w:caps w:val="0"/>
          <w:sz w:val="20"/>
          <w:lang w:val="en-IN"/>
        </w:rPr>
        <w:t>jemal</w:t>
      </w:r>
      <w:proofErr w:type="spellEnd"/>
      <w:r w:rsidRPr="00B9341A">
        <w:rPr>
          <w:rFonts w:ascii="Arial" w:hAnsi="Arial" w:cs="Arial"/>
          <w:b w:val="0"/>
          <w:bCs/>
          <w:caps w:val="0"/>
          <w:sz w:val="20"/>
          <w:lang w:val="en-IN"/>
        </w:rPr>
        <w:t xml:space="preserve">, a. (2023). Cancer statistics, 2023. </w:t>
      </w:r>
      <w:r w:rsidRPr="00B9341A">
        <w:rPr>
          <w:rFonts w:ascii="Arial" w:hAnsi="Arial" w:cs="Arial"/>
          <w:b w:val="0"/>
          <w:bCs/>
          <w:i/>
          <w:iCs/>
          <w:caps w:val="0"/>
          <w:sz w:val="20"/>
          <w:lang w:val="en-IN"/>
        </w:rPr>
        <w:t>Ca: a cancer journal for clinicians, 73</w:t>
      </w:r>
      <w:r w:rsidRPr="00B9341A">
        <w:rPr>
          <w:rFonts w:ascii="Arial" w:hAnsi="Arial" w:cs="Arial"/>
          <w:b w:val="0"/>
          <w:bCs/>
          <w:sz w:val="20"/>
          <w:lang w:val="en-IN"/>
        </w:rPr>
        <w:t xml:space="preserve">(1), 17–48. </w:t>
      </w:r>
    </w:p>
    <w:p w14:paraId="033FEA6F" w14:textId="77777777" w:rsidR="00F70EBD" w:rsidRPr="00F70EBD" w:rsidRDefault="00F70EBD" w:rsidP="00F70EBD">
      <w:pPr>
        <w:pStyle w:val="ReferHead"/>
        <w:numPr>
          <w:ilvl w:val="0"/>
          <w:numId w:val="38"/>
        </w:numPr>
        <w:spacing w:after="0"/>
        <w:ind w:left="426" w:hanging="426"/>
        <w:jc w:val="both"/>
        <w:rPr>
          <w:rFonts w:ascii="Arial" w:hAnsi="Arial" w:cs="Arial"/>
          <w:b w:val="0"/>
          <w:bCs/>
          <w:color w:val="FF0000"/>
          <w:sz w:val="20"/>
          <w:lang w:val="en-IN"/>
        </w:rPr>
      </w:pPr>
      <w:bookmarkStart w:id="5" w:name="_Hlk218628714"/>
      <w:r w:rsidRPr="00956BFC">
        <w:rPr>
          <w:rFonts w:ascii="Arial" w:hAnsi="Arial" w:cs="Arial"/>
          <w:b w:val="0"/>
          <w:bCs/>
          <w:caps w:val="0"/>
          <w:sz w:val="20"/>
          <w:lang w:val="en-IN"/>
        </w:rPr>
        <w:t xml:space="preserve">Sung, h., </w:t>
      </w:r>
      <w:proofErr w:type="spellStart"/>
      <w:r w:rsidRPr="00956BFC">
        <w:rPr>
          <w:rFonts w:ascii="Arial" w:hAnsi="Arial" w:cs="Arial"/>
          <w:b w:val="0"/>
          <w:bCs/>
          <w:caps w:val="0"/>
          <w:sz w:val="20"/>
          <w:lang w:val="en-IN"/>
        </w:rPr>
        <w:t>ferlay</w:t>
      </w:r>
      <w:proofErr w:type="spellEnd"/>
      <w:r w:rsidRPr="00956BFC">
        <w:rPr>
          <w:rFonts w:ascii="Arial" w:hAnsi="Arial" w:cs="Arial"/>
          <w:b w:val="0"/>
          <w:bCs/>
          <w:caps w:val="0"/>
          <w:sz w:val="20"/>
          <w:lang w:val="en-IN"/>
        </w:rPr>
        <w:t xml:space="preserve">, j., </w:t>
      </w:r>
      <w:proofErr w:type="spellStart"/>
      <w:r w:rsidRPr="00956BFC">
        <w:rPr>
          <w:rFonts w:ascii="Arial" w:hAnsi="Arial" w:cs="Arial"/>
          <w:b w:val="0"/>
          <w:bCs/>
          <w:caps w:val="0"/>
          <w:sz w:val="20"/>
          <w:lang w:val="en-IN"/>
        </w:rPr>
        <w:t>siegel</w:t>
      </w:r>
      <w:proofErr w:type="spellEnd"/>
      <w:r w:rsidRPr="00956BFC">
        <w:rPr>
          <w:rFonts w:ascii="Arial" w:hAnsi="Arial" w:cs="Arial"/>
          <w:b w:val="0"/>
          <w:bCs/>
          <w:caps w:val="0"/>
          <w:sz w:val="20"/>
          <w:lang w:val="en-IN"/>
        </w:rPr>
        <w:t xml:space="preserve">, r. L., </w:t>
      </w:r>
      <w:proofErr w:type="spellStart"/>
      <w:r w:rsidRPr="00956BFC">
        <w:rPr>
          <w:rFonts w:ascii="Arial" w:hAnsi="Arial" w:cs="Arial"/>
          <w:b w:val="0"/>
          <w:bCs/>
          <w:caps w:val="0"/>
          <w:sz w:val="20"/>
          <w:lang w:val="en-IN"/>
        </w:rPr>
        <w:t>laversanne</w:t>
      </w:r>
      <w:proofErr w:type="spellEnd"/>
      <w:r w:rsidRPr="00956BFC">
        <w:rPr>
          <w:rFonts w:ascii="Arial" w:hAnsi="Arial" w:cs="Arial"/>
          <w:b w:val="0"/>
          <w:bCs/>
          <w:caps w:val="0"/>
          <w:sz w:val="20"/>
          <w:lang w:val="en-IN"/>
        </w:rPr>
        <w:t xml:space="preserve">, m., </w:t>
      </w:r>
      <w:proofErr w:type="spellStart"/>
      <w:r w:rsidRPr="00956BFC">
        <w:rPr>
          <w:rFonts w:ascii="Arial" w:hAnsi="Arial" w:cs="Arial"/>
          <w:b w:val="0"/>
          <w:bCs/>
          <w:caps w:val="0"/>
          <w:sz w:val="20"/>
          <w:lang w:val="en-IN"/>
        </w:rPr>
        <w:t>soerjomataram</w:t>
      </w:r>
      <w:proofErr w:type="spellEnd"/>
      <w:r w:rsidRPr="00956BFC">
        <w:rPr>
          <w:rFonts w:ascii="Arial" w:hAnsi="Arial" w:cs="Arial"/>
          <w:b w:val="0"/>
          <w:bCs/>
          <w:caps w:val="0"/>
          <w:sz w:val="20"/>
          <w:lang w:val="en-IN"/>
        </w:rPr>
        <w:t xml:space="preserve">, </w:t>
      </w:r>
      <w:proofErr w:type="spellStart"/>
      <w:r w:rsidRPr="00956BFC">
        <w:rPr>
          <w:rFonts w:ascii="Arial" w:hAnsi="Arial" w:cs="Arial"/>
          <w:b w:val="0"/>
          <w:bCs/>
          <w:caps w:val="0"/>
          <w:sz w:val="20"/>
          <w:lang w:val="en-IN"/>
        </w:rPr>
        <w:t>i</w:t>
      </w:r>
      <w:proofErr w:type="spellEnd"/>
      <w:r w:rsidRPr="00956BFC">
        <w:rPr>
          <w:rFonts w:ascii="Arial" w:hAnsi="Arial" w:cs="Arial"/>
          <w:b w:val="0"/>
          <w:bCs/>
          <w:caps w:val="0"/>
          <w:sz w:val="20"/>
          <w:lang w:val="en-IN"/>
        </w:rPr>
        <w:t xml:space="preserve">., </w:t>
      </w:r>
      <w:proofErr w:type="spellStart"/>
      <w:r w:rsidRPr="00956BFC">
        <w:rPr>
          <w:rFonts w:ascii="Arial" w:hAnsi="Arial" w:cs="Arial"/>
          <w:b w:val="0"/>
          <w:bCs/>
          <w:caps w:val="0"/>
          <w:sz w:val="20"/>
          <w:lang w:val="en-IN"/>
        </w:rPr>
        <w:t>jemal</w:t>
      </w:r>
      <w:proofErr w:type="spellEnd"/>
      <w:r w:rsidRPr="00956BFC">
        <w:rPr>
          <w:rFonts w:ascii="Arial" w:hAnsi="Arial" w:cs="Arial"/>
          <w:b w:val="0"/>
          <w:bCs/>
          <w:caps w:val="0"/>
          <w:sz w:val="20"/>
          <w:lang w:val="en-IN"/>
        </w:rPr>
        <w:t xml:space="preserve">, a., &amp; bray, f. (2021). Global cancer statistics 2020: </w:t>
      </w:r>
      <w:proofErr w:type="spellStart"/>
      <w:r w:rsidRPr="00956BFC">
        <w:rPr>
          <w:rFonts w:ascii="Arial" w:hAnsi="Arial" w:cs="Arial"/>
          <w:b w:val="0"/>
          <w:bCs/>
          <w:caps w:val="0"/>
          <w:sz w:val="20"/>
          <w:lang w:val="en-IN"/>
        </w:rPr>
        <w:t>globocan</w:t>
      </w:r>
      <w:proofErr w:type="spellEnd"/>
      <w:r w:rsidRPr="00956BFC">
        <w:rPr>
          <w:rFonts w:ascii="Arial" w:hAnsi="Arial" w:cs="Arial"/>
          <w:b w:val="0"/>
          <w:bCs/>
          <w:caps w:val="0"/>
          <w:sz w:val="20"/>
          <w:lang w:val="en-IN"/>
        </w:rPr>
        <w:t xml:space="preserve"> estimates of incidence and </w:t>
      </w:r>
      <w:proofErr w:type="gramStart"/>
      <w:r w:rsidRPr="00956BFC">
        <w:rPr>
          <w:rFonts w:ascii="Arial" w:hAnsi="Arial" w:cs="Arial"/>
          <w:b w:val="0"/>
          <w:bCs/>
          <w:caps w:val="0"/>
          <w:sz w:val="20"/>
          <w:lang w:val="en-IN"/>
        </w:rPr>
        <w:t>mortality</w:t>
      </w:r>
      <w:bookmarkEnd w:id="5"/>
      <w:r w:rsidRPr="00956BFC">
        <w:rPr>
          <w:rFonts w:ascii="Arial" w:hAnsi="Arial" w:cs="Arial"/>
          <w:b w:val="0"/>
          <w:bCs/>
          <w:caps w:val="0"/>
          <w:sz w:val="20"/>
          <w:lang w:val="en-IN"/>
        </w:rPr>
        <w:t xml:space="preserve">  worldwide</w:t>
      </w:r>
      <w:proofErr w:type="gramEnd"/>
      <w:r w:rsidRPr="00956BFC">
        <w:rPr>
          <w:rFonts w:ascii="Arial" w:hAnsi="Arial" w:cs="Arial"/>
          <w:b w:val="0"/>
          <w:bCs/>
          <w:caps w:val="0"/>
          <w:sz w:val="20"/>
          <w:lang w:val="en-IN"/>
        </w:rPr>
        <w:t xml:space="preserve"> for 36 cancers</w:t>
      </w:r>
      <w:r>
        <w:rPr>
          <w:rFonts w:ascii="Arial" w:hAnsi="Arial" w:cs="Arial"/>
          <w:b w:val="0"/>
          <w:bCs/>
          <w:color w:val="FF0000"/>
          <w:sz w:val="20"/>
          <w:lang w:val="en-IN"/>
        </w:rPr>
        <w:t xml:space="preserve"> </w:t>
      </w:r>
      <w:r w:rsidRPr="00F70EBD">
        <w:rPr>
          <w:rFonts w:ascii="Arial" w:hAnsi="Arial" w:cs="Arial"/>
          <w:b w:val="0"/>
          <w:bCs/>
          <w:caps w:val="0"/>
          <w:sz w:val="20"/>
          <w:lang w:val="en-IN"/>
        </w:rPr>
        <w:t xml:space="preserve">in 185 countries. </w:t>
      </w:r>
      <w:r w:rsidRPr="00F70EBD">
        <w:rPr>
          <w:rFonts w:ascii="Arial" w:hAnsi="Arial" w:cs="Arial"/>
          <w:b w:val="0"/>
          <w:bCs/>
          <w:i/>
          <w:iCs/>
          <w:caps w:val="0"/>
          <w:sz w:val="20"/>
          <w:lang w:val="en-IN"/>
        </w:rPr>
        <w:t>cancer journal for clinicians, 71</w:t>
      </w:r>
      <w:r w:rsidRPr="00B9341A">
        <w:rPr>
          <w:rFonts w:ascii="Arial" w:hAnsi="Arial" w:cs="Arial"/>
          <w:b w:val="0"/>
          <w:bCs/>
          <w:sz w:val="20"/>
          <w:lang w:val="en-IN"/>
        </w:rPr>
        <w:t>(3), 209–249.</w:t>
      </w:r>
    </w:p>
    <w:p w14:paraId="325D7609" w14:textId="377449CC" w:rsidR="00F70EBD" w:rsidRPr="00B9341A" w:rsidRDefault="00F70EBD" w:rsidP="00F70EBD">
      <w:pPr>
        <w:pStyle w:val="ReferHead"/>
        <w:numPr>
          <w:ilvl w:val="0"/>
          <w:numId w:val="38"/>
        </w:numPr>
        <w:spacing w:after="0"/>
        <w:ind w:left="426" w:hanging="426"/>
        <w:jc w:val="both"/>
        <w:rPr>
          <w:rFonts w:ascii="Arial" w:hAnsi="Arial" w:cs="Arial"/>
          <w:b w:val="0"/>
          <w:bCs/>
          <w:color w:val="FF0000"/>
          <w:sz w:val="20"/>
          <w:lang w:val="en-IN"/>
        </w:rPr>
      </w:pPr>
      <w:r w:rsidRPr="00F70EBD">
        <w:rPr>
          <w:rFonts w:ascii="Arial" w:hAnsi="Arial" w:cs="Arial"/>
          <w:b w:val="0"/>
          <w:bCs/>
          <w:caps w:val="0"/>
          <w:sz w:val="20"/>
          <w:lang w:val="en-IN"/>
        </w:rPr>
        <w:t xml:space="preserve">Vasan, n., </w:t>
      </w:r>
      <w:proofErr w:type="spellStart"/>
      <w:r w:rsidRPr="00F70EBD">
        <w:rPr>
          <w:rFonts w:ascii="Arial" w:hAnsi="Arial" w:cs="Arial"/>
          <w:b w:val="0"/>
          <w:bCs/>
          <w:caps w:val="0"/>
          <w:sz w:val="20"/>
          <w:lang w:val="en-IN"/>
        </w:rPr>
        <w:t>baselga</w:t>
      </w:r>
      <w:proofErr w:type="spellEnd"/>
      <w:r w:rsidRPr="00F70EBD">
        <w:rPr>
          <w:rFonts w:ascii="Arial" w:hAnsi="Arial" w:cs="Arial"/>
          <w:b w:val="0"/>
          <w:bCs/>
          <w:caps w:val="0"/>
          <w:sz w:val="20"/>
          <w:lang w:val="en-IN"/>
        </w:rPr>
        <w:t xml:space="preserve">, j., &amp; </w:t>
      </w:r>
      <w:proofErr w:type="spellStart"/>
      <w:r w:rsidRPr="00F70EBD">
        <w:rPr>
          <w:rFonts w:ascii="Arial" w:hAnsi="Arial" w:cs="Arial"/>
          <w:b w:val="0"/>
          <w:bCs/>
          <w:caps w:val="0"/>
          <w:sz w:val="20"/>
          <w:lang w:val="en-IN"/>
        </w:rPr>
        <w:t>hyman</w:t>
      </w:r>
      <w:proofErr w:type="spellEnd"/>
      <w:r w:rsidRPr="00F70EBD">
        <w:rPr>
          <w:rFonts w:ascii="Arial" w:hAnsi="Arial" w:cs="Arial"/>
          <w:b w:val="0"/>
          <w:bCs/>
          <w:caps w:val="0"/>
          <w:sz w:val="20"/>
          <w:lang w:val="en-IN"/>
        </w:rPr>
        <w:t xml:space="preserve">, d. M. (2019). A view on drug resistance in cancer. </w:t>
      </w:r>
      <w:r w:rsidRPr="00F70EBD">
        <w:rPr>
          <w:rFonts w:ascii="Arial" w:hAnsi="Arial" w:cs="Arial"/>
          <w:b w:val="0"/>
          <w:bCs/>
          <w:i/>
          <w:iCs/>
          <w:caps w:val="0"/>
          <w:sz w:val="20"/>
          <w:lang w:val="en-IN"/>
        </w:rPr>
        <w:t>Nature, 575</w:t>
      </w:r>
      <w:r w:rsidRPr="00F70EBD">
        <w:rPr>
          <w:rFonts w:ascii="Arial" w:hAnsi="Arial" w:cs="Arial"/>
          <w:b w:val="0"/>
          <w:bCs/>
          <w:caps w:val="0"/>
          <w:sz w:val="20"/>
          <w:lang w:val="en-IN"/>
        </w:rPr>
        <w:t xml:space="preserve">(7782), 299–309. </w:t>
      </w:r>
    </w:p>
    <w:p w14:paraId="46860CFD" w14:textId="77777777" w:rsidR="00F70EBD" w:rsidRDefault="00F70EBD" w:rsidP="00F70EBD">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Bukowski, k., </w:t>
      </w:r>
      <w:proofErr w:type="spellStart"/>
      <w:r w:rsidRPr="00B9341A">
        <w:rPr>
          <w:rFonts w:ascii="Arial" w:hAnsi="Arial" w:cs="Arial"/>
          <w:b w:val="0"/>
          <w:bCs/>
          <w:caps w:val="0"/>
          <w:sz w:val="20"/>
          <w:lang w:val="en-IN"/>
        </w:rPr>
        <w:t>kciuk</w:t>
      </w:r>
      <w:proofErr w:type="spellEnd"/>
      <w:r w:rsidRPr="00B9341A">
        <w:rPr>
          <w:rFonts w:ascii="Arial" w:hAnsi="Arial" w:cs="Arial"/>
          <w:b w:val="0"/>
          <w:bCs/>
          <w:caps w:val="0"/>
          <w:sz w:val="20"/>
          <w:lang w:val="en-IN"/>
        </w:rPr>
        <w:t xml:space="preserve">, m., &amp; </w:t>
      </w:r>
      <w:proofErr w:type="spellStart"/>
      <w:r w:rsidRPr="00B9341A">
        <w:rPr>
          <w:rFonts w:ascii="Arial" w:hAnsi="Arial" w:cs="Arial"/>
          <w:b w:val="0"/>
          <w:bCs/>
          <w:caps w:val="0"/>
          <w:sz w:val="20"/>
          <w:lang w:val="en-IN"/>
        </w:rPr>
        <w:t>kontek</w:t>
      </w:r>
      <w:proofErr w:type="spellEnd"/>
      <w:r w:rsidRPr="00B9341A">
        <w:rPr>
          <w:rFonts w:ascii="Arial" w:hAnsi="Arial" w:cs="Arial"/>
          <w:b w:val="0"/>
          <w:bCs/>
          <w:caps w:val="0"/>
          <w:sz w:val="20"/>
          <w:lang w:val="en-IN"/>
        </w:rPr>
        <w:t xml:space="preserve">, r. (2020). Mechanisms of multidrug resistance in cancer chemotherapy. </w:t>
      </w:r>
      <w:r w:rsidRPr="00B9341A">
        <w:rPr>
          <w:rFonts w:ascii="Arial" w:hAnsi="Arial" w:cs="Arial"/>
          <w:b w:val="0"/>
          <w:bCs/>
          <w:i/>
          <w:iCs/>
          <w:caps w:val="0"/>
          <w:sz w:val="20"/>
          <w:lang w:val="en-IN"/>
        </w:rPr>
        <w:t>International journal of molecular sciences, 21</w:t>
      </w:r>
      <w:r w:rsidRPr="00B9341A">
        <w:rPr>
          <w:rFonts w:ascii="Arial" w:hAnsi="Arial" w:cs="Arial"/>
          <w:b w:val="0"/>
          <w:bCs/>
          <w:sz w:val="20"/>
          <w:lang w:val="en-IN"/>
        </w:rPr>
        <w:t xml:space="preserve">(9), 3233. </w:t>
      </w:r>
    </w:p>
    <w:p w14:paraId="20AAE666" w14:textId="77777777" w:rsidR="00F70EBD" w:rsidRPr="00B9341A" w:rsidRDefault="00F70EBD" w:rsidP="00F70EBD">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Atanasov, a. G., </w:t>
      </w:r>
      <w:proofErr w:type="spellStart"/>
      <w:r w:rsidRPr="00B9341A">
        <w:rPr>
          <w:rFonts w:ascii="Arial" w:hAnsi="Arial" w:cs="Arial"/>
          <w:b w:val="0"/>
          <w:bCs/>
          <w:caps w:val="0"/>
          <w:sz w:val="20"/>
          <w:lang w:val="en-IN"/>
        </w:rPr>
        <w:t>zotchev</w:t>
      </w:r>
      <w:proofErr w:type="spellEnd"/>
      <w:r w:rsidRPr="00B9341A">
        <w:rPr>
          <w:rFonts w:ascii="Arial" w:hAnsi="Arial" w:cs="Arial"/>
          <w:b w:val="0"/>
          <w:bCs/>
          <w:caps w:val="0"/>
          <w:sz w:val="20"/>
          <w:lang w:val="en-IN"/>
        </w:rPr>
        <w:t xml:space="preserve">, s. B., </w:t>
      </w:r>
      <w:proofErr w:type="spellStart"/>
      <w:r w:rsidRPr="00B9341A">
        <w:rPr>
          <w:rFonts w:ascii="Arial" w:hAnsi="Arial" w:cs="Arial"/>
          <w:b w:val="0"/>
          <w:bCs/>
          <w:caps w:val="0"/>
          <w:sz w:val="20"/>
          <w:lang w:val="en-IN"/>
        </w:rPr>
        <w:t>dirsch</w:t>
      </w:r>
      <w:proofErr w:type="spellEnd"/>
      <w:r w:rsidRPr="00B9341A">
        <w:rPr>
          <w:rFonts w:ascii="Arial" w:hAnsi="Arial" w:cs="Arial"/>
          <w:b w:val="0"/>
          <w:bCs/>
          <w:caps w:val="0"/>
          <w:sz w:val="20"/>
          <w:lang w:val="en-IN"/>
        </w:rPr>
        <w:t xml:space="preserve">, v. M., &amp; </w:t>
      </w:r>
      <w:proofErr w:type="spellStart"/>
      <w:r w:rsidRPr="00B9341A">
        <w:rPr>
          <w:rFonts w:ascii="Arial" w:hAnsi="Arial" w:cs="Arial"/>
          <w:b w:val="0"/>
          <w:bCs/>
          <w:caps w:val="0"/>
          <w:sz w:val="20"/>
          <w:lang w:val="en-IN"/>
        </w:rPr>
        <w:t>supuran</w:t>
      </w:r>
      <w:proofErr w:type="spellEnd"/>
      <w:r w:rsidRPr="00B9341A">
        <w:rPr>
          <w:rFonts w:ascii="Arial" w:hAnsi="Arial" w:cs="Arial"/>
          <w:b w:val="0"/>
          <w:bCs/>
          <w:caps w:val="0"/>
          <w:sz w:val="20"/>
          <w:lang w:val="en-IN"/>
        </w:rPr>
        <w:t xml:space="preserve">, c. T. (2021). Natural products in drug discovery: advances and opportunities. </w:t>
      </w:r>
      <w:r w:rsidRPr="00B9341A">
        <w:rPr>
          <w:rFonts w:ascii="Arial" w:hAnsi="Arial" w:cs="Arial"/>
          <w:b w:val="0"/>
          <w:bCs/>
          <w:i/>
          <w:iCs/>
          <w:caps w:val="0"/>
          <w:sz w:val="20"/>
          <w:lang w:val="en-IN"/>
        </w:rPr>
        <w:t>Nature reviews drug discovery, 20</w:t>
      </w:r>
      <w:r w:rsidRPr="00B9341A">
        <w:rPr>
          <w:rFonts w:ascii="Arial" w:hAnsi="Arial" w:cs="Arial"/>
          <w:b w:val="0"/>
          <w:bCs/>
          <w:sz w:val="20"/>
          <w:lang w:val="en-IN"/>
        </w:rPr>
        <w:t xml:space="preserve">(3), 200–216. </w:t>
      </w:r>
    </w:p>
    <w:p w14:paraId="18183828"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Rodrigues, t., </w:t>
      </w:r>
      <w:proofErr w:type="spellStart"/>
      <w:r w:rsidRPr="00B9341A">
        <w:rPr>
          <w:rFonts w:ascii="Arial" w:hAnsi="Arial" w:cs="Arial"/>
          <w:b w:val="0"/>
          <w:bCs/>
          <w:caps w:val="0"/>
          <w:sz w:val="20"/>
          <w:lang w:val="en-IN"/>
        </w:rPr>
        <w:t>reker</w:t>
      </w:r>
      <w:proofErr w:type="spellEnd"/>
      <w:r w:rsidRPr="00B9341A">
        <w:rPr>
          <w:rFonts w:ascii="Arial" w:hAnsi="Arial" w:cs="Arial"/>
          <w:b w:val="0"/>
          <w:bCs/>
          <w:caps w:val="0"/>
          <w:sz w:val="20"/>
          <w:lang w:val="en-IN"/>
        </w:rPr>
        <w:t xml:space="preserve">, d., schneider, p., &amp; schneider, g. (2016). Counting on natural products for drug design. </w:t>
      </w:r>
      <w:r w:rsidRPr="00B9341A">
        <w:rPr>
          <w:rFonts w:ascii="Arial" w:hAnsi="Arial" w:cs="Arial"/>
          <w:b w:val="0"/>
          <w:bCs/>
          <w:i/>
          <w:iCs/>
          <w:caps w:val="0"/>
          <w:sz w:val="20"/>
          <w:lang w:val="en-IN"/>
        </w:rPr>
        <w:t>Nature chemistry, 8</w:t>
      </w:r>
      <w:r w:rsidRPr="00B9341A">
        <w:rPr>
          <w:rFonts w:ascii="Arial" w:hAnsi="Arial" w:cs="Arial"/>
          <w:b w:val="0"/>
          <w:bCs/>
          <w:caps w:val="0"/>
          <w:sz w:val="20"/>
          <w:lang w:val="en-IN"/>
        </w:rPr>
        <w:t xml:space="preserve">(6), 531–541. </w:t>
      </w:r>
    </w:p>
    <w:p w14:paraId="430E0037"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Fernandes melo reis, r. C., pontes silva, a. V., </w:t>
      </w:r>
      <w:proofErr w:type="spellStart"/>
      <w:r w:rsidRPr="00B9341A">
        <w:rPr>
          <w:rFonts w:ascii="Arial" w:hAnsi="Arial" w:cs="Arial"/>
          <w:b w:val="0"/>
          <w:bCs/>
          <w:caps w:val="0"/>
          <w:sz w:val="20"/>
          <w:lang w:val="en-IN"/>
        </w:rPr>
        <w:t>veiga</w:t>
      </w:r>
      <w:proofErr w:type="spellEnd"/>
      <w:r w:rsidRPr="00B9341A">
        <w:rPr>
          <w:rFonts w:ascii="Arial" w:hAnsi="Arial" w:cs="Arial"/>
          <w:b w:val="0"/>
          <w:bCs/>
          <w:caps w:val="0"/>
          <w:sz w:val="20"/>
          <w:lang w:val="en-IN"/>
        </w:rPr>
        <w:t xml:space="preserve"> </w:t>
      </w:r>
      <w:proofErr w:type="spellStart"/>
      <w:r w:rsidRPr="00B9341A">
        <w:rPr>
          <w:rFonts w:ascii="Arial" w:hAnsi="Arial" w:cs="Arial"/>
          <w:b w:val="0"/>
          <w:bCs/>
          <w:caps w:val="0"/>
          <w:sz w:val="20"/>
          <w:lang w:val="en-IN"/>
        </w:rPr>
        <w:t>torres</w:t>
      </w:r>
      <w:proofErr w:type="spellEnd"/>
      <w:r w:rsidRPr="00B9341A">
        <w:rPr>
          <w:rFonts w:ascii="Arial" w:hAnsi="Arial" w:cs="Arial"/>
          <w:b w:val="0"/>
          <w:bCs/>
          <w:caps w:val="0"/>
          <w:sz w:val="20"/>
          <w:lang w:val="en-IN"/>
        </w:rPr>
        <w:t xml:space="preserve">, a. D., et al. (2024). From clove oil to bioactive agents: synthetic routes, antimicrobial and antiparasitic activities of eugenol derivatives. </w:t>
      </w:r>
      <w:r w:rsidRPr="00B9341A">
        <w:rPr>
          <w:rFonts w:ascii="Arial" w:hAnsi="Arial" w:cs="Arial"/>
          <w:b w:val="0"/>
          <w:bCs/>
          <w:i/>
          <w:iCs/>
          <w:caps w:val="0"/>
          <w:sz w:val="20"/>
          <w:lang w:val="en-IN"/>
        </w:rPr>
        <w:t>Future medicinal chemistry, 16</w:t>
      </w:r>
      <w:r w:rsidRPr="00B9341A">
        <w:rPr>
          <w:rFonts w:ascii="Arial" w:hAnsi="Arial" w:cs="Arial"/>
          <w:b w:val="0"/>
          <w:bCs/>
          <w:caps w:val="0"/>
          <w:sz w:val="20"/>
          <w:lang w:val="en-IN"/>
        </w:rPr>
        <w:t xml:space="preserve">(20), 2169–2188. </w:t>
      </w:r>
    </w:p>
    <w:p w14:paraId="38049DB6" w14:textId="5B556C29" w:rsidR="00F70EBD" w:rsidRPr="00B9341A" w:rsidRDefault="00590785" w:rsidP="00F70EBD">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Nazreen, s., </w:t>
      </w:r>
      <w:proofErr w:type="spellStart"/>
      <w:r w:rsidRPr="00B9341A">
        <w:rPr>
          <w:rFonts w:ascii="Arial" w:hAnsi="Arial" w:cs="Arial"/>
          <w:b w:val="0"/>
          <w:bCs/>
          <w:caps w:val="0"/>
          <w:sz w:val="20"/>
          <w:lang w:val="en-IN"/>
        </w:rPr>
        <w:t>elbehairi</w:t>
      </w:r>
      <w:proofErr w:type="spellEnd"/>
      <w:r w:rsidRPr="00B9341A">
        <w:rPr>
          <w:rFonts w:ascii="Arial" w:hAnsi="Arial" w:cs="Arial"/>
          <w:b w:val="0"/>
          <w:bCs/>
          <w:caps w:val="0"/>
          <w:sz w:val="20"/>
          <w:lang w:val="en-IN"/>
        </w:rPr>
        <w:t xml:space="preserve">, s. E. I., </w:t>
      </w:r>
      <w:proofErr w:type="spellStart"/>
      <w:r w:rsidRPr="00B9341A">
        <w:rPr>
          <w:rFonts w:ascii="Arial" w:hAnsi="Arial" w:cs="Arial"/>
          <w:b w:val="0"/>
          <w:bCs/>
          <w:caps w:val="0"/>
          <w:sz w:val="20"/>
          <w:lang w:val="en-IN"/>
        </w:rPr>
        <w:t>malebari</w:t>
      </w:r>
      <w:proofErr w:type="spellEnd"/>
      <w:r w:rsidRPr="00B9341A">
        <w:rPr>
          <w:rFonts w:ascii="Arial" w:hAnsi="Arial" w:cs="Arial"/>
          <w:b w:val="0"/>
          <w:bCs/>
          <w:caps w:val="0"/>
          <w:sz w:val="20"/>
          <w:lang w:val="en-IN"/>
        </w:rPr>
        <w:t>, a. M., et al. (2023). New natural eugenol derivatives as antiproliferative agents: synthesis, biological evaluation,</w:t>
      </w:r>
      <w:r>
        <w:rPr>
          <w:rFonts w:ascii="Arial" w:hAnsi="Arial" w:cs="Arial"/>
          <w:b w:val="0"/>
          <w:bCs/>
          <w:caps w:val="0"/>
          <w:sz w:val="20"/>
          <w:lang w:val="en-IN"/>
        </w:rPr>
        <w:t xml:space="preserve"> and </w:t>
      </w:r>
      <w:r w:rsidRPr="00B9341A">
        <w:rPr>
          <w:rFonts w:ascii="Arial" w:hAnsi="Arial" w:cs="Arial"/>
          <w:b w:val="0"/>
          <w:bCs/>
          <w:caps w:val="0"/>
          <w:sz w:val="20"/>
          <w:lang w:val="en-IN"/>
        </w:rPr>
        <w:t xml:space="preserve">computational studies. </w:t>
      </w:r>
      <w:r w:rsidRPr="00B9341A">
        <w:rPr>
          <w:rFonts w:ascii="Arial" w:hAnsi="Arial" w:cs="Arial"/>
          <w:b w:val="0"/>
          <w:bCs/>
          <w:i/>
          <w:iCs/>
          <w:caps w:val="0"/>
          <w:sz w:val="20"/>
          <w:lang w:val="en-IN"/>
        </w:rPr>
        <w:t>Acs omega, 8</w:t>
      </w:r>
      <w:r w:rsidRPr="00B9341A">
        <w:rPr>
          <w:rFonts w:ascii="Arial" w:hAnsi="Arial" w:cs="Arial"/>
          <w:b w:val="0"/>
          <w:bCs/>
          <w:caps w:val="0"/>
          <w:sz w:val="20"/>
          <w:lang w:val="en-IN"/>
        </w:rPr>
        <w:t>(21), 18811–18822.</w:t>
      </w:r>
      <w:r>
        <w:rPr>
          <w:rFonts w:ascii="Arial" w:hAnsi="Arial" w:cs="Arial"/>
          <w:b w:val="0"/>
          <w:bCs/>
          <w:caps w:val="0"/>
          <w:sz w:val="20"/>
          <w:lang w:val="en-IN"/>
        </w:rPr>
        <w:t xml:space="preserve"> </w:t>
      </w:r>
    </w:p>
    <w:p w14:paraId="51DE5036" w14:textId="77777777" w:rsidR="00F70EBD" w:rsidRDefault="00F70EBD" w:rsidP="00F70EBD">
      <w:pPr>
        <w:pStyle w:val="ReferHead"/>
        <w:spacing w:after="0"/>
        <w:jc w:val="both"/>
        <w:rPr>
          <w:rFonts w:ascii="Arial" w:hAnsi="Arial" w:cs="Arial"/>
          <w:bCs/>
          <w:caps w:val="0"/>
          <w:szCs w:val="22"/>
        </w:rPr>
      </w:pPr>
    </w:p>
    <w:p w14:paraId="34306A48" w14:textId="0882395B" w:rsidR="00F70EBD" w:rsidRPr="00565E2C" w:rsidRDefault="00F70EBD" w:rsidP="00F70EBD">
      <w:pPr>
        <w:pStyle w:val="ReferHead"/>
        <w:spacing w:after="0"/>
        <w:jc w:val="both"/>
        <w:rPr>
          <w:rFonts w:ascii="Arial" w:hAnsi="Arial" w:cs="Arial"/>
          <w:bCs/>
          <w:caps w:val="0"/>
          <w:szCs w:val="22"/>
        </w:rPr>
      </w:pPr>
      <w:r>
        <w:rPr>
          <w:rFonts w:ascii="Arial" w:hAnsi="Arial" w:cs="Arial"/>
          <w:bCs/>
          <w:caps w:val="0"/>
          <w:szCs w:val="22"/>
        </w:rPr>
        <w:t xml:space="preserve"> </w:t>
      </w:r>
    </w:p>
    <w:p w14:paraId="5973985E" w14:textId="1FA9874C" w:rsidR="00B06CEB" w:rsidRDefault="00B06CEB" w:rsidP="006F08A8">
      <w:pPr>
        <w:pStyle w:val="BodyText"/>
        <w:jc w:val="both"/>
        <w:rPr>
          <w:rFonts w:ascii="Arial" w:hAnsi="Arial" w:cs="Arial"/>
          <w:b/>
          <w:caps/>
        </w:rPr>
      </w:pPr>
    </w:p>
    <w:p w14:paraId="3725B1C0" w14:textId="31CDA121" w:rsidR="00590785" w:rsidRPr="00590785"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lastRenderedPageBreak/>
        <w:t xml:space="preserve">Matin, m. M., matin, p., </w:t>
      </w:r>
      <w:proofErr w:type="spellStart"/>
      <w:r w:rsidRPr="00B9341A">
        <w:rPr>
          <w:rFonts w:ascii="Arial" w:hAnsi="Arial" w:cs="Arial"/>
          <w:b w:val="0"/>
          <w:bCs/>
          <w:caps w:val="0"/>
          <w:sz w:val="20"/>
          <w:lang w:val="en-IN"/>
        </w:rPr>
        <w:t>rahman</w:t>
      </w:r>
      <w:proofErr w:type="spellEnd"/>
      <w:r w:rsidRPr="00B9341A">
        <w:rPr>
          <w:rFonts w:ascii="Arial" w:hAnsi="Arial" w:cs="Arial"/>
          <w:b w:val="0"/>
          <w:bCs/>
          <w:caps w:val="0"/>
          <w:sz w:val="20"/>
          <w:lang w:val="en-IN"/>
        </w:rPr>
        <w:t xml:space="preserve">, m. R., et al. (2022). Triazoles and their derivatives: chemistry, synthesis, and therapeutic applications. </w:t>
      </w:r>
      <w:r w:rsidRPr="00B9341A">
        <w:rPr>
          <w:rFonts w:ascii="Arial" w:hAnsi="Arial" w:cs="Arial"/>
          <w:b w:val="0"/>
          <w:bCs/>
          <w:i/>
          <w:iCs/>
          <w:caps w:val="0"/>
          <w:sz w:val="20"/>
          <w:lang w:val="en-IN"/>
        </w:rPr>
        <w:t>Frontiers in molecular biosciences, 9</w:t>
      </w:r>
      <w:r w:rsidRPr="00B9341A">
        <w:rPr>
          <w:rFonts w:ascii="Arial" w:hAnsi="Arial" w:cs="Arial"/>
          <w:b w:val="0"/>
          <w:bCs/>
          <w:caps w:val="0"/>
          <w:sz w:val="20"/>
          <w:lang w:val="en-IN"/>
        </w:rPr>
        <w:t xml:space="preserve">, 864286. </w:t>
      </w:r>
      <w:r>
        <w:rPr>
          <w:rFonts w:ascii="Arial" w:hAnsi="Arial" w:cs="Arial"/>
          <w:b w:val="0"/>
          <w:bCs/>
          <w:caps w:val="0"/>
          <w:sz w:val="20"/>
          <w:lang w:val="en-IN"/>
        </w:rPr>
        <w:t xml:space="preserve"> </w:t>
      </w:r>
    </w:p>
    <w:p w14:paraId="367F2144"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Naeem, n., </w:t>
      </w:r>
      <w:proofErr w:type="spellStart"/>
      <w:r w:rsidRPr="00B9341A">
        <w:rPr>
          <w:rFonts w:ascii="Arial" w:hAnsi="Arial" w:cs="Arial"/>
          <w:b w:val="0"/>
          <w:bCs/>
          <w:caps w:val="0"/>
          <w:sz w:val="20"/>
          <w:lang w:val="en-IN"/>
        </w:rPr>
        <w:t>mughal</w:t>
      </w:r>
      <w:proofErr w:type="spellEnd"/>
      <w:r w:rsidRPr="00B9341A">
        <w:rPr>
          <w:rFonts w:ascii="Arial" w:hAnsi="Arial" w:cs="Arial"/>
          <w:b w:val="0"/>
          <w:bCs/>
          <w:caps w:val="0"/>
          <w:sz w:val="20"/>
          <w:lang w:val="en-IN"/>
        </w:rPr>
        <w:t xml:space="preserve">, e. U., </w:t>
      </w:r>
      <w:proofErr w:type="spellStart"/>
      <w:r w:rsidRPr="00B9341A">
        <w:rPr>
          <w:rFonts w:ascii="Arial" w:hAnsi="Arial" w:cs="Arial"/>
          <w:b w:val="0"/>
          <w:bCs/>
          <w:caps w:val="0"/>
          <w:sz w:val="20"/>
          <w:lang w:val="en-IN"/>
        </w:rPr>
        <w:t>sadiq</w:t>
      </w:r>
      <w:proofErr w:type="spellEnd"/>
      <w:r w:rsidRPr="00B9341A">
        <w:rPr>
          <w:rFonts w:ascii="Arial" w:hAnsi="Arial" w:cs="Arial"/>
          <w:b w:val="0"/>
          <w:bCs/>
          <w:caps w:val="0"/>
          <w:sz w:val="20"/>
          <w:lang w:val="en-IN"/>
        </w:rPr>
        <w:t xml:space="preserve">, a., </w:t>
      </w:r>
      <w:proofErr w:type="spellStart"/>
      <w:r w:rsidRPr="00B9341A">
        <w:rPr>
          <w:rFonts w:ascii="Arial" w:hAnsi="Arial" w:cs="Arial"/>
          <w:b w:val="0"/>
          <w:bCs/>
          <w:caps w:val="0"/>
          <w:sz w:val="20"/>
          <w:lang w:val="en-IN"/>
        </w:rPr>
        <w:t>othman</w:t>
      </w:r>
      <w:proofErr w:type="spellEnd"/>
      <w:r w:rsidRPr="00B9341A">
        <w:rPr>
          <w:rFonts w:ascii="Arial" w:hAnsi="Arial" w:cs="Arial"/>
          <w:b w:val="0"/>
          <w:bCs/>
          <w:caps w:val="0"/>
          <w:sz w:val="20"/>
          <w:lang w:val="en-IN"/>
        </w:rPr>
        <w:t xml:space="preserve">, g. A., &amp; </w:t>
      </w:r>
      <w:proofErr w:type="spellStart"/>
      <w:r w:rsidRPr="00B9341A">
        <w:rPr>
          <w:rFonts w:ascii="Arial" w:hAnsi="Arial" w:cs="Arial"/>
          <w:b w:val="0"/>
          <w:bCs/>
          <w:caps w:val="0"/>
          <w:sz w:val="20"/>
          <w:lang w:val="en-IN"/>
        </w:rPr>
        <w:t>shakoor</w:t>
      </w:r>
      <w:proofErr w:type="spellEnd"/>
      <w:r w:rsidRPr="00B9341A">
        <w:rPr>
          <w:rFonts w:ascii="Arial" w:hAnsi="Arial" w:cs="Arial"/>
          <w:b w:val="0"/>
          <w:bCs/>
          <w:caps w:val="0"/>
          <w:sz w:val="20"/>
          <w:lang w:val="en-IN"/>
        </w:rPr>
        <w:t xml:space="preserve">, b. (2025). Recent advances in 1,2,4-triazole-based anticancer agents: structural optimization, mechanisms, and therapeutic potential (2022–2025). </w:t>
      </w:r>
      <w:proofErr w:type="spellStart"/>
      <w:r w:rsidRPr="00B9341A">
        <w:rPr>
          <w:rFonts w:ascii="Arial" w:hAnsi="Arial" w:cs="Arial"/>
          <w:b w:val="0"/>
          <w:bCs/>
          <w:i/>
          <w:iCs/>
          <w:caps w:val="0"/>
          <w:sz w:val="20"/>
          <w:lang w:val="en-IN"/>
        </w:rPr>
        <w:t>Archiv</w:t>
      </w:r>
      <w:proofErr w:type="spellEnd"/>
      <w:r w:rsidRPr="00B9341A">
        <w:rPr>
          <w:rFonts w:ascii="Arial" w:hAnsi="Arial" w:cs="Arial"/>
          <w:b w:val="0"/>
          <w:bCs/>
          <w:i/>
          <w:iCs/>
          <w:caps w:val="0"/>
          <w:sz w:val="20"/>
          <w:lang w:val="en-IN"/>
        </w:rPr>
        <w:t xml:space="preserve"> der </w:t>
      </w:r>
      <w:proofErr w:type="spellStart"/>
      <w:r w:rsidRPr="00B9341A">
        <w:rPr>
          <w:rFonts w:ascii="Arial" w:hAnsi="Arial" w:cs="Arial"/>
          <w:b w:val="0"/>
          <w:bCs/>
          <w:i/>
          <w:iCs/>
          <w:caps w:val="0"/>
          <w:sz w:val="20"/>
          <w:lang w:val="en-IN"/>
        </w:rPr>
        <w:t>pharmazie</w:t>
      </w:r>
      <w:proofErr w:type="spellEnd"/>
      <w:r w:rsidRPr="00B9341A">
        <w:rPr>
          <w:rFonts w:ascii="Arial" w:hAnsi="Arial" w:cs="Arial"/>
          <w:b w:val="0"/>
          <w:bCs/>
          <w:i/>
          <w:iCs/>
          <w:caps w:val="0"/>
          <w:sz w:val="20"/>
          <w:lang w:val="en-IN"/>
        </w:rPr>
        <w:t>, 358</w:t>
      </w:r>
      <w:r w:rsidRPr="00B9341A">
        <w:rPr>
          <w:rFonts w:ascii="Arial" w:hAnsi="Arial" w:cs="Arial"/>
          <w:b w:val="0"/>
          <w:bCs/>
          <w:caps w:val="0"/>
          <w:sz w:val="20"/>
          <w:lang w:val="en-IN"/>
        </w:rPr>
        <w:t xml:space="preserve">(7), e70059. </w:t>
      </w:r>
    </w:p>
    <w:p w14:paraId="462BFE53"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Agu, p. C., </w:t>
      </w:r>
      <w:proofErr w:type="spellStart"/>
      <w:r w:rsidRPr="00B9341A">
        <w:rPr>
          <w:rFonts w:ascii="Arial" w:hAnsi="Arial" w:cs="Arial"/>
          <w:b w:val="0"/>
          <w:bCs/>
          <w:caps w:val="0"/>
          <w:sz w:val="20"/>
          <w:lang w:val="en-IN"/>
        </w:rPr>
        <w:t>afiukwa</w:t>
      </w:r>
      <w:proofErr w:type="spellEnd"/>
      <w:r w:rsidRPr="00B9341A">
        <w:rPr>
          <w:rFonts w:ascii="Arial" w:hAnsi="Arial" w:cs="Arial"/>
          <w:b w:val="0"/>
          <w:bCs/>
          <w:caps w:val="0"/>
          <w:sz w:val="20"/>
          <w:lang w:val="en-IN"/>
        </w:rPr>
        <w:t xml:space="preserve">, c. A., </w:t>
      </w:r>
      <w:proofErr w:type="spellStart"/>
      <w:r w:rsidRPr="00B9341A">
        <w:rPr>
          <w:rFonts w:ascii="Arial" w:hAnsi="Arial" w:cs="Arial"/>
          <w:b w:val="0"/>
          <w:bCs/>
          <w:caps w:val="0"/>
          <w:sz w:val="20"/>
          <w:lang w:val="en-IN"/>
        </w:rPr>
        <w:t>orji</w:t>
      </w:r>
      <w:proofErr w:type="spellEnd"/>
      <w:r w:rsidRPr="00B9341A">
        <w:rPr>
          <w:rFonts w:ascii="Arial" w:hAnsi="Arial" w:cs="Arial"/>
          <w:b w:val="0"/>
          <w:bCs/>
          <w:caps w:val="0"/>
          <w:sz w:val="20"/>
          <w:lang w:val="en-IN"/>
        </w:rPr>
        <w:t xml:space="preserve">, o. U., et al. (2023). Molecular docking as a tool for the discovery of molecular targets of nutraceuticals in disease management. </w:t>
      </w:r>
      <w:r w:rsidRPr="00B9341A">
        <w:rPr>
          <w:rFonts w:ascii="Arial" w:hAnsi="Arial" w:cs="Arial"/>
          <w:b w:val="0"/>
          <w:bCs/>
          <w:i/>
          <w:iCs/>
          <w:caps w:val="0"/>
          <w:sz w:val="20"/>
          <w:lang w:val="en-IN"/>
        </w:rPr>
        <w:t>Scientific reports, 13</w:t>
      </w:r>
      <w:r w:rsidRPr="00B9341A">
        <w:rPr>
          <w:rFonts w:ascii="Arial" w:hAnsi="Arial" w:cs="Arial"/>
          <w:b w:val="0"/>
          <w:bCs/>
          <w:sz w:val="20"/>
          <w:lang w:val="en-IN"/>
        </w:rPr>
        <w:t xml:space="preserve">(1), 13398. </w:t>
      </w:r>
    </w:p>
    <w:p w14:paraId="20C8A114"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Pagadala, n. S., </w:t>
      </w:r>
      <w:proofErr w:type="spellStart"/>
      <w:r w:rsidRPr="00B9341A">
        <w:rPr>
          <w:rFonts w:ascii="Arial" w:hAnsi="Arial" w:cs="Arial"/>
          <w:b w:val="0"/>
          <w:bCs/>
          <w:caps w:val="0"/>
          <w:sz w:val="20"/>
          <w:lang w:val="en-IN"/>
        </w:rPr>
        <w:t>syed</w:t>
      </w:r>
      <w:proofErr w:type="spellEnd"/>
      <w:r w:rsidRPr="00B9341A">
        <w:rPr>
          <w:rFonts w:ascii="Arial" w:hAnsi="Arial" w:cs="Arial"/>
          <w:b w:val="0"/>
          <w:bCs/>
          <w:caps w:val="0"/>
          <w:sz w:val="20"/>
          <w:lang w:val="en-IN"/>
        </w:rPr>
        <w:t xml:space="preserve">, k., &amp; </w:t>
      </w:r>
      <w:proofErr w:type="spellStart"/>
      <w:r w:rsidRPr="00B9341A">
        <w:rPr>
          <w:rFonts w:ascii="Arial" w:hAnsi="Arial" w:cs="Arial"/>
          <w:b w:val="0"/>
          <w:bCs/>
          <w:caps w:val="0"/>
          <w:sz w:val="20"/>
          <w:lang w:val="en-IN"/>
        </w:rPr>
        <w:t>tuszynski</w:t>
      </w:r>
      <w:proofErr w:type="spellEnd"/>
      <w:r w:rsidRPr="00B9341A">
        <w:rPr>
          <w:rFonts w:ascii="Arial" w:hAnsi="Arial" w:cs="Arial"/>
          <w:b w:val="0"/>
          <w:bCs/>
          <w:caps w:val="0"/>
          <w:sz w:val="20"/>
          <w:lang w:val="en-IN"/>
        </w:rPr>
        <w:t xml:space="preserve">, j. (2017). Software for molecular docking: a review. </w:t>
      </w:r>
      <w:r w:rsidRPr="00B9341A">
        <w:rPr>
          <w:rFonts w:ascii="Arial" w:hAnsi="Arial" w:cs="Arial"/>
          <w:b w:val="0"/>
          <w:bCs/>
          <w:i/>
          <w:iCs/>
          <w:caps w:val="0"/>
          <w:sz w:val="20"/>
          <w:lang w:val="en-IN"/>
        </w:rPr>
        <w:t>Biophysical reviews, 9</w:t>
      </w:r>
      <w:r w:rsidRPr="00B9341A">
        <w:rPr>
          <w:rFonts w:ascii="Arial" w:hAnsi="Arial" w:cs="Arial"/>
          <w:b w:val="0"/>
          <w:bCs/>
          <w:caps w:val="0"/>
          <w:sz w:val="20"/>
          <w:lang w:val="en-IN"/>
        </w:rPr>
        <w:t xml:space="preserve">(2), 91–102. </w:t>
      </w:r>
    </w:p>
    <w:p w14:paraId="4BD83775"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Ayub, m. A., </w:t>
      </w:r>
      <w:proofErr w:type="spellStart"/>
      <w:r w:rsidRPr="00B9341A">
        <w:rPr>
          <w:rFonts w:ascii="Arial" w:hAnsi="Arial" w:cs="Arial"/>
          <w:b w:val="0"/>
          <w:bCs/>
          <w:caps w:val="0"/>
          <w:sz w:val="20"/>
          <w:lang w:val="en-IN"/>
        </w:rPr>
        <w:t>tyagi</w:t>
      </w:r>
      <w:proofErr w:type="spellEnd"/>
      <w:r w:rsidRPr="00B9341A">
        <w:rPr>
          <w:rFonts w:ascii="Arial" w:hAnsi="Arial" w:cs="Arial"/>
          <w:b w:val="0"/>
          <w:bCs/>
          <w:caps w:val="0"/>
          <w:sz w:val="20"/>
          <w:lang w:val="en-IN"/>
        </w:rPr>
        <w:t xml:space="preserve">, a. R., </w:t>
      </w:r>
      <w:proofErr w:type="spellStart"/>
      <w:r w:rsidRPr="00B9341A">
        <w:rPr>
          <w:rFonts w:ascii="Arial" w:hAnsi="Arial" w:cs="Arial"/>
          <w:b w:val="0"/>
          <w:bCs/>
          <w:caps w:val="0"/>
          <w:sz w:val="20"/>
          <w:lang w:val="en-IN"/>
        </w:rPr>
        <w:t>srivastava</w:t>
      </w:r>
      <w:proofErr w:type="spellEnd"/>
      <w:r w:rsidRPr="00B9341A">
        <w:rPr>
          <w:rFonts w:ascii="Arial" w:hAnsi="Arial" w:cs="Arial"/>
          <w:b w:val="0"/>
          <w:bCs/>
          <w:caps w:val="0"/>
          <w:sz w:val="20"/>
          <w:lang w:val="en-IN"/>
        </w:rPr>
        <w:t xml:space="preserve">, s. K., &amp; </w:t>
      </w:r>
      <w:proofErr w:type="spellStart"/>
      <w:r w:rsidRPr="00B9341A">
        <w:rPr>
          <w:rFonts w:ascii="Arial" w:hAnsi="Arial" w:cs="Arial"/>
          <w:b w:val="0"/>
          <w:bCs/>
          <w:caps w:val="0"/>
          <w:sz w:val="20"/>
          <w:lang w:val="en-IN"/>
        </w:rPr>
        <w:t>singh</w:t>
      </w:r>
      <w:proofErr w:type="spellEnd"/>
      <w:r w:rsidRPr="00B9341A">
        <w:rPr>
          <w:rFonts w:ascii="Arial" w:hAnsi="Arial" w:cs="Arial"/>
          <w:b w:val="0"/>
          <w:bCs/>
          <w:caps w:val="0"/>
          <w:sz w:val="20"/>
          <w:lang w:val="en-IN"/>
        </w:rPr>
        <w:t xml:space="preserve">, p. (2025). Quantum </w:t>
      </w:r>
      <w:proofErr w:type="spellStart"/>
      <w:r w:rsidRPr="00B9341A">
        <w:rPr>
          <w:rFonts w:ascii="Arial" w:hAnsi="Arial" w:cs="Arial"/>
          <w:b w:val="0"/>
          <w:bCs/>
          <w:caps w:val="0"/>
          <w:sz w:val="20"/>
          <w:lang w:val="en-IN"/>
        </w:rPr>
        <w:t>dft</w:t>
      </w:r>
      <w:proofErr w:type="spellEnd"/>
      <w:r w:rsidRPr="00B9341A">
        <w:rPr>
          <w:rFonts w:ascii="Arial" w:hAnsi="Arial" w:cs="Arial"/>
          <w:b w:val="0"/>
          <w:bCs/>
          <w:caps w:val="0"/>
          <w:sz w:val="20"/>
          <w:lang w:val="en-IN"/>
        </w:rPr>
        <w:t xml:space="preserve"> analysis and molecular docking investigation of potential breast cancer drugs. </w:t>
      </w:r>
      <w:r w:rsidRPr="00B9341A">
        <w:rPr>
          <w:rFonts w:ascii="Arial" w:hAnsi="Arial" w:cs="Arial"/>
          <w:b w:val="0"/>
          <w:bCs/>
          <w:i/>
          <w:iCs/>
          <w:caps w:val="0"/>
          <w:sz w:val="20"/>
          <w:lang w:val="en-IN"/>
        </w:rPr>
        <w:t>Journal of materials chemistry b, 13</w:t>
      </w:r>
      <w:r w:rsidRPr="00B9341A">
        <w:rPr>
          <w:rFonts w:ascii="Arial" w:hAnsi="Arial" w:cs="Arial"/>
          <w:b w:val="0"/>
          <w:bCs/>
          <w:caps w:val="0"/>
          <w:sz w:val="20"/>
          <w:lang w:val="en-IN"/>
        </w:rPr>
        <w:t xml:space="preserve">(1), 218–238. </w:t>
      </w:r>
    </w:p>
    <w:p w14:paraId="40D47060"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Sowa-</w:t>
      </w:r>
      <w:proofErr w:type="spellStart"/>
      <w:r w:rsidRPr="00B9341A">
        <w:rPr>
          <w:rFonts w:ascii="Arial" w:hAnsi="Arial" w:cs="Arial"/>
          <w:b w:val="0"/>
          <w:bCs/>
          <w:caps w:val="0"/>
          <w:sz w:val="20"/>
          <w:lang w:val="en-IN"/>
        </w:rPr>
        <w:t>kasprzak</w:t>
      </w:r>
      <w:proofErr w:type="spellEnd"/>
      <w:r w:rsidRPr="00B9341A">
        <w:rPr>
          <w:rFonts w:ascii="Arial" w:hAnsi="Arial" w:cs="Arial"/>
          <w:b w:val="0"/>
          <w:bCs/>
          <w:caps w:val="0"/>
          <w:sz w:val="20"/>
          <w:lang w:val="en-IN"/>
        </w:rPr>
        <w:t xml:space="preserve">, k., </w:t>
      </w:r>
      <w:proofErr w:type="spellStart"/>
      <w:r w:rsidRPr="00B9341A">
        <w:rPr>
          <w:rFonts w:ascii="Arial" w:hAnsi="Arial" w:cs="Arial"/>
          <w:b w:val="0"/>
          <w:bCs/>
          <w:caps w:val="0"/>
          <w:sz w:val="20"/>
          <w:lang w:val="en-IN"/>
        </w:rPr>
        <w:t>totoń</w:t>
      </w:r>
      <w:proofErr w:type="spellEnd"/>
      <w:r w:rsidRPr="00B9341A">
        <w:rPr>
          <w:rFonts w:ascii="Arial" w:hAnsi="Arial" w:cs="Arial"/>
          <w:b w:val="0"/>
          <w:bCs/>
          <w:caps w:val="0"/>
          <w:sz w:val="20"/>
          <w:lang w:val="en-IN"/>
        </w:rPr>
        <w:t xml:space="preserve">, e., </w:t>
      </w:r>
      <w:proofErr w:type="spellStart"/>
      <w:r w:rsidRPr="00B9341A">
        <w:rPr>
          <w:rFonts w:ascii="Arial" w:hAnsi="Arial" w:cs="Arial"/>
          <w:b w:val="0"/>
          <w:bCs/>
          <w:caps w:val="0"/>
          <w:sz w:val="20"/>
          <w:lang w:val="en-IN"/>
        </w:rPr>
        <w:t>kujawski</w:t>
      </w:r>
      <w:proofErr w:type="spellEnd"/>
      <w:r w:rsidRPr="00B9341A">
        <w:rPr>
          <w:rFonts w:ascii="Arial" w:hAnsi="Arial" w:cs="Arial"/>
          <w:b w:val="0"/>
          <w:bCs/>
          <w:caps w:val="0"/>
          <w:sz w:val="20"/>
          <w:lang w:val="en-IN"/>
        </w:rPr>
        <w:t xml:space="preserve">, j., et al. (2023). Synthesis, cytotoxicity and molecular docking of new hybrid compounds combining curcumin and oleanolic acid. </w:t>
      </w:r>
      <w:r w:rsidRPr="00B9341A">
        <w:rPr>
          <w:rFonts w:ascii="Arial" w:hAnsi="Arial" w:cs="Arial"/>
          <w:b w:val="0"/>
          <w:bCs/>
          <w:i/>
          <w:iCs/>
          <w:caps w:val="0"/>
          <w:sz w:val="20"/>
          <w:lang w:val="en-IN"/>
        </w:rPr>
        <w:t>Biomedicines, 11</w:t>
      </w:r>
      <w:r w:rsidRPr="00B9341A">
        <w:rPr>
          <w:rFonts w:ascii="Arial" w:hAnsi="Arial" w:cs="Arial"/>
          <w:b w:val="0"/>
          <w:bCs/>
          <w:caps w:val="0"/>
          <w:sz w:val="20"/>
          <w:lang w:val="en-IN"/>
        </w:rPr>
        <w:t>(6), 1506. Https://doi.org/10.3390/biomedicines11061506</w:t>
      </w:r>
    </w:p>
    <w:p w14:paraId="30E7E9CB"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Alam, m. M. (2023). Synthesis and anticancer activity of novel eugenol derivatives against breast cancer cells. </w:t>
      </w:r>
      <w:r w:rsidRPr="00B9341A">
        <w:rPr>
          <w:rFonts w:ascii="Arial" w:hAnsi="Arial" w:cs="Arial"/>
          <w:b w:val="0"/>
          <w:bCs/>
          <w:i/>
          <w:iCs/>
          <w:caps w:val="0"/>
          <w:sz w:val="20"/>
          <w:lang w:val="en-IN"/>
        </w:rPr>
        <w:t>Natural product research, 37</w:t>
      </w:r>
      <w:r w:rsidRPr="00B9341A">
        <w:rPr>
          <w:rFonts w:ascii="Arial" w:hAnsi="Arial" w:cs="Arial"/>
          <w:b w:val="0"/>
          <w:bCs/>
          <w:caps w:val="0"/>
          <w:sz w:val="20"/>
          <w:lang w:val="en-IN"/>
        </w:rPr>
        <w:t xml:space="preserve">(10), 1632–1640. </w:t>
      </w:r>
    </w:p>
    <w:p w14:paraId="4C00DF32"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Newman, d. J., &amp; </w:t>
      </w:r>
      <w:proofErr w:type="spellStart"/>
      <w:r w:rsidRPr="00B9341A">
        <w:rPr>
          <w:rFonts w:ascii="Arial" w:hAnsi="Arial" w:cs="Arial"/>
          <w:b w:val="0"/>
          <w:bCs/>
          <w:caps w:val="0"/>
          <w:sz w:val="20"/>
          <w:lang w:val="en-IN"/>
        </w:rPr>
        <w:t>cragg</w:t>
      </w:r>
      <w:proofErr w:type="spellEnd"/>
      <w:r w:rsidRPr="00B9341A">
        <w:rPr>
          <w:rFonts w:ascii="Arial" w:hAnsi="Arial" w:cs="Arial"/>
          <w:b w:val="0"/>
          <w:bCs/>
          <w:caps w:val="0"/>
          <w:sz w:val="20"/>
          <w:lang w:val="en-IN"/>
        </w:rPr>
        <w:t xml:space="preserve">, g. M. (2020). Natural products as sources of new drugs over nearly four decades from 1981 to 2019. </w:t>
      </w:r>
      <w:r w:rsidRPr="00B9341A">
        <w:rPr>
          <w:rFonts w:ascii="Arial" w:hAnsi="Arial" w:cs="Arial"/>
          <w:b w:val="0"/>
          <w:bCs/>
          <w:i/>
          <w:iCs/>
          <w:caps w:val="0"/>
          <w:sz w:val="20"/>
          <w:lang w:val="en-IN"/>
        </w:rPr>
        <w:t>Journal of natural products, 83</w:t>
      </w:r>
      <w:r w:rsidRPr="00B9341A">
        <w:rPr>
          <w:rFonts w:ascii="Arial" w:hAnsi="Arial" w:cs="Arial"/>
          <w:b w:val="0"/>
          <w:bCs/>
          <w:sz w:val="20"/>
          <w:lang w:val="en-IN"/>
        </w:rPr>
        <w:t xml:space="preserve">(3), 770–803. </w:t>
      </w:r>
    </w:p>
    <w:p w14:paraId="587F61D2"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Naeem, a., hu, p., yang, m., et al. (2022). Natural products as anticancer agents: current status and future perspectives. </w:t>
      </w:r>
      <w:r w:rsidRPr="00B9341A">
        <w:rPr>
          <w:rFonts w:ascii="Arial" w:hAnsi="Arial" w:cs="Arial"/>
          <w:b w:val="0"/>
          <w:bCs/>
          <w:i/>
          <w:iCs/>
          <w:caps w:val="0"/>
          <w:sz w:val="20"/>
          <w:lang w:val="en-IN"/>
        </w:rPr>
        <w:t>Molecules, 27</w:t>
      </w:r>
      <w:r w:rsidRPr="00B9341A">
        <w:rPr>
          <w:rFonts w:ascii="Arial" w:hAnsi="Arial" w:cs="Arial"/>
          <w:b w:val="0"/>
          <w:bCs/>
          <w:caps w:val="0"/>
          <w:sz w:val="20"/>
          <w:lang w:val="en-IN"/>
        </w:rPr>
        <w:t xml:space="preserve">(23), 8367. </w:t>
      </w:r>
    </w:p>
    <w:p w14:paraId="29D89B45"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Osborne, c. K., &amp; schiff, r. (2011). Mechanisms of endocrine resistance in breast cancer. </w:t>
      </w:r>
      <w:r w:rsidRPr="00B9341A">
        <w:rPr>
          <w:rFonts w:ascii="Arial" w:hAnsi="Arial" w:cs="Arial"/>
          <w:b w:val="0"/>
          <w:bCs/>
          <w:i/>
          <w:iCs/>
          <w:caps w:val="0"/>
          <w:sz w:val="20"/>
          <w:lang w:val="en-IN"/>
        </w:rPr>
        <w:t>Annual review of medicine, 62</w:t>
      </w:r>
      <w:r w:rsidRPr="00B9341A">
        <w:rPr>
          <w:rFonts w:ascii="Arial" w:hAnsi="Arial" w:cs="Arial"/>
          <w:b w:val="0"/>
          <w:bCs/>
          <w:caps w:val="0"/>
          <w:sz w:val="20"/>
          <w:lang w:val="en-IN"/>
        </w:rPr>
        <w:t xml:space="preserve">, 233–247. </w:t>
      </w:r>
    </w:p>
    <w:p w14:paraId="75C961B5"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Costa, r. L. B., &amp; </w:t>
      </w:r>
      <w:proofErr w:type="spellStart"/>
      <w:r w:rsidRPr="00B9341A">
        <w:rPr>
          <w:rFonts w:ascii="Arial" w:hAnsi="Arial" w:cs="Arial"/>
          <w:b w:val="0"/>
          <w:bCs/>
          <w:caps w:val="0"/>
          <w:sz w:val="20"/>
          <w:lang w:val="en-IN"/>
        </w:rPr>
        <w:t>gradishar</w:t>
      </w:r>
      <w:proofErr w:type="spellEnd"/>
      <w:r w:rsidRPr="00B9341A">
        <w:rPr>
          <w:rFonts w:ascii="Arial" w:hAnsi="Arial" w:cs="Arial"/>
          <w:b w:val="0"/>
          <w:bCs/>
          <w:caps w:val="0"/>
          <w:sz w:val="20"/>
          <w:lang w:val="en-IN"/>
        </w:rPr>
        <w:t xml:space="preserve">, w. J. (2017). Differences are important: breast cancer therapy in different ethnic groups. </w:t>
      </w:r>
      <w:r w:rsidRPr="00B9341A">
        <w:rPr>
          <w:rFonts w:ascii="Arial" w:hAnsi="Arial" w:cs="Arial"/>
          <w:b w:val="0"/>
          <w:bCs/>
          <w:i/>
          <w:iCs/>
          <w:caps w:val="0"/>
          <w:sz w:val="20"/>
          <w:lang w:val="en-IN"/>
        </w:rPr>
        <w:t>Journal of global oncology, 3</w:t>
      </w:r>
      <w:r w:rsidRPr="00B9341A">
        <w:rPr>
          <w:rFonts w:ascii="Arial" w:hAnsi="Arial" w:cs="Arial"/>
          <w:b w:val="0"/>
          <w:bCs/>
          <w:caps w:val="0"/>
          <w:sz w:val="20"/>
          <w:lang w:val="en-IN"/>
        </w:rPr>
        <w:t xml:space="preserve">(4), 281–284. </w:t>
      </w:r>
    </w:p>
    <w:p w14:paraId="49B64D12"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Mayer, </w:t>
      </w:r>
      <w:proofErr w:type="spellStart"/>
      <w:r w:rsidRPr="00B9341A">
        <w:rPr>
          <w:rFonts w:ascii="Arial" w:hAnsi="Arial" w:cs="Arial"/>
          <w:b w:val="0"/>
          <w:bCs/>
          <w:caps w:val="0"/>
          <w:sz w:val="20"/>
          <w:lang w:val="en-IN"/>
        </w:rPr>
        <w:t>i</w:t>
      </w:r>
      <w:proofErr w:type="spellEnd"/>
      <w:r w:rsidRPr="00B9341A">
        <w:rPr>
          <w:rFonts w:ascii="Arial" w:hAnsi="Arial" w:cs="Arial"/>
          <w:b w:val="0"/>
          <w:bCs/>
          <w:caps w:val="0"/>
          <w:sz w:val="20"/>
          <w:lang w:val="en-IN"/>
        </w:rPr>
        <w:t xml:space="preserve">. A., &amp; </w:t>
      </w:r>
      <w:proofErr w:type="spellStart"/>
      <w:r w:rsidRPr="00B9341A">
        <w:rPr>
          <w:rFonts w:ascii="Arial" w:hAnsi="Arial" w:cs="Arial"/>
          <w:b w:val="0"/>
          <w:bCs/>
          <w:caps w:val="0"/>
          <w:sz w:val="20"/>
          <w:lang w:val="en-IN"/>
        </w:rPr>
        <w:t>arteaga</w:t>
      </w:r>
      <w:proofErr w:type="spellEnd"/>
      <w:r w:rsidRPr="00B9341A">
        <w:rPr>
          <w:rFonts w:ascii="Arial" w:hAnsi="Arial" w:cs="Arial"/>
          <w:b w:val="0"/>
          <w:bCs/>
          <w:caps w:val="0"/>
          <w:sz w:val="20"/>
          <w:lang w:val="en-IN"/>
        </w:rPr>
        <w:t>, c. L. (2016). The pi3k/</w:t>
      </w:r>
      <w:proofErr w:type="spellStart"/>
      <w:r w:rsidRPr="00B9341A">
        <w:rPr>
          <w:rFonts w:ascii="Arial" w:hAnsi="Arial" w:cs="Arial"/>
          <w:b w:val="0"/>
          <w:bCs/>
          <w:caps w:val="0"/>
          <w:sz w:val="20"/>
          <w:lang w:val="en-IN"/>
        </w:rPr>
        <w:t>akt</w:t>
      </w:r>
      <w:proofErr w:type="spellEnd"/>
      <w:r w:rsidRPr="00B9341A">
        <w:rPr>
          <w:rFonts w:ascii="Arial" w:hAnsi="Arial" w:cs="Arial"/>
          <w:b w:val="0"/>
          <w:bCs/>
          <w:caps w:val="0"/>
          <w:sz w:val="20"/>
          <w:lang w:val="en-IN"/>
        </w:rPr>
        <w:t xml:space="preserve"> pathway as a target for cancer treatment. </w:t>
      </w:r>
      <w:r w:rsidRPr="00B9341A">
        <w:rPr>
          <w:rFonts w:ascii="Arial" w:hAnsi="Arial" w:cs="Arial"/>
          <w:b w:val="0"/>
          <w:bCs/>
          <w:i/>
          <w:iCs/>
          <w:caps w:val="0"/>
          <w:sz w:val="20"/>
          <w:lang w:val="en-IN"/>
        </w:rPr>
        <w:t>Annual review of medicine, 67</w:t>
      </w:r>
      <w:r w:rsidRPr="00B9341A">
        <w:rPr>
          <w:rFonts w:ascii="Arial" w:hAnsi="Arial" w:cs="Arial"/>
          <w:b w:val="0"/>
          <w:bCs/>
          <w:caps w:val="0"/>
          <w:sz w:val="20"/>
          <w:lang w:val="en-IN"/>
        </w:rPr>
        <w:t xml:space="preserve">, 11–28. </w:t>
      </w:r>
    </w:p>
    <w:p w14:paraId="71B7902A"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Yager, j. D., &amp; </w:t>
      </w:r>
      <w:proofErr w:type="spellStart"/>
      <w:r w:rsidRPr="00B9341A">
        <w:rPr>
          <w:rFonts w:ascii="Arial" w:hAnsi="Arial" w:cs="Arial"/>
          <w:b w:val="0"/>
          <w:bCs/>
          <w:caps w:val="0"/>
          <w:sz w:val="20"/>
          <w:lang w:val="en-IN"/>
        </w:rPr>
        <w:t>davidson</w:t>
      </w:r>
      <w:proofErr w:type="spellEnd"/>
      <w:r w:rsidRPr="00B9341A">
        <w:rPr>
          <w:rFonts w:ascii="Arial" w:hAnsi="Arial" w:cs="Arial"/>
          <w:b w:val="0"/>
          <w:bCs/>
          <w:caps w:val="0"/>
          <w:sz w:val="20"/>
          <w:lang w:val="en-IN"/>
        </w:rPr>
        <w:t xml:space="preserve">, n. E. (2006). </w:t>
      </w:r>
      <w:proofErr w:type="spellStart"/>
      <w:r w:rsidRPr="00B9341A">
        <w:rPr>
          <w:rFonts w:ascii="Arial" w:hAnsi="Arial" w:cs="Arial"/>
          <w:b w:val="0"/>
          <w:bCs/>
          <w:caps w:val="0"/>
          <w:sz w:val="20"/>
          <w:lang w:val="en-IN"/>
        </w:rPr>
        <w:t>Estrogen</w:t>
      </w:r>
      <w:proofErr w:type="spellEnd"/>
      <w:r w:rsidRPr="00B9341A">
        <w:rPr>
          <w:rFonts w:ascii="Arial" w:hAnsi="Arial" w:cs="Arial"/>
          <w:b w:val="0"/>
          <w:bCs/>
          <w:caps w:val="0"/>
          <w:sz w:val="20"/>
          <w:lang w:val="en-IN"/>
        </w:rPr>
        <w:t xml:space="preserve"> carcinogenesis in breast cancer. </w:t>
      </w:r>
      <w:r w:rsidRPr="00B9341A">
        <w:rPr>
          <w:rFonts w:ascii="Arial" w:hAnsi="Arial" w:cs="Arial"/>
          <w:b w:val="0"/>
          <w:bCs/>
          <w:i/>
          <w:iCs/>
          <w:caps w:val="0"/>
          <w:sz w:val="20"/>
          <w:lang w:val="en-IN"/>
        </w:rPr>
        <w:t xml:space="preserve">New </w:t>
      </w:r>
      <w:proofErr w:type="spellStart"/>
      <w:r w:rsidRPr="00B9341A">
        <w:rPr>
          <w:rFonts w:ascii="Arial" w:hAnsi="Arial" w:cs="Arial"/>
          <w:b w:val="0"/>
          <w:bCs/>
          <w:i/>
          <w:iCs/>
          <w:caps w:val="0"/>
          <w:sz w:val="20"/>
          <w:lang w:val="en-IN"/>
        </w:rPr>
        <w:t>england</w:t>
      </w:r>
      <w:proofErr w:type="spellEnd"/>
      <w:r w:rsidRPr="00B9341A">
        <w:rPr>
          <w:rFonts w:ascii="Arial" w:hAnsi="Arial" w:cs="Arial"/>
          <w:b w:val="0"/>
          <w:bCs/>
          <w:i/>
          <w:iCs/>
          <w:caps w:val="0"/>
          <w:sz w:val="20"/>
          <w:lang w:val="en-IN"/>
        </w:rPr>
        <w:t xml:space="preserve"> journal of medicine, 354</w:t>
      </w:r>
      <w:r w:rsidRPr="00B9341A">
        <w:rPr>
          <w:rFonts w:ascii="Arial" w:hAnsi="Arial" w:cs="Arial"/>
          <w:b w:val="0"/>
          <w:bCs/>
          <w:caps w:val="0"/>
          <w:sz w:val="20"/>
          <w:lang w:val="en-IN"/>
        </w:rPr>
        <w:t xml:space="preserve">(3), 270–282. </w:t>
      </w:r>
    </w:p>
    <w:p w14:paraId="2A22994A"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Mohammed, h., </w:t>
      </w:r>
      <w:proofErr w:type="spellStart"/>
      <w:r w:rsidRPr="00B9341A">
        <w:rPr>
          <w:rFonts w:ascii="Arial" w:hAnsi="Arial" w:cs="Arial"/>
          <w:b w:val="0"/>
          <w:bCs/>
          <w:caps w:val="0"/>
          <w:sz w:val="20"/>
          <w:lang w:val="en-IN"/>
        </w:rPr>
        <w:t>russell</w:t>
      </w:r>
      <w:proofErr w:type="spellEnd"/>
      <w:r w:rsidRPr="00B9341A">
        <w:rPr>
          <w:rFonts w:ascii="Arial" w:hAnsi="Arial" w:cs="Arial"/>
          <w:b w:val="0"/>
          <w:bCs/>
          <w:caps w:val="0"/>
          <w:sz w:val="20"/>
          <w:lang w:val="en-IN"/>
        </w:rPr>
        <w:t xml:space="preserve">, </w:t>
      </w:r>
      <w:proofErr w:type="spellStart"/>
      <w:r w:rsidRPr="00B9341A">
        <w:rPr>
          <w:rFonts w:ascii="Arial" w:hAnsi="Arial" w:cs="Arial"/>
          <w:b w:val="0"/>
          <w:bCs/>
          <w:caps w:val="0"/>
          <w:sz w:val="20"/>
          <w:lang w:val="en-IN"/>
        </w:rPr>
        <w:t>i</w:t>
      </w:r>
      <w:proofErr w:type="spellEnd"/>
      <w:r w:rsidRPr="00B9341A">
        <w:rPr>
          <w:rFonts w:ascii="Arial" w:hAnsi="Arial" w:cs="Arial"/>
          <w:b w:val="0"/>
          <w:bCs/>
          <w:caps w:val="0"/>
          <w:sz w:val="20"/>
          <w:lang w:val="en-IN"/>
        </w:rPr>
        <w:t xml:space="preserve">., stark, r., et al. (2015). Progesterone receptor modulates erα action in breast cancer. </w:t>
      </w:r>
      <w:r w:rsidRPr="00B9341A">
        <w:rPr>
          <w:rFonts w:ascii="Arial" w:hAnsi="Arial" w:cs="Arial"/>
          <w:b w:val="0"/>
          <w:bCs/>
          <w:i/>
          <w:iCs/>
          <w:caps w:val="0"/>
          <w:sz w:val="20"/>
          <w:lang w:val="en-IN"/>
        </w:rPr>
        <w:t>Nature, 523</w:t>
      </w:r>
      <w:r w:rsidRPr="00B9341A">
        <w:rPr>
          <w:rFonts w:ascii="Arial" w:hAnsi="Arial" w:cs="Arial"/>
          <w:b w:val="0"/>
          <w:bCs/>
          <w:caps w:val="0"/>
          <w:sz w:val="20"/>
          <w:lang w:val="en-IN"/>
        </w:rPr>
        <w:t>, 313–317</w:t>
      </w:r>
      <w:r>
        <w:rPr>
          <w:rFonts w:ascii="Arial" w:hAnsi="Arial" w:cs="Arial"/>
          <w:b w:val="0"/>
          <w:bCs/>
          <w:caps w:val="0"/>
          <w:sz w:val="20"/>
          <w:lang w:val="en-IN"/>
        </w:rPr>
        <w:t>.</w:t>
      </w:r>
    </w:p>
    <w:p w14:paraId="0C5F7371"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Normanno, n., de </w:t>
      </w:r>
      <w:proofErr w:type="spellStart"/>
      <w:r w:rsidRPr="00B9341A">
        <w:rPr>
          <w:rFonts w:ascii="Arial" w:hAnsi="Arial" w:cs="Arial"/>
          <w:b w:val="0"/>
          <w:bCs/>
          <w:caps w:val="0"/>
          <w:sz w:val="20"/>
          <w:lang w:val="en-IN"/>
        </w:rPr>
        <w:t>luca</w:t>
      </w:r>
      <w:proofErr w:type="spellEnd"/>
      <w:r w:rsidRPr="00B9341A">
        <w:rPr>
          <w:rFonts w:ascii="Arial" w:hAnsi="Arial" w:cs="Arial"/>
          <w:b w:val="0"/>
          <w:bCs/>
          <w:caps w:val="0"/>
          <w:sz w:val="20"/>
          <w:lang w:val="en-IN"/>
        </w:rPr>
        <w:t xml:space="preserve">, a., </w:t>
      </w:r>
      <w:proofErr w:type="spellStart"/>
      <w:r w:rsidRPr="00B9341A">
        <w:rPr>
          <w:rFonts w:ascii="Arial" w:hAnsi="Arial" w:cs="Arial"/>
          <w:b w:val="0"/>
          <w:bCs/>
          <w:caps w:val="0"/>
          <w:sz w:val="20"/>
          <w:lang w:val="en-IN"/>
        </w:rPr>
        <w:t>bianco</w:t>
      </w:r>
      <w:proofErr w:type="spellEnd"/>
      <w:r w:rsidRPr="00B9341A">
        <w:rPr>
          <w:rFonts w:ascii="Arial" w:hAnsi="Arial" w:cs="Arial"/>
          <w:b w:val="0"/>
          <w:bCs/>
          <w:caps w:val="0"/>
          <w:sz w:val="20"/>
          <w:lang w:val="en-IN"/>
        </w:rPr>
        <w:t xml:space="preserve">, c., et al. (2006). Epidermal growth factor receptor </w:t>
      </w:r>
      <w:proofErr w:type="spellStart"/>
      <w:r w:rsidRPr="00B9341A">
        <w:rPr>
          <w:rFonts w:ascii="Arial" w:hAnsi="Arial" w:cs="Arial"/>
          <w:b w:val="0"/>
          <w:bCs/>
          <w:caps w:val="0"/>
          <w:sz w:val="20"/>
          <w:lang w:val="en-IN"/>
        </w:rPr>
        <w:t>signaling</w:t>
      </w:r>
      <w:proofErr w:type="spellEnd"/>
      <w:r w:rsidRPr="00B9341A">
        <w:rPr>
          <w:rFonts w:ascii="Arial" w:hAnsi="Arial" w:cs="Arial"/>
          <w:b w:val="0"/>
          <w:bCs/>
          <w:caps w:val="0"/>
          <w:sz w:val="20"/>
          <w:lang w:val="en-IN"/>
        </w:rPr>
        <w:t xml:space="preserve"> in cancer. </w:t>
      </w:r>
      <w:r w:rsidRPr="00B9341A">
        <w:rPr>
          <w:rFonts w:ascii="Arial" w:hAnsi="Arial" w:cs="Arial"/>
          <w:b w:val="0"/>
          <w:bCs/>
          <w:i/>
          <w:iCs/>
          <w:caps w:val="0"/>
          <w:sz w:val="20"/>
          <w:lang w:val="en-IN"/>
        </w:rPr>
        <w:t>Gene, 366</w:t>
      </w:r>
      <w:r w:rsidRPr="00B9341A">
        <w:rPr>
          <w:rFonts w:ascii="Arial" w:hAnsi="Arial" w:cs="Arial"/>
          <w:b w:val="0"/>
          <w:bCs/>
          <w:caps w:val="0"/>
          <w:sz w:val="20"/>
          <w:lang w:val="en-IN"/>
        </w:rPr>
        <w:t xml:space="preserve">(1), 2–16. </w:t>
      </w:r>
    </w:p>
    <w:p w14:paraId="44DC7B6F"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Hu, j., </w:t>
      </w:r>
      <w:proofErr w:type="spellStart"/>
      <w:r w:rsidRPr="00B9341A">
        <w:rPr>
          <w:rFonts w:ascii="Arial" w:hAnsi="Arial" w:cs="Arial"/>
          <w:b w:val="0"/>
          <w:bCs/>
          <w:caps w:val="0"/>
          <w:sz w:val="20"/>
          <w:lang w:val="en-IN"/>
        </w:rPr>
        <w:t>zhang</w:t>
      </w:r>
      <w:proofErr w:type="spellEnd"/>
      <w:r w:rsidRPr="00B9341A">
        <w:rPr>
          <w:rFonts w:ascii="Arial" w:hAnsi="Arial" w:cs="Arial"/>
          <w:b w:val="0"/>
          <w:bCs/>
          <w:caps w:val="0"/>
          <w:sz w:val="20"/>
          <w:lang w:val="en-IN"/>
        </w:rPr>
        <w:t xml:space="preserve">, h., </w:t>
      </w:r>
      <w:proofErr w:type="spellStart"/>
      <w:r w:rsidRPr="00B9341A">
        <w:rPr>
          <w:rFonts w:ascii="Arial" w:hAnsi="Arial" w:cs="Arial"/>
          <w:b w:val="0"/>
          <w:bCs/>
          <w:caps w:val="0"/>
          <w:sz w:val="20"/>
          <w:lang w:val="en-IN"/>
        </w:rPr>
        <w:t>cao</w:t>
      </w:r>
      <w:proofErr w:type="spellEnd"/>
      <w:r w:rsidRPr="00B9341A">
        <w:rPr>
          <w:rFonts w:ascii="Arial" w:hAnsi="Arial" w:cs="Arial"/>
          <w:b w:val="0"/>
          <w:bCs/>
          <w:caps w:val="0"/>
          <w:sz w:val="20"/>
          <w:lang w:val="en-IN"/>
        </w:rPr>
        <w:t xml:space="preserve">, m., et al. (2018). Auranofin enhances ibrutinib’s anticancer activity in </w:t>
      </w:r>
      <w:proofErr w:type="spellStart"/>
      <w:r w:rsidRPr="00B9341A">
        <w:rPr>
          <w:rFonts w:ascii="Arial" w:hAnsi="Arial" w:cs="Arial"/>
          <w:b w:val="0"/>
          <w:bCs/>
          <w:caps w:val="0"/>
          <w:sz w:val="20"/>
          <w:lang w:val="en-IN"/>
        </w:rPr>
        <w:t>egfr</w:t>
      </w:r>
      <w:proofErr w:type="spellEnd"/>
      <w:r w:rsidRPr="00B9341A">
        <w:rPr>
          <w:rFonts w:ascii="Arial" w:hAnsi="Arial" w:cs="Arial"/>
          <w:b w:val="0"/>
          <w:bCs/>
          <w:caps w:val="0"/>
          <w:sz w:val="20"/>
          <w:lang w:val="en-IN"/>
        </w:rPr>
        <w:t xml:space="preserve">-mutant lung adenocarcinoma. </w:t>
      </w:r>
      <w:r w:rsidRPr="00B9341A">
        <w:rPr>
          <w:rFonts w:ascii="Arial" w:hAnsi="Arial" w:cs="Arial"/>
          <w:b w:val="0"/>
          <w:bCs/>
          <w:i/>
          <w:iCs/>
          <w:caps w:val="0"/>
          <w:sz w:val="20"/>
          <w:lang w:val="en-IN"/>
        </w:rPr>
        <w:t>Molecular cancer therapeutics, 17</w:t>
      </w:r>
      <w:r w:rsidRPr="00B9341A">
        <w:rPr>
          <w:rFonts w:ascii="Arial" w:hAnsi="Arial" w:cs="Arial"/>
          <w:b w:val="0"/>
          <w:bCs/>
          <w:caps w:val="0"/>
          <w:sz w:val="20"/>
          <w:lang w:val="en-IN"/>
        </w:rPr>
        <w:t>(10), 2156–2163</w:t>
      </w:r>
      <w:r>
        <w:rPr>
          <w:rFonts w:ascii="Arial" w:hAnsi="Arial" w:cs="Arial"/>
          <w:b w:val="0"/>
          <w:bCs/>
          <w:caps w:val="0"/>
          <w:sz w:val="20"/>
          <w:lang w:val="en-IN"/>
        </w:rPr>
        <w:t>.</w:t>
      </w:r>
    </w:p>
    <w:p w14:paraId="597832CE"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Thorpe, l. M., </w:t>
      </w:r>
      <w:proofErr w:type="spellStart"/>
      <w:r w:rsidRPr="00B9341A">
        <w:rPr>
          <w:rFonts w:ascii="Arial" w:hAnsi="Arial" w:cs="Arial"/>
          <w:b w:val="0"/>
          <w:bCs/>
          <w:caps w:val="0"/>
          <w:sz w:val="20"/>
          <w:lang w:val="en-IN"/>
        </w:rPr>
        <w:t>yuzugullu</w:t>
      </w:r>
      <w:proofErr w:type="spellEnd"/>
      <w:r w:rsidRPr="00B9341A">
        <w:rPr>
          <w:rFonts w:ascii="Arial" w:hAnsi="Arial" w:cs="Arial"/>
          <w:b w:val="0"/>
          <w:bCs/>
          <w:caps w:val="0"/>
          <w:sz w:val="20"/>
          <w:lang w:val="en-IN"/>
        </w:rPr>
        <w:t xml:space="preserve">, h., &amp; </w:t>
      </w:r>
      <w:proofErr w:type="spellStart"/>
      <w:r w:rsidRPr="00B9341A">
        <w:rPr>
          <w:rFonts w:ascii="Arial" w:hAnsi="Arial" w:cs="Arial"/>
          <w:b w:val="0"/>
          <w:bCs/>
          <w:caps w:val="0"/>
          <w:sz w:val="20"/>
          <w:lang w:val="en-IN"/>
        </w:rPr>
        <w:t>zhao</w:t>
      </w:r>
      <w:proofErr w:type="spellEnd"/>
      <w:r w:rsidRPr="00B9341A">
        <w:rPr>
          <w:rFonts w:ascii="Arial" w:hAnsi="Arial" w:cs="Arial"/>
          <w:b w:val="0"/>
          <w:bCs/>
          <w:caps w:val="0"/>
          <w:sz w:val="20"/>
          <w:lang w:val="en-IN"/>
        </w:rPr>
        <w:t xml:space="preserve">, j. J. (2015). Pi3k in cancer: divergent roles of isoforms and therapeutic targeting. </w:t>
      </w:r>
      <w:r w:rsidRPr="00B9341A">
        <w:rPr>
          <w:rFonts w:ascii="Arial" w:hAnsi="Arial" w:cs="Arial"/>
          <w:b w:val="0"/>
          <w:bCs/>
          <w:i/>
          <w:iCs/>
          <w:caps w:val="0"/>
          <w:sz w:val="20"/>
          <w:lang w:val="en-IN"/>
        </w:rPr>
        <w:t>Nature reviews cancer, 15</w:t>
      </w:r>
      <w:r w:rsidRPr="00B9341A">
        <w:rPr>
          <w:rFonts w:ascii="Arial" w:hAnsi="Arial" w:cs="Arial"/>
          <w:b w:val="0"/>
          <w:bCs/>
          <w:caps w:val="0"/>
          <w:sz w:val="20"/>
          <w:lang w:val="en-IN"/>
        </w:rPr>
        <w:t xml:space="preserve">(1), 7–24. </w:t>
      </w:r>
    </w:p>
    <w:p w14:paraId="7341EEBC"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Laplante, m., &amp; </w:t>
      </w:r>
      <w:proofErr w:type="spellStart"/>
      <w:r w:rsidRPr="00B9341A">
        <w:rPr>
          <w:rFonts w:ascii="Arial" w:hAnsi="Arial" w:cs="Arial"/>
          <w:b w:val="0"/>
          <w:bCs/>
          <w:caps w:val="0"/>
          <w:sz w:val="20"/>
          <w:lang w:val="en-IN"/>
        </w:rPr>
        <w:t>sabatini</w:t>
      </w:r>
      <w:proofErr w:type="spellEnd"/>
      <w:r w:rsidRPr="00B9341A">
        <w:rPr>
          <w:rFonts w:ascii="Arial" w:hAnsi="Arial" w:cs="Arial"/>
          <w:b w:val="0"/>
          <w:bCs/>
          <w:caps w:val="0"/>
          <w:sz w:val="20"/>
          <w:lang w:val="en-IN"/>
        </w:rPr>
        <w:t xml:space="preserve">, d. M. (2012). </w:t>
      </w:r>
      <w:proofErr w:type="spellStart"/>
      <w:r w:rsidRPr="00B9341A">
        <w:rPr>
          <w:rFonts w:ascii="Arial" w:hAnsi="Arial" w:cs="Arial"/>
          <w:b w:val="0"/>
          <w:bCs/>
          <w:caps w:val="0"/>
          <w:sz w:val="20"/>
          <w:lang w:val="en-IN"/>
        </w:rPr>
        <w:t>Mtor</w:t>
      </w:r>
      <w:proofErr w:type="spellEnd"/>
      <w:r w:rsidRPr="00B9341A">
        <w:rPr>
          <w:rFonts w:ascii="Arial" w:hAnsi="Arial" w:cs="Arial"/>
          <w:b w:val="0"/>
          <w:bCs/>
          <w:caps w:val="0"/>
          <w:sz w:val="20"/>
          <w:lang w:val="en-IN"/>
        </w:rPr>
        <w:t xml:space="preserve"> </w:t>
      </w:r>
      <w:proofErr w:type="spellStart"/>
      <w:r w:rsidRPr="00B9341A">
        <w:rPr>
          <w:rFonts w:ascii="Arial" w:hAnsi="Arial" w:cs="Arial"/>
          <w:b w:val="0"/>
          <w:bCs/>
          <w:caps w:val="0"/>
          <w:sz w:val="20"/>
          <w:lang w:val="en-IN"/>
        </w:rPr>
        <w:t>signaling</w:t>
      </w:r>
      <w:proofErr w:type="spellEnd"/>
      <w:r w:rsidRPr="00B9341A">
        <w:rPr>
          <w:rFonts w:ascii="Arial" w:hAnsi="Arial" w:cs="Arial"/>
          <w:b w:val="0"/>
          <w:bCs/>
          <w:caps w:val="0"/>
          <w:sz w:val="20"/>
          <w:lang w:val="en-IN"/>
        </w:rPr>
        <w:t xml:space="preserve"> in growth control and disease. </w:t>
      </w:r>
      <w:r w:rsidRPr="00B9341A">
        <w:rPr>
          <w:rFonts w:ascii="Arial" w:hAnsi="Arial" w:cs="Arial"/>
          <w:b w:val="0"/>
          <w:bCs/>
          <w:i/>
          <w:iCs/>
          <w:caps w:val="0"/>
          <w:sz w:val="20"/>
          <w:lang w:val="en-IN"/>
        </w:rPr>
        <w:t>Cell, 149</w:t>
      </w:r>
      <w:r w:rsidRPr="00B9341A">
        <w:rPr>
          <w:rFonts w:ascii="Arial" w:hAnsi="Arial" w:cs="Arial"/>
          <w:b w:val="0"/>
          <w:bCs/>
          <w:caps w:val="0"/>
          <w:sz w:val="20"/>
          <w:lang w:val="en-IN"/>
        </w:rPr>
        <w:t xml:space="preserve">(2), 274–293. </w:t>
      </w:r>
    </w:p>
    <w:p w14:paraId="4370A3B3"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Berman, h. M., </w:t>
      </w:r>
      <w:proofErr w:type="spellStart"/>
      <w:r w:rsidRPr="00B9341A">
        <w:rPr>
          <w:rFonts w:ascii="Arial" w:hAnsi="Arial" w:cs="Arial"/>
          <w:b w:val="0"/>
          <w:bCs/>
          <w:caps w:val="0"/>
          <w:sz w:val="20"/>
          <w:lang w:val="en-IN"/>
        </w:rPr>
        <w:t>westbrook</w:t>
      </w:r>
      <w:proofErr w:type="spellEnd"/>
      <w:r w:rsidRPr="00B9341A">
        <w:rPr>
          <w:rFonts w:ascii="Arial" w:hAnsi="Arial" w:cs="Arial"/>
          <w:b w:val="0"/>
          <w:bCs/>
          <w:caps w:val="0"/>
          <w:sz w:val="20"/>
          <w:lang w:val="en-IN"/>
        </w:rPr>
        <w:t xml:space="preserve">, j., feng, z., et al. (2000). The protein data bank. </w:t>
      </w:r>
      <w:r w:rsidRPr="00B9341A">
        <w:rPr>
          <w:rFonts w:ascii="Arial" w:hAnsi="Arial" w:cs="Arial"/>
          <w:b w:val="0"/>
          <w:bCs/>
          <w:i/>
          <w:iCs/>
          <w:caps w:val="0"/>
          <w:sz w:val="20"/>
          <w:lang w:val="en-IN"/>
        </w:rPr>
        <w:t>Nucleic acids research, 28</w:t>
      </w:r>
      <w:r w:rsidRPr="00B9341A">
        <w:rPr>
          <w:rFonts w:ascii="Arial" w:hAnsi="Arial" w:cs="Arial"/>
          <w:b w:val="0"/>
          <w:bCs/>
          <w:sz w:val="20"/>
          <w:lang w:val="en-IN"/>
        </w:rPr>
        <w:t>(1), 235–242.</w:t>
      </w:r>
    </w:p>
    <w:p w14:paraId="5344D82D"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Dykstra, k. D., </w:t>
      </w:r>
      <w:proofErr w:type="spellStart"/>
      <w:r w:rsidRPr="00B9341A">
        <w:rPr>
          <w:rFonts w:ascii="Arial" w:hAnsi="Arial" w:cs="Arial"/>
          <w:b w:val="0"/>
          <w:bCs/>
          <w:caps w:val="0"/>
          <w:sz w:val="20"/>
          <w:lang w:val="en-IN"/>
        </w:rPr>
        <w:t>guo</w:t>
      </w:r>
      <w:proofErr w:type="spellEnd"/>
      <w:r w:rsidRPr="00B9341A">
        <w:rPr>
          <w:rFonts w:ascii="Arial" w:hAnsi="Arial" w:cs="Arial"/>
          <w:b w:val="0"/>
          <w:bCs/>
          <w:caps w:val="0"/>
          <w:sz w:val="20"/>
          <w:lang w:val="en-IN"/>
        </w:rPr>
        <w:t xml:space="preserve">, l., </w:t>
      </w:r>
      <w:proofErr w:type="spellStart"/>
      <w:r w:rsidRPr="00B9341A">
        <w:rPr>
          <w:rFonts w:ascii="Arial" w:hAnsi="Arial" w:cs="Arial"/>
          <w:b w:val="0"/>
          <w:bCs/>
          <w:caps w:val="0"/>
          <w:sz w:val="20"/>
          <w:lang w:val="en-IN"/>
        </w:rPr>
        <w:t>birzin</w:t>
      </w:r>
      <w:proofErr w:type="spellEnd"/>
      <w:r w:rsidRPr="00B9341A">
        <w:rPr>
          <w:rFonts w:ascii="Arial" w:hAnsi="Arial" w:cs="Arial"/>
          <w:b w:val="0"/>
          <w:bCs/>
          <w:caps w:val="0"/>
          <w:sz w:val="20"/>
          <w:lang w:val="en-IN"/>
        </w:rPr>
        <w:t xml:space="preserve">, e. T., et al. (2007). </w:t>
      </w:r>
      <w:proofErr w:type="spellStart"/>
      <w:r w:rsidRPr="00B9341A">
        <w:rPr>
          <w:rFonts w:ascii="Arial" w:hAnsi="Arial" w:cs="Arial"/>
          <w:b w:val="0"/>
          <w:bCs/>
          <w:caps w:val="0"/>
          <w:sz w:val="20"/>
          <w:lang w:val="en-IN"/>
        </w:rPr>
        <w:t>Estrogen</w:t>
      </w:r>
      <w:proofErr w:type="spellEnd"/>
      <w:r w:rsidRPr="00B9341A">
        <w:rPr>
          <w:rFonts w:ascii="Arial" w:hAnsi="Arial" w:cs="Arial"/>
          <w:b w:val="0"/>
          <w:bCs/>
          <w:caps w:val="0"/>
          <w:sz w:val="20"/>
          <w:lang w:val="en-IN"/>
        </w:rPr>
        <w:t xml:space="preserve"> receptor ligands: 2-aryl indoles as selective erα ligands. </w:t>
      </w:r>
      <w:r w:rsidRPr="00B9341A">
        <w:rPr>
          <w:rFonts w:ascii="Arial" w:hAnsi="Arial" w:cs="Arial"/>
          <w:b w:val="0"/>
          <w:bCs/>
          <w:i/>
          <w:iCs/>
          <w:caps w:val="0"/>
          <w:sz w:val="20"/>
          <w:lang w:val="en-IN"/>
        </w:rPr>
        <w:t>Bioorganic &amp; medicinal chemistry letters, 17</w:t>
      </w:r>
      <w:r w:rsidRPr="00B9341A">
        <w:rPr>
          <w:rFonts w:ascii="Arial" w:hAnsi="Arial" w:cs="Arial"/>
          <w:b w:val="0"/>
          <w:bCs/>
          <w:caps w:val="0"/>
          <w:sz w:val="20"/>
          <w:lang w:val="en-IN"/>
        </w:rPr>
        <w:t xml:space="preserve">(8), 2322–2328. </w:t>
      </w:r>
    </w:p>
    <w:p w14:paraId="13262180"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Madauss, k. P., </w:t>
      </w:r>
      <w:proofErr w:type="spellStart"/>
      <w:r w:rsidRPr="00B9341A">
        <w:rPr>
          <w:rFonts w:ascii="Arial" w:hAnsi="Arial" w:cs="Arial"/>
          <w:b w:val="0"/>
          <w:bCs/>
          <w:caps w:val="0"/>
          <w:sz w:val="20"/>
          <w:lang w:val="en-IN"/>
        </w:rPr>
        <w:t>deng</w:t>
      </w:r>
      <w:proofErr w:type="spellEnd"/>
      <w:r w:rsidRPr="00B9341A">
        <w:rPr>
          <w:rFonts w:ascii="Arial" w:hAnsi="Arial" w:cs="Arial"/>
          <w:b w:val="0"/>
          <w:bCs/>
          <w:caps w:val="0"/>
          <w:sz w:val="20"/>
          <w:lang w:val="en-IN"/>
        </w:rPr>
        <w:t xml:space="preserve">, s. J., </w:t>
      </w:r>
      <w:proofErr w:type="spellStart"/>
      <w:r w:rsidRPr="00B9341A">
        <w:rPr>
          <w:rFonts w:ascii="Arial" w:hAnsi="Arial" w:cs="Arial"/>
          <w:b w:val="0"/>
          <w:bCs/>
          <w:caps w:val="0"/>
          <w:sz w:val="20"/>
          <w:lang w:val="en-IN"/>
        </w:rPr>
        <w:t>austin</w:t>
      </w:r>
      <w:proofErr w:type="spellEnd"/>
      <w:r w:rsidRPr="00B9341A">
        <w:rPr>
          <w:rFonts w:ascii="Arial" w:hAnsi="Arial" w:cs="Arial"/>
          <w:b w:val="0"/>
          <w:bCs/>
          <w:caps w:val="0"/>
          <w:sz w:val="20"/>
          <w:lang w:val="en-IN"/>
        </w:rPr>
        <w:t xml:space="preserve">, r. J., et al. (2004). Progesterone receptor ligand binding pocket flexibility. </w:t>
      </w:r>
      <w:r w:rsidRPr="00B9341A">
        <w:rPr>
          <w:rFonts w:ascii="Arial" w:hAnsi="Arial" w:cs="Arial"/>
          <w:b w:val="0"/>
          <w:bCs/>
          <w:i/>
          <w:iCs/>
          <w:caps w:val="0"/>
          <w:sz w:val="20"/>
          <w:lang w:val="en-IN"/>
        </w:rPr>
        <w:t>Journal of medicinal chemistry, 47</w:t>
      </w:r>
      <w:r w:rsidRPr="00B9341A">
        <w:rPr>
          <w:rFonts w:ascii="Arial" w:hAnsi="Arial" w:cs="Arial"/>
          <w:b w:val="0"/>
          <w:bCs/>
          <w:caps w:val="0"/>
          <w:sz w:val="20"/>
          <w:lang w:val="en-IN"/>
        </w:rPr>
        <w:t xml:space="preserve">(13), 3381–3387. </w:t>
      </w:r>
    </w:p>
    <w:p w14:paraId="38DFD53C"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Stamos, j., </w:t>
      </w:r>
      <w:proofErr w:type="spellStart"/>
      <w:r w:rsidRPr="00B9341A">
        <w:rPr>
          <w:rFonts w:ascii="Arial" w:hAnsi="Arial" w:cs="Arial"/>
          <w:b w:val="0"/>
          <w:bCs/>
          <w:caps w:val="0"/>
          <w:sz w:val="20"/>
          <w:lang w:val="en-IN"/>
        </w:rPr>
        <w:t>sliwkowski</w:t>
      </w:r>
      <w:proofErr w:type="spellEnd"/>
      <w:r w:rsidRPr="00B9341A">
        <w:rPr>
          <w:rFonts w:ascii="Arial" w:hAnsi="Arial" w:cs="Arial"/>
          <w:b w:val="0"/>
          <w:bCs/>
          <w:caps w:val="0"/>
          <w:sz w:val="20"/>
          <w:lang w:val="en-IN"/>
        </w:rPr>
        <w:t xml:space="preserve">, m. X., &amp; </w:t>
      </w:r>
      <w:proofErr w:type="spellStart"/>
      <w:r w:rsidRPr="00B9341A">
        <w:rPr>
          <w:rFonts w:ascii="Arial" w:hAnsi="Arial" w:cs="Arial"/>
          <w:b w:val="0"/>
          <w:bCs/>
          <w:caps w:val="0"/>
          <w:sz w:val="20"/>
          <w:lang w:val="en-IN"/>
        </w:rPr>
        <w:t>eigenbrot</w:t>
      </w:r>
      <w:proofErr w:type="spellEnd"/>
      <w:r w:rsidRPr="00B9341A">
        <w:rPr>
          <w:rFonts w:ascii="Arial" w:hAnsi="Arial" w:cs="Arial"/>
          <w:b w:val="0"/>
          <w:bCs/>
          <w:caps w:val="0"/>
          <w:sz w:val="20"/>
          <w:lang w:val="en-IN"/>
        </w:rPr>
        <w:t xml:space="preserve">, c. (2002). Structure of the </w:t>
      </w:r>
      <w:proofErr w:type="spellStart"/>
      <w:r w:rsidRPr="00B9341A">
        <w:rPr>
          <w:rFonts w:ascii="Arial" w:hAnsi="Arial" w:cs="Arial"/>
          <w:b w:val="0"/>
          <w:bCs/>
          <w:caps w:val="0"/>
          <w:sz w:val="20"/>
          <w:lang w:val="en-IN"/>
        </w:rPr>
        <w:t>egfr</w:t>
      </w:r>
      <w:proofErr w:type="spellEnd"/>
      <w:r w:rsidRPr="00B9341A">
        <w:rPr>
          <w:rFonts w:ascii="Arial" w:hAnsi="Arial" w:cs="Arial"/>
          <w:b w:val="0"/>
          <w:bCs/>
          <w:caps w:val="0"/>
          <w:sz w:val="20"/>
          <w:lang w:val="en-IN"/>
        </w:rPr>
        <w:t xml:space="preserve"> kinase domain. </w:t>
      </w:r>
      <w:r w:rsidRPr="00B9341A">
        <w:rPr>
          <w:rFonts w:ascii="Arial" w:hAnsi="Arial" w:cs="Arial"/>
          <w:b w:val="0"/>
          <w:bCs/>
          <w:i/>
          <w:iCs/>
          <w:caps w:val="0"/>
          <w:sz w:val="20"/>
          <w:lang w:val="en-IN"/>
        </w:rPr>
        <w:t>Journal of biological chemistry, 277</w:t>
      </w:r>
      <w:r w:rsidRPr="00B9341A">
        <w:rPr>
          <w:rFonts w:ascii="Arial" w:hAnsi="Arial" w:cs="Arial"/>
          <w:b w:val="0"/>
          <w:bCs/>
          <w:caps w:val="0"/>
          <w:sz w:val="20"/>
          <w:lang w:val="en-IN"/>
        </w:rPr>
        <w:t xml:space="preserve">(48), 46265–46272. </w:t>
      </w:r>
    </w:p>
    <w:p w14:paraId="7E043F4D" w14:textId="77777777" w:rsidR="00590785" w:rsidRPr="00B9341A" w:rsidRDefault="00590785" w:rsidP="00590785">
      <w:pPr>
        <w:pStyle w:val="ReferHead"/>
        <w:numPr>
          <w:ilvl w:val="0"/>
          <w:numId w:val="38"/>
        </w:numPr>
        <w:spacing w:after="0"/>
        <w:ind w:left="426" w:hanging="426"/>
        <w:jc w:val="both"/>
        <w:rPr>
          <w:rFonts w:ascii="Arial" w:hAnsi="Arial" w:cs="Arial"/>
          <w:b w:val="0"/>
          <w:bCs/>
          <w:caps w:val="0"/>
          <w:sz w:val="20"/>
          <w:lang w:val="en-IN"/>
        </w:rPr>
      </w:pPr>
      <w:r w:rsidRPr="00B9341A">
        <w:rPr>
          <w:rFonts w:ascii="Arial" w:hAnsi="Arial" w:cs="Arial"/>
          <w:b w:val="0"/>
          <w:bCs/>
          <w:caps w:val="0"/>
          <w:sz w:val="20"/>
          <w:lang w:val="en-IN"/>
        </w:rPr>
        <w:t xml:space="preserve">Heffron, t. P., </w:t>
      </w:r>
      <w:proofErr w:type="spellStart"/>
      <w:r w:rsidRPr="00B9341A">
        <w:rPr>
          <w:rFonts w:ascii="Arial" w:hAnsi="Arial" w:cs="Arial"/>
          <w:b w:val="0"/>
          <w:bCs/>
          <w:caps w:val="0"/>
          <w:sz w:val="20"/>
          <w:lang w:val="en-IN"/>
        </w:rPr>
        <w:t>heald</w:t>
      </w:r>
      <w:proofErr w:type="spellEnd"/>
      <w:r w:rsidRPr="00B9341A">
        <w:rPr>
          <w:rFonts w:ascii="Arial" w:hAnsi="Arial" w:cs="Arial"/>
          <w:b w:val="0"/>
          <w:bCs/>
          <w:caps w:val="0"/>
          <w:sz w:val="20"/>
          <w:lang w:val="en-IN"/>
        </w:rPr>
        <w:t xml:space="preserve">, r. A., </w:t>
      </w:r>
      <w:proofErr w:type="spellStart"/>
      <w:r w:rsidRPr="00B9341A">
        <w:rPr>
          <w:rFonts w:ascii="Arial" w:hAnsi="Arial" w:cs="Arial"/>
          <w:b w:val="0"/>
          <w:bCs/>
          <w:caps w:val="0"/>
          <w:sz w:val="20"/>
          <w:lang w:val="en-IN"/>
        </w:rPr>
        <w:t>ndubaku</w:t>
      </w:r>
      <w:proofErr w:type="spellEnd"/>
      <w:r w:rsidRPr="00B9341A">
        <w:rPr>
          <w:rFonts w:ascii="Arial" w:hAnsi="Arial" w:cs="Arial"/>
          <w:b w:val="0"/>
          <w:bCs/>
          <w:caps w:val="0"/>
          <w:sz w:val="20"/>
          <w:lang w:val="en-IN"/>
        </w:rPr>
        <w:t xml:space="preserve">, c., et al. (2016). Rational design of selective pi3kα inhibitors. </w:t>
      </w:r>
      <w:r w:rsidRPr="00B9341A">
        <w:rPr>
          <w:rFonts w:ascii="Arial" w:hAnsi="Arial" w:cs="Arial"/>
          <w:b w:val="0"/>
          <w:bCs/>
          <w:i/>
          <w:iCs/>
          <w:caps w:val="0"/>
          <w:sz w:val="20"/>
          <w:lang w:val="en-IN"/>
        </w:rPr>
        <w:t>Journal of medicinal chemistry, 59</w:t>
      </w:r>
      <w:r w:rsidRPr="00B9341A">
        <w:rPr>
          <w:rFonts w:ascii="Arial" w:hAnsi="Arial" w:cs="Arial"/>
          <w:b w:val="0"/>
          <w:bCs/>
          <w:caps w:val="0"/>
          <w:sz w:val="20"/>
          <w:lang w:val="en-IN"/>
        </w:rPr>
        <w:t xml:space="preserve">(3), 985–1002. </w:t>
      </w:r>
    </w:p>
    <w:p w14:paraId="03FD6B61"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t xml:space="preserve">März, a. M., </w:t>
      </w:r>
      <w:proofErr w:type="spellStart"/>
      <w:r w:rsidRPr="00B9341A">
        <w:rPr>
          <w:rFonts w:ascii="Arial" w:hAnsi="Arial" w:cs="Arial"/>
          <w:b w:val="0"/>
          <w:bCs/>
          <w:caps w:val="0"/>
          <w:sz w:val="20"/>
          <w:lang w:val="en-IN"/>
        </w:rPr>
        <w:t>fabian</w:t>
      </w:r>
      <w:proofErr w:type="spellEnd"/>
      <w:r w:rsidRPr="00B9341A">
        <w:rPr>
          <w:rFonts w:ascii="Arial" w:hAnsi="Arial" w:cs="Arial"/>
          <w:b w:val="0"/>
          <w:bCs/>
          <w:caps w:val="0"/>
          <w:sz w:val="20"/>
          <w:lang w:val="en-IN"/>
        </w:rPr>
        <w:t xml:space="preserve">, a. K., </w:t>
      </w:r>
      <w:proofErr w:type="spellStart"/>
      <w:r w:rsidRPr="00B9341A">
        <w:rPr>
          <w:rFonts w:ascii="Arial" w:hAnsi="Arial" w:cs="Arial"/>
          <w:b w:val="0"/>
          <w:bCs/>
          <w:caps w:val="0"/>
          <w:sz w:val="20"/>
          <w:lang w:val="en-IN"/>
        </w:rPr>
        <w:t>kozany</w:t>
      </w:r>
      <w:proofErr w:type="spellEnd"/>
      <w:r w:rsidRPr="00B9341A">
        <w:rPr>
          <w:rFonts w:ascii="Arial" w:hAnsi="Arial" w:cs="Arial"/>
          <w:b w:val="0"/>
          <w:bCs/>
          <w:caps w:val="0"/>
          <w:sz w:val="20"/>
          <w:lang w:val="en-IN"/>
        </w:rPr>
        <w:t xml:space="preserve">, c., &amp; </w:t>
      </w:r>
      <w:proofErr w:type="spellStart"/>
      <w:r w:rsidRPr="00B9341A">
        <w:rPr>
          <w:rFonts w:ascii="Arial" w:hAnsi="Arial" w:cs="Arial"/>
          <w:b w:val="0"/>
          <w:bCs/>
          <w:caps w:val="0"/>
          <w:sz w:val="20"/>
          <w:lang w:val="en-IN"/>
        </w:rPr>
        <w:t>hausch</w:t>
      </w:r>
      <w:proofErr w:type="spellEnd"/>
      <w:r w:rsidRPr="00B9341A">
        <w:rPr>
          <w:rFonts w:ascii="Arial" w:hAnsi="Arial" w:cs="Arial"/>
          <w:b w:val="0"/>
          <w:bCs/>
          <w:caps w:val="0"/>
          <w:sz w:val="20"/>
          <w:lang w:val="en-IN"/>
        </w:rPr>
        <w:t xml:space="preserve">, f. (2013). Fk506-binding proteins and rapamycin pharmacology. </w:t>
      </w:r>
      <w:r w:rsidRPr="00B9341A">
        <w:rPr>
          <w:rFonts w:ascii="Arial" w:hAnsi="Arial" w:cs="Arial"/>
          <w:b w:val="0"/>
          <w:bCs/>
          <w:i/>
          <w:iCs/>
          <w:caps w:val="0"/>
          <w:sz w:val="20"/>
          <w:lang w:val="en-IN"/>
        </w:rPr>
        <w:t>Molecular and cellular biology, 33</w:t>
      </w:r>
      <w:r w:rsidRPr="00B9341A">
        <w:rPr>
          <w:rFonts w:ascii="Arial" w:hAnsi="Arial" w:cs="Arial"/>
          <w:b w:val="0"/>
          <w:bCs/>
          <w:caps w:val="0"/>
          <w:sz w:val="20"/>
          <w:lang w:val="en-IN"/>
        </w:rPr>
        <w:t xml:space="preserve">(7), 1357–1367. </w:t>
      </w:r>
    </w:p>
    <w:p w14:paraId="2C0D2C33" w14:textId="77777777" w:rsidR="00590785" w:rsidRPr="00B9341A" w:rsidRDefault="00590785" w:rsidP="00590785">
      <w:pPr>
        <w:pStyle w:val="ReferHead"/>
        <w:numPr>
          <w:ilvl w:val="0"/>
          <w:numId w:val="38"/>
        </w:numPr>
        <w:spacing w:after="0"/>
        <w:ind w:left="426" w:hanging="426"/>
        <w:jc w:val="both"/>
        <w:rPr>
          <w:rFonts w:ascii="Arial" w:hAnsi="Arial" w:cs="Arial"/>
          <w:b w:val="0"/>
          <w:bCs/>
          <w:sz w:val="20"/>
          <w:lang w:val="en-IN"/>
        </w:rPr>
      </w:pPr>
      <w:r w:rsidRPr="00B9341A">
        <w:rPr>
          <w:rFonts w:ascii="Arial" w:hAnsi="Arial" w:cs="Arial"/>
          <w:b w:val="0"/>
          <w:bCs/>
          <w:caps w:val="0"/>
          <w:sz w:val="20"/>
          <w:lang w:val="en-IN"/>
        </w:rPr>
        <w:lastRenderedPageBreak/>
        <w:t xml:space="preserve">Rasul, h. O., </w:t>
      </w:r>
      <w:proofErr w:type="spellStart"/>
      <w:r w:rsidRPr="00B9341A">
        <w:rPr>
          <w:rFonts w:ascii="Arial" w:hAnsi="Arial" w:cs="Arial"/>
          <w:b w:val="0"/>
          <w:bCs/>
          <w:caps w:val="0"/>
          <w:sz w:val="20"/>
          <w:lang w:val="en-IN"/>
        </w:rPr>
        <w:t>aziz</w:t>
      </w:r>
      <w:proofErr w:type="spellEnd"/>
      <w:r w:rsidRPr="00B9341A">
        <w:rPr>
          <w:rFonts w:ascii="Arial" w:hAnsi="Arial" w:cs="Arial"/>
          <w:b w:val="0"/>
          <w:bCs/>
          <w:caps w:val="0"/>
          <w:sz w:val="20"/>
          <w:lang w:val="en-IN"/>
        </w:rPr>
        <w:t xml:space="preserve">, b. K., </w:t>
      </w:r>
      <w:proofErr w:type="spellStart"/>
      <w:r w:rsidRPr="00B9341A">
        <w:rPr>
          <w:rFonts w:ascii="Arial" w:hAnsi="Arial" w:cs="Arial"/>
          <w:b w:val="0"/>
          <w:bCs/>
          <w:caps w:val="0"/>
          <w:sz w:val="20"/>
          <w:lang w:val="en-IN"/>
        </w:rPr>
        <w:t>ghafour</w:t>
      </w:r>
      <w:proofErr w:type="spellEnd"/>
      <w:r w:rsidRPr="00B9341A">
        <w:rPr>
          <w:rFonts w:ascii="Arial" w:hAnsi="Arial" w:cs="Arial"/>
          <w:b w:val="0"/>
          <w:bCs/>
          <w:caps w:val="0"/>
          <w:sz w:val="20"/>
          <w:lang w:val="en-IN"/>
        </w:rPr>
        <w:t xml:space="preserve">, d. D., &amp; </w:t>
      </w:r>
      <w:proofErr w:type="spellStart"/>
      <w:r w:rsidRPr="00B9341A">
        <w:rPr>
          <w:rFonts w:ascii="Arial" w:hAnsi="Arial" w:cs="Arial"/>
          <w:b w:val="0"/>
          <w:bCs/>
          <w:caps w:val="0"/>
          <w:sz w:val="20"/>
          <w:lang w:val="en-IN"/>
        </w:rPr>
        <w:t>kivrak</w:t>
      </w:r>
      <w:proofErr w:type="spellEnd"/>
      <w:r w:rsidRPr="00B9341A">
        <w:rPr>
          <w:rFonts w:ascii="Arial" w:hAnsi="Arial" w:cs="Arial"/>
          <w:b w:val="0"/>
          <w:bCs/>
          <w:caps w:val="0"/>
          <w:sz w:val="20"/>
          <w:lang w:val="en-IN"/>
        </w:rPr>
        <w:t xml:space="preserve">, a. (2022). In silico docking and dynamics of eugenol compounds against breast cancer targets. </w:t>
      </w:r>
      <w:r w:rsidRPr="00B9341A">
        <w:rPr>
          <w:rFonts w:ascii="Arial" w:hAnsi="Arial" w:cs="Arial"/>
          <w:b w:val="0"/>
          <w:bCs/>
          <w:i/>
          <w:iCs/>
          <w:caps w:val="0"/>
          <w:sz w:val="20"/>
          <w:lang w:val="en-IN"/>
        </w:rPr>
        <w:t xml:space="preserve">Journal of molecular </w:t>
      </w:r>
      <w:proofErr w:type="spellStart"/>
      <w:r w:rsidRPr="00B9341A">
        <w:rPr>
          <w:rFonts w:ascii="Arial" w:hAnsi="Arial" w:cs="Arial"/>
          <w:b w:val="0"/>
          <w:bCs/>
          <w:i/>
          <w:iCs/>
          <w:caps w:val="0"/>
          <w:sz w:val="20"/>
          <w:lang w:val="en-IN"/>
        </w:rPr>
        <w:t>modeling</w:t>
      </w:r>
      <w:proofErr w:type="spellEnd"/>
      <w:r w:rsidRPr="00B9341A">
        <w:rPr>
          <w:rFonts w:ascii="Arial" w:hAnsi="Arial" w:cs="Arial"/>
          <w:b w:val="0"/>
          <w:bCs/>
          <w:i/>
          <w:iCs/>
          <w:caps w:val="0"/>
          <w:sz w:val="20"/>
          <w:lang w:val="en-IN"/>
        </w:rPr>
        <w:t>, 28</w:t>
      </w:r>
      <w:r w:rsidRPr="00B9341A">
        <w:rPr>
          <w:rFonts w:ascii="Arial" w:hAnsi="Arial" w:cs="Arial"/>
          <w:b w:val="0"/>
          <w:bCs/>
          <w:caps w:val="0"/>
          <w:sz w:val="20"/>
          <w:lang w:val="en-IN"/>
        </w:rPr>
        <w:t xml:space="preserve">(1), 17. </w:t>
      </w:r>
    </w:p>
    <w:p w14:paraId="106570B4" w14:textId="77777777" w:rsidR="00590785" w:rsidRPr="00416350" w:rsidRDefault="00590785" w:rsidP="00590785">
      <w:pPr>
        <w:pStyle w:val="ReferHead"/>
        <w:numPr>
          <w:ilvl w:val="0"/>
          <w:numId w:val="38"/>
        </w:numPr>
        <w:spacing w:after="0"/>
        <w:ind w:left="426" w:hanging="426"/>
        <w:jc w:val="both"/>
        <w:rPr>
          <w:rFonts w:ascii="Arial" w:hAnsi="Arial" w:cs="Arial"/>
          <w:b w:val="0"/>
        </w:rPr>
      </w:pPr>
      <w:r w:rsidRPr="00C6290F">
        <w:rPr>
          <w:rFonts w:ascii="Arial" w:hAnsi="Arial" w:cs="Arial"/>
          <w:b w:val="0"/>
          <w:bCs/>
          <w:caps w:val="0"/>
          <w:sz w:val="20"/>
          <w:lang w:val="en-IN"/>
        </w:rPr>
        <w:t xml:space="preserve">Lipinski, c. A. (2000). Drug-like properties and causes of poor solubility and permeability. </w:t>
      </w:r>
      <w:r w:rsidRPr="00C6290F">
        <w:rPr>
          <w:rFonts w:ascii="Arial" w:hAnsi="Arial" w:cs="Arial"/>
          <w:b w:val="0"/>
          <w:bCs/>
          <w:i/>
          <w:iCs/>
          <w:caps w:val="0"/>
          <w:sz w:val="20"/>
          <w:lang w:val="en-IN"/>
        </w:rPr>
        <w:t>Journal of pharmacological and toxicological methods, 44</w:t>
      </w:r>
      <w:r w:rsidRPr="00C6290F">
        <w:rPr>
          <w:rFonts w:ascii="Arial" w:hAnsi="Arial" w:cs="Arial"/>
          <w:b w:val="0"/>
          <w:bCs/>
          <w:caps w:val="0"/>
          <w:sz w:val="20"/>
          <w:lang w:val="en-IN"/>
        </w:rPr>
        <w:t xml:space="preserve">(1), 235–249. </w:t>
      </w:r>
      <w:r>
        <w:rPr>
          <w:rFonts w:ascii="Arial" w:hAnsi="Arial" w:cs="Arial"/>
          <w:b w:val="0"/>
          <w:bCs/>
          <w:caps w:val="0"/>
          <w:sz w:val="20"/>
          <w:lang w:val="en-IN"/>
        </w:rPr>
        <w:t xml:space="preserve"> </w:t>
      </w:r>
    </w:p>
    <w:p w14:paraId="1EA16A81" w14:textId="77777777" w:rsidR="00590785" w:rsidRDefault="00590785" w:rsidP="00590785">
      <w:pPr>
        <w:pStyle w:val="ReferHead"/>
        <w:numPr>
          <w:ilvl w:val="0"/>
          <w:numId w:val="38"/>
        </w:numPr>
        <w:spacing w:after="0"/>
        <w:ind w:left="426" w:hanging="426"/>
        <w:rPr>
          <w:rFonts w:ascii="Arial" w:hAnsi="Arial" w:cs="Arial"/>
          <w:b w:val="0"/>
          <w:sz w:val="20"/>
        </w:rPr>
      </w:pPr>
      <w:r w:rsidRPr="00416350">
        <w:rPr>
          <w:rFonts w:ascii="Arial" w:hAnsi="Arial" w:cs="Arial"/>
          <w:b w:val="0"/>
          <w:caps w:val="0"/>
          <w:sz w:val="20"/>
        </w:rPr>
        <w:t xml:space="preserve">Berman, h. M., </w:t>
      </w:r>
      <w:proofErr w:type="spellStart"/>
      <w:r w:rsidRPr="00416350">
        <w:rPr>
          <w:rFonts w:ascii="Arial" w:hAnsi="Arial" w:cs="Arial"/>
          <w:b w:val="0"/>
          <w:caps w:val="0"/>
          <w:sz w:val="20"/>
        </w:rPr>
        <w:t>westbrook</w:t>
      </w:r>
      <w:proofErr w:type="spellEnd"/>
      <w:r w:rsidRPr="00416350">
        <w:rPr>
          <w:rFonts w:ascii="Arial" w:hAnsi="Arial" w:cs="Arial"/>
          <w:b w:val="0"/>
          <w:caps w:val="0"/>
          <w:sz w:val="20"/>
        </w:rPr>
        <w:t xml:space="preserve">, j., feng, z., </w:t>
      </w:r>
      <w:proofErr w:type="spellStart"/>
      <w:r w:rsidRPr="00416350">
        <w:rPr>
          <w:rFonts w:ascii="Arial" w:hAnsi="Arial" w:cs="Arial"/>
          <w:b w:val="0"/>
          <w:caps w:val="0"/>
          <w:sz w:val="20"/>
        </w:rPr>
        <w:t>gilliland</w:t>
      </w:r>
      <w:proofErr w:type="spellEnd"/>
      <w:r w:rsidRPr="00416350">
        <w:rPr>
          <w:rFonts w:ascii="Arial" w:hAnsi="Arial" w:cs="Arial"/>
          <w:b w:val="0"/>
          <w:caps w:val="0"/>
          <w:sz w:val="20"/>
        </w:rPr>
        <w:t xml:space="preserve">, g., </w:t>
      </w:r>
      <w:proofErr w:type="spellStart"/>
      <w:r w:rsidRPr="00416350">
        <w:rPr>
          <w:rFonts w:ascii="Arial" w:hAnsi="Arial" w:cs="Arial"/>
          <w:b w:val="0"/>
          <w:caps w:val="0"/>
          <w:sz w:val="20"/>
        </w:rPr>
        <w:t>bhat</w:t>
      </w:r>
      <w:proofErr w:type="spellEnd"/>
      <w:r w:rsidRPr="00416350">
        <w:rPr>
          <w:rFonts w:ascii="Arial" w:hAnsi="Arial" w:cs="Arial"/>
          <w:b w:val="0"/>
          <w:caps w:val="0"/>
          <w:sz w:val="20"/>
        </w:rPr>
        <w:t xml:space="preserve">, t. N., </w:t>
      </w:r>
      <w:proofErr w:type="spellStart"/>
      <w:r w:rsidRPr="00416350">
        <w:rPr>
          <w:rFonts w:ascii="Arial" w:hAnsi="Arial" w:cs="Arial"/>
          <w:b w:val="0"/>
          <w:caps w:val="0"/>
          <w:sz w:val="20"/>
        </w:rPr>
        <w:t>weissig</w:t>
      </w:r>
      <w:proofErr w:type="spellEnd"/>
      <w:r w:rsidRPr="00416350">
        <w:rPr>
          <w:rFonts w:ascii="Arial" w:hAnsi="Arial" w:cs="Arial"/>
          <w:b w:val="0"/>
          <w:caps w:val="0"/>
          <w:sz w:val="20"/>
        </w:rPr>
        <w:t xml:space="preserve">, h., &amp; </w:t>
      </w:r>
      <w:proofErr w:type="spellStart"/>
      <w:r w:rsidRPr="00416350">
        <w:rPr>
          <w:rFonts w:ascii="Arial" w:hAnsi="Arial" w:cs="Arial"/>
          <w:b w:val="0"/>
          <w:caps w:val="0"/>
          <w:sz w:val="20"/>
        </w:rPr>
        <w:t>bourne</w:t>
      </w:r>
      <w:proofErr w:type="spellEnd"/>
      <w:r w:rsidRPr="00416350">
        <w:rPr>
          <w:rFonts w:ascii="Arial" w:hAnsi="Arial" w:cs="Arial"/>
          <w:b w:val="0"/>
          <w:caps w:val="0"/>
          <w:sz w:val="20"/>
        </w:rPr>
        <w:t xml:space="preserve">, p. E. (2000). The protein data bank. </w:t>
      </w:r>
      <w:r w:rsidRPr="00416350">
        <w:rPr>
          <w:rFonts w:ascii="Arial" w:hAnsi="Arial" w:cs="Arial"/>
          <w:b w:val="0"/>
          <w:i/>
          <w:iCs/>
          <w:caps w:val="0"/>
          <w:sz w:val="20"/>
        </w:rPr>
        <w:t>Nucleic acids research, 28</w:t>
      </w:r>
      <w:r w:rsidRPr="00416350">
        <w:rPr>
          <w:rFonts w:ascii="Arial" w:hAnsi="Arial" w:cs="Arial"/>
          <w:b w:val="0"/>
          <w:sz w:val="20"/>
        </w:rPr>
        <w:t>(1), 235–242</w:t>
      </w:r>
      <w:r>
        <w:rPr>
          <w:rFonts w:ascii="Arial" w:hAnsi="Arial" w:cs="Arial"/>
          <w:b w:val="0"/>
          <w:sz w:val="20"/>
        </w:rPr>
        <w:t>.</w:t>
      </w:r>
    </w:p>
    <w:p w14:paraId="317FAAC9"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Dykstra, K. D., Guo, L., </w:t>
      </w:r>
      <w:proofErr w:type="spellStart"/>
      <w:r w:rsidRPr="00416350">
        <w:rPr>
          <w:rFonts w:ascii="Arial" w:hAnsi="Arial" w:cs="Arial"/>
          <w:sz w:val="20"/>
          <w:szCs w:val="20"/>
        </w:rPr>
        <w:t>Birzin</w:t>
      </w:r>
      <w:proofErr w:type="spellEnd"/>
      <w:r w:rsidRPr="00416350">
        <w:rPr>
          <w:rFonts w:ascii="Arial" w:hAnsi="Arial" w:cs="Arial"/>
          <w:sz w:val="20"/>
          <w:szCs w:val="20"/>
        </w:rPr>
        <w:t xml:space="preserve">, E. T., Chan, W., Yang, Y. T., Hayes, E. C., et al. (2007). </w:t>
      </w:r>
      <w:proofErr w:type="spellStart"/>
      <w:r w:rsidRPr="00416350">
        <w:rPr>
          <w:rFonts w:ascii="Arial" w:hAnsi="Arial" w:cs="Arial"/>
          <w:sz w:val="20"/>
          <w:szCs w:val="20"/>
        </w:rPr>
        <w:t>Estrogen</w:t>
      </w:r>
      <w:proofErr w:type="spellEnd"/>
      <w:r w:rsidRPr="00416350">
        <w:rPr>
          <w:rFonts w:ascii="Arial" w:hAnsi="Arial" w:cs="Arial"/>
          <w:sz w:val="20"/>
          <w:szCs w:val="20"/>
        </w:rPr>
        <w:t xml:space="preserve"> receptor ligands. Part 16: 2-Aryl indoles as highly subtype-selective ligands for ERα. </w:t>
      </w:r>
      <w:r w:rsidRPr="00416350">
        <w:rPr>
          <w:rStyle w:val="Emphasis"/>
          <w:rFonts w:ascii="Arial" w:hAnsi="Arial" w:cs="Arial"/>
          <w:sz w:val="20"/>
          <w:szCs w:val="20"/>
        </w:rPr>
        <w:t>Bioorganic &amp; Medicinal Chemistry Letters, 17</w:t>
      </w:r>
      <w:r w:rsidRPr="00416350">
        <w:rPr>
          <w:rFonts w:ascii="Arial" w:hAnsi="Arial" w:cs="Arial"/>
          <w:sz w:val="20"/>
          <w:szCs w:val="20"/>
        </w:rPr>
        <w:t xml:space="preserve">(8), 2322–2328. </w:t>
      </w:r>
    </w:p>
    <w:p w14:paraId="09C7A548"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Madauss, K. P., Deng, S. J., Austin, R. J., Lambert, M. H., McLay, I., Pritchard, J., et al. (2004). Progesterone receptor ligand-binding pocket flexibility: Crystal structures of the norethindrone and mometasone furoate complexes. </w:t>
      </w:r>
      <w:r w:rsidRPr="00416350">
        <w:rPr>
          <w:rStyle w:val="Emphasis"/>
          <w:rFonts w:ascii="Arial" w:hAnsi="Arial" w:cs="Arial"/>
          <w:sz w:val="20"/>
          <w:szCs w:val="20"/>
        </w:rPr>
        <w:t>Journal of Medicinal Chemistry, 47</w:t>
      </w:r>
      <w:r w:rsidRPr="00416350">
        <w:rPr>
          <w:rFonts w:ascii="Arial" w:hAnsi="Arial" w:cs="Arial"/>
          <w:sz w:val="20"/>
          <w:szCs w:val="20"/>
        </w:rPr>
        <w:t xml:space="preserve">(13), 3381–3387. </w:t>
      </w:r>
    </w:p>
    <w:p w14:paraId="4B1C80D7"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Stamos, J., </w:t>
      </w:r>
      <w:proofErr w:type="spellStart"/>
      <w:r w:rsidRPr="00416350">
        <w:rPr>
          <w:rFonts w:ascii="Arial" w:hAnsi="Arial" w:cs="Arial"/>
          <w:sz w:val="20"/>
          <w:szCs w:val="20"/>
        </w:rPr>
        <w:t>Sliwkowski</w:t>
      </w:r>
      <w:proofErr w:type="spellEnd"/>
      <w:r w:rsidRPr="00416350">
        <w:rPr>
          <w:rFonts w:ascii="Arial" w:hAnsi="Arial" w:cs="Arial"/>
          <w:sz w:val="20"/>
          <w:szCs w:val="20"/>
        </w:rPr>
        <w:t xml:space="preserve">, M. X., &amp; </w:t>
      </w:r>
      <w:proofErr w:type="spellStart"/>
      <w:r w:rsidRPr="00416350">
        <w:rPr>
          <w:rFonts w:ascii="Arial" w:hAnsi="Arial" w:cs="Arial"/>
          <w:sz w:val="20"/>
          <w:szCs w:val="20"/>
        </w:rPr>
        <w:t>Eigenbrot</w:t>
      </w:r>
      <w:proofErr w:type="spellEnd"/>
      <w:r w:rsidRPr="00416350">
        <w:rPr>
          <w:rFonts w:ascii="Arial" w:hAnsi="Arial" w:cs="Arial"/>
          <w:sz w:val="20"/>
          <w:szCs w:val="20"/>
        </w:rPr>
        <w:t xml:space="preserve">, C. (2002). Structure of the epidermal growth factor receptor kinase domain alone and in complex with a 4-anilinoquinazoline inhibitor. </w:t>
      </w:r>
      <w:r w:rsidRPr="00416350">
        <w:rPr>
          <w:rStyle w:val="Emphasis"/>
          <w:rFonts w:ascii="Arial" w:hAnsi="Arial" w:cs="Arial"/>
          <w:sz w:val="20"/>
          <w:szCs w:val="20"/>
        </w:rPr>
        <w:t>Journal of Biological Chemistry, 277</w:t>
      </w:r>
      <w:r w:rsidRPr="00416350">
        <w:rPr>
          <w:rFonts w:ascii="Arial" w:hAnsi="Arial" w:cs="Arial"/>
          <w:sz w:val="20"/>
          <w:szCs w:val="20"/>
        </w:rPr>
        <w:t xml:space="preserve">(48), 46265–46272. </w:t>
      </w:r>
    </w:p>
    <w:p w14:paraId="1F878F19"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Heffron, T. P., Heald, R. A., </w:t>
      </w:r>
      <w:proofErr w:type="spellStart"/>
      <w:r w:rsidRPr="00416350">
        <w:rPr>
          <w:rFonts w:ascii="Arial" w:hAnsi="Arial" w:cs="Arial"/>
          <w:sz w:val="20"/>
          <w:szCs w:val="20"/>
        </w:rPr>
        <w:t>Ndubaku</w:t>
      </w:r>
      <w:proofErr w:type="spellEnd"/>
      <w:r w:rsidRPr="00416350">
        <w:rPr>
          <w:rFonts w:ascii="Arial" w:hAnsi="Arial" w:cs="Arial"/>
          <w:sz w:val="20"/>
          <w:szCs w:val="20"/>
        </w:rPr>
        <w:t xml:space="preserve">, C., Wei, B., </w:t>
      </w:r>
      <w:proofErr w:type="spellStart"/>
      <w:r w:rsidRPr="00416350">
        <w:rPr>
          <w:rFonts w:ascii="Arial" w:hAnsi="Arial" w:cs="Arial"/>
          <w:sz w:val="20"/>
          <w:szCs w:val="20"/>
        </w:rPr>
        <w:t>Augistin</w:t>
      </w:r>
      <w:proofErr w:type="spellEnd"/>
      <w:r w:rsidRPr="00416350">
        <w:rPr>
          <w:rFonts w:ascii="Arial" w:hAnsi="Arial" w:cs="Arial"/>
          <w:sz w:val="20"/>
          <w:szCs w:val="20"/>
        </w:rPr>
        <w:t xml:space="preserve">, M., Do, S., et al. (2016). The rational design of selective </w:t>
      </w:r>
      <w:proofErr w:type="spellStart"/>
      <w:r w:rsidRPr="00416350">
        <w:rPr>
          <w:rFonts w:ascii="Arial" w:hAnsi="Arial" w:cs="Arial"/>
          <w:sz w:val="20"/>
          <w:szCs w:val="20"/>
        </w:rPr>
        <w:t>benzoxazepin</w:t>
      </w:r>
      <w:proofErr w:type="spellEnd"/>
      <w:r w:rsidRPr="00416350">
        <w:rPr>
          <w:rFonts w:ascii="Arial" w:hAnsi="Arial" w:cs="Arial"/>
          <w:sz w:val="20"/>
          <w:szCs w:val="20"/>
        </w:rPr>
        <w:t xml:space="preserve"> inhibitors of the α-isoform of phosphoinositide 3-kinase culminating in the identification of GDC-0326. </w:t>
      </w:r>
      <w:r w:rsidRPr="00416350">
        <w:rPr>
          <w:rStyle w:val="Emphasis"/>
          <w:rFonts w:ascii="Arial" w:hAnsi="Arial" w:cs="Arial"/>
          <w:sz w:val="20"/>
          <w:szCs w:val="20"/>
        </w:rPr>
        <w:t>Journal of Medicinal Chemistry, 59</w:t>
      </w:r>
      <w:r w:rsidRPr="00416350">
        <w:rPr>
          <w:rFonts w:ascii="Arial" w:hAnsi="Arial" w:cs="Arial"/>
          <w:sz w:val="20"/>
          <w:szCs w:val="20"/>
        </w:rPr>
        <w:t xml:space="preserve">(3), 985–1002. </w:t>
      </w:r>
    </w:p>
    <w:p w14:paraId="2E898780"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März, A. M., Fabian, A. K., </w:t>
      </w:r>
      <w:proofErr w:type="spellStart"/>
      <w:r w:rsidRPr="00416350">
        <w:rPr>
          <w:rFonts w:ascii="Arial" w:hAnsi="Arial" w:cs="Arial"/>
          <w:sz w:val="20"/>
          <w:szCs w:val="20"/>
        </w:rPr>
        <w:t>Kozany</w:t>
      </w:r>
      <w:proofErr w:type="spellEnd"/>
      <w:r w:rsidRPr="00416350">
        <w:rPr>
          <w:rFonts w:ascii="Arial" w:hAnsi="Arial" w:cs="Arial"/>
          <w:sz w:val="20"/>
          <w:szCs w:val="20"/>
        </w:rPr>
        <w:t xml:space="preserve">, C., Bracher, A., &amp; Hausch, F. (2013). Large FK506-binding proteins shape the pharmacology of rapamycin. </w:t>
      </w:r>
      <w:r w:rsidRPr="00416350">
        <w:rPr>
          <w:rStyle w:val="Emphasis"/>
          <w:rFonts w:ascii="Arial" w:hAnsi="Arial" w:cs="Arial"/>
          <w:sz w:val="20"/>
          <w:szCs w:val="20"/>
        </w:rPr>
        <w:t>Molecular and Cellular Biology, 33</w:t>
      </w:r>
      <w:r w:rsidRPr="00416350">
        <w:rPr>
          <w:rFonts w:ascii="Arial" w:hAnsi="Arial" w:cs="Arial"/>
          <w:sz w:val="20"/>
          <w:szCs w:val="20"/>
        </w:rPr>
        <w:t>(7), 1357–1367. https://doi.org/10.1128/MCB.00678-12</w:t>
      </w:r>
    </w:p>
    <w:p w14:paraId="6D201609"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Rasul, H. O., Aziz, B. K., </w:t>
      </w:r>
      <w:proofErr w:type="spellStart"/>
      <w:r w:rsidRPr="00416350">
        <w:rPr>
          <w:rFonts w:ascii="Arial" w:hAnsi="Arial" w:cs="Arial"/>
          <w:sz w:val="20"/>
          <w:szCs w:val="20"/>
        </w:rPr>
        <w:t>Ghafour</w:t>
      </w:r>
      <w:proofErr w:type="spellEnd"/>
      <w:r w:rsidRPr="00416350">
        <w:rPr>
          <w:rFonts w:ascii="Arial" w:hAnsi="Arial" w:cs="Arial"/>
          <w:sz w:val="20"/>
          <w:szCs w:val="20"/>
        </w:rPr>
        <w:t xml:space="preserve">, D. D., &amp; Kivrak, A. (2022). In silico molecular docking and dynamic simulation of eugenol compounds against breast cancer. </w:t>
      </w:r>
      <w:r w:rsidRPr="00416350">
        <w:rPr>
          <w:rStyle w:val="Emphasis"/>
          <w:rFonts w:ascii="Arial" w:hAnsi="Arial" w:cs="Arial"/>
          <w:sz w:val="20"/>
          <w:szCs w:val="20"/>
        </w:rPr>
        <w:t xml:space="preserve">Journal of Molecular </w:t>
      </w:r>
      <w:proofErr w:type="spellStart"/>
      <w:r w:rsidRPr="00416350">
        <w:rPr>
          <w:rStyle w:val="Emphasis"/>
          <w:rFonts w:ascii="Arial" w:hAnsi="Arial" w:cs="Arial"/>
          <w:sz w:val="20"/>
          <w:szCs w:val="20"/>
        </w:rPr>
        <w:t>Modeling</w:t>
      </w:r>
      <w:proofErr w:type="spellEnd"/>
      <w:r w:rsidRPr="00416350">
        <w:rPr>
          <w:rStyle w:val="Emphasis"/>
          <w:rFonts w:ascii="Arial" w:hAnsi="Arial" w:cs="Arial"/>
          <w:sz w:val="20"/>
          <w:szCs w:val="20"/>
        </w:rPr>
        <w:t>, 28</w:t>
      </w:r>
      <w:r w:rsidRPr="00416350">
        <w:rPr>
          <w:rFonts w:ascii="Arial" w:hAnsi="Arial" w:cs="Arial"/>
          <w:sz w:val="20"/>
          <w:szCs w:val="20"/>
        </w:rPr>
        <w:t xml:space="preserve">(1), 17. </w:t>
      </w:r>
    </w:p>
    <w:p w14:paraId="02FA3DA0" w14:textId="77777777" w:rsidR="00590785" w:rsidRPr="00416350" w:rsidRDefault="00590785" w:rsidP="00590785">
      <w:pPr>
        <w:pStyle w:val="NormalWeb"/>
        <w:numPr>
          <w:ilvl w:val="0"/>
          <w:numId w:val="38"/>
        </w:numPr>
        <w:ind w:left="426" w:hanging="426"/>
        <w:jc w:val="both"/>
        <w:rPr>
          <w:rFonts w:ascii="Arial" w:hAnsi="Arial" w:cs="Arial"/>
          <w:sz w:val="20"/>
          <w:szCs w:val="20"/>
        </w:rPr>
      </w:pPr>
      <w:r w:rsidRPr="00416350">
        <w:rPr>
          <w:rFonts w:ascii="Arial" w:hAnsi="Arial" w:cs="Arial"/>
          <w:sz w:val="20"/>
          <w:szCs w:val="20"/>
        </w:rPr>
        <w:t xml:space="preserve">da Silva, F. F. M., Monte, F. J. Q., de Lemos, T. L. G., do Nascimento, P. G. G., de Medeiros Costa, A. K., &amp; de Paiva, L. M. M. (2018). Eugenol derivatives: Synthesis, characterization, and evaluation of antibacterial and antioxidant activities. </w:t>
      </w:r>
      <w:r w:rsidRPr="00416350">
        <w:rPr>
          <w:rStyle w:val="Emphasis"/>
          <w:rFonts w:ascii="Arial" w:hAnsi="Arial" w:cs="Arial"/>
          <w:sz w:val="20"/>
          <w:szCs w:val="20"/>
        </w:rPr>
        <w:t>Chemical Central Journal, 12</w:t>
      </w:r>
      <w:r w:rsidRPr="00416350">
        <w:rPr>
          <w:rFonts w:ascii="Arial" w:hAnsi="Arial" w:cs="Arial"/>
          <w:sz w:val="20"/>
          <w:szCs w:val="20"/>
        </w:rPr>
        <w:t xml:space="preserve">(1), 34. </w:t>
      </w:r>
    </w:p>
    <w:p w14:paraId="551ADB65" w14:textId="77777777" w:rsidR="00590785" w:rsidRPr="00416350" w:rsidRDefault="00590785" w:rsidP="00590785">
      <w:pPr>
        <w:pStyle w:val="NormalWeb"/>
        <w:numPr>
          <w:ilvl w:val="0"/>
          <w:numId w:val="38"/>
        </w:numPr>
        <w:spacing w:after="0"/>
        <w:ind w:left="426" w:hanging="426"/>
        <w:jc w:val="both"/>
        <w:rPr>
          <w:rFonts w:ascii="Arial" w:hAnsi="Arial" w:cs="Arial"/>
          <w:sz w:val="20"/>
          <w:szCs w:val="20"/>
        </w:rPr>
        <w:sectPr w:rsidR="00590785" w:rsidRPr="00416350" w:rsidSect="00590785">
          <w:type w:val="continuous"/>
          <w:pgSz w:w="12240" w:h="15840"/>
          <w:pgMar w:top="1440" w:right="2016" w:bottom="2016" w:left="2016" w:header="720" w:footer="1123" w:gutter="0"/>
          <w:cols w:space="720"/>
          <w:docGrid w:linePitch="272"/>
        </w:sectPr>
      </w:pPr>
      <w:r w:rsidRPr="00416350">
        <w:rPr>
          <w:rFonts w:ascii="Arial" w:hAnsi="Arial" w:cs="Arial"/>
          <w:sz w:val="20"/>
          <w:szCs w:val="20"/>
        </w:rPr>
        <w:t xml:space="preserve">Fadilah, F., </w:t>
      </w:r>
      <w:proofErr w:type="spellStart"/>
      <w:r w:rsidRPr="00416350">
        <w:rPr>
          <w:rFonts w:ascii="Arial" w:hAnsi="Arial" w:cs="Arial"/>
          <w:sz w:val="20"/>
          <w:szCs w:val="20"/>
        </w:rPr>
        <w:t>Yanuar</w:t>
      </w:r>
      <w:proofErr w:type="spellEnd"/>
      <w:r w:rsidRPr="00416350">
        <w:rPr>
          <w:rFonts w:ascii="Arial" w:hAnsi="Arial" w:cs="Arial"/>
          <w:sz w:val="20"/>
          <w:szCs w:val="20"/>
        </w:rPr>
        <w:t xml:space="preserve">, A., </w:t>
      </w:r>
      <w:proofErr w:type="spellStart"/>
      <w:r w:rsidRPr="00416350">
        <w:rPr>
          <w:rFonts w:ascii="Arial" w:hAnsi="Arial" w:cs="Arial"/>
          <w:sz w:val="20"/>
          <w:szCs w:val="20"/>
        </w:rPr>
        <w:t>Arsianti</w:t>
      </w:r>
      <w:proofErr w:type="spellEnd"/>
      <w:r w:rsidRPr="00416350">
        <w:rPr>
          <w:rFonts w:ascii="Arial" w:hAnsi="Arial" w:cs="Arial"/>
          <w:sz w:val="20"/>
          <w:szCs w:val="20"/>
        </w:rPr>
        <w:t xml:space="preserve">, A., &amp; </w:t>
      </w:r>
      <w:proofErr w:type="spellStart"/>
      <w:r w:rsidRPr="00416350">
        <w:rPr>
          <w:rFonts w:ascii="Arial" w:hAnsi="Arial" w:cs="Arial"/>
          <w:sz w:val="20"/>
          <w:szCs w:val="20"/>
        </w:rPr>
        <w:t>Andrajati</w:t>
      </w:r>
      <w:proofErr w:type="spellEnd"/>
      <w:r w:rsidRPr="00416350">
        <w:rPr>
          <w:rFonts w:ascii="Arial" w:hAnsi="Arial" w:cs="Arial"/>
          <w:sz w:val="20"/>
          <w:szCs w:val="20"/>
        </w:rPr>
        <w:t xml:space="preserve">, R. (2017). Phenylpropanoids, eugenol scaffold, and its derivatives as anticancer agents. </w:t>
      </w:r>
      <w:r w:rsidRPr="00416350">
        <w:rPr>
          <w:rStyle w:val="Emphasis"/>
          <w:rFonts w:ascii="Arial" w:hAnsi="Arial" w:cs="Arial"/>
          <w:sz w:val="20"/>
          <w:szCs w:val="20"/>
        </w:rPr>
        <w:t>Asian Journal of Pharmaceutical and ClinicalResearch,10</w:t>
      </w:r>
      <w:r w:rsidRPr="00416350">
        <w:rPr>
          <w:rFonts w:ascii="Arial" w:hAnsi="Arial" w:cs="Arial"/>
          <w:sz w:val="20"/>
          <w:szCs w:val="20"/>
        </w:rPr>
        <w:t xml:space="preserve">(3),41–46. </w:t>
      </w:r>
    </w:p>
    <w:p w14:paraId="6D457A80" w14:textId="77777777" w:rsidR="00590785" w:rsidRPr="00B9341A" w:rsidRDefault="00590785" w:rsidP="00590785">
      <w:pPr>
        <w:pStyle w:val="ReferHead"/>
        <w:spacing w:after="0"/>
        <w:ind w:left="426"/>
        <w:jc w:val="both"/>
        <w:rPr>
          <w:rFonts w:ascii="Arial" w:hAnsi="Arial" w:cs="Arial"/>
          <w:b w:val="0"/>
          <w:bCs/>
          <w:sz w:val="20"/>
          <w:lang w:val="en-IN"/>
        </w:rPr>
      </w:pPr>
    </w:p>
    <w:p w14:paraId="0EFBF951" w14:textId="4355132E" w:rsidR="00590785" w:rsidRPr="004C4405" w:rsidRDefault="00590785" w:rsidP="006F08A8">
      <w:pPr>
        <w:pStyle w:val="BodyText"/>
        <w:jc w:val="both"/>
        <w:rPr>
          <w:rFonts w:ascii="Arial" w:hAnsi="Arial" w:cs="Arial"/>
          <w:b/>
          <w:caps/>
        </w:rPr>
      </w:pPr>
      <w:r>
        <w:rPr>
          <w:rFonts w:ascii="Arial" w:hAnsi="Arial" w:cs="Arial"/>
          <w:b/>
          <w:caps/>
        </w:rPr>
        <w:t xml:space="preserve"> </w:t>
      </w:r>
    </w:p>
    <w:sectPr w:rsidR="00590785" w:rsidRPr="004C4405" w:rsidSect="006F08A8">
      <w:headerReference w:type="even" r:id="rId36"/>
      <w:headerReference w:type="default" r:id="rId37"/>
      <w:footerReference w:type="default" r:id="rId38"/>
      <w:headerReference w:type="first" r:id="rId39"/>
      <w:type w:val="continuous"/>
      <w:pgSz w:w="12240" w:h="15840"/>
      <w:pgMar w:top="1440" w:right="2016" w:bottom="2016" w:left="2016" w:header="720" w:footer="185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9B496" w14:textId="77777777" w:rsidR="000E72CB" w:rsidRDefault="000E72CB" w:rsidP="00C37E61">
      <w:r>
        <w:separator/>
      </w:r>
    </w:p>
  </w:endnote>
  <w:endnote w:type="continuationSeparator" w:id="0">
    <w:p w14:paraId="607454D9" w14:textId="77777777" w:rsidR="000E72CB" w:rsidRDefault="000E72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2E3F1" w14:textId="77777777" w:rsidR="003F5C99" w:rsidRDefault="003F5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DBE9" w14:textId="77777777" w:rsidR="003F5C99" w:rsidRDefault="003F5C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5CF76" w14:textId="42534303" w:rsidR="00754C9A" w:rsidRPr="00B061DA" w:rsidRDefault="00754C9A" w:rsidP="00B061DA">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AD00" w14:textId="77777777" w:rsidR="00B06CEB" w:rsidRPr="00C37E61" w:rsidRDefault="00B06CE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6B484" w14:textId="77777777" w:rsidR="000E72CB" w:rsidRDefault="000E72CB" w:rsidP="00C37E61">
      <w:r>
        <w:separator/>
      </w:r>
    </w:p>
  </w:footnote>
  <w:footnote w:type="continuationSeparator" w:id="0">
    <w:p w14:paraId="2BD66044" w14:textId="77777777" w:rsidR="000E72CB" w:rsidRDefault="000E72C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4152" w14:textId="3172C51F" w:rsidR="003F5C99" w:rsidRDefault="003F5C99">
    <w:pPr>
      <w:pStyle w:val="Header"/>
    </w:pPr>
    <w:r>
      <w:rPr>
        <w:noProof/>
      </w:rPr>
      <w:pict w14:anchorId="2345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4867" w14:textId="73DE7B11" w:rsidR="003F5C99" w:rsidRDefault="003F5C99">
    <w:pPr>
      <w:pStyle w:val="Header"/>
    </w:pPr>
    <w:r>
      <w:rPr>
        <w:noProof/>
      </w:rPr>
      <w:pict w14:anchorId="628DC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2846" w14:textId="27F836E2" w:rsidR="00296529" w:rsidRPr="00296529" w:rsidRDefault="003F5C99" w:rsidP="00296529">
    <w:pPr>
      <w:ind w:left="2160"/>
      <w:jc w:val="center"/>
      <w:rPr>
        <w:rFonts w:ascii="Times New Roman" w:eastAsia="Calibri" w:hAnsi="Times New Roman"/>
        <w:i/>
        <w:sz w:val="18"/>
        <w:szCs w:val="22"/>
      </w:rPr>
    </w:pPr>
    <w:r>
      <w:rPr>
        <w:noProof/>
      </w:rPr>
      <w:pict w14:anchorId="31B5D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46CDE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5560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6D4C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27AD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2CC39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57481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4708" w14:textId="1D3A90EF" w:rsidR="003F5C99" w:rsidRDefault="003F5C99">
    <w:pPr>
      <w:pStyle w:val="Header"/>
    </w:pPr>
    <w:r>
      <w:rPr>
        <w:noProof/>
      </w:rPr>
      <w:pict w14:anchorId="5ED49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F1D51" w14:textId="69A80688" w:rsidR="003F5C99" w:rsidRDefault="003F5C99">
    <w:pPr>
      <w:pStyle w:val="Header"/>
    </w:pPr>
    <w:r>
      <w:rPr>
        <w:noProof/>
      </w:rPr>
      <w:pict w14:anchorId="47D8F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6020" w14:textId="5CFF46B3" w:rsidR="003F5C99" w:rsidRDefault="003F5C99">
    <w:pPr>
      <w:pStyle w:val="Header"/>
    </w:pPr>
    <w:r>
      <w:rPr>
        <w:noProof/>
      </w:rPr>
      <w:pict w14:anchorId="3ED71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14311E"/>
    <w:multiLevelType w:val="hybridMultilevel"/>
    <w:tmpl w:val="93D28610"/>
    <w:lvl w:ilvl="0" w:tplc="FD9E2AE8">
      <w:start w:val="1"/>
      <w:numFmt w:val="lowerLetter"/>
      <w:lvlText w:val="%1)"/>
      <w:lvlJc w:val="left"/>
      <w:pPr>
        <w:ind w:left="2325" w:hanging="360"/>
      </w:pPr>
      <w:rPr>
        <w:rFonts w:hint="default"/>
      </w:rPr>
    </w:lvl>
    <w:lvl w:ilvl="1" w:tplc="40090019" w:tentative="1">
      <w:start w:val="1"/>
      <w:numFmt w:val="lowerLetter"/>
      <w:lvlText w:val="%2."/>
      <w:lvlJc w:val="left"/>
      <w:pPr>
        <w:ind w:left="3045" w:hanging="360"/>
      </w:pPr>
    </w:lvl>
    <w:lvl w:ilvl="2" w:tplc="4009001B" w:tentative="1">
      <w:start w:val="1"/>
      <w:numFmt w:val="lowerRoman"/>
      <w:lvlText w:val="%3."/>
      <w:lvlJc w:val="right"/>
      <w:pPr>
        <w:ind w:left="3765" w:hanging="180"/>
      </w:pPr>
    </w:lvl>
    <w:lvl w:ilvl="3" w:tplc="4009000F" w:tentative="1">
      <w:start w:val="1"/>
      <w:numFmt w:val="decimal"/>
      <w:lvlText w:val="%4."/>
      <w:lvlJc w:val="left"/>
      <w:pPr>
        <w:ind w:left="4485" w:hanging="360"/>
      </w:pPr>
    </w:lvl>
    <w:lvl w:ilvl="4" w:tplc="40090019" w:tentative="1">
      <w:start w:val="1"/>
      <w:numFmt w:val="lowerLetter"/>
      <w:lvlText w:val="%5."/>
      <w:lvlJc w:val="left"/>
      <w:pPr>
        <w:ind w:left="5205" w:hanging="360"/>
      </w:pPr>
    </w:lvl>
    <w:lvl w:ilvl="5" w:tplc="4009001B" w:tentative="1">
      <w:start w:val="1"/>
      <w:numFmt w:val="lowerRoman"/>
      <w:lvlText w:val="%6."/>
      <w:lvlJc w:val="right"/>
      <w:pPr>
        <w:ind w:left="5925" w:hanging="180"/>
      </w:pPr>
    </w:lvl>
    <w:lvl w:ilvl="6" w:tplc="4009000F" w:tentative="1">
      <w:start w:val="1"/>
      <w:numFmt w:val="decimal"/>
      <w:lvlText w:val="%7."/>
      <w:lvlJc w:val="left"/>
      <w:pPr>
        <w:ind w:left="6645" w:hanging="360"/>
      </w:pPr>
    </w:lvl>
    <w:lvl w:ilvl="7" w:tplc="40090019" w:tentative="1">
      <w:start w:val="1"/>
      <w:numFmt w:val="lowerLetter"/>
      <w:lvlText w:val="%8."/>
      <w:lvlJc w:val="left"/>
      <w:pPr>
        <w:ind w:left="7365" w:hanging="360"/>
      </w:pPr>
    </w:lvl>
    <w:lvl w:ilvl="8" w:tplc="4009001B" w:tentative="1">
      <w:start w:val="1"/>
      <w:numFmt w:val="lowerRoman"/>
      <w:lvlText w:val="%9."/>
      <w:lvlJc w:val="right"/>
      <w:pPr>
        <w:ind w:left="8085" w:hanging="180"/>
      </w:pPr>
    </w:lvl>
  </w:abstractNum>
  <w:abstractNum w:abstractNumId="8" w15:restartNumberingAfterBreak="0">
    <w:nsid w:val="10540885"/>
    <w:multiLevelType w:val="hybridMultilevel"/>
    <w:tmpl w:val="7C72C0C2"/>
    <w:lvl w:ilvl="0" w:tplc="88165C22">
      <w:start w:val="1"/>
      <w:numFmt w:val="lowerLetter"/>
      <w:lvlText w:val="%1)"/>
      <w:lvlJc w:val="left"/>
      <w:pPr>
        <w:ind w:left="2190" w:hanging="360"/>
      </w:pPr>
      <w:rPr>
        <w:rFonts w:ascii="Arial" w:hAnsi="Arial" w:cs="Arial" w:hint="default"/>
      </w:rPr>
    </w:lvl>
    <w:lvl w:ilvl="1" w:tplc="40090019" w:tentative="1">
      <w:start w:val="1"/>
      <w:numFmt w:val="lowerLetter"/>
      <w:lvlText w:val="%2."/>
      <w:lvlJc w:val="left"/>
      <w:pPr>
        <w:ind w:left="2910" w:hanging="360"/>
      </w:pPr>
    </w:lvl>
    <w:lvl w:ilvl="2" w:tplc="4009001B" w:tentative="1">
      <w:start w:val="1"/>
      <w:numFmt w:val="lowerRoman"/>
      <w:lvlText w:val="%3."/>
      <w:lvlJc w:val="right"/>
      <w:pPr>
        <w:ind w:left="3630" w:hanging="180"/>
      </w:pPr>
    </w:lvl>
    <w:lvl w:ilvl="3" w:tplc="4009000F" w:tentative="1">
      <w:start w:val="1"/>
      <w:numFmt w:val="decimal"/>
      <w:lvlText w:val="%4."/>
      <w:lvlJc w:val="left"/>
      <w:pPr>
        <w:ind w:left="4350" w:hanging="360"/>
      </w:pPr>
    </w:lvl>
    <w:lvl w:ilvl="4" w:tplc="40090019" w:tentative="1">
      <w:start w:val="1"/>
      <w:numFmt w:val="lowerLetter"/>
      <w:lvlText w:val="%5."/>
      <w:lvlJc w:val="left"/>
      <w:pPr>
        <w:ind w:left="5070" w:hanging="360"/>
      </w:pPr>
    </w:lvl>
    <w:lvl w:ilvl="5" w:tplc="4009001B" w:tentative="1">
      <w:start w:val="1"/>
      <w:numFmt w:val="lowerRoman"/>
      <w:lvlText w:val="%6."/>
      <w:lvlJc w:val="right"/>
      <w:pPr>
        <w:ind w:left="5790" w:hanging="180"/>
      </w:pPr>
    </w:lvl>
    <w:lvl w:ilvl="6" w:tplc="4009000F" w:tentative="1">
      <w:start w:val="1"/>
      <w:numFmt w:val="decimal"/>
      <w:lvlText w:val="%7."/>
      <w:lvlJc w:val="left"/>
      <w:pPr>
        <w:ind w:left="6510" w:hanging="360"/>
      </w:pPr>
    </w:lvl>
    <w:lvl w:ilvl="7" w:tplc="40090019" w:tentative="1">
      <w:start w:val="1"/>
      <w:numFmt w:val="lowerLetter"/>
      <w:lvlText w:val="%8."/>
      <w:lvlJc w:val="left"/>
      <w:pPr>
        <w:ind w:left="7230" w:hanging="360"/>
      </w:pPr>
    </w:lvl>
    <w:lvl w:ilvl="8" w:tplc="4009001B" w:tentative="1">
      <w:start w:val="1"/>
      <w:numFmt w:val="lowerRoman"/>
      <w:lvlText w:val="%9."/>
      <w:lvlJc w:val="right"/>
      <w:pPr>
        <w:ind w:left="795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2F29E1"/>
    <w:multiLevelType w:val="hybridMultilevel"/>
    <w:tmpl w:val="E2EE73AE"/>
    <w:lvl w:ilvl="0" w:tplc="4D10E0C8">
      <w:start w:val="1"/>
      <w:numFmt w:val="lowerLetter"/>
      <w:lvlText w:val="%1)"/>
      <w:lvlJc w:val="left"/>
      <w:pPr>
        <w:ind w:left="6315" w:hanging="4215"/>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11" w15:restartNumberingAfterBreak="0">
    <w:nsid w:val="1A4F7976"/>
    <w:multiLevelType w:val="hybridMultilevel"/>
    <w:tmpl w:val="D568A438"/>
    <w:lvl w:ilvl="0" w:tplc="8EDAD678">
      <w:start w:val="1"/>
      <w:numFmt w:val="decimal"/>
      <w:lvlText w:val="%1."/>
      <w:lvlJc w:val="left"/>
      <w:pPr>
        <w:ind w:left="720" w:hanging="360"/>
      </w:pPr>
      <w:rPr>
        <w:rFonts w:ascii="Arial" w:eastAsia="Times New Roman" w:hAnsi="Arial" w:cs="Arial"/>
        <w:color w:val="000000" w:themeColor="text1"/>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B343C46"/>
    <w:multiLevelType w:val="hybridMultilevel"/>
    <w:tmpl w:val="DE24CB78"/>
    <w:lvl w:ilvl="0" w:tplc="CD0E353E">
      <w:start w:val="3"/>
      <w:numFmt w:val="lowerLetter"/>
      <w:lvlText w:val="%1)"/>
      <w:lvlJc w:val="left"/>
      <w:pPr>
        <w:ind w:left="2460"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1" w15:restartNumberingAfterBreak="0">
    <w:nsid w:val="51FD18D0"/>
    <w:multiLevelType w:val="hybridMultilevel"/>
    <w:tmpl w:val="7B7A7A1E"/>
    <w:lvl w:ilvl="0" w:tplc="6590AC7A">
      <w:start w:val="3"/>
      <w:numFmt w:val="lowerLetter"/>
      <w:lvlText w:val="%1)"/>
      <w:lvlJc w:val="left"/>
      <w:pPr>
        <w:ind w:left="2460" w:hanging="360"/>
      </w:pPr>
      <w:rPr>
        <w:rFonts w:ascii="Arial" w:hAnsi="Arial" w:cs="Arial"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3751A"/>
    <w:multiLevelType w:val="hybridMultilevel"/>
    <w:tmpl w:val="3C40EE96"/>
    <w:lvl w:ilvl="0" w:tplc="5720F78C">
      <w:start w:val="3"/>
      <w:numFmt w:val="lowerLetter"/>
      <w:lvlText w:val="%1)"/>
      <w:lvlJc w:val="left"/>
      <w:pPr>
        <w:ind w:left="2460"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4" w15:restartNumberingAfterBreak="0">
    <w:nsid w:val="5C112FCC"/>
    <w:multiLevelType w:val="hybridMultilevel"/>
    <w:tmpl w:val="71901D4E"/>
    <w:lvl w:ilvl="0" w:tplc="85D813F6">
      <w:start w:val="1"/>
      <w:numFmt w:val="lowerLetter"/>
      <w:lvlText w:val="%1)"/>
      <w:lvlJc w:val="left"/>
      <w:pPr>
        <w:ind w:left="2085" w:hanging="360"/>
      </w:pPr>
      <w:rPr>
        <w:rFonts w:ascii="Arial" w:hAnsi="Arial" w:cs="Arial" w:hint="default"/>
      </w:rPr>
    </w:lvl>
    <w:lvl w:ilvl="1" w:tplc="40090019" w:tentative="1">
      <w:start w:val="1"/>
      <w:numFmt w:val="lowerLetter"/>
      <w:lvlText w:val="%2."/>
      <w:lvlJc w:val="left"/>
      <w:pPr>
        <w:ind w:left="2805" w:hanging="360"/>
      </w:pPr>
    </w:lvl>
    <w:lvl w:ilvl="2" w:tplc="4009001B" w:tentative="1">
      <w:start w:val="1"/>
      <w:numFmt w:val="lowerRoman"/>
      <w:lvlText w:val="%3."/>
      <w:lvlJc w:val="right"/>
      <w:pPr>
        <w:ind w:left="3525" w:hanging="180"/>
      </w:pPr>
    </w:lvl>
    <w:lvl w:ilvl="3" w:tplc="4009000F" w:tentative="1">
      <w:start w:val="1"/>
      <w:numFmt w:val="decimal"/>
      <w:lvlText w:val="%4."/>
      <w:lvlJc w:val="left"/>
      <w:pPr>
        <w:ind w:left="4245" w:hanging="360"/>
      </w:pPr>
    </w:lvl>
    <w:lvl w:ilvl="4" w:tplc="40090019" w:tentative="1">
      <w:start w:val="1"/>
      <w:numFmt w:val="lowerLetter"/>
      <w:lvlText w:val="%5."/>
      <w:lvlJc w:val="left"/>
      <w:pPr>
        <w:ind w:left="4965" w:hanging="360"/>
      </w:pPr>
    </w:lvl>
    <w:lvl w:ilvl="5" w:tplc="4009001B" w:tentative="1">
      <w:start w:val="1"/>
      <w:numFmt w:val="lowerRoman"/>
      <w:lvlText w:val="%6."/>
      <w:lvlJc w:val="right"/>
      <w:pPr>
        <w:ind w:left="5685" w:hanging="180"/>
      </w:pPr>
    </w:lvl>
    <w:lvl w:ilvl="6" w:tplc="4009000F" w:tentative="1">
      <w:start w:val="1"/>
      <w:numFmt w:val="decimal"/>
      <w:lvlText w:val="%7."/>
      <w:lvlJc w:val="left"/>
      <w:pPr>
        <w:ind w:left="6405" w:hanging="360"/>
      </w:pPr>
    </w:lvl>
    <w:lvl w:ilvl="7" w:tplc="40090019" w:tentative="1">
      <w:start w:val="1"/>
      <w:numFmt w:val="lowerLetter"/>
      <w:lvlText w:val="%8."/>
      <w:lvlJc w:val="left"/>
      <w:pPr>
        <w:ind w:left="7125" w:hanging="360"/>
      </w:pPr>
    </w:lvl>
    <w:lvl w:ilvl="8" w:tplc="4009001B" w:tentative="1">
      <w:start w:val="1"/>
      <w:numFmt w:val="lowerRoman"/>
      <w:lvlText w:val="%9."/>
      <w:lvlJc w:val="right"/>
      <w:pPr>
        <w:ind w:left="7845"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3"/>
  </w:num>
  <w:num w:numId="10">
    <w:abstractNumId w:val="2"/>
  </w:num>
  <w:num w:numId="11">
    <w:abstractNumId w:val="26"/>
  </w:num>
  <w:num w:numId="12">
    <w:abstractNumId w:val="3"/>
  </w:num>
  <w:num w:numId="13">
    <w:abstractNumId w:val="25"/>
  </w:num>
  <w:num w:numId="14">
    <w:abstractNumId w:val="12"/>
  </w:num>
  <w:num w:numId="15">
    <w:abstractNumId w:val="29"/>
  </w:num>
  <w:num w:numId="16">
    <w:abstractNumId w:val="5"/>
  </w:num>
  <w:num w:numId="17">
    <w:abstractNumId w:val="30"/>
  </w:num>
  <w:num w:numId="18">
    <w:abstractNumId w:val="18"/>
  </w:num>
  <w:num w:numId="19">
    <w:abstractNumId w:val="36"/>
  </w:num>
  <w:num w:numId="20">
    <w:abstractNumId w:val="15"/>
  </w:num>
  <w:num w:numId="21">
    <w:abstractNumId w:val="13"/>
  </w:num>
  <w:num w:numId="22">
    <w:abstractNumId w:val="17"/>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4"/>
  </w:num>
  <w:num w:numId="31">
    <w:abstractNumId w:val="10"/>
  </w:num>
  <w:num w:numId="32">
    <w:abstractNumId w:val="20"/>
  </w:num>
  <w:num w:numId="33">
    <w:abstractNumId w:val="21"/>
  </w:num>
  <w:num w:numId="34">
    <w:abstractNumId w:val="8"/>
  </w:num>
  <w:num w:numId="35">
    <w:abstractNumId w:val="23"/>
  </w:num>
  <w:num w:numId="36">
    <w:abstractNumId w:val="24"/>
  </w:num>
  <w:num w:numId="37">
    <w:abstractNumId w:val="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2E0"/>
    <w:rsid w:val="000174DE"/>
    <w:rsid w:val="00030174"/>
    <w:rsid w:val="000327DF"/>
    <w:rsid w:val="0004579C"/>
    <w:rsid w:val="00077160"/>
    <w:rsid w:val="000779EA"/>
    <w:rsid w:val="00087098"/>
    <w:rsid w:val="000A47FA"/>
    <w:rsid w:val="000A65D3"/>
    <w:rsid w:val="000B1E33"/>
    <w:rsid w:val="000D2843"/>
    <w:rsid w:val="000D689F"/>
    <w:rsid w:val="000E72CB"/>
    <w:rsid w:val="000E7B7B"/>
    <w:rsid w:val="000E7D62"/>
    <w:rsid w:val="00103357"/>
    <w:rsid w:val="00123C9F"/>
    <w:rsid w:val="00126190"/>
    <w:rsid w:val="00130F17"/>
    <w:rsid w:val="001320BF"/>
    <w:rsid w:val="00163BC4"/>
    <w:rsid w:val="00191062"/>
    <w:rsid w:val="00192B72"/>
    <w:rsid w:val="00196765"/>
    <w:rsid w:val="001A29D8"/>
    <w:rsid w:val="001A5CAA"/>
    <w:rsid w:val="001B0427"/>
    <w:rsid w:val="001C4574"/>
    <w:rsid w:val="001D29B2"/>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6D0A"/>
    <w:rsid w:val="002A4188"/>
    <w:rsid w:val="002B1786"/>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5C99"/>
    <w:rsid w:val="00401927"/>
    <w:rsid w:val="0041027F"/>
    <w:rsid w:val="00412475"/>
    <w:rsid w:val="00416350"/>
    <w:rsid w:val="00422B0B"/>
    <w:rsid w:val="00423789"/>
    <w:rsid w:val="00432668"/>
    <w:rsid w:val="00440F43"/>
    <w:rsid w:val="00441B6F"/>
    <w:rsid w:val="00446221"/>
    <w:rsid w:val="00450E62"/>
    <w:rsid w:val="004539DB"/>
    <w:rsid w:val="00465A24"/>
    <w:rsid w:val="00471A80"/>
    <w:rsid w:val="004859EB"/>
    <w:rsid w:val="004C4405"/>
    <w:rsid w:val="004D305E"/>
    <w:rsid w:val="004D4277"/>
    <w:rsid w:val="00502516"/>
    <w:rsid w:val="00505F06"/>
    <w:rsid w:val="00506828"/>
    <w:rsid w:val="0053056E"/>
    <w:rsid w:val="00541FCB"/>
    <w:rsid w:val="00554FDA"/>
    <w:rsid w:val="00565E2C"/>
    <w:rsid w:val="00577C83"/>
    <w:rsid w:val="00590785"/>
    <w:rsid w:val="005C784C"/>
    <w:rsid w:val="005D17F6"/>
    <w:rsid w:val="005E5539"/>
    <w:rsid w:val="00602BF5"/>
    <w:rsid w:val="00617FDD"/>
    <w:rsid w:val="006305BA"/>
    <w:rsid w:val="00633614"/>
    <w:rsid w:val="00633F68"/>
    <w:rsid w:val="006344C6"/>
    <w:rsid w:val="006360DE"/>
    <w:rsid w:val="00636EB2"/>
    <w:rsid w:val="006375B8"/>
    <w:rsid w:val="0066510A"/>
    <w:rsid w:val="00673F9F"/>
    <w:rsid w:val="00686953"/>
    <w:rsid w:val="00687DEA"/>
    <w:rsid w:val="00687E67"/>
    <w:rsid w:val="00695CDB"/>
    <w:rsid w:val="006967F7"/>
    <w:rsid w:val="006A250C"/>
    <w:rsid w:val="006B21D3"/>
    <w:rsid w:val="006B28A3"/>
    <w:rsid w:val="006B57D0"/>
    <w:rsid w:val="006D30FF"/>
    <w:rsid w:val="006D6940"/>
    <w:rsid w:val="006F08A8"/>
    <w:rsid w:val="006F11EC"/>
    <w:rsid w:val="0070082C"/>
    <w:rsid w:val="00704E6A"/>
    <w:rsid w:val="00730B8A"/>
    <w:rsid w:val="00732722"/>
    <w:rsid w:val="007369E6"/>
    <w:rsid w:val="00746E59"/>
    <w:rsid w:val="00754C9A"/>
    <w:rsid w:val="0075599A"/>
    <w:rsid w:val="00761D52"/>
    <w:rsid w:val="00764D9B"/>
    <w:rsid w:val="0077749E"/>
    <w:rsid w:val="00790ADA"/>
    <w:rsid w:val="007A1E29"/>
    <w:rsid w:val="007C4372"/>
    <w:rsid w:val="007D2288"/>
    <w:rsid w:val="007D37E6"/>
    <w:rsid w:val="007D423F"/>
    <w:rsid w:val="007E088F"/>
    <w:rsid w:val="007F327A"/>
    <w:rsid w:val="007F7B32"/>
    <w:rsid w:val="00803885"/>
    <w:rsid w:val="00804BC2"/>
    <w:rsid w:val="0081431A"/>
    <w:rsid w:val="0083216F"/>
    <w:rsid w:val="00860000"/>
    <w:rsid w:val="00863BD3"/>
    <w:rsid w:val="008641ED"/>
    <w:rsid w:val="00866D66"/>
    <w:rsid w:val="008671C6"/>
    <w:rsid w:val="00875803"/>
    <w:rsid w:val="00887E9D"/>
    <w:rsid w:val="008A3369"/>
    <w:rsid w:val="008B459E"/>
    <w:rsid w:val="008E0CDD"/>
    <w:rsid w:val="008E13AE"/>
    <w:rsid w:val="008E1506"/>
    <w:rsid w:val="008E486F"/>
    <w:rsid w:val="008E710C"/>
    <w:rsid w:val="008F69D6"/>
    <w:rsid w:val="00902823"/>
    <w:rsid w:val="00905C98"/>
    <w:rsid w:val="00915CA6"/>
    <w:rsid w:val="00927834"/>
    <w:rsid w:val="009500A6"/>
    <w:rsid w:val="00956BFC"/>
    <w:rsid w:val="00957C18"/>
    <w:rsid w:val="009659BA"/>
    <w:rsid w:val="00975EE3"/>
    <w:rsid w:val="00983040"/>
    <w:rsid w:val="009A773C"/>
    <w:rsid w:val="009B3FB9"/>
    <w:rsid w:val="009C2465"/>
    <w:rsid w:val="009D35A0"/>
    <w:rsid w:val="009D7EB7"/>
    <w:rsid w:val="009E048A"/>
    <w:rsid w:val="009E08E9"/>
    <w:rsid w:val="009E3DB9"/>
    <w:rsid w:val="009E6E35"/>
    <w:rsid w:val="009F0EDA"/>
    <w:rsid w:val="00A03B96"/>
    <w:rsid w:val="00A05B19"/>
    <w:rsid w:val="00A1134E"/>
    <w:rsid w:val="00A16FD0"/>
    <w:rsid w:val="00A24E7E"/>
    <w:rsid w:val="00A258C3"/>
    <w:rsid w:val="00A27BB8"/>
    <w:rsid w:val="00A347C0"/>
    <w:rsid w:val="00A35114"/>
    <w:rsid w:val="00A51431"/>
    <w:rsid w:val="00A51B3E"/>
    <w:rsid w:val="00A539AD"/>
    <w:rsid w:val="00A75CC3"/>
    <w:rsid w:val="00A94063"/>
    <w:rsid w:val="00AA6219"/>
    <w:rsid w:val="00AA74E0"/>
    <w:rsid w:val="00AB703F"/>
    <w:rsid w:val="00AC6BB8"/>
    <w:rsid w:val="00AE008F"/>
    <w:rsid w:val="00B01FCD"/>
    <w:rsid w:val="00B061DA"/>
    <w:rsid w:val="00B06CEB"/>
    <w:rsid w:val="00B1776C"/>
    <w:rsid w:val="00B34F45"/>
    <w:rsid w:val="00B52583"/>
    <w:rsid w:val="00B52896"/>
    <w:rsid w:val="00B536B2"/>
    <w:rsid w:val="00B9341A"/>
    <w:rsid w:val="00B95236"/>
    <w:rsid w:val="00B96BD9"/>
    <w:rsid w:val="00B972EF"/>
    <w:rsid w:val="00BA1B01"/>
    <w:rsid w:val="00BA2641"/>
    <w:rsid w:val="00BB35EB"/>
    <w:rsid w:val="00BB37AA"/>
    <w:rsid w:val="00BB5096"/>
    <w:rsid w:val="00BC53A0"/>
    <w:rsid w:val="00BD6C93"/>
    <w:rsid w:val="00BE62AD"/>
    <w:rsid w:val="00BF121F"/>
    <w:rsid w:val="00BF1F80"/>
    <w:rsid w:val="00C166EF"/>
    <w:rsid w:val="00C17EB0"/>
    <w:rsid w:val="00C25AA5"/>
    <w:rsid w:val="00C27F5F"/>
    <w:rsid w:val="00C30A0F"/>
    <w:rsid w:val="00C37E61"/>
    <w:rsid w:val="00C6230A"/>
    <w:rsid w:val="00C6290F"/>
    <w:rsid w:val="00C70F1B"/>
    <w:rsid w:val="00C71A47"/>
    <w:rsid w:val="00C7464C"/>
    <w:rsid w:val="00C84113"/>
    <w:rsid w:val="00C85588"/>
    <w:rsid w:val="00CD6755"/>
    <w:rsid w:val="00CD6856"/>
    <w:rsid w:val="00CE0089"/>
    <w:rsid w:val="00CE793C"/>
    <w:rsid w:val="00CF193C"/>
    <w:rsid w:val="00D14541"/>
    <w:rsid w:val="00D173F1"/>
    <w:rsid w:val="00D73977"/>
    <w:rsid w:val="00D74CB0"/>
    <w:rsid w:val="00D8295D"/>
    <w:rsid w:val="00DC2A65"/>
    <w:rsid w:val="00DD4027"/>
    <w:rsid w:val="00DD5EFC"/>
    <w:rsid w:val="00DE15F0"/>
    <w:rsid w:val="00DE5663"/>
    <w:rsid w:val="00DE78AA"/>
    <w:rsid w:val="00E053D0"/>
    <w:rsid w:val="00E15994"/>
    <w:rsid w:val="00E3114E"/>
    <w:rsid w:val="00E31A70"/>
    <w:rsid w:val="00E35B02"/>
    <w:rsid w:val="00E570EF"/>
    <w:rsid w:val="00E66496"/>
    <w:rsid w:val="00E66B35"/>
    <w:rsid w:val="00E66E10"/>
    <w:rsid w:val="00E769F6"/>
    <w:rsid w:val="00E8407C"/>
    <w:rsid w:val="00E84F3C"/>
    <w:rsid w:val="00EA012C"/>
    <w:rsid w:val="00EB4762"/>
    <w:rsid w:val="00EB7DBB"/>
    <w:rsid w:val="00EC6A55"/>
    <w:rsid w:val="00ED0288"/>
    <w:rsid w:val="00EE52CB"/>
    <w:rsid w:val="00EF581D"/>
    <w:rsid w:val="00EF7FD8"/>
    <w:rsid w:val="00F0255C"/>
    <w:rsid w:val="00F06F59"/>
    <w:rsid w:val="00F17988"/>
    <w:rsid w:val="00F40E61"/>
    <w:rsid w:val="00F469F0"/>
    <w:rsid w:val="00F53273"/>
    <w:rsid w:val="00F647DA"/>
    <w:rsid w:val="00F6778D"/>
    <w:rsid w:val="00F70EBD"/>
    <w:rsid w:val="00F755E4"/>
    <w:rsid w:val="00F75DFE"/>
    <w:rsid w:val="00F77D02"/>
    <w:rsid w:val="00F82095"/>
    <w:rsid w:val="00F96C64"/>
    <w:rsid w:val="00FB3A86"/>
    <w:rsid w:val="00FD111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561E1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6305BA"/>
    <w:pPr>
      <w:spacing w:after="120"/>
    </w:pPr>
  </w:style>
  <w:style w:type="character" w:customStyle="1" w:styleId="BodyTextChar">
    <w:name w:val="Body Text Char"/>
    <w:basedOn w:val="DefaultParagraphFont"/>
    <w:link w:val="BodyText"/>
    <w:rsid w:val="006305BA"/>
    <w:rPr>
      <w:rFonts w:ascii="Helvetica" w:hAnsi="Helvetica"/>
    </w:rPr>
  </w:style>
  <w:style w:type="paragraph" w:styleId="NormalWeb">
    <w:name w:val="Normal (Web)"/>
    <w:basedOn w:val="Normal"/>
    <w:uiPriority w:val="99"/>
    <w:unhideWhenUsed/>
    <w:rsid w:val="00416350"/>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csb.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5201-5F8A-47D5-A47A-6587BE9B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17</Pages>
  <Words>6284</Words>
  <Characters>35823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42023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cp:revision>
  <cp:lastPrinted>1999-07-06T11:00:00Z</cp:lastPrinted>
  <dcterms:created xsi:type="dcterms:W3CDTF">2026-01-06T16:12:00Z</dcterms:created>
  <dcterms:modified xsi:type="dcterms:W3CDTF">2026-01-07T11:59:00Z</dcterms:modified>
</cp:coreProperties>
</file>