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654D1" w14:textId="77777777" w:rsidR="008C3225" w:rsidRDefault="008C3225">
      <w:pPr>
        <w:pStyle w:val="Title"/>
        <w:spacing w:line="256" w:lineRule="auto"/>
      </w:pPr>
    </w:p>
    <w:p w14:paraId="7910B586" w14:textId="1ACED9AB" w:rsidR="0059665B" w:rsidRDefault="00040B3E">
      <w:pPr>
        <w:pStyle w:val="Title"/>
        <w:spacing w:line="256" w:lineRule="auto"/>
      </w:pPr>
      <w:r>
        <w:t>Toxicological Assessment of Nanoparticles in Food on Organic/Inorganic Nanostructures</w:t>
      </w:r>
      <w:r w:rsidR="00A46A8E">
        <w:t xml:space="preserve">: in-depth review </w:t>
      </w:r>
    </w:p>
    <w:p w14:paraId="25AF25FD" w14:textId="77777777" w:rsidR="00F60CFF" w:rsidRDefault="00F60CFF">
      <w:pPr>
        <w:pStyle w:val="Heading1"/>
        <w:spacing w:before="165"/>
        <w:ind w:firstLine="165"/>
      </w:pPr>
    </w:p>
    <w:p w14:paraId="012E6BCB" w14:textId="77777777" w:rsidR="00F60CFF" w:rsidRDefault="00F60CFF">
      <w:pPr>
        <w:pStyle w:val="Heading1"/>
        <w:spacing w:before="165"/>
        <w:ind w:firstLine="165"/>
      </w:pPr>
    </w:p>
    <w:p w14:paraId="322A89F4" w14:textId="4B5118BA" w:rsidR="0059665B" w:rsidRDefault="00040B3E">
      <w:pPr>
        <w:pStyle w:val="Heading1"/>
        <w:spacing w:before="165"/>
        <w:ind w:firstLine="165"/>
      </w:pPr>
      <w:bookmarkStart w:id="0" w:name="_GoBack"/>
      <w:bookmarkEnd w:id="0"/>
      <w:r>
        <w:t>Abstract</w:t>
      </w:r>
    </w:p>
    <w:p w14:paraId="24FB3673" w14:textId="77777777" w:rsidR="0059665B" w:rsidRDefault="00040B3E">
      <w:pPr>
        <w:pBdr>
          <w:top w:val="nil"/>
          <w:left w:val="nil"/>
          <w:bottom w:val="nil"/>
          <w:right w:val="nil"/>
          <w:between w:val="nil"/>
        </w:pBdr>
        <w:spacing w:before="179" w:line="259" w:lineRule="auto"/>
        <w:ind w:left="165" w:right="1150"/>
        <w:jc w:val="both"/>
        <w:rPr>
          <w:color w:val="000000"/>
          <w:sz w:val="24"/>
          <w:szCs w:val="24"/>
        </w:rPr>
      </w:pPr>
      <w:r>
        <w:rPr>
          <w:color w:val="000000"/>
          <w:sz w:val="24"/>
          <w:szCs w:val="24"/>
        </w:rPr>
        <w:t xml:space="preserve">Food science has seen a revolution because of nanotechnology, which uses materials at the nanoscale to improve quality, safety, and usefulness. With sizes ranging from 1 to 100 nm, nanoparticles (NPs) have special physical and chemical characteristics that set them apart from their bulk counterparts. These substances are used in packaging for antibacterial and preservation reasons, as well as in food systems to enhance texture, stability, </w:t>
      </w:r>
      <w:proofErr w:type="spellStart"/>
      <w:r>
        <w:rPr>
          <w:color w:val="000000"/>
          <w:sz w:val="24"/>
          <w:szCs w:val="24"/>
        </w:rPr>
        <w:t>colour</w:t>
      </w:r>
      <w:proofErr w:type="spellEnd"/>
      <w:r>
        <w:rPr>
          <w:color w:val="000000"/>
          <w:sz w:val="24"/>
          <w:szCs w:val="24"/>
        </w:rPr>
        <w:t>, and nutrition delivery. However, there are serious safety and toxicological issues with the increasing use of engineered nanomaterials (ENMs) in food items. Both inorganic (like silver, titanium dioxide, iron oxide, and zinc oxide) and organic (like lipid, protein, and carbohydrate- based nanoparticles) food-related nanoparticles are classified in this review, along with their fate and possible toxicity in the gastrointestinal tract (GIT). Organic nanoparticles are often less harmful because of enzymatic breakdown, whereas inorganic nanoparticles have demonstrated variable levels of accumulation and organ toxicity based on size, solubility, and reactivity. Limited and contradictory toxicological data highlight the urgent need for thorough long-term studies on nanoparticle exposure through diet, despite promised functional improvements. In the rapidly developing sector of nano-enabled food technology, it is crucial to comprehend how nanoparticles interact with biological systems in order to create appropriate regulatory frameworks and guarantee consumer safety.</w:t>
      </w:r>
    </w:p>
    <w:p w14:paraId="5464A754" w14:textId="77777777" w:rsidR="0059665B" w:rsidRDefault="00040B3E">
      <w:pPr>
        <w:pBdr>
          <w:top w:val="nil"/>
          <w:left w:val="nil"/>
          <w:bottom w:val="nil"/>
          <w:right w:val="nil"/>
          <w:between w:val="nil"/>
        </w:pBdr>
        <w:spacing w:before="159" w:line="256" w:lineRule="auto"/>
        <w:ind w:left="165" w:right="1167"/>
        <w:rPr>
          <w:color w:val="000000"/>
          <w:sz w:val="24"/>
          <w:szCs w:val="24"/>
        </w:rPr>
      </w:pPr>
      <w:r>
        <w:rPr>
          <w:color w:val="000000"/>
          <w:sz w:val="24"/>
          <w:szCs w:val="24"/>
        </w:rPr>
        <w:t>Keywords: Nanotechnology; Engineered nanomaterials (ENMs); Food safety; Nanoparticle toxicity; Gastrointestinal tract (GIT), Reactive Oxygen Species</w:t>
      </w:r>
    </w:p>
    <w:p w14:paraId="34741B48" w14:textId="77777777" w:rsidR="0059665B" w:rsidRDefault="00040B3E">
      <w:pPr>
        <w:pStyle w:val="Heading1"/>
        <w:spacing w:before="164"/>
        <w:ind w:firstLine="165"/>
      </w:pPr>
      <w:r>
        <w:t>Introduction</w:t>
      </w:r>
    </w:p>
    <w:p w14:paraId="654763DC" w14:textId="11E23692" w:rsidR="0059665B" w:rsidRDefault="003C7C39">
      <w:pPr>
        <w:pBdr>
          <w:top w:val="nil"/>
          <w:left w:val="nil"/>
          <w:bottom w:val="nil"/>
          <w:right w:val="nil"/>
          <w:between w:val="nil"/>
        </w:pBdr>
        <w:spacing w:before="185" w:line="259" w:lineRule="auto"/>
        <w:ind w:left="165" w:right="1152"/>
        <w:jc w:val="both"/>
        <w:rPr>
          <w:color w:val="000000"/>
          <w:sz w:val="24"/>
          <w:szCs w:val="24"/>
        </w:rPr>
        <w:sectPr w:rsidR="0059665B">
          <w:headerReference w:type="even" r:id="rId6"/>
          <w:headerReference w:type="default" r:id="rId7"/>
          <w:footerReference w:type="even" r:id="rId8"/>
          <w:footerReference w:type="default" r:id="rId9"/>
          <w:headerReference w:type="first" r:id="rId10"/>
          <w:footerReference w:type="first" r:id="rId11"/>
          <w:pgSz w:w="11910" w:h="16840"/>
          <w:pgMar w:top="1380" w:right="283" w:bottom="280" w:left="1275" w:header="360" w:footer="360" w:gutter="0"/>
          <w:pgNumType w:start="1"/>
          <w:cols w:space="720"/>
        </w:sectPr>
      </w:pPr>
      <w:r>
        <w:rPr>
          <w:color w:val="000000"/>
          <w:sz w:val="24"/>
          <w:szCs w:val="24"/>
        </w:rPr>
        <w:t xml:space="preserve">Nanoparticles with sizes ranging from 1 to 100 nm, that determines the unique physical and chemical characteristics, are very different from those of their bulk forms. Because of their size, nanoparticles (NPs) have </w:t>
      </w:r>
      <w:r w:rsidR="008C3225" w:rsidRPr="008C3225">
        <w:rPr>
          <w:color w:val="000000"/>
          <w:sz w:val="24"/>
          <w:szCs w:val="24"/>
        </w:rPr>
        <w:t xml:space="preserve">surface modifications </w:t>
      </w:r>
      <w:r w:rsidR="008C3225">
        <w:rPr>
          <w:color w:val="000000"/>
          <w:sz w:val="24"/>
          <w:szCs w:val="24"/>
        </w:rPr>
        <w:t xml:space="preserve">that </w:t>
      </w:r>
      <w:r w:rsidR="008C3225" w:rsidRPr="008C3225">
        <w:rPr>
          <w:color w:val="000000"/>
          <w:sz w:val="24"/>
          <w:szCs w:val="24"/>
        </w:rPr>
        <w:t xml:space="preserve">have enabled their use in a wide range of </w:t>
      </w:r>
      <w:r w:rsidR="008C3225">
        <w:rPr>
          <w:color w:val="000000"/>
          <w:sz w:val="24"/>
          <w:szCs w:val="24"/>
        </w:rPr>
        <w:t>applications. They can</w:t>
      </w:r>
      <w:r>
        <w:rPr>
          <w:color w:val="000000"/>
          <w:sz w:val="24"/>
          <w:szCs w:val="24"/>
        </w:rPr>
        <w:t xml:space="preserve"> create supramolecular ensembles that resemble those seen in nature (Chaudhry et al., 2008</w:t>
      </w:r>
      <w:r w:rsidR="008C3225">
        <w:rPr>
          <w:color w:val="000000"/>
          <w:sz w:val="24"/>
          <w:szCs w:val="24"/>
        </w:rPr>
        <w:t xml:space="preserve">, </w:t>
      </w:r>
      <w:r w:rsidR="008C3225" w:rsidRPr="008C3225">
        <w:rPr>
          <w:color w:val="00B0F0"/>
          <w:sz w:val="24"/>
          <w:szCs w:val="24"/>
        </w:rPr>
        <w:t>Eker et al, 2024</w:t>
      </w:r>
      <w:r>
        <w:rPr>
          <w:color w:val="000000"/>
          <w:sz w:val="24"/>
          <w:szCs w:val="24"/>
        </w:rPr>
        <w:t xml:space="preserve">). The nanosized materials are </w:t>
      </w:r>
      <w:proofErr w:type="spellStart"/>
      <w:r w:rsidR="00BB3629">
        <w:rPr>
          <w:color w:val="000000"/>
          <w:sz w:val="24"/>
          <w:szCs w:val="24"/>
        </w:rPr>
        <w:t>categorised</w:t>
      </w:r>
      <w:proofErr w:type="spellEnd"/>
      <w:r>
        <w:rPr>
          <w:color w:val="000000"/>
          <w:sz w:val="24"/>
          <w:szCs w:val="24"/>
        </w:rPr>
        <w:t xml:space="preserve"> into many classes according to their size, shape, chemical</w:t>
      </w:r>
      <w:r w:rsidR="00BB3629">
        <w:rPr>
          <w:color w:val="000000"/>
          <w:sz w:val="24"/>
          <w:szCs w:val="24"/>
        </w:rPr>
        <w:t xml:space="preserve"> composition, drugs,</w:t>
      </w:r>
      <w:r>
        <w:rPr>
          <w:color w:val="000000"/>
          <w:sz w:val="24"/>
          <w:szCs w:val="24"/>
        </w:rPr>
        <w:t xml:space="preserve"> </w:t>
      </w:r>
      <w:r w:rsidR="00BB3629">
        <w:rPr>
          <w:color w:val="000000"/>
          <w:sz w:val="24"/>
          <w:szCs w:val="24"/>
        </w:rPr>
        <w:t>cosmetics</w:t>
      </w:r>
      <w:r>
        <w:rPr>
          <w:color w:val="000000"/>
          <w:sz w:val="24"/>
          <w:szCs w:val="24"/>
        </w:rPr>
        <w:t>, surface, phase state, and other characteristics.</w:t>
      </w:r>
      <w:r w:rsidR="008C3225">
        <w:rPr>
          <w:color w:val="000000"/>
          <w:sz w:val="24"/>
          <w:szCs w:val="24"/>
        </w:rPr>
        <w:t xml:space="preserve"> Material-wise, they can be </w:t>
      </w:r>
      <w:r w:rsidR="002F2BD1">
        <w:rPr>
          <w:color w:val="000000"/>
          <w:sz w:val="24"/>
          <w:szCs w:val="24"/>
        </w:rPr>
        <w:t xml:space="preserve">mainly </w:t>
      </w:r>
      <w:r w:rsidR="008C3225">
        <w:rPr>
          <w:color w:val="000000"/>
          <w:sz w:val="24"/>
          <w:szCs w:val="24"/>
        </w:rPr>
        <w:t xml:space="preserve">organic, inorganic and </w:t>
      </w:r>
      <w:r w:rsidR="00BF04C0">
        <w:rPr>
          <w:color w:val="000000"/>
          <w:sz w:val="24"/>
          <w:szCs w:val="24"/>
        </w:rPr>
        <w:t>carbon-based</w:t>
      </w:r>
      <w:r w:rsidR="002F2BD1">
        <w:rPr>
          <w:color w:val="000000"/>
          <w:sz w:val="24"/>
          <w:szCs w:val="24"/>
        </w:rPr>
        <w:t>, and others are metal or non-metal or metal-oxide based nanoparticles/materials</w:t>
      </w:r>
      <w:r w:rsidR="008C3225">
        <w:rPr>
          <w:color w:val="000000"/>
          <w:sz w:val="24"/>
          <w:szCs w:val="24"/>
        </w:rPr>
        <w:t xml:space="preserve"> (</w:t>
      </w:r>
      <w:r w:rsidR="00BF04C0" w:rsidRPr="00BF04C0">
        <w:rPr>
          <w:color w:val="00B0F0"/>
          <w:sz w:val="24"/>
          <w:szCs w:val="24"/>
        </w:rPr>
        <w:t>Ijaz et al, 2020</w:t>
      </w:r>
      <w:r w:rsidR="002F2BD1">
        <w:rPr>
          <w:color w:val="00B0F0"/>
          <w:sz w:val="24"/>
          <w:szCs w:val="24"/>
        </w:rPr>
        <w:t xml:space="preserve">; </w:t>
      </w:r>
      <w:proofErr w:type="spellStart"/>
      <w:r w:rsidR="002F2BD1">
        <w:rPr>
          <w:color w:val="00B0F0"/>
          <w:sz w:val="24"/>
          <w:szCs w:val="24"/>
        </w:rPr>
        <w:t>Petrove</w:t>
      </w:r>
      <w:proofErr w:type="spellEnd"/>
      <w:r w:rsidR="002F2BD1">
        <w:rPr>
          <w:color w:val="00B0F0"/>
          <w:sz w:val="24"/>
          <w:szCs w:val="24"/>
        </w:rPr>
        <w:t xml:space="preserve"> et al, 2025</w:t>
      </w:r>
      <w:r w:rsidR="00BB3629">
        <w:rPr>
          <w:color w:val="000000"/>
          <w:sz w:val="24"/>
          <w:szCs w:val="24"/>
        </w:rPr>
        <w:t xml:space="preserve">). </w:t>
      </w:r>
      <w:r>
        <w:rPr>
          <w:color w:val="000000"/>
          <w:sz w:val="24"/>
          <w:szCs w:val="24"/>
        </w:rPr>
        <w:t>The tangible and Chemical characteristics of materials that have been created at the nanoscale are essential for assessing potential environmental risks and identifying toxicity to biological systems</w:t>
      </w:r>
      <w:r w:rsidR="00BB3629">
        <w:rPr>
          <w:color w:val="000000"/>
          <w:sz w:val="24"/>
          <w:szCs w:val="24"/>
        </w:rPr>
        <w:t>, including medicine</w:t>
      </w:r>
      <w:r>
        <w:rPr>
          <w:color w:val="000000"/>
          <w:sz w:val="24"/>
          <w:szCs w:val="24"/>
        </w:rPr>
        <w:t xml:space="preserve"> (Maharramov et al., 2019</w:t>
      </w:r>
      <w:r w:rsidR="00BB3629">
        <w:rPr>
          <w:color w:val="000000"/>
          <w:sz w:val="24"/>
          <w:szCs w:val="24"/>
        </w:rPr>
        <w:t xml:space="preserve">, </w:t>
      </w:r>
      <w:r w:rsidR="00BB3629">
        <w:rPr>
          <w:color w:val="00B0F0"/>
          <w:sz w:val="24"/>
          <w:szCs w:val="24"/>
        </w:rPr>
        <w:t>Li 2025</w:t>
      </w:r>
      <w:r>
        <w:rPr>
          <w:color w:val="000000"/>
          <w:sz w:val="24"/>
          <w:szCs w:val="24"/>
        </w:rPr>
        <w:t>). Novel qualities, advantageous for specific commercial applications, can result from controlling the structure and characteristics of materials at this scale. Within the food industry, food quality, shelf life, safety, cost, and nutritional advantages can all be enhanced with nanotechnology</w:t>
      </w:r>
      <w:r w:rsidR="00B475DF">
        <w:rPr>
          <w:color w:val="000000"/>
          <w:sz w:val="24"/>
          <w:szCs w:val="24"/>
        </w:rPr>
        <w:t>, the changing world</w:t>
      </w:r>
      <w:r>
        <w:rPr>
          <w:color w:val="000000"/>
          <w:sz w:val="24"/>
          <w:szCs w:val="24"/>
        </w:rPr>
        <w:t xml:space="preserve"> </w:t>
      </w:r>
      <w:r w:rsidR="00B475DF">
        <w:rPr>
          <w:color w:val="000000"/>
          <w:sz w:val="24"/>
          <w:szCs w:val="24"/>
        </w:rPr>
        <w:t xml:space="preserve">during the Anthropocene epoch </w:t>
      </w:r>
      <w:r>
        <w:rPr>
          <w:color w:val="000000"/>
          <w:sz w:val="24"/>
          <w:szCs w:val="24"/>
        </w:rPr>
        <w:t>(</w:t>
      </w:r>
      <w:proofErr w:type="spellStart"/>
      <w:r>
        <w:rPr>
          <w:color w:val="000000"/>
          <w:sz w:val="24"/>
          <w:szCs w:val="24"/>
        </w:rPr>
        <w:t>Sozer</w:t>
      </w:r>
      <w:proofErr w:type="spellEnd"/>
      <w:r>
        <w:rPr>
          <w:color w:val="000000"/>
          <w:sz w:val="24"/>
          <w:szCs w:val="24"/>
        </w:rPr>
        <w:t xml:space="preserve"> &amp; </w:t>
      </w:r>
      <w:proofErr w:type="spellStart"/>
      <w:r>
        <w:rPr>
          <w:color w:val="000000"/>
          <w:sz w:val="24"/>
          <w:szCs w:val="24"/>
        </w:rPr>
        <w:t>Kokini</w:t>
      </w:r>
      <w:proofErr w:type="spellEnd"/>
      <w:r>
        <w:rPr>
          <w:color w:val="000000"/>
          <w:sz w:val="24"/>
          <w:szCs w:val="24"/>
        </w:rPr>
        <w:t>, 2009</w:t>
      </w:r>
      <w:r w:rsidR="00B475DF">
        <w:rPr>
          <w:color w:val="000000"/>
          <w:sz w:val="24"/>
          <w:szCs w:val="24"/>
        </w:rPr>
        <w:t>;</w:t>
      </w:r>
      <w:r w:rsidR="00366E1B">
        <w:rPr>
          <w:color w:val="000000"/>
          <w:sz w:val="24"/>
          <w:szCs w:val="24"/>
        </w:rPr>
        <w:t xml:space="preserve"> </w:t>
      </w:r>
      <w:r w:rsidR="00B475DF" w:rsidRPr="00B475DF">
        <w:rPr>
          <w:color w:val="00B0F0"/>
          <w:sz w:val="24"/>
          <w:szCs w:val="24"/>
        </w:rPr>
        <w:t>Mishra et al, 20</w:t>
      </w:r>
      <w:r w:rsidR="00B475DF">
        <w:rPr>
          <w:color w:val="00B0F0"/>
          <w:sz w:val="24"/>
          <w:szCs w:val="24"/>
        </w:rPr>
        <w:t>1</w:t>
      </w:r>
      <w:r w:rsidR="00B475DF" w:rsidRPr="00B475DF">
        <w:rPr>
          <w:color w:val="00B0F0"/>
          <w:sz w:val="24"/>
          <w:szCs w:val="24"/>
        </w:rPr>
        <w:t>7</w:t>
      </w:r>
      <w:r w:rsidR="00B475DF">
        <w:rPr>
          <w:color w:val="000000"/>
          <w:sz w:val="24"/>
          <w:szCs w:val="24"/>
        </w:rPr>
        <w:t xml:space="preserve">; </w:t>
      </w:r>
      <w:r w:rsidR="00366E1B" w:rsidRPr="00366E1B">
        <w:rPr>
          <w:color w:val="00B0F0"/>
          <w:sz w:val="24"/>
          <w:szCs w:val="24"/>
        </w:rPr>
        <w:t>Biswas et al, 2022</w:t>
      </w:r>
      <w:r w:rsidR="00B475DF">
        <w:rPr>
          <w:color w:val="000000"/>
          <w:sz w:val="24"/>
          <w:szCs w:val="24"/>
        </w:rPr>
        <w:t xml:space="preserve">; </w:t>
      </w:r>
      <w:r w:rsidR="00366E1B" w:rsidRPr="00366E1B">
        <w:rPr>
          <w:color w:val="00B0F0"/>
          <w:sz w:val="24"/>
          <w:szCs w:val="24"/>
        </w:rPr>
        <w:t>Han et al, 2025</w:t>
      </w:r>
      <w:r>
        <w:rPr>
          <w:color w:val="000000"/>
          <w:sz w:val="24"/>
          <w:szCs w:val="24"/>
        </w:rPr>
        <w:t>).</w:t>
      </w:r>
    </w:p>
    <w:p w14:paraId="7ECECC6E" w14:textId="7F09C64E" w:rsidR="0059665B" w:rsidRDefault="00040B3E">
      <w:pPr>
        <w:pBdr>
          <w:top w:val="nil"/>
          <w:left w:val="nil"/>
          <w:bottom w:val="nil"/>
          <w:right w:val="nil"/>
          <w:between w:val="nil"/>
        </w:pBdr>
        <w:spacing w:before="66" w:line="259" w:lineRule="auto"/>
        <w:ind w:left="165" w:right="1150"/>
        <w:jc w:val="both"/>
        <w:rPr>
          <w:color w:val="000000"/>
          <w:sz w:val="24"/>
          <w:szCs w:val="24"/>
        </w:rPr>
      </w:pPr>
      <w:r w:rsidRPr="009A0982">
        <w:rPr>
          <w:color w:val="000000"/>
          <w:sz w:val="24"/>
          <w:szCs w:val="24"/>
        </w:rPr>
        <w:lastRenderedPageBreak/>
        <w:t>The Toxicological and Ecotoxicological assessment that has Risks of Polymer, Zinc Oxide, Titanium Dioxide and Graphene Oxide Nanoparticles (</w:t>
      </w:r>
      <w:proofErr w:type="spellStart"/>
      <w:r w:rsidRPr="009A0982">
        <w:rPr>
          <w:color w:val="00B0F0"/>
          <w:sz w:val="24"/>
          <w:szCs w:val="24"/>
        </w:rPr>
        <w:t>Vinardell</w:t>
      </w:r>
      <w:proofErr w:type="spellEnd"/>
      <w:r w:rsidRPr="009A0982">
        <w:rPr>
          <w:color w:val="00B0F0"/>
          <w:sz w:val="24"/>
          <w:szCs w:val="24"/>
        </w:rPr>
        <w:t xml:space="preserve"> et al, 2025</w:t>
      </w:r>
      <w:r w:rsidRPr="009A0982">
        <w:rPr>
          <w:color w:val="000000"/>
          <w:sz w:val="24"/>
          <w:szCs w:val="24"/>
        </w:rPr>
        <w:t>).</w:t>
      </w:r>
      <w:r>
        <w:rPr>
          <w:color w:val="000000"/>
          <w:sz w:val="24"/>
          <w:szCs w:val="24"/>
        </w:rPr>
        <w:t xml:space="preserve"> Generally, the nanomaterials used in the food industry, such as those used in packaging, are not meant to wind up in the finished food product. Sensors and antibacterial treatments are intended to </w:t>
      </w:r>
      <w:proofErr w:type="spellStart"/>
      <w:r>
        <w:rPr>
          <w:color w:val="000000"/>
          <w:sz w:val="24"/>
          <w:szCs w:val="24"/>
        </w:rPr>
        <w:t>sanitise</w:t>
      </w:r>
      <w:proofErr w:type="spellEnd"/>
      <w:r>
        <w:rPr>
          <w:color w:val="000000"/>
          <w:sz w:val="24"/>
          <w:szCs w:val="24"/>
        </w:rPr>
        <w:t xml:space="preserve"> facilities that produce food. In some instances, nanomaterials such as nanoparticles employed as delivery systems or to alter optical, rheological, or flow properties are made expressly to be added to food products. Due to the high likelihood of health issues, this review paper concentrates on the characteristics and possible safety of ingested nanomaterials (</w:t>
      </w:r>
      <w:proofErr w:type="spellStart"/>
      <w:r>
        <w:rPr>
          <w:color w:val="000000"/>
          <w:sz w:val="24"/>
          <w:szCs w:val="24"/>
        </w:rPr>
        <w:t>Livney</w:t>
      </w:r>
      <w:proofErr w:type="spellEnd"/>
      <w:r>
        <w:rPr>
          <w:color w:val="000000"/>
          <w:sz w:val="24"/>
          <w:szCs w:val="24"/>
        </w:rPr>
        <w:t>, 2010</w:t>
      </w:r>
      <w:r w:rsidR="00366E1B">
        <w:rPr>
          <w:color w:val="000000"/>
          <w:sz w:val="24"/>
          <w:szCs w:val="24"/>
        </w:rPr>
        <w:t xml:space="preserve">, </w:t>
      </w:r>
      <w:proofErr w:type="spellStart"/>
      <w:r w:rsidR="00366E1B" w:rsidRPr="00366E1B">
        <w:rPr>
          <w:color w:val="00B0F0"/>
          <w:sz w:val="24"/>
          <w:szCs w:val="24"/>
        </w:rPr>
        <w:t>Abegunde</w:t>
      </w:r>
      <w:proofErr w:type="spellEnd"/>
      <w:r w:rsidR="00366E1B" w:rsidRPr="00366E1B">
        <w:rPr>
          <w:color w:val="00B0F0"/>
          <w:sz w:val="24"/>
          <w:szCs w:val="24"/>
        </w:rPr>
        <w:t xml:space="preserve"> et al, 2025</w:t>
      </w:r>
      <w:r>
        <w:rPr>
          <w:color w:val="000000"/>
          <w:sz w:val="24"/>
          <w:szCs w:val="24"/>
        </w:rPr>
        <w:t>). It's critical to differentiate between the several possible origins of the nanoscale substances included in food. Many frequently ingested foods, like the casein micelles in milk or specific organelles found in plant or animal cells, naturally include nanoscale molecules (Bellmann et al., 2015</w:t>
      </w:r>
      <w:r w:rsidR="00366E1B">
        <w:rPr>
          <w:color w:val="000000"/>
          <w:sz w:val="24"/>
          <w:szCs w:val="24"/>
        </w:rPr>
        <w:t xml:space="preserve">; </w:t>
      </w:r>
      <w:r w:rsidR="00366E1B" w:rsidRPr="00366E1B">
        <w:rPr>
          <w:color w:val="00B0F0"/>
          <w:sz w:val="24"/>
          <w:szCs w:val="24"/>
        </w:rPr>
        <w:t>Sahoo et al, 2021</w:t>
      </w:r>
      <w:r>
        <w:rPr>
          <w:color w:val="000000"/>
          <w:sz w:val="24"/>
          <w:szCs w:val="24"/>
        </w:rPr>
        <w:t>). Foods may purposefully contain engineered nanoscale materials (ENMs) (for example, via delivery systems based on nanoparticles), or they may unintentionally enter food (for example, nanoparticles in packing materials that seep into the food matrix) (Szakal et al., 2014</w:t>
      </w:r>
      <w:r w:rsidR="00DF50AD">
        <w:rPr>
          <w:color w:val="000000"/>
          <w:sz w:val="24"/>
          <w:szCs w:val="24"/>
        </w:rPr>
        <w:t xml:space="preserve">, </w:t>
      </w:r>
      <w:r w:rsidR="00DF50AD" w:rsidRPr="00DF50AD">
        <w:rPr>
          <w:color w:val="00B0F0"/>
          <w:sz w:val="24"/>
          <w:szCs w:val="24"/>
        </w:rPr>
        <w:t>Muthu et al, 2025</w:t>
      </w:r>
      <w:r>
        <w:rPr>
          <w:color w:val="000000"/>
          <w:sz w:val="24"/>
          <w:szCs w:val="24"/>
        </w:rPr>
        <w:t xml:space="preserve">). Typically, ENMs are nanoparticles with precise composition, size, shape, and interfacial characteristics intended to accomplish one or more practical qualities. Specifically, ENMs can be utilised to change the texture, look, or stability of foods or to provide delivery systems for nutrients, nutraceuticals, </w:t>
      </w:r>
      <w:proofErr w:type="spellStart"/>
      <w:r>
        <w:rPr>
          <w:color w:val="000000"/>
          <w:sz w:val="24"/>
          <w:szCs w:val="24"/>
        </w:rPr>
        <w:t>colours</w:t>
      </w:r>
      <w:proofErr w:type="spellEnd"/>
      <w:r>
        <w:rPr>
          <w:color w:val="000000"/>
          <w:sz w:val="24"/>
          <w:szCs w:val="24"/>
        </w:rPr>
        <w:t>, tastes, and preservatives (Yada et al., 2014</w:t>
      </w:r>
      <w:r w:rsidR="00641C0C">
        <w:rPr>
          <w:color w:val="000000"/>
          <w:sz w:val="24"/>
          <w:szCs w:val="24"/>
        </w:rPr>
        <w:t xml:space="preserve">; De </w:t>
      </w:r>
      <w:proofErr w:type="spellStart"/>
      <w:r w:rsidR="00641C0C" w:rsidRPr="00641C0C">
        <w:rPr>
          <w:color w:val="00B0F0"/>
          <w:sz w:val="24"/>
          <w:szCs w:val="24"/>
        </w:rPr>
        <w:t>Olieveria</w:t>
      </w:r>
      <w:proofErr w:type="spellEnd"/>
      <w:r w:rsidR="00641C0C" w:rsidRPr="00641C0C">
        <w:rPr>
          <w:color w:val="00B0F0"/>
          <w:sz w:val="24"/>
          <w:szCs w:val="24"/>
        </w:rPr>
        <w:t xml:space="preserve"> et al, 2021</w:t>
      </w:r>
      <w:r>
        <w:rPr>
          <w:color w:val="000000"/>
          <w:sz w:val="24"/>
          <w:szCs w:val="24"/>
        </w:rPr>
        <w:t>). Lastly, common food processing techniques, including homogenization, grinding, and heating, may result in the presence of nanoscale structures in meals. Although the food maker may not have been attempting to produce nanoparticles on purpose in this instance, they are a natural byproduct of the processing methods that are employed (Gupta et al., 2016</w:t>
      </w:r>
      <w:r w:rsidR="00641C0C">
        <w:rPr>
          <w:color w:val="000000"/>
          <w:sz w:val="24"/>
          <w:szCs w:val="24"/>
        </w:rPr>
        <w:t xml:space="preserve">; </w:t>
      </w:r>
      <w:r w:rsidR="00641C0C" w:rsidRPr="00641C0C">
        <w:rPr>
          <w:color w:val="00B0F0"/>
          <w:sz w:val="24"/>
          <w:szCs w:val="24"/>
        </w:rPr>
        <w:t>Shafiq et al, 2025</w:t>
      </w:r>
      <w:r>
        <w:rPr>
          <w:color w:val="000000"/>
          <w:sz w:val="24"/>
          <w:szCs w:val="24"/>
        </w:rPr>
        <w:t>).</w:t>
      </w:r>
    </w:p>
    <w:p w14:paraId="5E858C2C" w14:textId="769761EC" w:rsidR="0059665B" w:rsidRDefault="00040B3E">
      <w:pPr>
        <w:pBdr>
          <w:top w:val="nil"/>
          <w:left w:val="nil"/>
          <w:bottom w:val="nil"/>
          <w:right w:val="nil"/>
          <w:between w:val="nil"/>
        </w:pBdr>
        <w:spacing w:before="157" w:line="259" w:lineRule="auto"/>
        <w:ind w:left="165" w:right="1155"/>
        <w:jc w:val="both"/>
        <w:rPr>
          <w:color w:val="000000"/>
          <w:sz w:val="24"/>
          <w:szCs w:val="24"/>
        </w:rPr>
      </w:pPr>
      <w:r>
        <w:rPr>
          <w:color w:val="000000"/>
          <w:sz w:val="24"/>
          <w:szCs w:val="24"/>
        </w:rPr>
        <w:t>Both acute and chronic toxicity are possible for nanoparticles, but the latter is more significant in meals</w:t>
      </w:r>
      <w:r w:rsidR="00641C0C">
        <w:rPr>
          <w:color w:val="000000"/>
          <w:sz w:val="24"/>
          <w:szCs w:val="24"/>
        </w:rPr>
        <w:t>,</w:t>
      </w:r>
      <w:r>
        <w:rPr>
          <w:color w:val="000000"/>
          <w:sz w:val="24"/>
          <w:szCs w:val="24"/>
        </w:rPr>
        <w:t xml:space="preserve"> as over time, comparatively tiny concentrations of nanoparticles are probably going to be ingested. Generally speaking, a nanoparticle's toxicity is determined by its capacity to harm human cells or organs, which would hurt health or well-being. Numerous locations within the gastrointestinal tract (GIT), as well as following the nanoparticles</w:t>
      </w:r>
      <w:r w:rsidR="00E96DAB">
        <w:rPr>
          <w:color w:val="000000"/>
          <w:sz w:val="24"/>
          <w:szCs w:val="24"/>
        </w:rPr>
        <w:t xml:space="preserve"> (NPs)</w:t>
      </w:r>
      <w:r>
        <w:rPr>
          <w:color w:val="000000"/>
          <w:sz w:val="24"/>
          <w:szCs w:val="24"/>
        </w:rPr>
        <w:t>' absorption into the body, may experience cellular or organ damage. Additionally, nanoparticles could harm the microbial cells that often make up the human GIT, potentially indirectly changing human health.</w:t>
      </w:r>
    </w:p>
    <w:p w14:paraId="5C5F5F5B" w14:textId="0449248B" w:rsidR="00E96DAB" w:rsidRDefault="00E96DAB">
      <w:pPr>
        <w:pBdr>
          <w:top w:val="nil"/>
          <w:left w:val="nil"/>
          <w:bottom w:val="nil"/>
          <w:right w:val="nil"/>
          <w:between w:val="nil"/>
        </w:pBdr>
        <w:spacing w:before="157" w:line="259" w:lineRule="auto"/>
        <w:ind w:left="165" w:right="1155"/>
        <w:jc w:val="both"/>
        <w:rPr>
          <w:b/>
          <w:bCs/>
          <w:color w:val="000000"/>
          <w:sz w:val="24"/>
          <w:szCs w:val="24"/>
        </w:rPr>
      </w:pPr>
      <w:r w:rsidRPr="00E96DAB">
        <w:rPr>
          <w:b/>
          <w:bCs/>
          <w:color w:val="000000"/>
          <w:sz w:val="24"/>
          <w:szCs w:val="24"/>
        </w:rPr>
        <w:t>Causes for NP toxicity:</w:t>
      </w:r>
    </w:p>
    <w:p w14:paraId="3FD869D3" w14:textId="77777777" w:rsidR="00E96DAB" w:rsidRDefault="00E96DAB">
      <w:pPr>
        <w:pBdr>
          <w:top w:val="nil"/>
          <w:left w:val="nil"/>
          <w:bottom w:val="nil"/>
          <w:right w:val="nil"/>
          <w:between w:val="nil"/>
        </w:pBdr>
        <w:spacing w:before="157" w:line="259" w:lineRule="auto"/>
        <w:ind w:left="165" w:right="1155"/>
        <w:jc w:val="both"/>
      </w:pPr>
      <w:r>
        <w:t>Nanoparticle toxicity occurs at both the cellular and systemic levels. Toxicity, when become uncontrolled at any level, becomes fatal. The toxicity of NPs can be ascribed to:</w:t>
      </w:r>
    </w:p>
    <w:p w14:paraId="15031E51" w14:textId="709F444A" w:rsidR="00E96DAB" w:rsidRDefault="00E96DAB">
      <w:pPr>
        <w:pBdr>
          <w:top w:val="nil"/>
          <w:left w:val="nil"/>
          <w:bottom w:val="nil"/>
          <w:right w:val="nil"/>
          <w:between w:val="nil"/>
        </w:pBdr>
        <w:spacing w:before="157" w:line="259" w:lineRule="auto"/>
        <w:ind w:left="165" w:right="1155"/>
        <w:jc w:val="both"/>
      </w:pPr>
      <w:r>
        <w:t xml:space="preserve"> </w:t>
      </w:r>
      <w:r>
        <w:sym w:font="Symbol" w:char="F0B7"/>
      </w:r>
      <w:r>
        <w:t xml:space="preserve"> Surface area to volume ratio of the particles, the higher the ratio more the </w:t>
      </w:r>
      <w:r w:rsidR="00275CE3">
        <w:t>surficial</w:t>
      </w:r>
      <w:r>
        <w:t xml:space="preserve"> interaction with the surrounding molecules.</w:t>
      </w:r>
    </w:p>
    <w:p w14:paraId="59278731" w14:textId="5001E2AB" w:rsidR="00E96DAB" w:rsidRDefault="00E96DAB">
      <w:pPr>
        <w:pBdr>
          <w:top w:val="nil"/>
          <w:left w:val="nil"/>
          <w:bottom w:val="nil"/>
          <w:right w:val="nil"/>
          <w:between w:val="nil"/>
        </w:pBdr>
        <w:spacing w:before="157" w:line="259" w:lineRule="auto"/>
        <w:ind w:left="165" w:right="1155"/>
        <w:jc w:val="both"/>
      </w:pPr>
      <w:r>
        <w:sym w:font="Symbol" w:char="F0B7"/>
      </w:r>
      <w:r>
        <w:t xml:space="preserve"> The chemistry and reactivity of the particle, which is responsible for its responsiveness.</w:t>
      </w:r>
    </w:p>
    <w:p w14:paraId="7FE7F7FC" w14:textId="47C1B440" w:rsidR="00E96DAB" w:rsidRDefault="00E96DAB">
      <w:pPr>
        <w:pBdr>
          <w:top w:val="nil"/>
          <w:left w:val="nil"/>
          <w:bottom w:val="nil"/>
          <w:right w:val="nil"/>
          <w:between w:val="nil"/>
        </w:pBdr>
        <w:spacing w:before="157" w:line="259" w:lineRule="auto"/>
        <w:ind w:left="165" w:right="1155"/>
        <w:jc w:val="both"/>
      </w:pPr>
      <w:r>
        <w:t xml:space="preserve"> </w:t>
      </w:r>
      <w:r>
        <w:sym w:font="Symbol" w:char="F0B7"/>
      </w:r>
      <w:r>
        <w:t xml:space="preserve"> The exterior surficial charge of the particle is accountable for electrostatic interactions.</w:t>
      </w:r>
    </w:p>
    <w:p w14:paraId="4319D557" w14:textId="77777777" w:rsidR="00275CE3" w:rsidRDefault="00E96DAB">
      <w:pPr>
        <w:pBdr>
          <w:top w:val="nil"/>
          <w:left w:val="nil"/>
          <w:bottom w:val="nil"/>
          <w:right w:val="nil"/>
          <w:between w:val="nil"/>
        </w:pBdr>
        <w:spacing w:before="157" w:line="259" w:lineRule="auto"/>
        <w:ind w:left="165" w:right="1155"/>
        <w:jc w:val="both"/>
      </w:pPr>
      <w:r>
        <w:t xml:space="preserve"> </w:t>
      </w:r>
      <w:r>
        <w:sym w:font="Symbol" w:char="F0B7"/>
      </w:r>
      <w:r>
        <w:t xml:space="preserve"> Hydrophobic</w:t>
      </w:r>
      <w:r w:rsidR="00275CE3">
        <w:t xml:space="preserve">, </w:t>
      </w:r>
      <w:r>
        <w:t xml:space="preserve">and </w:t>
      </w:r>
      <w:r w:rsidR="00275CE3">
        <w:t>often</w:t>
      </w:r>
      <w:r>
        <w:t xml:space="preserve"> lipophilic groups </w:t>
      </w:r>
      <w:r w:rsidR="00275CE3">
        <w:t>may</w:t>
      </w:r>
      <w:r>
        <w:t xml:space="preserve"> interact with proteins and membranes respectively. </w:t>
      </w:r>
    </w:p>
    <w:p w14:paraId="26B3D06D" w14:textId="2F2506BA" w:rsidR="00E96DAB" w:rsidRPr="00E96DAB" w:rsidRDefault="00E96DAB">
      <w:pPr>
        <w:pBdr>
          <w:top w:val="nil"/>
          <w:left w:val="nil"/>
          <w:bottom w:val="nil"/>
          <w:right w:val="nil"/>
          <w:between w:val="nil"/>
        </w:pBdr>
        <w:spacing w:before="157" w:line="259" w:lineRule="auto"/>
        <w:ind w:left="165" w:right="1155"/>
        <w:jc w:val="both"/>
        <w:rPr>
          <w:b/>
          <w:bCs/>
          <w:color w:val="000000"/>
          <w:sz w:val="24"/>
          <w:szCs w:val="24"/>
        </w:rPr>
      </w:pPr>
      <w:r>
        <w:sym w:font="Symbol" w:char="F0B7"/>
      </w:r>
      <w:r>
        <w:t xml:space="preserve"> </w:t>
      </w:r>
      <w:r w:rsidR="00275CE3">
        <w:t>I</w:t>
      </w:r>
      <w:r>
        <w:t xml:space="preserve">nert particle in the body </w:t>
      </w:r>
      <w:r w:rsidR="00275CE3">
        <w:t>at times</w:t>
      </w:r>
      <w:r>
        <w:t xml:space="preserve"> trigger tissue formation </w:t>
      </w:r>
      <w:r w:rsidR="00275CE3">
        <w:t>around</w:t>
      </w:r>
      <w:r>
        <w:t xml:space="preserve"> the foreign </w:t>
      </w:r>
      <w:r w:rsidR="00275CE3">
        <w:t>object</w:t>
      </w:r>
      <w:r>
        <w:t xml:space="preserve"> and scar tissue</w:t>
      </w:r>
      <w:r w:rsidR="00275CE3">
        <w:t>s</w:t>
      </w:r>
      <w:r>
        <w:t xml:space="preserve">. </w:t>
      </w:r>
    </w:p>
    <w:p w14:paraId="445F69B2" w14:textId="77777777" w:rsidR="0059665B" w:rsidRDefault="00040B3E">
      <w:pPr>
        <w:pStyle w:val="Heading1"/>
        <w:ind w:firstLine="165"/>
      </w:pPr>
      <w:r>
        <w:t>Types of nanoparticles and their toxicity</w:t>
      </w:r>
    </w:p>
    <w:p w14:paraId="1B66B938" w14:textId="03AA540A" w:rsidR="0059665B" w:rsidRDefault="00B475DF">
      <w:pPr>
        <w:pBdr>
          <w:top w:val="nil"/>
          <w:left w:val="nil"/>
          <w:bottom w:val="nil"/>
          <w:right w:val="nil"/>
          <w:between w:val="nil"/>
        </w:pBdr>
        <w:spacing w:before="184" w:line="259" w:lineRule="auto"/>
        <w:ind w:left="165" w:right="1544"/>
        <w:jc w:val="both"/>
        <w:rPr>
          <w:color w:val="000000"/>
          <w:sz w:val="24"/>
          <w:szCs w:val="24"/>
        </w:rPr>
      </w:pPr>
      <w:r>
        <w:rPr>
          <w:color w:val="000000"/>
          <w:sz w:val="24"/>
          <w:szCs w:val="24"/>
        </w:rPr>
        <w:t>Indians are still in the habit of ancient methods of food habits, and all ingredients are organic; the toxicity of NP fortified foods is yet to be felt (</w:t>
      </w:r>
      <w:r w:rsidRPr="002C4E8F">
        <w:rPr>
          <w:color w:val="00B0F0"/>
          <w:sz w:val="24"/>
          <w:szCs w:val="24"/>
        </w:rPr>
        <w:t>Mishra et al, 2020</w:t>
      </w:r>
      <w:r>
        <w:rPr>
          <w:color w:val="000000"/>
          <w:sz w:val="24"/>
          <w:szCs w:val="24"/>
        </w:rPr>
        <w:t xml:space="preserve">). Since their composition greatly affects their gastrointestinal fate and possible toxicity, the </w:t>
      </w:r>
      <w:r>
        <w:rPr>
          <w:color w:val="000000"/>
          <w:sz w:val="24"/>
          <w:szCs w:val="24"/>
        </w:rPr>
        <w:lastRenderedPageBreak/>
        <w:t>nanoparticles found in meals may generally be conveniently classified as either organic or inorganic.</w:t>
      </w:r>
    </w:p>
    <w:p w14:paraId="4EDC4DDE" w14:textId="77777777" w:rsidR="0059665B" w:rsidRDefault="00040B3E">
      <w:pPr>
        <w:pStyle w:val="Heading1"/>
        <w:spacing w:before="156"/>
        <w:ind w:left="225"/>
      </w:pPr>
      <w:r>
        <w:t>Inorganic nanoparticles</w:t>
      </w:r>
    </w:p>
    <w:p w14:paraId="74A42426" w14:textId="5141B00A" w:rsidR="0059665B" w:rsidRDefault="00040B3E">
      <w:pPr>
        <w:pBdr>
          <w:top w:val="nil"/>
          <w:left w:val="nil"/>
          <w:bottom w:val="nil"/>
          <w:right w:val="nil"/>
          <w:between w:val="nil"/>
        </w:pBdr>
        <w:spacing w:before="180" w:line="276" w:lineRule="auto"/>
        <w:ind w:left="165" w:right="1150"/>
        <w:jc w:val="both"/>
        <w:rPr>
          <w:color w:val="000000"/>
          <w:sz w:val="24"/>
          <w:szCs w:val="24"/>
        </w:rPr>
      </w:pPr>
      <w:r>
        <w:rPr>
          <w:color w:val="000000"/>
          <w:sz w:val="24"/>
          <w:szCs w:val="24"/>
        </w:rPr>
        <w:t>Inorganic substances like silver, iron oxide, titanium dioxide, silicon dioxide, or zinc oxide make up the majority of the various kinds of nanoparticles found in food. Either crystalline or amorphous solids at room temperature, which can vary in size, shape, and surface properties based on the raw materials and manufacturing conditions. The toxicity and GIT fate of inorganic nanoparticles are significantly influenced by their chemical reactivities and propensity to dissolve in various solution conditions (such as pH and ionic strength) (</w:t>
      </w:r>
      <w:proofErr w:type="spellStart"/>
      <w:r>
        <w:rPr>
          <w:color w:val="000000"/>
          <w:sz w:val="24"/>
          <w:szCs w:val="24"/>
        </w:rPr>
        <w:t>Pietroiusti</w:t>
      </w:r>
      <w:proofErr w:type="spellEnd"/>
      <w:r>
        <w:rPr>
          <w:color w:val="000000"/>
          <w:sz w:val="24"/>
          <w:szCs w:val="24"/>
        </w:rPr>
        <w:t xml:space="preserve"> et al., 2016</w:t>
      </w:r>
      <w:r w:rsidR="00A46A8E">
        <w:rPr>
          <w:color w:val="000000"/>
          <w:sz w:val="24"/>
          <w:szCs w:val="24"/>
        </w:rPr>
        <w:t xml:space="preserve">; </w:t>
      </w:r>
      <w:r w:rsidR="00A46A8E" w:rsidRPr="00A46A8E">
        <w:rPr>
          <w:color w:val="00B0F0"/>
          <w:sz w:val="24"/>
          <w:szCs w:val="24"/>
        </w:rPr>
        <w:t>Dash et al 2022</w:t>
      </w:r>
      <w:r>
        <w:rPr>
          <w:color w:val="000000"/>
          <w:sz w:val="24"/>
          <w:szCs w:val="24"/>
        </w:rPr>
        <w:t>).</w:t>
      </w:r>
    </w:p>
    <w:p w14:paraId="45633BEE" w14:textId="77777777" w:rsidR="0059665B" w:rsidRDefault="00040B3E">
      <w:pPr>
        <w:pStyle w:val="Heading1"/>
        <w:spacing w:before="164"/>
        <w:ind w:firstLine="165"/>
      </w:pPr>
      <w:r>
        <w:t>Silver nanoparticle</w:t>
      </w:r>
    </w:p>
    <w:p w14:paraId="7080F163" w14:textId="77777777" w:rsidR="00275CE3" w:rsidRDefault="00275CE3" w:rsidP="00275CE3"/>
    <w:p w14:paraId="53C12E9D" w14:textId="1AF5F58C" w:rsidR="0059665B" w:rsidRDefault="00040B3E">
      <w:pPr>
        <w:pBdr>
          <w:top w:val="nil"/>
          <w:left w:val="nil"/>
          <w:bottom w:val="nil"/>
          <w:right w:val="nil"/>
          <w:between w:val="nil"/>
        </w:pBdr>
        <w:spacing w:before="66" w:line="259" w:lineRule="auto"/>
        <w:ind w:left="165" w:right="1155"/>
        <w:jc w:val="both"/>
        <w:rPr>
          <w:color w:val="000000"/>
          <w:sz w:val="24"/>
          <w:szCs w:val="24"/>
        </w:rPr>
      </w:pPr>
      <w:r>
        <w:rPr>
          <w:color w:val="000000"/>
          <w:sz w:val="24"/>
          <w:szCs w:val="24"/>
        </w:rPr>
        <w:t xml:space="preserve">The silver </w:t>
      </w:r>
      <w:r w:rsidR="0056156C">
        <w:rPr>
          <w:color w:val="000000"/>
          <w:sz w:val="24"/>
          <w:szCs w:val="24"/>
        </w:rPr>
        <w:t xml:space="preserve">nanoparticles </w:t>
      </w:r>
      <w:r>
        <w:rPr>
          <w:color w:val="000000"/>
          <w:sz w:val="24"/>
          <w:szCs w:val="24"/>
        </w:rPr>
        <w:t>(</w:t>
      </w:r>
      <w:proofErr w:type="spellStart"/>
      <w:r>
        <w:rPr>
          <w:color w:val="000000"/>
          <w:sz w:val="24"/>
          <w:szCs w:val="24"/>
        </w:rPr>
        <w:t>Ag</w:t>
      </w:r>
      <w:r w:rsidR="0056156C">
        <w:rPr>
          <w:color w:val="000000"/>
          <w:sz w:val="24"/>
          <w:szCs w:val="24"/>
        </w:rPr>
        <w:t>NPs</w:t>
      </w:r>
      <w:proofErr w:type="spellEnd"/>
      <w:r>
        <w:rPr>
          <w:color w:val="000000"/>
          <w:sz w:val="24"/>
          <w:szCs w:val="24"/>
        </w:rPr>
        <w:t>)</w:t>
      </w:r>
      <w:r w:rsidR="0056156C">
        <w:rPr>
          <w:color w:val="000000"/>
          <w:sz w:val="24"/>
          <w:szCs w:val="24"/>
        </w:rPr>
        <w:t xml:space="preserve"> are at the forefront</w:t>
      </w:r>
      <w:r>
        <w:rPr>
          <w:color w:val="000000"/>
          <w:sz w:val="24"/>
          <w:szCs w:val="24"/>
        </w:rPr>
        <w:t xml:space="preserve"> in the food sector. They have been utilised in food and food packaging products as antibacterial agents. For instance, producers in the United States have said that silver nanoparticles are utilised in specific food containers due to their antibacterial properties (e.g., Kinetic Go Green basic nano silver food storage container, Fresher</w:t>
      </w:r>
      <w:r w:rsidR="002F2BD1">
        <w:rPr>
          <w:color w:val="000000"/>
          <w:sz w:val="24"/>
          <w:szCs w:val="24"/>
        </w:rPr>
        <w:t xml:space="preserve"> </w:t>
      </w:r>
      <w:r>
        <w:rPr>
          <w:color w:val="000000"/>
          <w:sz w:val="24"/>
          <w:szCs w:val="24"/>
        </w:rPr>
        <w:t>Longer</w:t>
      </w:r>
      <w:r w:rsidR="002F2BD1">
        <w:rPr>
          <w:color w:val="000000"/>
          <w:sz w:val="24"/>
          <w:szCs w:val="24"/>
        </w:rPr>
        <w:t xml:space="preserve"> </w:t>
      </w:r>
      <w:r>
        <w:rPr>
          <w:color w:val="000000"/>
          <w:sz w:val="24"/>
          <w:szCs w:val="24"/>
        </w:rPr>
        <w:t>TM plastic storage bags, and Oso fresh food storage containers) (</w:t>
      </w:r>
      <w:proofErr w:type="spellStart"/>
      <w:r>
        <w:rPr>
          <w:color w:val="000000"/>
          <w:sz w:val="24"/>
          <w:szCs w:val="24"/>
        </w:rPr>
        <w:t>Gaillet</w:t>
      </w:r>
      <w:proofErr w:type="spellEnd"/>
      <w:r>
        <w:rPr>
          <w:color w:val="000000"/>
          <w:sz w:val="24"/>
          <w:szCs w:val="24"/>
        </w:rPr>
        <w:t xml:space="preserve"> &amp; </w:t>
      </w:r>
      <w:proofErr w:type="spellStart"/>
      <w:r>
        <w:rPr>
          <w:color w:val="000000"/>
          <w:sz w:val="24"/>
          <w:szCs w:val="24"/>
        </w:rPr>
        <w:t>Rouanet</w:t>
      </w:r>
      <w:proofErr w:type="spellEnd"/>
      <w:r>
        <w:rPr>
          <w:color w:val="000000"/>
          <w:sz w:val="24"/>
          <w:szCs w:val="24"/>
        </w:rPr>
        <w:t>, 2015</w:t>
      </w:r>
      <w:r w:rsidR="00DF5870">
        <w:rPr>
          <w:color w:val="000000"/>
          <w:sz w:val="24"/>
          <w:szCs w:val="24"/>
        </w:rPr>
        <w:t xml:space="preserve">, </w:t>
      </w:r>
      <w:r w:rsidR="00DF5870" w:rsidRPr="00DF5870">
        <w:rPr>
          <w:color w:val="00B0F0"/>
          <w:sz w:val="24"/>
          <w:szCs w:val="24"/>
        </w:rPr>
        <w:t>Ihtisham et al, 2021</w:t>
      </w:r>
      <w:r>
        <w:rPr>
          <w:color w:val="000000"/>
          <w:sz w:val="24"/>
          <w:szCs w:val="24"/>
        </w:rPr>
        <w:t xml:space="preserve">). Some of these silver nanoparticles might move from these containers into food items, where they could be consumed by people. Additionally, when soluble silver salts interact with other substances in biological media (such as </w:t>
      </w:r>
      <w:r w:rsidR="009028E1" w:rsidRPr="009028E1">
        <w:rPr>
          <w:color w:val="000000"/>
          <w:sz w:val="24"/>
          <w:szCs w:val="24"/>
        </w:rPr>
        <w:t>gastrointestinal tract</w:t>
      </w:r>
      <w:r w:rsidR="009028E1">
        <w:rPr>
          <w:color w:val="000000"/>
          <w:sz w:val="24"/>
          <w:szCs w:val="24"/>
        </w:rPr>
        <w:t xml:space="preserve"> (</w:t>
      </w:r>
      <w:r>
        <w:rPr>
          <w:color w:val="000000"/>
          <w:sz w:val="24"/>
          <w:szCs w:val="24"/>
        </w:rPr>
        <w:t>GIT</w:t>
      </w:r>
      <w:r w:rsidR="009028E1">
        <w:rPr>
          <w:color w:val="000000"/>
          <w:sz w:val="24"/>
          <w:szCs w:val="24"/>
        </w:rPr>
        <w:t>)</w:t>
      </w:r>
      <w:r>
        <w:rPr>
          <w:color w:val="000000"/>
          <w:sz w:val="24"/>
          <w:szCs w:val="24"/>
        </w:rPr>
        <w:t xml:space="preserve"> fluids or meals), silver nanoparticles</w:t>
      </w:r>
      <w:r w:rsidR="00DF5870">
        <w:rPr>
          <w:color w:val="000000"/>
          <w:sz w:val="24"/>
          <w:szCs w:val="24"/>
        </w:rPr>
        <w:t xml:space="preserve"> (</w:t>
      </w:r>
      <w:proofErr w:type="spellStart"/>
      <w:r w:rsidR="00DF5870" w:rsidRPr="00DF5870">
        <w:rPr>
          <w:color w:val="000000"/>
          <w:sz w:val="24"/>
          <w:szCs w:val="24"/>
        </w:rPr>
        <w:t>AgNPs</w:t>
      </w:r>
      <w:proofErr w:type="spellEnd"/>
      <w:r w:rsidR="00DF5870">
        <w:rPr>
          <w:color w:val="000000"/>
          <w:sz w:val="24"/>
          <w:szCs w:val="24"/>
        </w:rPr>
        <w:t>)</w:t>
      </w:r>
      <w:r>
        <w:rPr>
          <w:color w:val="000000"/>
          <w:sz w:val="24"/>
          <w:szCs w:val="24"/>
        </w:rPr>
        <w:t xml:space="preserve"> may develop on their own (</w:t>
      </w:r>
      <w:proofErr w:type="spellStart"/>
      <w:r>
        <w:rPr>
          <w:color w:val="000000"/>
          <w:sz w:val="24"/>
          <w:szCs w:val="24"/>
        </w:rPr>
        <w:t>Pulit-Prociak</w:t>
      </w:r>
      <w:proofErr w:type="spellEnd"/>
      <w:r>
        <w:rPr>
          <w:color w:val="000000"/>
          <w:sz w:val="24"/>
          <w:szCs w:val="24"/>
        </w:rPr>
        <w:t xml:space="preserve"> et al., 2015</w:t>
      </w:r>
      <w:r w:rsidR="00B453E3">
        <w:rPr>
          <w:color w:val="000000"/>
          <w:sz w:val="24"/>
          <w:szCs w:val="24"/>
        </w:rPr>
        <w:t xml:space="preserve">, </w:t>
      </w:r>
      <w:proofErr w:type="spellStart"/>
      <w:r w:rsidR="00B453E3" w:rsidRPr="00B453E3">
        <w:rPr>
          <w:color w:val="00B0F0"/>
          <w:sz w:val="24"/>
          <w:szCs w:val="24"/>
        </w:rPr>
        <w:t>Ahari</w:t>
      </w:r>
      <w:proofErr w:type="spellEnd"/>
      <w:r w:rsidR="00B453E3" w:rsidRPr="00B453E3">
        <w:rPr>
          <w:color w:val="00B0F0"/>
          <w:sz w:val="24"/>
          <w:szCs w:val="24"/>
        </w:rPr>
        <w:t xml:space="preserve"> et al, 2021</w:t>
      </w:r>
      <w:r>
        <w:rPr>
          <w:color w:val="000000"/>
          <w:sz w:val="24"/>
          <w:szCs w:val="24"/>
        </w:rPr>
        <w:t xml:space="preserve">). According to estimates, humans may eat 20–80 µgram of silver each day, of which only a small portion is in the form of nanoparticles. The possible toxicity of silver nanoparticles consumed through food is still poorly understood at this time, with some research finding no harm and others finding significant toxicity. Since the GIT is one of the first tissues exposed to dietary nanoparticles following ingestion, it may be especially vulnerable to toxicity caused by these particles (Echegoyen </w:t>
      </w:r>
      <w:r w:rsidR="00EC3B1F">
        <w:rPr>
          <w:color w:val="000000"/>
          <w:sz w:val="24"/>
          <w:szCs w:val="24"/>
        </w:rPr>
        <w:t>et al.</w:t>
      </w:r>
      <w:r>
        <w:rPr>
          <w:color w:val="000000"/>
          <w:sz w:val="24"/>
          <w:szCs w:val="24"/>
        </w:rPr>
        <w:t>, 2013</w:t>
      </w:r>
      <w:r w:rsidR="009028E1">
        <w:rPr>
          <w:color w:val="000000"/>
          <w:sz w:val="24"/>
          <w:szCs w:val="24"/>
        </w:rPr>
        <w:t xml:space="preserve">, </w:t>
      </w:r>
      <w:r w:rsidR="009028E1" w:rsidRPr="009028E1">
        <w:rPr>
          <w:color w:val="00B0F0"/>
          <w:sz w:val="24"/>
          <w:szCs w:val="24"/>
        </w:rPr>
        <w:t>Ferdous et al, 2020</w:t>
      </w:r>
      <w:r>
        <w:rPr>
          <w:color w:val="000000"/>
          <w:sz w:val="24"/>
          <w:szCs w:val="24"/>
        </w:rPr>
        <w:t>).</w:t>
      </w:r>
    </w:p>
    <w:p w14:paraId="35262B2E" w14:textId="1A8D6068" w:rsidR="0059665B" w:rsidRDefault="00040B3E">
      <w:pPr>
        <w:pBdr>
          <w:top w:val="nil"/>
          <w:left w:val="nil"/>
          <w:bottom w:val="nil"/>
          <w:right w:val="nil"/>
          <w:between w:val="nil"/>
        </w:pBdr>
        <w:spacing w:before="156" w:line="259" w:lineRule="auto"/>
        <w:ind w:left="165" w:right="1151" w:firstLine="55"/>
        <w:jc w:val="both"/>
        <w:rPr>
          <w:color w:val="000000"/>
          <w:sz w:val="24"/>
          <w:szCs w:val="24"/>
        </w:rPr>
      </w:pPr>
      <w:r>
        <w:rPr>
          <w:color w:val="000000"/>
          <w:sz w:val="24"/>
          <w:szCs w:val="24"/>
        </w:rPr>
        <w:t>The detrimental effects of silver nanoparticles on the GIT are still up for debate, though. According to several animal studies, ingesting silver nanoparticles through the diet resulted in lymphocyte infiltration, villi pigmentation, mucus granule discharge, and an aberrant mucus composition in the intestine (</w:t>
      </w:r>
      <w:proofErr w:type="spellStart"/>
      <w:r>
        <w:rPr>
          <w:color w:val="000000"/>
          <w:sz w:val="24"/>
          <w:szCs w:val="24"/>
        </w:rPr>
        <w:t>Hajipour</w:t>
      </w:r>
      <w:proofErr w:type="spellEnd"/>
      <w:r>
        <w:rPr>
          <w:color w:val="000000"/>
          <w:sz w:val="24"/>
          <w:szCs w:val="24"/>
        </w:rPr>
        <w:t xml:space="preserve"> et al., 2012</w:t>
      </w:r>
      <w:r w:rsidR="00DC6D38">
        <w:rPr>
          <w:color w:val="000000"/>
          <w:sz w:val="24"/>
          <w:szCs w:val="24"/>
        </w:rPr>
        <w:t xml:space="preserve">, </w:t>
      </w:r>
      <w:r w:rsidR="00DC6D38" w:rsidRPr="00DC6D38">
        <w:rPr>
          <w:color w:val="00B0F0"/>
          <w:sz w:val="24"/>
          <w:szCs w:val="24"/>
        </w:rPr>
        <w:t>Ferdous et al, 2020</w:t>
      </w:r>
      <w:r>
        <w:rPr>
          <w:color w:val="000000"/>
          <w:sz w:val="24"/>
          <w:szCs w:val="24"/>
        </w:rPr>
        <w:t xml:space="preserve">). According to research on animals, silver nanoparticles can build up in the stomach, small intestine, liver, kidneys, spleen, and other organs after consumption. According to these findings, silver nanoparticles may enter the systemic circulation through the GIT and subsequently disperse throughout different organs. However, the bulk of ingested silver nanoparticles was likely eliminated in the urine or </w:t>
      </w:r>
      <w:proofErr w:type="spellStart"/>
      <w:r>
        <w:rPr>
          <w:color w:val="000000"/>
          <w:sz w:val="24"/>
          <w:szCs w:val="24"/>
        </w:rPr>
        <w:t>faeces</w:t>
      </w:r>
      <w:proofErr w:type="spellEnd"/>
      <w:r>
        <w:rPr>
          <w:color w:val="000000"/>
          <w:sz w:val="24"/>
          <w:szCs w:val="24"/>
        </w:rPr>
        <w:t xml:space="preserve"> because just a small fraction (&lt;1%) usually accumulates in tissues (</w:t>
      </w:r>
      <w:proofErr w:type="spellStart"/>
      <w:r>
        <w:rPr>
          <w:color w:val="000000"/>
          <w:sz w:val="24"/>
          <w:szCs w:val="24"/>
        </w:rPr>
        <w:t>Pugliara</w:t>
      </w:r>
      <w:proofErr w:type="spellEnd"/>
      <w:r>
        <w:rPr>
          <w:color w:val="000000"/>
          <w:sz w:val="24"/>
          <w:szCs w:val="24"/>
        </w:rPr>
        <w:t xml:space="preserve"> et al., 2016</w:t>
      </w:r>
      <w:r w:rsidR="00951DA0">
        <w:rPr>
          <w:color w:val="000000"/>
          <w:sz w:val="24"/>
          <w:szCs w:val="24"/>
        </w:rPr>
        <w:t xml:space="preserve">; </w:t>
      </w:r>
      <w:r w:rsidR="00951DA0" w:rsidRPr="00951DA0">
        <w:rPr>
          <w:color w:val="00B0F0"/>
          <w:sz w:val="24"/>
          <w:szCs w:val="24"/>
        </w:rPr>
        <w:t>Carnevale et al, 2021</w:t>
      </w:r>
      <w:r>
        <w:rPr>
          <w:color w:val="000000"/>
          <w:sz w:val="24"/>
          <w:szCs w:val="24"/>
        </w:rPr>
        <w:t xml:space="preserve">). Following oral gavage, no toxicity of the silver nanoparticles was seen at the concentrations utilised in this investigation (2000 and 250 mg/kg body weight for single and multiple administrations, respectively). </w:t>
      </w:r>
      <w:r w:rsidR="00951DA0">
        <w:rPr>
          <w:color w:val="000000"/>
          <w:sz w:val="24"/>
          <w:szCs w:val="24"/>
        </w:rPr>
        <w:t>S</w:t>
      </w:r>
      <w:r>
        <w:rPr>
          <w:color w:val="000000"/>
          <w:sz w:val="24"/>
          <w:szCs w:val="24"/>
        </w:rPr>
        <w:t xml:space="preserve">tudy </w:t>
      </w:r>
      <w:r w:rsidR="00951DA0">
        <w:rPr>
          <w:color w:val="000000"/>
          <w:sz w:val="24"/>
          <w:szCs w:val="24"/>
        </w:rPr>
        <w:t>reveals</w:t>
      </w:r>
      <w:r>
        <w:rPr>
          <w:color w:val="000000"/>
          <w:sz w:val="24"/>
          <w:szCs w:val="24"/>
        </w:rPr>
        <w:t xml:space="preserve"> that while ingesting silver nanoparticles at doses of 30, 300, and 1000 mg/kg</w:t>
      </w:r>
      <w:r w:rsidR="004823A5">
        <w:rPr>
          <w:color w:val="000000"/>
          <w:sz w:val="24"/>
          <w:szCs w:val="24"/>
        </w:rPr>
        <w:t xml:space="preserve"> and recently (1000mg/Kg) for</w:t>
      </w:r>
      <w:r>
        <w:rPr>
          <w:color w:val="000000"/>
          <w:sz w:val="24"/>
          <w:szCs w:val="24"/>
        </w:rPr>
        <w:t xml:space="preserve"> 28 days did not result in any significant harmful consequences, the highest doses employed caused some minor liver damage (</w:t>
      </w:r>
      <w:proofErr w:type="spellStart"/>
      <w:r>
        <w:rPr>
          <w:color w:val="000000"/>
          <w:sz w:val="24"/>
          <w:szCs w:val="24"/>
        </w:rPr>
        <w:t>Mackevica</w:t>
      </w:r>
      <w:proofErr w:type="spellEnd"/>
      <w:r>
        <w:rPr>
          <w:color w:val="000000"/>
          <w:sz w:val="24"/>
          <w:szCs w:val="24"/>
        </w:rPr>
        <w:t xml:space="preserve"> et al., 2016</w:t>
      </w:r>
      <w:r w:rsidR="004823A5">
        <w:rPr>
          <w:color w:val="000000"/>
          <w:sz w:val="24"/>
          <w:szCs w:val="24"/>
        </w:rPr>
        <w:t xml:space="preserve">; </w:t>
      </w:r>
      <w:r w:rsidR="004823A5" w:rsidRPr="004823A5">
        <w:rPr>
          <w:color w:val="00B0F0"/>
          <w:sz w:val="24"/>
          <w:szCs w:val="24"/>
        </w:rPr>
        <w:t>Padilla et al, 2022</w:t>
      </w:r>
      <w:r>
        <w:rPr>
          <w:color w:val="000000"/>
          <w:sz w:val="24"/>
          <w:szCs w:val="24"/>
        </w:rPr>
        <w:t xml:space="preserve">). According to other research, mice's liver and renal function may suffer if they consume silver nanoparticles repeatedly. </w:t>
      </w:r>
      <w:r w:rsidR="0056156C">
        <w:rPr>
          <w:color w:val="000000"/>
          <w:sz w:val="24"/>
          <w:szCs w:val="24"/>
        </w:rPr>
        <w:t>The</w:t>
      </w:r>
      <w:r>
        <w:rPr>
          <w:color w:val="000000"/>
          <w:sz w:val="24"/>
          <w:szCs w:val="24"/>
        </w:rPr>
        <w:t xml:space="preserve"> </w:t>
      </w:r>
      <w:r w:rsidR="0056156C">
        <w:rPr>
          <w:color w:val="000000"/>
          <w:sz w:val="24"/>
          <w:szCs w:val="24"/>
        </w:rPr>
        <w:t>limit is 125 mg/kg of silver nanoparticles when</w:t>
      </w:r>
      <w:r>
        <w:rPr>
          <w:color w:val="000000"/>
          <w:sz w:val="24"/>
          <w:szCs w:val="24"/>
        </w:rPr>
        <w:t xml:space="preserve"> negative liver effects </w:t>
      </w:r>
      <w:r w:rsidR="0056156C">
        <w:rPr>
          <w:color w:val="000000"/>
          <w:sz w:val="24"/>
          <w:szCs w:val="24"/>
        </w:rPr>
        <w:t xml:space="preserve">are reported </w:t>
      </w:r>
      <w:r>
        <w:rPr>
          <w:color w:val="000000"/>
          <w:sz w:val="24"/>
          <w:szCs w:val="24"/>
        </w:rPr>
        <w:t>(Cha et al., 2008</w:t>
      </w:r>
      <w:r w:rsidR="001829C3">
        <w:rPr>
          <w:color w:val="000000"/>
          <w:sz w:val="24"/>
          <w:szCs w:val="24"/>
        </w:rPr>
        <w:t xml:space="preserve">; </w:t>
      </w:r>
      <w:r w:rsidR="001829C3" w:rsidRPr="001829C3">
        <w:rPr>
          <w:color w:val="00B0F0"/>
          <w:sz w:val="24"/>
          <w:szCs w:val="24"/>
        </w:rPr>
        <w:t>Hashim et al, 2022</w:t>
      </w:r>
      <w:r>
        <w:rPr>
          <w:color w:val="000000"/>
          <w:sz w:val="24"/>
          <w:szCs w:val="24"/>
        </w:rPr>
        <w:t xml:space="preserve">). In conclusion, research on animals has demonstrated that when consumed in sufficient quantities, silver nanoparticles may build up in the body and cause toxicity; however, it is unclear if these levels are comparable to those that </w:t>
      </w:r>
      <w:r>
        <w:rPr>
          <w:color w:val="000000"/>
          <w:sz w:val="24"/>
          <w:szCs w:val="24"/>
        </w:rPr>
        <w:lastRenderedPageBreak/>
        <w:t>may be attained through diet</w:t>
      </w:r>
      <w:r w:rsidR="0056156C">
        <w:rPr>
          <w:color w:val="000000"/>
          <w:sz w:val="24"/>
          <w:szCs w:val="24"/>
        </w:rPr>
        <w:t xml:space="preserve"> (</w:t>
      </w:r>
      <w:r w:rsidR="0056156C" w:rsidRPr="0056156C">
        <w:rPr>
          <w:color w:val="00B0F0"/>
          <w:sz w:val="24"/>
          <w:szCs w:val="24"/>
        </w:rPr>
        <w:t>Frippiat and Art et al, 2025</w:t>
      </w:r>
      <w:r w:rsidR="0056156C">
        <w:rPr>
          <w:color w:val="000000"/>
          <w:sz w:val="24"/>
          <w:szCs w:val="24"/>
        </w:rPr>
        <w:t>)</w:t>
      </w:r>
      <w:r>
        <w:rPr>
          <w:color w:val="000000"/>
          <w:sz w:val="24"/>
          <w:szCs w:val="24"/>
        </w:rPr>
        <w:t xml:space="preserve">. </w:t>
      </w:r>
      <w:r w:rsidR="001829C3">
        <w:rPr>
          <w:color w:val="000000"/>
          <w:sz w:val="24"/>
          <w:szCs w:val="24"/>
        </w:rPr>
        <w:t>It warrants</w:t>
      </w:r>
      <w:r>
        <w:rPr>
          <w:color w:val="000000"/>
          <w:sz w:val="24"/>
          <w:szCs w:val="24"/>
        </w:rPr>
        <w:t xml:space="preserve"> </w:t>
      </w:r>
      <w:r w:rsidR="001829C3">
        <w:rPr>
          <w:color w:val="000000"/>
          <w:sz w:val="24"/>
          <w:szCs w:val="24"/>
        </w:rPr>
        <w:t>conducting</w:t>
      </w:r>
      <w:r>
        <w:rPr>
          <w:color w:val="000000"/>
          <w:sz w:val="24"/>
          <w:szCs w:val="24"/>
        </w:rPr>
        <w:t xml:space="preserve"> long-term chronic toxicity studies in the future with nanoparticle levels that are closer to those that are really absorbed in the human diet. Furthermore, more research is needed to ascertain if silver nanoparticles dissolve in gastrointestinal fluids</w:t>
      </w:r>
      <w:r w:rsidR="001829C3">
        <w:rPr>
          <w:color w:val="000000"/>
          <w:sz w:val="24"/>
          <w:szCs w:val="24"/>
        </w:rPr>
        <w:t xml:space="preserve"> (GIF)</w:t>
      </w:r>
      <w:r>
        <w:rPr>
          <w:color w:val="000000"/>
          <w:sz w:val="24"/>
          <w:szCs w:val="24"/>
        </w:rPr>
        <w:t xml:space="preserve"> and whether the behaviour of silver taken in soluble or nanoparticle form differs</w:t>
      </w:r>
      <w:r w:rsidR="001829C3">
        <w:rPr>
          <w:color w:val="000000"/>
          <w:sz w:val="24"/>
          <w:szCs w:val="24"/>
        </w:rPr>
        <w:t xml:space="preserve"> (</w:t>
      </w:r>
      <w:proofErr w:type="spellStart"/>
      <w:r w:rsidR="001829C3" w:rsidRPr="001829C3">
        <w:rPr>
          <w:color w:val="00B0F0"/>
          <w:sz w:val="24"/>
          <w:szCs w:val="24"/>
        </w:rPr>
        <w:t>Efaky</w:t>
      </w:r>
      <w:proofErr w:type="spellEnd"/>
      <w:r w:rsidR="001829C3" w:rsidRPr="001829C3">
        <w:rPr>
          <w:color w:val="00B0F0"/>
          <w:sz w:val="24"/>
          <w:szCs w:val="24"/>
        </w:rPr>
        <w:t xml:space="preserve"> et al. 2022</w:t>
      </w:r>
      <w:r w:rsidR="00215DEE">
        <w:rPr>
          <w:color w:val="00B0F0"/>
          <w:sz w:val="24"/>
          <w:szCs w:val="24"/>
        </w:rPr>
        <w:t>, Abbas et al, 2025</w:t>
      </w:r>
      <w:r w:rsidR="001829C3">
        <w:rPr>
          <w:color w:val="000000"/>
          <w:sz w:val="24"/>
          <w:szCs w:val="24"/>
        </w:rPr>
        <w:t>)</w:t>
      </w:r>
      <w:r>
        <w:rPr>
          <w:color w:val="000000"/>
          <w:sz w:val="24"/>
          <w:szCs w:val="24"/>
        </w:rPr>
        <w:t>.</w:t>
      </w:r>
    </w:p>
    <w:p w14:paraId="14535E01" w14:textId="77777777" w:rsidR="0059665B" w:rsidRDefault="00040B3E">
      <w:pPr>
        <w:pStyle w:val="Heading1"/>
        <w:ind w:firstLine="165"/>
        <w:jc w:val="both"/>
      </w:pPr>
      <w:r>
        <w:t>Titanium dioxide (TiO2) nanoparticles</w:t>
      </w:r>
    </w:p>
    <w:p w14:paraId="7A3394EC" w14:textId="60649D63" w:rsidR="0059665B" w:rsidRDefault="00040B3E" w:rsidP="00215DEE">
      <w:pPr>
        <w:pBdr>
          <w:top w:val="nil"/>
          <w:left w:val="nil"/>
          <w:bottom w:val="nil"/>
          <w:right w:val="nil"/>
          <w:between w:val="nil"/>
        </w:pBdr>
        <w:spacing w:before="184" w:line="259" w:lineRule="auto"/>
        <w:ind w:left="165" w:right="1155"/>
        <w:jc w:val="both"/>
        <w:rPr>
          <w:color w:val="000000"/>
          <w:sz w:val="24"/>
          <w:szCs w:val="24"/>
        </w:rPr>
      </w:pPr>
      <w:r>
        <w:rPr>
          <w:color w:val="000000"/>
          <w:sz w:val="24"/>
          <w:szCs w:val="24"/>
        </w:rPr>
        <w:t>TiO2 particles are utilised as functional additives in some foods to give them distinctive optical qualities like greater brightness and lightness (Weir et al., 2012</w:t>
      </w:r>
      <w:r w:rsidR="00CF6BA7">
        <w:rPr>
          <w:color w:val="000000"/>
          <w:sz w:val="24"/>
          <w:szCs w:val="24"/>
        </w:rPr>
        <w:t xml:space="preserve">, </w:t>
      </w:r>
      <w:r w:rsidR="00CF6BA7" w:rsidRPr="00CF6BA7">
        <w:rPr>
          <w:color w:val="00B0F0"/>
          <w:sz w:val="24"/>
          <w:szCs w:val="24"/>
        </w:rPr>
        <w:t xml:space="preserve">Cruz-Rosa et al, </w:t>
      </w:r>
      <w:r w:rsidR="00CF6BA7">
        <w:rPr>
          <w:color w:val="00B0F0"/>
          <w:sz w:val="24"/>
          <w:szCs w:val="24"/>
        </w:rPr>
        <w:t>2</w:t>
      </w:r>
      <w:r w:rsidR="00CF6BA7" w:rsidRPr="00CF6BA7">
        <w:rPr>
          <w:color w:val="00B0F0"/>
          <w:sz w:val="24"/>
          <w:szCs w:val="24"/>
        </w:rPr>
        <w:t>023</w:t>
      </w:r>
      <w:r>
        <w:rPr>
          <w:color w:val="000000"/>
          <w:sz w:val="24"/>
          <w:szCs w:val="24"/>
        </w:rPr>
        <w:t xml:space="preserve">). The TiO2 substances used as lightening agents in the food sector are usually designed to have particle sizes between 100 and </w:t>
      </w:r>
      <w:r w:rsidR="00CF6BA7">
        <w:rPr>
          <w:color w:val="000000"/>
          <w:sz w:val="24"/>
          <w:szCs w:val="24"/>
        </w:rPr>
        <w:t>300 nm</w:t>
      </w:r>
      <w:r>
        <w:rPr>
          <w:color w:val="000000"/>
          <w:sz w:val="24"/>
          <w:szCs w:val="24"/>
        </w:rPr>
        <w:t xml:space="preserve"> to improve their light scattering capabilities (Jovanović, 2014</w:t>
      </w:r>
      <w:r w:rsidR="00CF6BA7">
        <w:rPr>
          <w:color w:val="000000"/>
          <w:sz w:val="24"/>
          <w:szCs w:val="24"/>
        </w:rPr>
        <w:t xml:space="preserve">; </w:t>
      </w:r>
      <w:proofErr w:type="spellStart"/>
      <w:r w:rsidR="00CF6BA7" w:rsidRPr="00CF6BA7">
        <w:rPr>
          <w:color w:val="00B0F0"/>
          <w:sz w:val="24"/>
          <w:szCs w:val="24"/>
        </w:rPr>
        <w:t>Ziental</w:t>
      </w:r>
      <w:proofErr w:type="spellEnd"/>
      <w:r w:rsidR="00CF6BA7" w:rsidRPr="00CF6BA7">
        <w:rPr>
          <w:color w:val="00B0F0"/>
          <w:sz w:val="24"/>
          <w:szCs w:val="24"/>
        </w:rPr>
        <w:t xml:space="preserve"> et al, 2020</w:t>
      </w:r>
      <w:r>
        <w:rPr>
          <w:color w:val="000000"/>
          <w:sz w:val="24"/>
          <w:szCs w:val="24"/>
        </w:rPr>
        <w:t>). However, these components include a variety of particle sizes, and a sizable percentage of them may have</w:t>
      </w:r>
      <w:r w:rsidR="00215DEE">
        <w:rPr>
          <w:color w:val="000000"/>
          <w:sz w:val="24"/>
          <w:szCs w:val="24"/>
        </w:rPr>
        <w:t xml:space="preserve"> </w:t>
      </w:r>
      <w:r>
        <w:rPr>
          <w:color w:val="000000"/>
          <w:sz w:val="24"/>
          <w:szCs w:val="24"/>
        </w:rPr>
        <w:t>diameters less than 100 nm, making them nanoparticles (Warheit et al., 2015</w:t>
      </w:r>
      <w:r w:rsidR="00215DEE">
        <w:rPr>
          <w:color w:val="000000"/>
          <w:sz w:val="24"/>
          <w:szCs w:val="24"/>
        </w:rPr>
        <w:t xml:space="preserve">; </w:t>
      </w:r>
      <w:r w:rsidR="00215DEE" w:rsidRPr="00215DEE">
        <w:rPr>
          <w:color w:val="00B0F0"/>
          <w:sz w:val="24"/>
          <w:szCs w:val="24"/>
        </w:rPr>
        <w:t>Shakeel et al.</w:t>
      </w:r>
      <w:r w:rsidR="00215DEE">
        <w:rPr>
          <w:color w:val="00B0F0"/>
          <w:sz w:val="24"/>
          <w:szCs w:val="24"/>
        </w:rPr>
        <w:t>,</w:t>
      </w:r>
      <w:r w:rsidR="00215DEE" w:rsidRPr="00215DEE">
        <w:rPr>
          <w:color w:val="00B0F0"/>
          <w:sz w:val="24"/>
          <w:szCs w:val="24"/>
        </w:rPr>
        <w:t xml:space="preserve"> 2025</w:t>
      </w:r>
      <w:r>
        <w:rPr>
          <w:color w:val="000000"/>
          <w:sz w:val="24"/>
          <w:szCs w:val="24"/>
        </w:rPr>
        <w:t xml:space="preserve">). </w:t>
      </w:r>
      <w:r w:rsidR="00215DEE">
        <w:rPr>
          <w:color w:val="000000"/>
          <w:sz w:val="24"/>
          <w:szCs w:val="24"/>
        </w:rPr>
        <w:t>T</w:t>
      </w:r>
      <w:r>
        <w:rPr>
          <w:color w:val="000000"/>
          <w:sz w:val="24"/>
          <w:szCs w:val="24"/>
        </w:rPr>
        <w:t>he average particle diameter of food-grade TiO2 (E171) powders sourced from multiple manufacturers was approximately 110 nm, with over 36% of the particles falling below the 100 nm threshold. According to reports, humans in the US and the UK may be exposed to up to 2.2 and 1.1 mg/kg body weight/day of TiO2 nanoparticles through their diet, respectively (Weir et al., 2012).1.5–5.1 mg of TiO2 nanoparticles can be consumed by chewing one piece of gum. It is interesting to notice that children consumed 2–4 times as many TiO2 nanoparticles as adults did. This could be because several of the products that children consume the most, like candies, gums, desserts, and beverages, have some of the highest concentrations of TiO2 nanoparticles (Yang et al., 2014). The toxicity and GIT fate of TiO2 nanoparticles will be influenced by their diverse sizes, morphologies, crystal forms, interfacial characteristics, and aggregation states (J. Wang et al., 2007</w:t>
      </w:r>
      <w:r w:rsidR="004A4B90">
        <w:rPr>
          <w:color w:val="000000"/>
          <w:sz w:val="24"/>
          <w:szCs w:val="24"/>
        </w:rPr>
        <w:t xml:space="preserve">; </w:t>
      </w:r>
      <w:r w:rsidR="004A4B90" w:rsidRPr="004A4B90">
        <w:rPr>
          <w:color w:val="00B0F0"/>
          <w:sz w:val="24"/>
          <w:szCs w:val="24"/>
        </w:rPr>
        <w:t>Nadeem et al, 20</w:t>
      </w:r>
      <w:r w:rsidR="004A4B90">
        <w:rPr>
          <w:color w:val="00B0F0"/>
          <w:sz w:val="24"/>
          <w:szCs w:val="24"/>
        </w:rPr>
        <w:t>1</w:t>
      </w:r>
      <w:r w:rsidR="004A4B90" w:rsidRPr="004A4B90">
        <w:rPr>
          <w:color w:val="00B0F0"/>
          <w:sz w:val="24"/>
          <w:szCs w:val="24"/>
        </w:rPr>
        <w:t>8</w:t>
      </w:r>
      <w:r>
        <w:rPr>
          <w:color w:val="000000"/>
          <w:sz w:val="24"/>
          <w:szCs w:val="24"/>
        </w:rPr>
        <w:t xml:space="preserve">). In addition to concentrating, accumulating, and magnifying in the tissues of mammals and other vertebrates, TiO2 nanoparticles also have a very low rate of clearance, according to a recent analysis of 16 animal investigations. TiO2 nanoparticles' oral toxicity has been investigated in rodents both acutely and </w:t>
      </w:r>
      <w:r w:rsidR="000B53FB">
        <w:rPr>
          <w:color w:val="000000"/>
          <w:sz w:val="24"/>
          <w:szCs w:val="24"/>
        </w:rPr>
        <w:t>subchronically</w:t>
      </w:r>
      <w:r>
        <w:rPr>
          <w:color w:val="000000"/>
          <w:sz w:val="24"/>
          <w:szCs w:val="24"/>
        </w:rPr>
        <w:t>. Mice's liver, spleen, kidney, and lung tissues accumulated TiO2 nanoparticles (25, 80, or 155 nm) after a single oral dose of 5000 mg/kg body weight. This accumulation also caused hepatic injury, nephrotoxicity, and cardiac damage (Cho et al., 2013</w:t>
      </w:r>
      <w:r w:rsidR="000B53FB">
        <w:rPr>
          <w:color w:val="000000"/>
          <w:sz w:val="24"/>
          <w:szCs w:val="24"/>
        </w:rPr>
        <w:t xml:space="preserve">; </w:t>
      </w:r>
      <w:r w:rsidR="000B53FB" w:rsidRPr="000B53FB">
        <w:rPr>
          <w:color w:val="00B0F0"/>
          <w:sz w:val="24"/>
          <w:szCs w:val="24"/>
        </w:rPr>
        <w:t>Kim et al., 2025</w:t>
      </w:r>
      <w:r>
        <w:rPr>
          <w:color w:val="000000"/>
          <w:sz w:val="24"/>
          <w:szCs w:val="24"/>
        </w:rPr>
        <w:t>).</w:t>
      </w:r>
    </w:p>
    <w:p w14:paraId="27E51893" w14:textId="60B0118B" w:rsidR="0059665B" w:rsidRDefault="00040B3E">
      <w:pPr>
        <w:pBdr>
          <w:top w:val="nil"/>
          <w:left w:val="nil"/>
          <w:bottom w:val="nil"/>
          <w:right w:val="nil"/>
          <w:between w:val="nil"/>
        </w:pBdr>
        <w:spacing w:before="157" w:line="259" w:lineRule="auto"/>
        <w:ind w:left="165" w:right="1145" w:firstLine="60"/>
        <w:jc w:val="both"/>
        <w:rPr>
          <w:color w:val="000000"/>
          <w:sz w:val="24"/>
          <w:szCs w:val="24"/>
        </w:rPr>
      </w:pPr>
      <w:r>
        <w:rPr>
          <w:color w:val="000000"/>
          <w:sz w:val="24"/>
          <w:szCs w:val="24"/>
        </w:rPr>
        <w:t>In a different study, mice received intragastric administration of TiO2 nanoparticles in the anatase form (5 nm) at doses of 62.5, 125, and 250 mg/kg body weight for 30 days. TiO2 nanoparticles harmed the immune system, haemostasis, blood system, and liver function at greater doses (Y. Wang et al., 2013</w:t>
      </w:r>
      <w:r w:rsidR="000B53FB">
        <w:rPr>
          <w:color w:val="000000"/>
          <w:sz w:val="24"/>
          <w:szCs w:val="24"/>
        </w:rPr>
        <w:t xml:space="preserve">; </w:t>
      </w:r>
      <w:r w:rsidR="000B53FB" w:rsidRPr="000B53FB">
        <w:rPr>
          <w:color w:val="00B0F0"/>
          <w:sz w:val="24"/>
          <w:szCs w:val="24"/>
        </w:rPr>
        <w:t>Jie et al, 2016</w:t>
      </w:r>
      <w:r>
        <w:rPr>
          <w:color w:val="000000"/>
          <w:sz w:val="24"/>
          <w:szCs w:val="24"/>
        </w:rPr>
        <w:t>). However, other research has found that ingested TiO2 nanoparticles do not accumulate or cause any harm. As an illustration, a study in which rats were repeatedly given TiO2 nanoparticles (a mixture of anatase and rutile at 21 nm) at doses ranging from 260 to 1041 mg/kg revealed no appreciable toxicity or TiO2 buildup in tissues or urine, but rather high levels of titanium dioxide in feces, indicating that the TiO2 nanoparticles were largely removed (Tada-Oikawa et al., 2016). There are several possible explanations for the reported discrepancies between several animal investigations</w:t>
      </w:r>
      <w:r w:rsidR="00896F53">
        <w:rPr>
          <w:color w:val="000000"/>
          <w:sz w:val="24"/>
          <w:szCs w:val="24"/>
        </w:rPr>
        <w:t>, including</w:t>
      </w:r>
      <w:r>
        <w:rPr>
          <w:color w:val="000000"/>
          <w:sz w:val="24"/>
          <w:szCs w:val="24"/>
        </w:rPr>
        <w:t xml:space="preserve"> </w:t>
      </w:r>
      <w:r w:rsidR="00896F53">
        <w:rPr>
          <w:color w:val="000000"/>
          <w:sz w:val="24"/>
          <w:szCs w:val="24"/>
        </w:rPr>
        <w:t xml:space="preserve">industrial </w:t>
      </w:r>
      <w:r w:rsidR="00B26115">
        <w:rPr>
          <w:color w:val="000000"/>
          <w:sz w:val="24"/>
          <w:szCs w:val="24"/>
        </w:rPr>
        <w:t>pollution</w:t>
      </w:r>
      <w:r w:rsidR="00896F53">
        <w:rPr>
          <w:color w:val="000000"/>
          <w:sz w:val="24"/>
          <w:szCs w:val="24"/>
        </w:rPr>
        <w:t xml:space="preserve"> </w:t>
      </w:r>
      <w:r>
        <w:rPr>
          <w:color w:val="000000"/>
          <w:sz w:val="24"/>
          <w:szCs w:val="24"/>
        </w:rPr>
        <w:t xml:space="preserve">and </w:t>
      </w:r>
      <w:r w:rsidR="00B26115">
        <w:rPr>
          <w:color w:val="000000"/>
          <w:sz w:val="24"/>
          <w:szCs w:val="24"/>
        </w:rPr>
        <w:t xml:space="preserve">the </w:t>
      </w:r>
      <w:r>
        <w:rPr>
          <w:color w:val="000000"/>
          <w:sz w:val="24"/>
          <w:szCs w:val="24"/>
        </w:rPr>
        <w:t xml:space="preserve">toxicity </w:t>
      </w:r>
      <w:r w:rsidR="00B26115">
        <w:rPr>
          <w:color w:val="000000"/>
          <w:sz w:val="24"/>
          <w:szCs w:val="24"/>
        </w:rPr>
        <w:t xml:space="preserve">removal </w:t>
      </w:r>
      <w:r>
        <w:rPr>
          <w:color w:val="000000"/>
          <w:sz w:val="24"/>
          <w:szCs w:val="24"/>
        </w:rPr>
        <w:t xml:space="preserve">of TiO2 nanoparticles. First, there are variations in the nanoparticles' surface properties, aggregation state, size, crystal shape, and oral dosage. Second, the effects of the food matrix and GIT passage on the nanoparticles' characteristics are frequently disregarded or considered differently. Third, several analytical techniques and animal models may be employed to assess toxicity and accumulation (Song et al., 2015). The age of the experimental animals utilised, for instance, has been demonstrated to have a significant impact. While adult animals showed very mild toxic effects, young mice showed heart damage, liver oedema, and non-allergic mast cell activation in stomach tissue. </w:t>
      </w:r>
      <w:r>
        <w:rPr>
          <w:color w:val="000000"/>
          <w:sz w:val="24"/>
          <w:szCs w:val="24"/>
        </w:rPr>
        <w:lastRenderedPageBreak/>
        <w:t>Considering that children are thought to consume significantly more TiO2 nanoparticles than adults, this finding is especially significant</w:t>
      </w:r>
      <w:r w:rsidR="00FB7A7B">
        <w:rPr>
          <w:color w:val="000000"/>
          <w:sz w:val="24"/>
          <w:szCs w:val="24"/>
        </w:rPr>
        <w:t xml:space="preserve"> (</w:t>
      </w:r>
      <w:r w:rsidR="00FB7A7B" w:rsidRPr="00171FD8">
        <w:rPr>
          <w:color w:val="00B0F0"/>
          <w:sz w:val="24"/>
          <w:szCs w:val="24"/>
        </w:rPr>
        <w:t>Rashid et al, 2021</w:t>
      </w:r>
      <w:r w:rsidR="00171FD8">
        <w:rPr>
          <w:color w:val="000000"/>
          <w:sz w:val="24"/>
          <w:szCs w:val="24"/>
        </w:rPr>
        <w:t>)</w:t>
      </w:r>
      <w:r>
        <w:rPr>
          <w:color w:val="000000"/>
          <w:sz w:val="24"/>
          <w:szCs w:val="24"/>
        </w:rPr>
        <w:t>.</w:t>
      </w:r>
    </w:p>
    <w:p w14:paraId="1AEC762D" w14:textId="77777777" w:rsidR="0059665B" w:rsidRDefault="00040B3E">
      <w:pPr>
        <w:pStyle w:val="Heading1"/>
        <w:spacing w:before="156"/>
        <w:ind w:firstLine="165"/>
        <w:jc w:val="both"/>
      </w:pPr>
      <w:r>
        <w:t>Iron oxide nanoparticles</w:t>
      </w:r>
    </w:p>
    <w:p w14:paraId="19440FBA" w14:textId="5EB4353D" w:rsidR="0059665B" w:rsidRDefault="00040B3E" w:rsidP="00896F53">
      <w:pPr>
        <w:pBdr>
          <w:top w:val="nil"/>
          <w:left w:val="nil"/>
          <w:bottom w:val="nil"/>
          <w:right w:val="nil"/>
          <w:between w:val="nil"/>
        </w:pBdr>
        <w:spacing w:before="184" w:line="259" w:lineRule="auto"/>
        <w:ind w:left="165" w:right="1150"/>
        <w:jc w:val="both"/>
        <w:rPr>
          <w:color w:val="000000"/>
          <w:sz w:val="24"/>
          <w:szCs w:val="24"/>
        </w:rPr>
      </w:pPr>
      <w:r>
        <w:rPr>
          <w:color w:val="000000"/>
          <w:sz w:val="24"/>
          <w:szCs w:val="24"/>
        </w:rPr>
        <w:t xml:space="preserve">Iron oxide nanoparticles </w:t>
      </w:r>
      <w:r w:rsidR="00171FD8">
        <w:rPr>
          <w:color w:val="000000"/>
          <w:sz w:val="24"/>
          <w:szCs w:val="24"/>
        </w:rPr>
        <w:t>(Fe</w:t>
      </w:r>
      <w:r w:rsidR="00171FD8" w:rsidRPr="00171FD8">
        <w:rPr>
          <w:color w:val="000000"/>
          <w:sz w:val="24"/>
          <w:szCs w:val="24"/>
          <w:vertAlign w:val="subscript"/>
        </w:rPr>
        <w:t>2</w:t>
      </w:r>
      <w:r w:rsidR="00171FD8">
        <w:rPr>
          <w:color w:val="000000"/>
          <w:sz w:val="24"/>
          <w:szCs w:val="24"/>
        </w:rPr>
        <w:t>O</w:t>
      </w:r>
      <w:r w:rsidR="00171FD8" w:rsidRPr="00171FD8">
        <w:rPr>
          <w:color w:val="000000"/>
          <w:sz w:val="24"/>
          <w:szCs w:val="24"/>
          <w:vertAlign w:val="subscript"/>
        </w:rPr>
        <w:t>3</w:t>
      </w:r>
      <w:r w:rsidR="00171FD8">
        <w:rPr>
          <w:color w:val="000000"/>
          <w:sz w:val="24"/>
          <w:szCs w:val="24"/>
        </w:rPr>
        <w:t xml:space="preserve">NPs) </w:t>
      </w:r>
      <w:r>
        <w:rPr>
          <w:color w:val="000000"/>
          <w:sz w:val="24"/>
          <w:szCs w:val="24"/>
        </w:rPr>
        <w:t xml:space="preserve">can be used as bioavailable iron sources or as </w:t>
      </w:r>
      <w:proofErr w:type="spellStart"/>
      <w:r>
        <w:rPr>
          <w:color w:val="000000"/>
          <w:sz w:val="24"/>
          <w:szCs w:val="24"/>
        </w:rPr>
        <w:t>colourants</w:t>
      </w:r>
      <w:proofErr w:type="spellEnd"/>
      <w:r>
        <w:rPr>
          <w:color w:val="000000"/>
          <w:sz w:val="24"/>
          <w:szCs w:val="24"/>
        </w:rPr>
        <w:t xml:space="preserve"> in food</w:t>
      </w:r>
      <w:r w:rsidR="00171FD8">
        <w:rPr>
          <w:color w:val="000000"/>
          <w:sz w:val="24"/>
          <w:szCs w:val="24"/>
        </w:rPr>
        <w:t xml:space="preserve"> and act as antibacterial</w:t>
      </w:r>
      <w:r w:rsidR="00896F53">
        <w:rPr>
          <w:color w:val="000000"/>
          <w:sz w:val="24"/>
          <w:szCs w:val="24"/>
        </w:rPr>
        <w:t xml:space="preserve">, and </w:t>
      </w:r>
      <w:r w:rsidR="00896F53" w:rsidRPr="00896F53">
        <w:rPr>
          <w:color w:val="000000"/>
          <w:sz w:val="24"/>
          <w:szCs w:val="24"/>
        </w:rPr>
        <w:t>magnetic hyperthermia (MH)</w:t>
      </w:r>
      <w:r>
        <w:rPr>
          <w:color w:val="000000"/>
          <w:sz w:val="24"/>
          <w:szCs w:val="24"/>
        </w:rPr>
        <w:t xml:space="preserve"> (Raspopov et al., 2011</w:t>
      </w:r>
      <w:r w:rsidR="00896F53">
        <w:rPr>
          <w:color w:val="000000"/>
          <w:sz w:val="24"/>
          <w:szCs w:val="24"/>
        </w:rPr>
        <w:t xml:space="preserve">, </w:t>
      </w:r>
      <w:proofErr w:type="spellStart"/>
      <w:r w:rsidR="00896F53" w:rsidRPr="00896F53">
        <w:rPr>
          <w:color w:val="00B0F0"/>
          <w:sz w:val="24"/>
          <w:szCs w:val="24"/>
        </w:rPr>
        <w:t>Baledia</w:t>
      </w:r>
      <w:proofErr w:type="spellEnd"/>
      <w:r w:rsidR="00896F53" w:rsidRPr="00896F53">
        <w:rPr>
          <w:color w:val="00B0F0"/>
          <w:sz w:val="24"/>
          <w:szCs w:val="24"/>
        </w:rPr>
        <w:t xml:space="preserve"> et al., 2025</w:t>
      </w:r>
      <w:r>
        <w:rPr>
          <w:color w:val="000000"/>
          <w:sz w:val="24"/>
          <w:szCs w:val="24"/>
        </w:rPr>
        <w:t xml:space="preserve">). Iron oxide has a very limited range of uses as a food </w:t>
      </w:r>
      <w:proofErr w:type="spellStart"/>
      <w:r>
        <w:rPr>
          <w:color w:val="000000"/>
          <w:sz w:val="24"/>
          <w:szCs w:val="24"/>
        </w:rPr>
        <w:t>colouring</w:t>
      </w:r>
      <w:proofErr w:type="spellEnd"/>
      <w:r>
        <w:rPr>
          <w:color w:val="000000"/>
          <w:sz w:val="24"/>
          <w:szCs w:val="24"/>
        </w:rPr>
        <w:t xml:space="preserve"> in the US, typically up to 0.1 weight per cent in sausage casings. The average daily consumption of iron oxide from users of these items was calculated to be approximately 450 µ grams. However, consumers who consume functional meals or mineral-fortified supplements may consume significantly more iron. For instance, the daily intake of iron from dietary</w:t>
      </w:r>
      <w:r w:rsidR="00896F53">
        <w:rPr>
          <w:color w:val="000000"/>
          <w:sz w:val="24"/>
          <w:szCs w:val="24"/>
        </w:rPr>
        <w:t xml:space="preserve"> </w:t>
      </w:r>
      <w:r>
        <w:rPr>
          <w:color w:val="000000"/>
          <w:sz w:val="24"/>
          <w:szCs w:val="24"/>
        </w:rPr>
        <w:t>supplements can range from 10 to 32 mg, but the daily intake from enriched/fortified foods can range from 10 to 23 mg (Additives, 2007). It should be emphasised that iron oxide or nanoparticles are not typically used to supply this kind of iron. However, these amounts may exist if iron oxide nanoparticles were employed for this purpose. The toxicity of iron oxide nanoparticles may vary depending on their size, shape, and crystal structure (Fulgoni III et al., 2011</w:t>
      </w:r>
      <w:r w:rsidR="00896F53">
        <w:rPr>
          <w:color w:val="000000"/>
          <w:sz w:val="24"/>
          <w:szCs w:val="24"/>
        </w:rPr>
        <w:t xml:space="preserve">, </w:t>
      </w:r>
      <w:proofErr w:type="spellStart"/>
      <w:r w:rsidR="00896F53" w:rsidRPr="00896F53">
        <w:rPr>
          <w:color w:val="00B0F0"/>
          <w:sz w:val="24"/>
          <w:szCs w:val="24"/>
        </w:rPr>
        <w:t>Pourmadadi</w:t>
      </w:r>
      <w:proofErr w:type="spellEnd"/>
      <w:r w:rsidR="00896F53" w:rsidRPr="00896F53">
        <w:rPr>
          <w:color w:val="00B0F0"/>
          <w:sz w:val="24"/>
          <w:szCs w:val="24"/>
        </w:rPr>
        <w:t xml:space="preserve"> et al, 2022</w:t>
      </w:r>
      <w:r>
        <w:rPr>
          <w:color w:val="000000"/>
          <w:sz w:val="24"/>
          <w:szCs w:val="24"/>
        </w:rPr>
        <w:t>). The most plausible explanation for iron oxide nanoparticles' possible toxicity has been suggested to be their capacity to produce ROS. According to a study, rats given iron oxide nanoparticles orally for 13 weeks at a dose of roughly 3 mg/kg body weight did not develop toxicity or accumulate in organs. Iron oxide nanoparticles were given orally at a much greater dose (250–1000 mg/kg body weight) for 13 weeks in another rat feeding research; however, neither male nor female rats showed any signs of tissue buildup or toxicity (Patil et al., 2015</w:t>
      </w:r>
      <w:r w:rsidR="00677B8E">
        <w:rPr>
          <w:color w:val="000000"/>
          <w:sz w:val="24"/>
          <w:szCs w:val="24"/>
        </w:rPr>
        <w:t>;</w:t>
      </w:r>
      <w:r w:rsidR="00B26115">
        <w:rPr>
          <w:color w:val="000000"/>
          <w:sz w:val="24"/>
          <w:szCs w:val="24"/>
        </w:rPr>
        <w:t xml:space="preserve"> </w:t>
      </w:r>
      <w:r w:rsidR="00B26115" w:rsidRPr="00677B8E">
        <w:rPr>
          <w:color w:val="00B0F0"/>
          <w:sz w:val="24"/>
          <w:szCs w:val="24"/>
        </w:rPr>
        <w:t xml:space="preserve">Salehirozveh et al., </w:t>
      </w:r>
      <w:r w:rsidR="00677B8E" w:rsidRPr="00677B8E">
        <w:rPr>
          <w:color w:val="00B0F0"/>
          <w:sz w:val="24"/>
          <w:szCs w:val="24"/>
        </w:rPr>
        <w:t>2024</w:t>
      </w:r>
      <w:r>
        <w:rPr>
          <w:color w:val="000000"/>
          <w:sz w:val="24"/>
          <w:szCs w:val="24"/>
        </w:rPr>
        <w:t>).</w:t>
      </w:r>
    </w:p>
    <w:p w14:paraId="631C0AFD" w14:textId="77777777" w:rsidR="0059665B" w:rsidRDefault="00040B3E">
      <w:pPr>
        <w:pStyle w:val="Heading1"/>
        <w:spacing w:before="158"/>
        <w:ind w:firstLine="165"/>
      </w:pPr>
      <w:r>
        <w:t>Zinc oxide nanoparticles</w:t>
      </w:r>
    </w:p>
    <w:p w14:paraId="45DE837F" w14:textId="53163EA9" w:rsidR="0059665B" w:rsidRDefault="00040B3E">
      <w:pPr>
        <w:pBdr>
          <w:top w:val="nil"/>
          <w:left w:val="nil"/>
          <w:bottom w:val="nil"/>
          <w:right w:val="nil"/>
          <w:between w:val="nil"/>
        </w:pBdr>
        <w:spacing w:before="183" w:line="259" w:lineRule="auto"/>
        <w:ind w:left="165" w:right="1153"/>
        <w:jc w:val="both"/>
        <w:rPr>
          <w:color w:val="000000"/>
          <w:sz w:val="24"/>
          <w:szCs w:val="24"/>
        </w:rPr>
      </w:pPr>
      <w:r>
        <w:rPr>
          <w:color w:val="000000"/>
          <w:sz w:val="24"/>
          <w:szCs w:val="24"/>
        </w:rPr>
        <w:t>Zinc oxide (ZnO) nanoparticles can be utilised as a source of zinc in functional foods and supplements because it is a necessary trace element for human health and wellness (Y. Wang et al., 2014</w:t>
      </w:r>
      <w:r w:rsidR="002C4E8F">
        <w:rPr>
          <w:color w:val="000000"/>
          <w:sz w:val="24"/>
          <w:szCs w:val="24"/>
        </w:rPr>
        <w:t xml:space="preserve">, </w:t>
      </w:r>
      <w:r w:rsidR="002C4E8F" w:rsidRPr="002C4E8F">
        <w:rPr>
          <w:color w:val="00B0F0"/>
          <w:sz w:val="24"/>
          <w:szCs w:val="24"/>
        </w:rPr>
        <w:t>Mendes et al, 2024</w:t>
      </w:r>
      <w:r>
        <w:rPr>
          <w:color w:val="000000"/>
          <w:sz w:val="24"/>
          <w:szCs w:val="24"/>
        </w:rPr>
        <w:t>). ZnO nanoparticles can also be used in food packaging as ultraviolet (UV) light absorbers to shield foods that are vulnerable to UV light exposure or as antimicrobial agents to stop dangerous germs from contaminating food (Sirelkhatim et al., 2015</w:t>
      </w:r>
      <w:r w:rsidR="00FC2C87">
        <w:rPr>
          <w:color w:val="000000"/>
          <w:sz w:val="24"/>
          <w:szCs w:val="24"/>
        </w:rPr>
        <w:t xml:space="preserve">; </w:t>
      </w:r>
      <w:r w:rsidR="00FC2C87" w:rsidRPr="00FC2C87">
        <w:rPr>
          <w:color w:val="00B0F0"/>
          <w:sz w:val="24"/>
          <w:szCs w:val="24"/>
        </w:rPr>
        <w:t>Romano et al, 2024</w:t>
      </w:r>
      <w:r>
        <w:rPr>
          <w:color w:val="000000"/>
          <w:sz w:val="24"/>
          <w:szCs w:val="24"/>
        </w:rPr>
        <w:t xml:space="preserve">). It is theoretically possible for nanoparticles in packaging to seep into food items and be consumed by humans. </w:t>
      </w:r>
      <w:r w:rsidR="00FC2C87">
        <w:rPr>
          <w:color w:val="000000"/>
          <w:sz w:val="24"/>
          <w:szCs w:val="24"/>
        </w:rPr>
        <w:t>A</w:t>
      </w:r>
      <w:r>
        <w:rPr>
          <w:color w:val="000000"/>
          <w:sz w:val="24"/>
          <w:szCs w:val="24"/>
        </w:rPr>
        <w:t xml:space="preserve"> recent risk assessment, ZnO nanoparticles do not experience this to a significant degree (McClements &amp; Xiao, 2017</w:t>
      </w:r>
      <w:r w:rsidR="00FC2C87">
        <w:rPr>
          <w:color w:val="000000"/>
          <w:sz w:val="24"/>
          <w:szCs w:val="24"/>
        </w:rPr>
        <w:t xml:space="preserve">; </w:t>
      </w:r>
      <w:r w:rsidR="00FC2C87" w:rsidRPr="000F769C">
        <w:rPr>
          <w:color w:val="00B0F0"/>
          <w:sz w:val="24"/>
          <w:szCs w:val="24"/>
        </w:rPr>
        <w:t>Adly et al, 2025</w:t>
      </w:r>
      <w:r>
        <w:rPr>
          <w:color w:val="000000"/>
          <w:sz w:val="24"/>
          <w:szCs w:val="24"/>
        </w:rPr>
        <w:t>). ZnO nanoparticles' antibacterial action has been partially ascribed to their capacity to enter microbial cells and produce ROS, which harm essential cellular constituents and cause cytotoxicity. Ingestion of large enough amounts of this kind of nanoparticle, followed by absorption by the human body, could result in negative health repercussions for humans</w:t>
      </w:r>
      <w:r w:rsidR="000F769C">
        <w:rPr>
          <w:color w:val="000000"/>
          <w:sz w:val="24"/>
          <w:szCs w:val="24"/>
        </w:rPr>
        <w:t xml:space="preserve"> (</w:t>
      </w:r>
      <w:r w:rsidR="000F769C" w:rsidRPr="000F769C">
        <w:rPr>
          <w:color w:val="00B0F0"/>
          <w:sz w:val="24"/>
          <w:szCs w:val="24"/>
        </w:rPr>
        <w:t>Okur et al., 2025</w:t>
      </w:r>
      <w:r w:rsidR="000F769C">
        <w:rPr>
          <w:color w:val="000000"/>
          <w:sz w:val="24"/>
          <w:szCs w:val="24"/>
        </w:rPr>
        <w:t>)</w:t>
      </w:r>
      <w:r>
        <w:rPr>
          <w:color w:val="000000"/>
          <w:sz w:val="24"/>
          <w:szCs w:val="24"/>
        </w:rPr>
        <w:t>.</w:t>
      </w:r>
    </w:p>
    <w:p w14:paraId="04677515" w14:textId="1D6C33D6" w:rsidR="0059665B" w:rsidRDefault="00040B3E">
      <w:pPr>
        <w:pBdr>
          <w:top w:val="nil"/>
          <w:left w:val="nil"/>
          <w:bottom w:val="nil"/>
          <w:right w:val="nil"/>
          <w:between w:val="nil"/>
        </w:pBdr>
        <w:spacing w:before="160" w:line="259" w:lineRule="auto"/>
        <w:ind w:left="165" w:right="1155" w:firstLine="60"/>
        <w:jc w:val="both"/>
        <w:rPr>
          <w:color w:val="000000"/>
          <w:sz w:val="24"/>
          <w:szCs w:val="24"/>
        </w:rPr>
      </w:pPr>
      <w:r>
        <w:rPr>
          <w:color w:val="000000"/>
          <w:sz w:val="24"/>
          <w:szCs w:val="24"/>
        </w:rPr>
        <w:t>Particle size-dependent effects on intestinal absorption of ZnO nanoparticles have been shown in several rodent feeding studies; a smaller particle size results in a higher uptake (</w:t>
      </w:r>
      <w:proofErr w:type="spellStart"/>
      <w:r>
        <w:rPr>
          <w:color w:val="000000"/>
          <w:sz w:val="24"/>
          <w:szCs w:val="24"/>
        </w:rPr>
        <w:t>Vandebriel</w:t>
      </w:r>
      <w:proofErr w:type="spellEnd"/>
      <w:r>
        <w:rPr>
          <w:color w:val="000000"/>
          <w:sz w:val="24"/>
          <w:szCs w:val="24"/>
        </w:rPr>
        <w:t xml:space="preserve"> &amp; De Jong, 2012). One study found that a single oral dose of ZnO nanoparticles resulted in lung damage, renal toxicity, and liver harm (Pasupuleti et al., 2012</w:t>
      </w:r>
      <w:r w:rsidR="00FC2C87">
        <w:rPr>
          <w:color w:val="000000"/>
          <w:sz w:val="24"/>
          <w:szCs w:val="24"/>
        </w:rPr>
        <w:t xml:space="preserve">; </w:t>
      </w:r>
      <w:r w:rsidR="00FC2C87" w:rsidRPr="00FC2C87">
        <w:rPr>
          <w:color w:val="00B0F0"/>
          <w:sz w:val="24"/>
          <w:szCs w:val="24"/>
        </w:rPr>
        <w:t>Hasim et al, 2022</w:t>
      </w:r>
      <w:r>
        <w:rPr>
          <w:color w:val="000000"/>
          <w:sz w:val="24"/>
          <w:szCs w:val="24"/>
        </w:rPr>
        <w:t>). Curiously, one study demonstrated that ZnO nanoparticles were not harmful when used alone, but that when combined with ascorbic acid, they became poisonous. This implies that it's critical to quantify how particular food ingredients affect the toxicity of this kind of nanoparticle (</w:t>
      </w:r>
      <w:proofErr w:type="spellStart"/>
      <w:r>
        <w:rPr>
          <w:color w:val="000000"/>
          <w:sz w:val="24"/>
          <w:szCs w:val="24"/>
        </w:rPr>
        <w:t>Vandebriel</w:t>
      </w:r>
      <w:proofErr w:type="spellEnd"/>
      <w:r>
        <w:rPr>
          <w:color w:val="000000"/>
          <w:sz w:val="24"/>
          <w:szCs w:val="24"/>
        </w:rPr>
        <w:t xml:space="preserve"> &amp; De Jong, 2012</w:t>
      </w:r>
      <w:r w:rsidR="000B2DFB">
        <w:rPr>
          <w:color w:val="000000"/>
          <w:sz w:val="24"/>
          <w:szCs w:val="24"/>
        </w:rPr>
        <w:t>;</w:t>
      </w:r>
      <w:r w:rsidR="00FC2C87">
        <w:rPr>
          <w:color w:val="000000"/>
          <w:sz w:val="24"/>
          <w:szCs w:val="24"/>
        </w:rPr>
        <w:t xml:space="preserve"> </w:t>
      </w:r>
      <w:r w:rsidR="00FC2C87" w:rsidRPr="00FC2C87">
        <w:rPr>
          <w:color w:val="00B0F0"/>
          <w:sz w:val="24"/>
          <w:szCs w:val="24"/>
        </w:rPr>
        <w:t>Jung et al., 2021</w:t>
      </w:r>
      <w:r>
        <w:rPr>
          <w:color w:val="000000"/>
          <w:sz w:val="24"/>
          <w:szCs w:val="24"/>
        </w:rPr>
        <w:t>).</w:t>
      </w:r>
    </w:p>
    <w:p w14:paraId="10036738" w14:textId="77777777" w:rsidR="0059665B" w:rsidRDefault="00040B3E">
      <w:pPr>
        <w:pStyle w:val="Heading1"/>
        <w:spacing w:before="157"/>
        <w:ind w:left="225"/>
      </w:pPr>
      <w:r>
        <w:t>Organic nanoparticles</w:t>
      </w:r>
    </w:p>
    <w:p w14:paraId="6D9B98D9" w14:textId="77777777" w:rsidR="0059665B" w:rsidRDefault="00040B3E" w:rsidP="00E17991">
      <w:pPr>
        <w:pBdr>
          <w:top w:val="nil"/>
          <w:left w:val="nil"/>
          <w:bottom w:val="nil"/>
          <w:right w:val="nil"/>
          <w:between w:val="nil"/>
        </w:pBdr>
        <w:spacing w:before="183" w:line="256" w:lineRule="auto"/>
        <w:ind w:left="164" w:right="1167"/>
        <w:jc w:val="both"/>
        <w:rPr>
          <w:color w:val="000000"/>
          <w:sz w:val="24"/>
          <w:szCs w:val="24"/>
        </w:rPr>
      </w:pPr>
      <w:r>
        <w:rPr>
          <w:color w:val="000000"/>
          <w:sz w:val="24"/>
          <w:szCs w:val="24"/>
        </w:rPr>
        <w:t>Organic materials like lipids, proteins, and/or carbohydrates make up the majority of this kind of nanoparticle. Depending on their composition and processing circumstances, these</w:t>
      </w:r>
    </w:p>
    <w:p w14:paraId="05439DF1" w14:textId="3BC27D3F" w:rsidR="0059665B" w:rsidRDefault="00E17991" w:rsidP="00E17991">
      <w:pPr>
        <w:pBdr>
          <w:top w:val="nil"/>
          <w:left w:val="nil"/>
          <w:bottom w:val="nil"/>
          <w:right w:val="nil"/>
          <w:between w:val="nil"/>
        </w:pBdr>
        <w:spacing w:before="5"/>
        <w:ind w:left="164"/>
        <w:jc w:val="both"/>
        <w:rPr>
          <w:color w:val="000000"/>
          <w:sz w:val="24"/>
          <w:szCs w:val="24"/>
        </w:rPr>
      </w:pPr>
      <w:r>
        <w:rPr>
          <w:color w:val="000000"/>
          <w:sz w:val="24"/>
          <w:szCs w:val="24"/>
        </w:rPr>
        <w:lastRenderedPageBreak/>
        <w:t>Substances often exist at room temperature as liquids, semi-solids (gelled), or solids</w:t>
      </w:r>
    </w:p>
    <w:p w14:paraId="67B76D10" w14:textId="4D2F3274" w:rsidR="0059665B" w:rsidRDefault="00040B3E" w:rsidP="00EC3B1F">
      <w:pPr>
        <w:pBdr>
          <w:top w:val="nil"/>
          <w:left w:val="nil"/>
          <w:bottom w:val="nil"/>
          <w:right w:val="nil"/>
          <w:between w:val="nil"/>
        </w:pBdr>
        <w:spacing w:before="19" w:line="259" w:lineRule="auto"/>
        <w:ind w:left="164" w:right="1167"/>
        <w:jc w:val="both"/>
        <w:rPr>
          <w:color w:val="000000"/>
          <w:sz w:val="24"/>
          <w:szCs w:val="24"/>
        </w:rPr>
      </w:pPr>
      <w:r>
        <w:rPr>
          <w:color w:val="000000"/>
          <w:sz w:val="24"/>
          <w:szCs w:val="24"/>
        </w:rPr>
        <w:t>(crystalline or amorphous). The majority of organic nanoparticles that are frequently found in food are spherical, yet in certain cases (such as with nanofibers)</w:t>
      </w:r>
      <w:r w:rsidR="00E17991">
        <w:rPr>
          <w:color w:val="000000"/>
          <w:sz w:val="24"/>
          <w:szCs w:val="24"/>
        </w:rPr>
        <w:t>,</w:t>
      </w:r>
      <w:r>
        <w:rPr>
          <w:color w:val="000000"/>
          <w:sz w:val="24"/>
          <w:szCs w:val="24"/>
        </w:rPr>
        <w:t xml:space="preserve"> they may not be. Depending on their compositions and structures, organic materials might behave very differently in the mouth, stomach, small intestine, or colon. For example, they may dissolve, precipitate,</w:t>
      </w:r>
      <w:r w:rsidR="00EC3B1F">
        <w:rPr>
          <w:color w:val="000000"/>
          <w:sz w:val="24"/>
          <w:szCs w:val="24"/>
        </w:rPr>
        <w:t xml:space="preserve"> </w:t>
      </w:r>
      <w:r>
        <w:rPr>
          <w:color w:val="000000"/>
          <w:sz w:val="24"/>
          <w:szCs w:val="24"/>
        </w:rPr>
        <w:t>or undergo digestion in these areas. Since organic nanoparticles are frequently completely broken down in the human GIT and are not bio-persistent, it is generally believed that they are less harmful than inorganic ones</w:t>
      </w:r>
      <w:r w:rsidR="00D22EC0">
        <w:rPr>
          <w:color w:val="000000"/>
          <w:sz w:val="24"/>
          <w:szCs w:val="24"/>
        </w:rPr>
        <w:t xml:space="preserve"> (</w:t>
      </w:r>
      <w:r w:rsidR="00D22EC0" w:rsidRPr="00D22EC0">
        <w:rPr>
          <w:color w:val="00B0F0"/>
          <w:sz w:val="24"/>
          <w:szCs w:val="24"/>
        </w:rPr>
        <w:t>Razaei et al, 2021</w:t>
      </w:r>
      <w:r w:rsidR="00694B40">
        <w:rPr>
          <w:color w:val="00B0F0"/>
          <w:sz w:val="24"/>
          <w:szCs w:val="24"/>
        </w:rPr>
        <w:t>; Mishra et al, 2025</w:t>
      </w:r>
      <w:r w:rsidR="00D22EC0">
        <w:rPr>
          <w:color w:val="000000"/>
          <w:sz w:val="24"/>
          <w:szCs w:val="24"/>
        </w:rPr>
        <w:t>)</w:t>
      </w:r>
      <w:r>
        <w:rPr>
          <w:color w:val="000000"/>
          <w:sz w:val="24"/>
          <w:szCs w:val="24"/>
        </w:rPr>
        <w:t>.</w:t>
      </w:r>
    </w:p>
    <w:p w14:paraId="62225DD8" w14:textId="77777777" w:rsidR="00275CE3" w:rsidRDefault="00275CE3" w:rsidP="00EC3B1F">
      <w:pPr>
        <w:pStyle w:val="NoSpacing"/>
      </w:pPr>
    </w:p>
    <w:p w14:paraId="3DE3F0A1" w14:textId="77777777" w:rsidR="0059665B" w:rsidRDefault="00040B3E">
      <w:pPr>
        <w:pStyle w:val="Heading1"/>
        <w:spacing w:before="66"/>
        <w:ind w:firstLine="165"/>
        <w:jc w:val="both"/>
      </w:pPr>
      <w:r>
        <w:t>Lipid nanoparticles</w:t>
      </w:r>
    </w:p>
    <w:p w14:paraId="6C931FFC" w14:textId="0F943A36" w:rsidR="0059665B" w:rsidRDefault="00040B3E">
      <w:pPr>
        <w:pBdr>
          <w:top w:val="nil"/>
          <w:left w:val="nil"/>
          <w:bottom w:val="nil"/>
          <w:right w:val="nil"/>
          <w:between w:val="nil"/>
        </w:pBdr>
        <w:spacing w:before="179" w:line="276" w:lineRule="auto"/>
        <w:ind w:left="165" w:right="1150"/>
        <w:jc w:val="both"/>
        <w:rPr>
          <w:color w:val="000000"/>
          <w:sz w:val="24"/>
          <w:szCs w:val="24"/>
        </w:rPr>
      </w:pPr>
      <w:r>
        <w:rPr>
          <w:color w:val="000000"/>
          <w:sz w:val="24"/>
          <w:szCs w:val="24"/>
        </w:rPr>
        <w:t xml:space="preserve">Many commercial food products include lipid nanoparticles, and their potential for use in other goods is being researched (McClements, 2013). Small oil droplets scattered in water are found in beverage emulsions, which include fruit juices, dairy products, soft drinks, and fortified waters. A significant portion of the oil droplets in these goods are nanoscale (d &lt; 100 nm) (Piorkowski &amp; McClements, 2014). As colloidal delivery methods, lipid nanoparticles are also being developed to encapsulate, shield, and release hydrophobic bio actives, including nutrients, tastes, antimicrobials, antioxidants, </w:t>
      </w:r>
      <w:proofErr w:type="spellStart"/>
      <w:r>
        <w:rPr>
          <w:color w:val="000000"/>
          <w:sz w:val="24"/>
          <w:szCs w:val="24"/>
        </w:rPr>
        <w:t>colours</w:t>
      </w:r>
      <w:proofErr w:type="spellEnd"/>
      <w:r>
        <w:rPr>
          <w:color w:val="000000"/>
          <w:sz w:val="24"/>
          <w:szCs w:val="24"/>
        </w:rPr>
        <w:t>, and nutraceuticals (</w:t>
      </w:r>
      <w:proofErr w:type="spellStart"/>
      <w:r>
        <w:rPr>
          <w:color w:val="000000"/>
          <w:sz w:val="24"/>
          <w:szCs w:val="24"/>
        </w:rPr>
        <w:t>Livney</w:t>
      </w:r>
      <w:proofErr w:type="spellEnd"/>
      <w:r>
        <w:rPr>
          <w:color w:val="000000"/>
          <w:sz w:val="24"/>
          <w:szCs w:val="24"/>
        </w:rPr>
        <w:t>, 2015). Lipid nanoparticles have three main benefits when used in these applications: they can improve the bioavailability and/or functional performance of encapsulated components; they can be made optically transparent, which is advantageous for clear foods and beverages; and they can improve the product's physical stability because small particles are less prone to aggregation and gravitational separation (McClements, 2015). Foods may contain a variety of lipid nanoparticles with different compositions, shapes, and sizes, such as micelles, vesicles, oil droplets, and fat crystals. Lipid nanoparticles can range in diameter from a few nanometres (surfactant micelles) to several hundred nanometres (solid lipid nanoparticles or oil droplets). Lipid nanoparticles' electrical properties are determined by the kind of molecules that are present on their surfaces (Shin et al., 2015</w:t>
      </w:r>
      <w:r w:rsidR="00275CE3">
        <w:rPr>
          <w:color w:val="000000"/>
          <w:sz w:val="24"/>
          <w:szCs w:val="24"/>
        </w:rPr>
        <w:t xml:space="preserve">, </w:t>
      </w:r>
      <w:proofErr w:type="spellStart"/>
      <w:r w:rsidR="00275CE3" w:rsidRPr="00275CE3">
        <w:rPr>
          <w:color w:val="00B0F0"/>
          <w:sz w:val="24"/>
          <w:szCs w:val="24"/>
        </w:rPr>
        <w:t>Ketebo</w:t>
      </w:r>
      <w:proofErr w:type="spellEnd"/>
      <w:r w:rsidR="00275CE3" w:rsidRPr="00275CE3">
        <w:rPr>
          <w:color w:val="00B0F0"/>
          <w:sz w:val="24"/>
          <w:szCs w:val="24"/>
        </w:rPr>
        <w:t xml:space="preserve"> et al., 2023</w:t>
      </w:r>
      <w:r>
        <w:rPr>
          <w:color w:val="000000"/>
          <w:sz w:val="24"/>
          <w:szCs w:val="24"/>
        </w:rPr>
        <w:t>).</w:t>
      </w:r>
    </w:p>
    <w:p w14:paraId="633EFC08" w14:textId="302B83D3" w:rsidR="0059665B" w:rsidRDefault="00040B3E">
      <w:pPr>
        <w:pBdr>
          <w:top w:val="nil"/>
          <w:left w:val="nil"/>
          <w:bottom w:val="nil"/>
          <w:right w:val="nil"/>
          <w:between w:val="nil"/>
        </w:pBdr>
        <w:spacing w:before="167" w:line="259" w:lineRule="auto"/>
        <w:ind w:left="165" w:right="1152"/>
        <w:jc w:val="both"/>
        <w:rPr>
          <w:color w:val="000000"/>
          <w:sz w:val="24"/>
          <w:szCs w:val="24"/>
        </w:rPr>
      </w:pPr>
      <w:r>
        <w:rPr>
          <w:color w:val="000000"/>
          <w:sz w:val="24"/>
          <w:szCs w:val="24"/>
        </w:rPr>
        <w:t xml:space="preserve">Neutral lipids (such as triacylglycerols (TAGs), diacylglycerols (DAGs), monoacylglycerols (MAGs), hydrocarbons, and terpenes) or polar lipids (like free fatty acids (FFAs), surfactants, and phospholipids) are typically included in food-grade lipid nanoparticles. Lipid nanoparticles' ability to be hydrolysed by digestive enzymes like lipase and phospholipase determines their fate in the gastrointestinal tract. Lipases in the GIT </w:t>
      </w:r>
      <w:proofErr w:type="spellStart"/>
      <w:r>
        <w:rPr>
          <w:color w:val="000000"/>
          <w:sz w:val="24"/>
          <w:szCs w:val="24"/>
        </w:rPr>
        <w:t>hydrolyse</w:t>
      </w:r>
      <w:proofErr w:type="spellEnd"/>
      <w:r>
        <w:rPr>
          <w:color w:val="000000"/>
          <w:sz w:val="24"/>
          <w:szCs w:val="24"/>
        </w:rPr>
        <w:t xml:space="preserve"> a wide variety of lipids, such as phospholipids, DAGs, and TAGs. FFAs and MAGs are released when the hydrolysable ester link in these lipids is broken. The cells of the epithelium can absorb FFAs and MAGs after they are integrated into mixed micelles (Yao et al., 2015). Since digestible lipid nanoparticles have a high specific surface area and are therefore unlikely to be directly absorbed in their intact condition, they are often hydrolysed quickly in the GIT. Therefore, it would be surprising if this kind of nanoparticle might increase toxicity as a result of absorption and buildup in intestinal cells and other organs (McClements &amp; Rao, 2011</w:t>
      </w:r>
      <w:r w:rsidR="005F0954">
        <w:rPr>
          <w:color w:val="000000"/>
          <w:sz w:val="24"/>
          <w:szCs w:val="24"/>
        </w:rPr>
        <w:t xml:space="preserve">, </w:t>
      </w:r>
      <w:r w:rsidR="005F0954" w:rsidRPr="005F0954">
        <w:rPr>
          <w:color w:val="00B0F0"/>
          <w:sz w:val="24"/>
          <w:szCs w:val="24"/>
        </w:rPr>
        <w:t>Yang et al, 2021</w:t>
      </w:r>
      <w:r>
        <w:rPr>
          <w:color w:val="000000"/>
          <w:sz w:val="24"/>
          <w:szCs w:val="24"/>
        </w:rPr>
        <w:t>).</w:t>
      </w:r>
    </w:p>
    <w:p w14:paraId="0257B7EB" w14:textId="5CDF4C72" w:rsidR="0059665B" w:rsidRDefault="00040B3E">
      <w:pPr>
        <w:pBdr>
          <w:top w:val="nil"/>
          <w:left w:val="nil"/>
          <w:bottom w:val="nil"/>
          <w:right w:val="nil"/>
          <w:between w:val="nil"/>
        </w:pBdr>
        <w:spacing w:before="149" w:line="276" w:lineRule="auto"/>
        <w:ind w:left="165" w:right="1151"/>
        <w:jc w:val="both"/>
        <w:rPr>
          <w:color w:val="000000"/>
          <w:sz w:val="24"/>
          <w:szCs w:val="24"/>
        </w:rPr>
      </w:pPr>
      <w:r>
        <w:rPr>
          <w:color w:val="000000"/>
          <w:sz w:val="24"/>
          <w:szCs w:val="24"/>
        </w:rPr>
        <w:t>The enzymes in the GIT are unable to break down several lipid nanoparticle forms that are currently or might be employed in food. This could happen because the oil phase being used,</w:t>
      </w:r>
      <w:r w:rsidR="00BD5066">
        <w:rPr>
          <w:color w:val="000000"/>
          <w:sz w:val="24"/>
          <w:szCs w:val="24"/>
        </w:rPr>
        <w:t xml:space="preserve"> </w:t>
      </w:r>
      <w:r>
        <w:rPr>
          <w:color w:val="000000"/>
          <w:sz w:val="24"/>
          <w:szCs w:val="24"/>
        </w:rPr>
        <w:t xml:space="preserve">such as the terpenes and hydrocarbons included in certain </w:t>
      </w:r>
      <w:proofErr w:type="spellStart"/>
      <w:r>
        <w:rPr>
          <w:color w:val="000000"/>
          <w:sz w:val="24"/>
          <w:szCs w:val="24"/>
        </w:rPr>
        <w:t>flavour</w:t>
      </w:r>
      <w:proofErr w:type="spellEnd"/>
      <w:r>
        <w:rPr>
          <w:color w:val="000000"/>
          <w:sz w:val="24"/>
          <w:szCs w:val="24"/>
        </w:rPr>
        <w:t>, essential, or mineral oils</w:t>
      </w:r>
      <w:r w:rsidR="00BD5066">
        <w:rPr>
          <w:color w:val="000000"/>
          <w:sz w:val="24"/>
          <w:szCs w:val="24"/>
        </w:rPr>
        <w:t>,</w:t>
      </w:r>
      <w:r>
        <w:rPr>
          <w:color w:val="000000"/>
          <w:sz w:val="24"/>
          <w:szCs w:val="24"/>
        </w:rPr>
        <w:t xml:space="preserve"> is indigestible. On the other hand, this might happen because the oil droplets have an interfacial layer covering them that prevents the encapsulated lipids from being hydrolysed by the digestive enzymes. In certain situations, the human body could be able to swallow indigestible lipid nanoparticles undigested. However, as far as the authors are aware, no research has been </w:t>
      </w:r>
      <w:r>
        <w:rPr>
          <w:color w:val="000000"/>
          <w:sz w:val="24"/>
          <w:szCs w:val="24"/>
        </w:rPr>
        <w:lastRenderedPageBreak/>
        <w:t>done on the possible toxicity or post-absorption fate of this kind of nanoparticle (McClements &amp; Xiao, 2012</w:t>
      </w:r>
      <w:r w:rsidR="00AF198A">
        <w:rPr>
          <w:color w:val="000000"/>
          <w:sz w:val="24"/>
          <w:szCs w:val="24"/>
        </w:rPr>
        <w:t xml:space="preserve">; </w:t>
      </w:r>
      <w:r w:rsidR="00AF198A" w:rsidRPr="00AF198A">
        <w:rPr>
          <w:color w:val="00B0F0"/>
          <w:sz w:val="24"/>
          <w:szCs w:val="24"/>
        </w:rPr>
        <w:t>Egbuna et al., 2021</w:t>
      </w:r>
      <w:r>
        <w:rPr>
          <w:color w:val="000000"/>
          <w:sz w:val="24"/>
          <w:szCs w:val="24"/>
        </w:rPr>
        <w:t>).</w:t>
      </w:r>
    </w:p>
    <w:p w14:paraId="7A377341" w14:textId="77777777" w:rsidR="0059665B" w:rsidRDefault="00040B3E">
      <w:pPr>
        <w:pStyle w:val="Heading1"/>
        <w:spacing w:before="169"/>
        <w:ind w:firstLine="165"/>
        <w:jc w:val="both"/>
      </w:pPr>
      <w:r>
        <w:t>Carbohydrate nanoparticles</w:t>
      </w:r>
    </w:p>
    <w:p w14:paraId="04895484" w14:textId="77777777" w:rsidR="0059665B" w:rsidRDefault="00040B3E">
      <w:pPr>
        <w:pBdr>
          <w:top w:val="nil"/>
          <w:left w:val="nil"/>
          <w:bottom w:val="nil"/>
          <w:right w:val="nil"/>
          <w:between w:val="nil"/>
        </w:pBdr>
        <w:spacing w:before="175" w:line="278" w:lineRule="auto"/>
        <w:ind w:left="165" w:right="1164"/>
        <w:jc w:val="both"/>
        <w:rPr>
          <w:color w:val="000000"/>
          <w:sz w:val="24"/>
          <w:szCs w:val="24"/>
        </w:rPr>
      </w:pPr>
      <w:r>
        <w:rPr>
          <w:color w:val="000000"/>
          <w:sz w:val="24"/>
          <w:szCs w:val="24"/>
        </w:rPr>
        <w:t>Starch, cellulose, alginate, carrageenan, pectin, and xanthan are examples of digestible or indigestible polysaccharides that are commonly used to create carbohydrate nanoparticles.</w:t>
      </w:r>
    </w:p>
    <w:p w14:paraId="6642594C" w14:textId="77777777" w:rsidR="005F0954" w:rsidRDefault="005F0954">
      <w:pPr>
        <w:pBdr>
          <w:top w:val="nil"/>
          <w:left w:val="nil"/>
          <w:bottom w:val="nil"/>
          <w:right w:val="nil"/>
          <w:between w:val="nil"/>
        </w:pBdr>
        <w:spacing w:before="175" w:line="278" w:lineRule="auto"/>
        <w:ind w:left="165" w:right="1164"/>
        <w:jc w:val="both"/>
        <w:rPr>
          <w:color w:val="000000"/>
          <w:sz w:val="24"/>
          <w:szCs w:val="24"/>
        </w:rPr>
      </w:pPr>
    </w:p>
    <w:p w14:paraId="06A7DAB0" w14:textId="41FD4D5C" w:rsidR="0059665B" w:rsidRDefault="00040B3E">
      <w:pPr>
        <w:pBdr>
          <w:top w:val="nil"/>
          <w:left w:val="nil"/>
          <w:bottom w:val="nil"/>
          <w:right w:val="nil"/>
          <w:between w:val="nil"/>
        </w:pBdr>
        <w:spacing w:before="61" w:line="276" w:lineRule="auto"/>
        <w:ind w:left="165" w:right="1155"/>
        <w:jc w:val="both"/>
        <w:rPr>
          <w:color w:val="000000"/>
          <w:sz w:val="24"/>
          <w:szCs w:val="24"/>
        </w:rPr>
      </w:pPr>
      <w:r>
        <w:rPr>
          <w:color w:val="000000"/>
          <w:sz w:val="24"/>
          <w:szCs w:val="24"/>
        </w:rPr>
        <w:t xml:space="preserve">These nanoparticles can be produced by dissolving bigger natural structures like cellulose fibrils, chitosan fibrils, or starch granules (Myrick et al., 2014). As an alternative, they could be made by encouraging the bonding of polysaccharide molecules, for example, by introducing particular mineral ions, employing enzymes, or altering the temperature (Joye et al., 2014). Depending on where they come from, carbohydrates can be either spherical or non-spherical, and the upper gastrointestinal tract can either digest or not. The mouth and small intestine contain amylases that quickly </w:t>
      </w:r>
      <w:proofErr w:type="spellStart"/>
      <w:r>
        <w:rPr>
          <w:color w:val="000000"/>
          <w:sz w:val="24"/>
          <w:szCs w:val="24"/>
        </w:rPr>
        <w:t>hydrolyse</w:t>
      </w:r>
      <w:proofErr w:type="spellEnd"/>
      <w:r>
        <w:rPr>
          <w:color w:val="000000"/>
          <w:sz w:val="24"/>
          <w:szCs w:val="24"/>
        </w:rPr>
        <w:t xml:space="preserve"> some forms of carbohydrates, converting them into glucose and oligosaccharides (Jones &amp; McClements, 2010</w:t>
      </w:r>
      <w:r w:rsidR="00A46A8E">
        <w:rPr>
          <w:color w:val="000000"/>
          <w:sz w:val="24"/>
          <w:szCs w:val="24"/>
        </w:rPr>
        <w:t xml:space="preserve">, </w:t>
      </w:r>
      <w:r w:rsidR="00A46A8E" w:rsidRPr="00A46A8E">
        <w:rPr>
          <w:color w:val="00B0F0"/>
          <w:sz w:val="24"/>
          <w:szCs w:val="24"/>
        </w:rPr>
        <w:t>Angelopoulou et al, 2022</w:t>
      </w:r>
      <w:r>
        <w:rPr>
          <w:color w:val="000000"/>
          <w:sz w:val="24"/>
          <w:szCs w:val="24"/>
        </w:rPr>
        <w:t xml:space="preserve">). On the other hand, some starches are more or less resistant to being hydrolysed by the digestive enzymes in the gastrointestinal tract due to their structural arrangements. The majority of other polysaccharides, referred to as dietary </w:t>
      </w:r>
      <w:proofErr w:type="spellStart"/>
      <w:r>
        <w:rPr>
          <w:color w:val="000000"/>
          <w:sz w:val="24"/>
          <w:szCs w:val="24"/>
        </w:rPr>
        <w:t>fibres</w:t>
      </w:r>
      <w:proofErr w:type="spellEnd"/>
      <w:r>
        <w:rPr>
          <w:color w:val="000000"/>
          <w:sz w:val="24"/>
          <w:szCs w:val="24"/>
        </w:rPr>
        <w:t xml:space="preserve">, that are </w:t>
      </w:r>
      <w:proofErr w:type="spellStart"/>
      <w:r>
        <w:rPr>
          <w:color w:val="000000"/>
          <w:sz w:val="24"/>
          <w:szCs w:val="24"/>
        </w:rPr>
        <w:t>utilised</w:t>
      </w:r>
      <w:proofErr w:type="spellEnd"/>
      <w:r>
        <w:rPr>
          <w:color w:val="000000"/>
          <w:sz w:val="24"/>
          <w:szCs w:val="24"/>
        </w:rPr>
        <w:t xml:space="preserve"> to create carbohydrate nanoparticles are not broken down in the upper gastrointestinal tract (mouth, stomach, and small intestine), but they may be fermented in the lower gastrointestinal tract (colon) by enzymes secreted by the microbiota (Le Corre et al., 2010). The possible GIT destiny of carbohydrate nanoparticles is significantly influenced by the digestibility of dietary </w:t>
      </w:r>
      <w:proofErr w:type="spellStart"/>
      <w:r>
        <w:rPr>
          <w:color w:val="000000"/>
          <w:sz w:val="24"/>
          <w:szCs w:val="24"/>
        </w:rPr>
        <w:t>fibres</w:t>
      </w:r>
      <w:proofErr w:type="spellEnd"/>
      <w:r>
        <w:rPr>
          <w:color w:val="000000"/>
          <w:sz w:val="24"/>
          <w:szCs w:val="24"/>
        </w:rPr>
        <w:t>. Since they create identical digestion products (simple sugars) as traditional forms of carbohydrates, fully digested carbohydrate nanoparticles in the upper gastrointestinal tract are unlikely to show any harm (McClements, 2012).</w:t>
      </w:r>
    </w:p>
    <w:p w14:paraId="707D4D6E" w14:textId="77777777" w:rsidR="0059665B" w:rsidRDefault="00040B3E">
      <w:pPr>
        <w:pStyle w:val="Heading1"/>
        <w:spacing w:before="166"/>
        <w:ind w:firstLine="165"/>
        <w:jc w:val="both"/>
      </w:pPr>
      <w:r>
        <w:t>Protein nanoparticles</w:t>
      </w:r>
    </w:p>
    <w:p w14:paraId="12105758" w14:textId="77777777" w:rsidR="0059665B" w:rsidRDefault="00040B3E">
      <w:pPr>
        <w:pBdr>
          <w:top w:val="nil"/>
          <w:left w:val="nil"/>
          <w:bottom w:val="nil"/>
          <w:right w:val="nil"/>
          <w:between w:val="nil"/>
        </w:pBdr>
        <w:spacing w:before="185" w:line="259" w:lineRule="auto"/>
        <w:ind w:left="165" w:right="1151"/>
        <w:jc w:val="both"/>
        <w:rPr>
          <w:color w:val="000000"/>
          <w:sz w:val="24"/>
          <w:szCs w:val="24"/>
        </w:rPr>
      </w:pPr>
      <w:r>
        <w:rPr>
          <w:color w:val="000000"/>
          <w:sz w:val="24"/>
          <w:szCs w:val="24"/>
        </w:rPr>
        <w:t xml:space="preserve">The casein micelles, which are tiny collections of casein molecules and calcium phosphate ions present in cow's milk and other dairy products, are the most prevalent protein nanoparticles in food. There is less worry over the possible toxicity of this kind of nanoparticle because people have been consuming it in large quantities for many centuries. In fact, nature's desire to give babies an effective way to get nutrients (proteins and minerals) is likely what gave rise to the nanostructure of casein micelles (Oftedal, 2012). There has been interest lately in creating different kinds of protein nanoparticles for use in food. Protein nanoparticles, which resemble lipid nanoparticles, are specifically being developed to produce delivery systems that encapsulate, preserve, and transport bioactive compounds, including </w:t>
      </w:r>
      <w:proofErr w:type="spellStart"/>
      <w:r>
        <w:rPr>
          <w:color w:val="000000"/>
          <w:sz w:val="24"/>
          <w:szCs w:val="24"/>
        </w:rPr>
        <w:t>colours</w:t>
      </w:r>
      <w:proofErr w:type="spellEnd"/>
      <w:r>
        <w:rPr>
          <w:color w:val="000000"/>
          <w:sz w:val="24"/>
          <w:szCs w:val="24"/>
        </w:rPr>
        <w:t>, tastes, preservatives, vitamins, minerals, and nutraceuticals (Rajendran et al., 2016). Protein nanoparticles are often made up of a collection of aggregated protein molecules bound together by covalent connections (like disulfide bonds) or physical interactions (such as hydrophobic, hydrogen bonding, van der Waals, or electrostatic attraction) (Davidov-Pardo et al., 2015).</w:t>
      </w:r>
    </w:p>
    <w:p w14:paraId="17F3917B" w14:textId="77777777" w:rsidR="0059665B" w:rsidRDefault="00040B3E">
      <w:pPr>
        <w:pBdr>
          <w:top w:val="nil"/>
          <w:left w:val="nil"/>
          <w:bottom w:val="nil"/>
          <w:right w:val="nil"/>
          <w:between w:val="nil"/>
        </w:pBdr>
        <w:spacing w:before="156" w:line="259" w:lineRule="auto"/>
        <w:ind w:left="165" w:right="1150"/>
        <w:jc w:val="both"/>
        <w:rPr>
          <w:color w:val="000000"/>
          <w:sz w:val="24"/>
          <w:szCs w:val="24"/>
        </w:rPr>
      </w:pPr>
      <w:r>
        <w:rPr>
          <w:color w:val="000000"/>
          <w:sz w:val="24"/>
          <w:szCs w:val="24"/>
        </w:rPr>
        <w:t xml:space="preserve">While covalent connections are created </w:t>
      </w:r>
      <w:proofErr w:type="spellStart"/>
      <w:r>
        <w:rPr>
          <w:color w:val="000000"/>
          <w:sz w:val="24"/>
          <w:szCs w:val="24"/>
        </w:rPr>
        <w:t>utilising</w:t>
      </w:r>
      <w:proofErr w:type="spellEnd"/>
      <w:r>
        <w:rPr>
          <w:color w:val="000000"/>
          <w:sz w:val="24"/>
          <w:szCs w:val="24"/>
        </w:rPr>
        <w:t xml:space="preserve"> certain chemical or biochemical reaction circumstances, physical bonds are typically created by modifying solution parameters, including pH, ionic strength, solvent quality, and ingredient interactions. The GIT destiny of protein nanoparticles is determined by the kind of protein utilised and the sort of bonding that occurs between them. Casein micelles, zein, gliadin, whey, and soy protein particles are examples of protein nanoparticles that range in size from a few nanometres (individual globular </w:t>
      </w:r>
      <w:r>
        <w:rPr>
          <w:color w:val="000000"/>
          <w:sz w:val="24"/>
          <w:szCs w:val="24"/>
        </w:rPr>
        <w:lastRenderedPageBreak/>
        <w:t>proteins) to hundreds of nanometres (Myrick et al., 2014).</w:t>
      </w:r>
    </w:p>
    <w:p w14:paraId="7620CC3C" w14:textId="77777777" w:rsidR="0059665B" w:rsidRDefault="00040B3E">
      <w:pPr>
        <w:pBdr>
          <w:top w:val="nil"/>
          <w:left w:val="nil"/>
          <w:bottom w:val="nil"/>
          <w:right w:val="nil"/>
          <w:between w:val="nil"/>
        </w:pBdr>
        <w:spacing w:before="159" w:line="259" w:lineRule="auto"/>
        <w:ind w:left="165" w:right="1155"/>
        <w:jc w:val="both"/>
        <w:rPr>
          <w:color w:val="000000"/>
          <w:sz w:val="24"/>
          <w:szCs w:val="24"/>
        </w:rPr>
        <w:sectPr w:rsidR="0059665B">
          <w:pgSz w:w="11910" w:h="16840"/>
          <w:pgMar w:top="1380" w:right="283" w:bottom="280" w:left="1275" w:header="360" w:footer="360" w:gutter="0"/>
          <w:cols w:space="720"/>
        </w:sectPr>
      </w:pPr>
      <w:r>
        <w:rPr>
          <w:color w:val="000000"/>
          <w:sz w:val="24"/>
          <w:szCs w:val="24"/>
        </w:rPr>
        <w:t xml:space="preserve">The table presents a clear classification of both inorganic and organic nanoparticles commonly used in food and packaging systems, highlighting their unique compositions and roles. It outlines how each type behaves in the gastrointestinal tract and </w:t>
      </w:r>
      <w:proofErr w:type="spellStart"/>
      <w:r>
        <w:rPr>
          <w:color w:val="000000"/>
          <w:sz w:val="24"/>
          <w:szCs w:val="24"/>
        </w:rPr>
        <w:t>summarises</w:t>
      </w:r>
      <w:proofErr w:type="spellEnd"/>
      <w:r>
        <w:rPr>
          <w:color w:val="000000"/>
          <w:sz w:val="24"/>
          <w:szCs w:val="24"/>
        </w:rPr>
        <w:t xml:space="preserve"> their potential toxicity based on size, structure, and digestibility (Table 1).</w:t>
      </w:r>
    </w:p>
    <w:p w14:paraId="63480E9C" w14:textId="77777777" w:rsidR="0059665B" w:rsidRDefault="00040B3E">
      <w:pPr>
        <w:pBdr>
          <w:top w:val="nil"/>
          <w:left w:val="nil"/>
          <w:bottom w:val="nil"/>
          <w:right w:val="nil"/>
          <w:between w:val="nil"/>
        </w:pBdr>
        <w:spacing w:before="66"/>
        <w:ind w:left="165"/>
        <w:rPr>
          <w:color w:val="000000"/>
          <w:sz w:val="24"/>
          <w:szCs w:val="24"/>
        </w:rPr>
      </w:pPr>
      <w:r>
        <w:rPr>
          <w:color w:val="000000"/>
          <w:sz w:val="24"/>
          <w:szCs w:val="24"/>
        </w:rPr>
        <w:lastRenderedPageBreak/>
        <w:t>Table 1: Classification of various Nanoparticles, their related Features and uses</w:t>
      </w:r>
    </w:p>
    <w:p w14:paraId="5E655767" w14:textId="77777777" w:rsidR="0059665B" w:rsidRDefault="0059665B">
      <w:pPr>
        <w:pBdr>
          <w:top w:val="nil"/>
          <w:left w:val="nil"/>
          <w:bottom w:val="nil"/>
          <w:right w:val="nil"/>
          <w:between w:val="nil"/>
        </w:pBdr>
        <w:spacing w:before="6"/>
        <w:rPr>
          <w:color w:val="000000"/>
          <w:sz w:val="15"/>
          <w:szCs w:val="15"/>
        </w:rPr>
      </w:pPr>
    </w:p>
    <w:tbl>
      <w:tblPr>
        <w:tblStyle w:val="a"/>
        <w:tblW w:w="988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1526"/>
        <w:gridCol w:w="1566"/>
        <w:gridCol w:w="1741"/>
        <w:gridCol w:w="3509"/>
      </w:tblGrid>
      <w:tr w:rsidR="0059665B" w14:paraId="0351D76B" w14:textId="77777777" w:rsidTr="00EC3B1F">
        <w:trPr>
          <w:trHeight w:val="550"/>
        </w:trPr>
        <w:tc>
          <w:tcPr>
            <w:tcW w:w="1546" w:type="dxa"/>
          </w:tcPr>
          <w:p w14:paraId="70D6F75C" w14:textId="77777777" w:rsidR="0059665B" w:rsidRDefault="00040B3E">
            <w:pPr>
              <w:pBdr>
                <w:top w:val="nil"/>
                <w:left w:val="nil"/>
                <w:bottom w:val="nil"/>
                <w:right w:val="nil"/>
                <w:between w:val="nil"/>
              </w:pBdr>
              <w:spacing w:before="1"/>
              <w:ind w:left="105"/>
              <w:rPr>
                <w:color w:val="000000"/>
                <w:sz w:val="24"/>
                <w:szCs w:val="24"/>
              </w:rPr>
            </w:pPr>
            <w:r>
              <w:rPr>
                <w:color w:val="000000"/>
                <w:sz w:val="24"/>
                <w:szCs w:val="24"/>
              </w:rPr>
              <w:t>Category</w:t>
            </w:r>
          </w:p>
        </w:tc>
        <w:tc>
          <w:tcPr>
            <w:tcW w:w="1526" w:type="dxa"/>
          </w:tcPr>
          <w:p w14:paraId="01DC88AD" w14:textId="77777777" w:rsidR="0059665B" w:rsidRDefault="00040B3E">
            <w:pPr>
              <w:pBdr>
                <w:top w:val="nil"/>
                <w:left w:val="nil"/>
                <w:bottom w:val="nil"/>
                <w:right w:val="nil"/>
                <w:between w:val="nil"/>
              </w:pBdr>
              <w:spacing w:before="1" w:line="275" w:lineRule="auto"/>
              <w:ind w:left="110"/>
              <w:rPr>
                <w:color w:val="000000"/>
                <w:sz w:val="24"/>
                <w:szCs w:val="24"/>
              </w:rPr>
            </w:pPr>
            <w:r>
              <w:rPr>
                <w:color w:val="000000"/>
                <w:sz w:val="24"/>
                <w:szCs w:val="24"/>
              </w:rPr>
              <w:t>Type of</w:t>
            </w:r>
          </w:p>
          <w:p w14:paraId="0473F8E4" w14:textId="77777777" w:rsidR="0059665B" w:rsidRDefault="00040B3E">
            <w:pPr>
              <w:pBdr>
                <w:top w:val="nil"/>
                <w:left w:val="nil"/>
                <w:bottom w:val="nil"/>
                <w:right w:val="nil"/>
                <w:between w:val="nil"/>
              </w:pBdr>
              <w:spacing w:line="254" w:lineRule="auto"/>
              <w:ind w:left="110"/>
              <w:rPr>
                <w:color w:val="000000"/>
                <w:sz w:val="24"/>
                <w:szCs w:val="24"/>
              </w:rPr>
            </w:pPr>
            <w:r>
              <w:rPr>
                <w:color w:val="000000"/>
                <w:sz w:val="24"/>
                <w:szCs w:val="24"/>
              </w:rPr>
              <w:t>Nanoparticle</w:t>
            </w:r>
          </w:p>
        </w:tc>
        <w:tc>
          <w:tcPr>
            <w:tcW w:w="1566" w:type="dxa"/>
          </w:tcPr>
          <w:p w14:paraId="70200477" w14:textId="77777777" w:rsidR="0059665B" w:rsidRDefault="00040B3E">
            <w:pPr>
              <w:pBdr>
                <w:top w:val="nil"/>
                <w:left w:val="nil"/>
                <w:bottom w:val="nil"/>
                <w:right w:val="nil"/>
                <w:between w:val="nil"/>
              </w:pBdr>
              <w:spacing w:before="1" w:line="275" w:lineRule="auto"/>
              <w:ind w:left="109"/>
              <w:rPr>
                <w:color w:val="000000"/>
                <w:sz w:val="24"/>
                <w:szCs w:val="24"/>
              </w:rPr>
            </w:pPr>
            <w:r>
              <w:rPr>
                <w:color w:val="000000"/>
                <w:sz w:val="24"/>
                <w:szCs w:val="24"/>
              </w:rPr>
              <w:t>Composition</w:t>
            </w:r>
          </w:p>
          <w:p w14:paraId="17583E90" w14:textId="77777777" w:rsidR="0059665B" w:rsidRDefault="00040B3E">
            <w:pPr>
              <w:pBdr>
                <w:top w:val="nil"/>
                <w:left w:val="nil"/>
                <w:bottom w:val="nil"/>
                <w:right w:val="nil"/>
                <w:between w:val="nil"/>
              </w:pBdr>
              <w:spacing w:line="254" w:lineRule="auto"/>
              <w:ind w:left="109"/>
              <w:rPr>
                <w:color w:val="000000"/>
                <w:sz w:val="24"/>
                <w:szCs w:val="24"/>
              </w:rPr>
            </w:pPr>
            <w:r>
              <w:rPr>
                <w:color w:val="000000"/>
                <w:sz w:val="24"/>
                <w:szCs w:val="24"/>
              </w:rPr>
              <w:t>/ Structure</w:t>
            </w:r>
          </w:p>
        </w:tc>
        <w:tc>
          <w:tcPr>
            <w:tcW w:w="1741" w:type="dxa"/>
          </w:tcPr>
          <w:p w14:paraId="2F64CFE3" w14:textId="77777777" w:rsidR="0059665B" w:rsidRDefault="00040B3E">
            <w:pPr>
              <w:pBdr>
                <w:top w:val="nil"/>
                <w:left w:val="nil"/>
                <w:bottom w:val="nil"/>
                <w:right w:val="nil"/>
                <w:between w:val="nil"/>
              </w:pBdr>
              <w:spacing w:line="276" w:lineRule="auto"/>
              <w:ind w:left="104" w:right="367"/>
              <w:rPr>
                <w:color w:val="000000"/>
                <w:sz w:val="24"/>
                <w:szCs w:val="24"/>
              </w:rPr>
            </w:pPr>
            <w:r>
              <w:rPr>
                <w:color w:val="000000"/>
                <w:sz w:val="24"/>
                <w:szCs w:val="24"/>
              </w:rPr>
              <w:t>Major Food- Related Uses</w:t>
            </w:r>
          </w:p>
        </w:tc>
        <w:tc>
          <w:tcPr>
            <w:tcW w:w="3509" w:type="dxa"/>
          </w:tcPr>
          <w:p w14:paraId="49880C6F" w14:textId="77777777" w:rsidR="0059665B" w:rsidRDefault="00040B3E">
            <w:pPr>
              <w:pBdr>
                <w:top w:val="nil"/>
                <w:left w:val="nil"/>
                <w:bottom w:val="nil"/>
                <w:right w:val="nil"/>
                <w:between w:val="nil"/>
              </w:pBdr>
              <w:spacing w:before="1"/>
              <w:ind w:left="108"/>
              <w:rPr>
                <w:color w:val="000000"/>
                <w:sz w:val="24"/>
                <w:szCs w:val="24"/>
              </w:rPr>
            </w:pPr>
            <w:r>
              <w:rPr>
                <w:color w:val="000000"/>
                <w:sz w:val="24"/>
                <w:szCs w:val="24"/>
              </w:rPr>
              <w:t>GIT Fate &amp; Toxicity Features</w:t>
            </w:r>
          </w:p>
        </w:tc>
      </w:tr>
      <w:tr w:rsidR="0059665B" w14:paraId="0B81B069" w14:textId="77777777" w:rsidTr="00EC3B1F">
        <w:trPr>
          <w:trHeight w:val="1378"/>
        </w:trPr>
        <w:tc>
          <w:tcPr>
            <w:tcW w:w="1546" w:type="dxa"/>
          </w:tcPr>
          <w:p w14:paraId="75C1D638" w14:textId="77777777" w:rsidR="0059665B" w:rsidRDefault="00040B3E">
            <w:pPr>
              <w:pBdr>
                <w:top w:val="nil"/>
                <w:left w:val="nil"/>
                <w:bottom w:val="nil"/>
                <w:right w:val="nil"/>
                <w:between w:val="nil"/>
              </w:pBdr>
              <w:ind w:left="105" w:right="517"/>
              <w:rPr>
                <w:color w:val="000000"/>
                <w:sz w:val="24"/>
                <w:szCs w:val="24"/>
              </w:rPr>
            </w:pPr>
            <w:r>
              <w:rPr>
                <w:color w:val="000000"/>
                <w:sz w:val="24"/>
                <w:szCs w:val="24"/>
              </w:rPr>
              <w:t>Inorganic Nano-</w:t>
            </w:r>
          </w:p>
          <w:p w14:paraId="284424F3" w14:textId="77777777" w:rsidR="0059665B" w:rsidRDefault="00040B3E">
            <w:pPr>
              <w:pBdr>
                <w:top w:val="nil"/>
                <w:left w:val="nil"/>
                <w:bottom w:val="nil"/>
                <w:right w:val="nil"/>
                <w:between w:val="nil"/>
              </w:pBdr>
              <w:spacing w:line="274" w:lineRule="auto"/>
              <w:ind w:left="105"/>
              <w:rPr>
                <w:color w:val="000000"/>
                <w:sz w:val="24"/>
                <w:szCs w:val="24"/>
              </w:rPr>
            </w:pPr>
            <w:r>
              <w:rPr>
                <w:color w:val="000000"/>
                <w:sz w:val="24"/>
                <w:szCs w:val="24"/>
              </w:rPr>
              <w:t>particles</w:t>
            </w:r>
          </w:p>
        </w:tc>
        <w:tc>
          <w:tcPr>
            <w:tcW w:w="1526" w:type="dxa"/>
          </w:tcPr>
          <w:p w14:paraId="594A3965" w14:textId="77777777" w:rsidR="0059665B" w:rsidRDefault="00040B3E">
            <w:pPr>
              <w:pBdr>
                <w:top w:val="nil"/>
                <w:left w:val="nil"/>
                <w:bottom w:val="nil"/>
                <w:right w:val="nil"/>
                <w:between w:val="nil"/>
              </w:pBdr>
              <w:spacing w:line="275" w:lineRule="auto"/>
              <w:ind w:left="110"/>
              <w:rPr>
                <w:color w:val="000000"/>
                <w:sz w:val="24"/>
                <w:szCs w:val="24"/>
              </w:rPr>
            </w:pPr>
            <w:r>
              <w:rPr>
                <w:color w:val="000000"/>
                <w:sz w:val="24"/>
                <w:szCs w:val="24"/>
              </w:rPr>
              <w:t>Silver</w:t>
            </w:r>
          </w:p>
          <w:p w14:paraId="0F88BD99" w14:textId="77777777" w:rsidR="0059665B" w:rsidRDefault="00040B3E">
            <w:pPr>
              <w:pBdr>
                <w:top w:val="nil"/>
                <w:left w:val="nil"/>
                <w:bottom w:val="nil"/>
                <w:right w:val="nil"/>
                <w:between w:val="nil"/>
              </w:pBdr>
              <w:ind w:left="110"/>
              <w:rPr>
                <w:color w:val="000000"/>
                <w:sz w:val="24"/>
                <w:szCs w:val="24"/>
              </w:rPr>
            </w:pPr>
            <w:r>
              <w:rPr>
                <w:color w:val="000000"/>
                <w:sz w:val="24"/>
                <w:szCs w:val="24"/>
              </w:rPr>
              <w:t>nanoparticles (Ag NPs)</w:t>
            </w:r>
          </w:p>
        </w:tc>
        <w:tc>
          <w:tcPr>
            <w:tcW w:w="1566" w:type="dxa"/>
          </w:tcPr>
          <w:p w14:paraId="0BDE4B43" w14:textId="77777777" w:rsidR="0059665B" w:rsidRDefault="00040B3E">
            <w:pPr>
              <w:pBdr>
                <w:top w:val="nil"/>
                <w:left w:val="nil"/>
                <w:bottom w:val="nil"/>
                <w:right w:val="nil"/>
                <w:between w:val="nil"/>
              </w:pBdr>
              <w:ind w:left="109" w:right="643"/>
              <w:rPr>
                <w:color w:val="000000"/>
                <w:sz w:val="24"/>
                <w:szCs w:val="24"/>
              </w:rPr>
            </w:pPr>
            <w:r>
              <w:rPr>
                <w:color w:val="000000"/>
                <w:sz w:val="24"/>
                <w:szCs w:val="24"/>
              </w:rPr>
              <w:t>Metallic silver;</w:t>
            </w:r>
          </w:p>
          <w:p w14:paraId="69F9F10D" w14:textId="77777777" w:rsidR="0059665B" w:rsidRDefault="00040B3E">
            <w:pPr>
              <w:pBdr>
                <w:top w:val="nil"/>
                <w:left w:val="nil"/>
                <w:bottom w:val="nil"/>
                <w:right w:val="nil"/>
                <w:between w:val="nil"/>
              </w:pBdr>
              <w:spacing w:line="242" w:lineRule="auto"/>
              <w:ind w:left="109" w:right="176"/>
              <w:rPr>
                <w:color w:val="000000"/>
                <w:sz w:val="24"/>
                <w:szCs w:val="24"/>
              </w:rPr>
            </w:pPr>
            <w:r>
              <w:rPr>
                <w:color w:val="000000"/>
                <w:sz w:val="24"/>
                <w:szCs w:val="24"/>
              </w:rPr>
              <w:t>variable size, shape</w:t>
            </w:r>
          </w:p>
        </w:tc>
        <w:tc>
          <w:tcPr>
            <w:tcW w:w="1741" w:type="dxa"/>
          </w:tcPr>
          <w:p w14:paraId="34A163E7" w14:textId="77777777" w:rsidR="0059665B" w:rsidRDefault="00040B3E">
            <w:pPr>
              <w:pBdr>
                <w:top w:val="nil"/>
                <w:left w:val="nil"/>
                <w:bottom w:val="nil"/>
                <w:right w:val="nil"/>
                <w:between w:val="nil"/>
              </w:pBdr>
              <w:ind w:left="104" w:right="349"/>
              <w:rPr>
                <w:color w:val="000000"/>
                <w:sz w:val="24"/>
                <w:szCs w:val="24"/>
              </w:rPr>
            </w:pPr>
            <w:r>
              <w:rPr>
                <w:color w:val="000000"/>
                <w:sz w:val="24"/>
                <w:szCs w:val="24"/>
              </w:rPr>
              <w:t>Antibacterial agents; food packaging</w:t>
            </w:r>
          </w:p>
          <w:p w14:paraId="2E826924" w14:textId="77777777" w:rsidR="0059665B" w:rsidRDefault="00040B3E">
            <w:pPr>
              <w:pBdr>
                <w:top w:val="nil"/>
                <w:left w:val="nil"/>
                <w:bottom w:val="nil"/>
                <w:right w:val="nil"/>
                <w:between w:val="nil"/>
              </w:pBdr>
              <w:spacing w:line="276" w:lineRule="auto"/>
              <w:ind w:left="104" w:right="349"/>
              <w:rPr>
                <w:color w:val="000000"/>
                <w:sz w:val="24"/>
                <w:szCs w:val="24"/>
              </w:rPr>
            </w:pPr>
            <w:r>
              <w:rPr>
                <w:color w:val="000000"/>
                <w:sz w:val="24"/>
                <w:szCs w:val="24"/>
              </w:rPr>
              <w:t>(containers, storage bags)</w:t>
            </w:r>
          </w:p>
        </w:tc>
        <w:tc>
          <w:tcPr>
            <w:tcW w:w="3509" w:type="dxa"/>
          </w:tcPr>
          <w:p w14:paraId="5C0843D9" w14:textId="77777777" w:rsidR="0059665B" w:rsidRDefault="00040B3E">
            <w:pPr>
              <w:pBdr>
                <w:top w:val="nil"/>
                <w:left w:val="nil"/>
                <w:bottom w:val="nil"/>
                <w:right w:val="nil"/>
                <w:between w:val="nil"/>
              </w:pBdr>
              <w:ind w:left="108"/>
              <w:rPr>
                <w:color w:val="000000"/>
                <w:sz w:val="24"/>
                <w:szCs w:val="24"/>
              </w:rPr>
            </w:pPr>
            <w:r>
              <w:rPr>
                <w:color w:val="000000"/>
                <w:sz w:val="24"/>
                <w:szCs w:val="24"/>
              </w:rPr>
              <w:t>May migrate into food; small % absorbed; can accumulate in GIT,</w:t>
            </w:r>
          </w:p>
          <w:p w14:paraId="0FCB762F" w14:textId="0BF98381" w:rsidR="0059665B" w:rsidRDefault="00040B3E" w:rsidP="00EC3B1F">
            <w:pPr>
              <w:pBdr>
                <w:top w:val="nil"/>
                <w:left w:val="nil"/>
                <w:bottom w:val="nil"/>
                <w:right w:val="nil"/>
                <w:between w:val="nil"/>
              </w:pBdr>
              <w:spacing w:line="274" w:lineRule="auto"/>
              <w:ind w:left="108"/>
              <w:rPr>
                <w:color w:val="000000"/>
                <w:sz w:val="24"/>
                <w:szCs w:val="24"/>
              </w:rPr>
            </w:pPr>
            <w:r>
              <w:rPr>
                <w:color w:val="000000"/>
                <w:sz w:val="24"/>
                <w:szCs w:val="24"/>
              </w:rPr>
              <w:t>liver, kidney; may cause liver/kidney</w:t>
            </w:r>
            <w:r w:rsidR="00EC3B1F">
              <w:rPr>
                <w:color w:val="000000"/>
                <w:sz w:val="24"/>
                <w:szCs w:val="24"/>
              </w:rPr>
              <w:t xml:space="preserve"> </w:t>
            </w:r>
            <w:r>
              <w:rPr>
                <w:color w:val="000000"/>
                <w:sz w:val="24"/>
                <w:szCs w:val="24"/>
              </w:rPr>
              <w:t>changes in high doses; &lt;1% retained in tissues.</w:t>
            </w:r>
          </w:p>
        </w:tc>
      </w:tr>
      <w:tr w:rsidR="0059665B" w14:paraId="011E560F" w14:textId="77777777" w:rsidTr="00EC3B1F">
        <w:trPr>
          <w:trHeight w:val="1928"/>
        </w:trPr>
        <w:tc>
          <w:tcPr>
            <w:tcW w:w="1546" w:type="dxa"/>
          </w:tcPr>
          <w:p w14:paraId="09595CA0" w14:textId="77777777" w:rsidR="0059665B" w:rsidRDefault="0059665B">
            <w:pPr>
              <w:pBdr>
                <w:top w:val="nil"/>
                <w:left w:val="nil"/>
                <w:bottom w:val="nil"/>
                <w:right w:val="nil"/>
                <w:between w:val="nil"/>
              </w:pBdr>
              <w:rPr>
                <w:color w:val="000000"/>
                <w:sz w:val="24"/>
                <w:szCs w:val="24"/>
              </w:rPr>
            </w:pPr>
          </w:p>
        </w:tc>
        <w:tc>
          <w:tcPr>
            <w:tcW w:w="1526" w:type="dxa"/>
          </w:tcPr>
          <w:p w14:paraId="44432D9B" w14:textId="77777777" w:rsidR="0059665B" w:rsidRDefault="00040B3E">
            <w:pPr>
              <w:pBdr>
                <w:top w:val="nil"/>
                <w:left w:val="nil"/>
                <w:bottom w:val="nil"/>
                <w:right w:val="nil"/>
                <w:between w:val="nil"/>
              </w:pBdr>
              <w:ind w:left="110"/>
              <w:rPr>
                <w:color w:val="000000"/>
                <w:sz w:val="24"/>
                <w:szCs w:val="24"/>
              </w:rPr>
            </w:pPr>
            <w:r>
              <w:rPr>
                <w:color w:val="000000"/>
                <w:sz w:val="24"/>
                <w:szCs w:val="24"/>
              </w:rPr>
              <w:t>Titanium dioxide</w:t>
            </w:r>
          </w:p>
          <w:p w14:paraId="60397816" w14:textId="77777777" w:rsidR="0059665B" w:rsidRDefault="00040B3E">
            <w:pPr>
              <w:pBdr>
                <w:top w:val="nil"/>
                <w:left w:val="nil"/>
                <w:bottom w:val="nil"/>
                <w:right w:val="nil"/>
                <w:between w:val="nil"/>
              </w:pBdr>
              <w:spacing w:line="242" w:lineRule="auto"/>
              <w:ind w:left="110"/>
              <w:rPr>
                <w:color w:val="000000"/>
                <w:sz w:val="24"/>
                <w:szCs w:val="24"/>
              </w:rPr>
            </w:pPr>
            <w:r>
              <w:rPr>
                <w:color w:val="000000"/>
                <w:sz w:val="24"/>
                <w:szCs w:val="24"/>
              </w:rPr>
              <w:t>nanoparticles (</w:t>
            </w:r>
            <w:proofErr w:type="spellStart"/>
            <w:r>
              <w:rPr>
                <w:color w:val="000000"/>
                <w:sz w:val="24"/>
                <w:szCs w:val="24"/>
              </w:rPr>
              <w:t>TiO</w:t>
            </w:r>
            <w:proofErr w:type="spellEnd"/>
            <w:r>
              <w:rPr>
                <w:color w:val="000000"/>
                <w:sz w:val="24"/>
                <w:szCs w:val="24"/>
              </w:rPr>
              <w:t>₂)</w:t>
            </w:r>
          </w:p>
        </w:tc>
        <w:tc>
          <w:tcPr>
            <w:tcW w:w="1566" w:type="dxa"/>
          </w:tcPr>
          <w:p w14:paraId="17C0C999" w14:textId="77777777" w:rsidR="0059665B" w:rsidRDefault="00040B3E">
            <w:pPr>
              <w:pBdr>
                <w:top w:val="nil"/>
                <w:left w:val="nil"/>
                <w:bottom w:val="nil"/>
                <w:right w:val="nil"/>
                <w:between w:val="nil"/>
              </w:pBdr>
              <w:spacing w:line="275" w:lineRule="auto"/>
              <w:ind w:left="109"/>
              <w:rPr>
                <w:color w:val="000000"/>
                <w:sz w:val="24"/>
                <w:szCs w:val="24"/>
              </w:rPr>
            </w:pPr>
            <w:r>
              <w:rPr>
                <w:color w:val="000000"/>
                <w:sz w:val="24"/>
                <w:szCs w:val="24"/>
              </w:rPr>
              <w:t>Crystalline</w:t>
            </w:r>
          </w:p>
          <w:p w14:paraId="5A02B1BF" w14:textId="77777777" w:rsidR="0059665B" w:rsidRDefault="00040B3E">
            <w:pPr>
              <w:pBdr>
                <w:top w:val="nil"/>
                <w:left w:val="nil"/>
                <w:bottom w:val="nil"/>
                <w:right w:val="nil"/>
                <w:between w:val="nil"/>
              </w:pBdr>
              <w:ind w:left="109"/>
              <w:rPr>
                <w:color w:val="000000"/>
                <w:sz w:val="24"/>
                <w:szCs w:val="24"/>
              </w:rPr>
            </w:pPr>
            <w:r>
              <w:rPr>
                <w:color w:val="000000"/>
                <w:sz w:val="24"/>
                <w:szCs w:val="24"/>
              </w:rPr>
              <w:t>anatase/rutile; 100–300 nm,</w:t>
            </w:r>
          </w:p>
          <w:p w14:paraId="3469CAF2" w14:textId="77777777" w:rsidR="0059665B" w:rsidRDefault="00040B3E">
            <w:pPr>
              <w:pBdr>
                <w:top w:val="nil"/>
                <w:left w:val="nil"/>
                <w:bottom w:val="nil"/>
                <w:right w:val="nil"/>
                <w:between w:val="nil"/>
              </w:pBdr>
              <w:spacing w:before="3" w:line="275" w:lineRule="auto"/>
              <w:ind w:left="109"/>
              <w:rPr>
                <w:color w:val="000000"/>
                <w:sz w:val="24"/>
                <w:szCs w:val="24"/>
              </w:rPr>
            </w:pPr>
            <w:r>
              <w:rPr>
                <w:color w:val="000000"/>
                <w:sz w:val="24"/>
                <w:szCs w:val="24"/>
              </w:rPr>
              <w:t>but many</w:t>
            </w:r>
          </w:p>
          <w:p w14:paraId="599B8898" w14:textId="77777777" w:rsidR="0059665B" w:rsidRDefault="00040B3E">
            <w:pPr>
              <w:pBdr>
                <w:top w:val="nil"/>
                <w:left w:val="nil"/>
                <w:bottom w:val="nil"/>
                <w:right w:val="nil"/>
                <w:between w:val="nil"/>
              </w:pBdr>
              <w:spacing w:line="275" w:lineRule="auto"/>
              <w:ind w:left="109"/>
              <w:rPr>
                <w:color w:val="000000"/>
                <w:sz w:val="24"/>
                <w:szCs w:val="24"/>
              </w:rPr>
            </w:pPr>
            <w:r>
              <w:rPr>
                <w:color w:val="000000"/>
                <w:sz w:val="24"/>
                <w:szCs w:val="24"/>
              </w:rPr>
              <w:t>&lt;100 nm</w:t>
            </w:r>
          </w:p>
        </w:tc>
        <w:tc>
          <w:tcPr>
            <w:tcW w:w="1741" w:type="dxa"/>
          </w:tcPr>
          <w:p w14:paraId="3ED41186" w14:textId="77777777" w:rsidR="0059665B" w:rsidRDefault="00040B3E">
            <w:pPr>
              <w:pBdr>
                <w:top w:val="nil"/>
                <w:left w:val="nil"/>
                <w:bottom w:val="nil"/>
                <w:right w:val="nil"/>
                <w:between w:val="nil"/>
              </w:pBdr>
              <w:ind w:left="104" w:right="108"/>
              <w:jc w:val="both"/>
              <w:rPr>
                <w:color w:val="000000"/>
                <w:sz w:val="24"/>
                <w:szCs w:val="24"/>
              </w:rPr>
            </w:pPr>
            <w:r>
              <w:rPr>
                <w:color w:val="000000"/>
                <w:sz w:val="24"/>
                <w:szCs w:val="24"/>
              </w:rPr>
              <w:t xml:space="preserve">Whitening/light </w:t>
            </w:r>
            <w:proofErr w:type="spellStart"/>
            <w:r>
              <w:rPr>
                <w:color w:val="000000"/>
                <w:sz w:val="24"/>
                <w:szCs w:val="24"/>
              </w:rPr>
              <w:t>ening</w:t>
            </w:r>
            <w:proofErr w:type="spellEnd"/>
            <w:r>
              <w:rPr>
                <w:color w:val="000000"/>
                <w:sz w:val="24"/>
                <w:szCs w:val="24"/>
              </w:rPr>
              <w:t xml:space="preserve"> agent</w:t>
            </w:r>
          </w:p>
          <w:p w14:paraId="68B12781" w14:textId="77777777" w:rsidR="0059665B" w:rsidRDefault="00040B3E">
            <w:pPr>
              <w:pBdr>
                <w:top w:val="nil"/>
                <w:left w:val="nil"/>
                <w:bottom w:val="nil"/>
                <w:right w:val="nil"/>
                <w:between w:val="nil"/>
              </w:pBdr>
              <w:spacing w:line="242" w:lineRule="auto"/>
              <w:ind w:left="104" w:right="164"/>
              <w:jc w:val="both"/>
              <w:rPr>
                <w:color w:val="000000"/>
                <w:sz w:val="24"/>
                <w:szCs w:val="24"/>
              </w:rPr>
            </w:pPr>
            <w:r>
              <w:rPr>
                <w:color w:val="000000"/>
                <w:sz w:val="24"/>
                <w:szCs w:val="24"/>
              </w:rPr>
              <w:t>(E171); high in candies, gums, desserts</w:t>
            </w:r>
          </w:p>
        </w:tc>
        <w:tc>
          <w:tcPr>
            <w:tcW w:w="3509" w:type="dxa"/>
          </w:tcPr>
          <w:p w14:paraId="6F457A4B" w14:textId="77777777" w:rsidR="0059665B" w:rsidRDefault="00040B3E">
            <w:pPr>
              <w:pBdr>
                <w:top w:val="nil"/>
                <w:left w:val="nil"/>
                <w:bottom w:val="nil"/>
                <w:right w:val="nil"/>
                <w:between w:val="nil"/>
              </w:pBdr>
              <w:ind w:left="108" w:right="157"/>
              <w:rPr>
                <w:color w:val="000000"/>
                <w:sz w:val="24"/>
                <w:szCs w:val="24"/>
              </w:rPr>
            </w:pPr>
            <w:r>
              <w:rPr>
                <w:color w:val="000000"/>
                <w:sz w:val="24"/>
                <w:szCs w:val="24"/>
              </w:rPr>
              <w:t>Some studies show accumulation in the liver, spleen, and kidney;</w:t>
            </w:r>
          </w:p>
          <w:p w14:paraId="577187CE" w14:textId="77777777" w:rsidR="0059665B" w:rsidRDefault="00040B3E">
            <w:pPr>
              <w:pBdr>
                <w:top w:val="nil"/>
                <w:left w:val="nil"/>
                <w:bottom w:val="nil"/>
                <w:right w:val="nil"/>
                <w:between w:val="nil"/>
              </w:pBdr>
              <w:spacing w:line="242" w:lineRule="auto"/>
              <w:ind w:left="108"/>
              <w:rPr>
                <w:color w:val="000000"/>
                <w:sz w:val="24"/>
                <w:szCs w:val="24"/>
              </w:rPr>
            </w:pPr>
            <w:r>
              <w:rPr>
                <w:color w:val="000000"/>
                <w:sz w:val="24"/>
                <w:szCs w:val="24"/>
              </w:rPr>
              <w:t>potential liver, cardiac, and immune toxicity; others show minimal</w:t>
            </w:r>
          </w:p>
          <w:p w14:paraId="3973CDB7" w14:textId="77777777" w:rsidR="0059665B" w:rsidRDefault="00040B3E">
            <w:pPr>
              <w:pBdr>
                <w:top w:val="nil"/>
                <w:left w:val="nil"/>
                <w:bottom w:val="nil"/>
                <w:right w:val="nil"/>
                <w:between w:val="nil"/>
              </w:pBdr>
              <w:ind w:left="108"/>
              <w:rPr>
                <w:color w:val="000000"/>
                <w:sz w:val="24"/>
                <w:szCs w:val="24"/>
              </w:rPr>
            </w:pPr>
            <w:r>
              <w:rPr>
                <w:color w:val="000000"/>
                <w:sz w:val="24"/>
                <w:szCs w:val="24"/>
              </w:rPr>
              <w:t xml:space="preserve">absorption and </w:t>
            </w:r>
            <w:proofErr w:type="spellStart"/>
            <w:r>
              <w:rPr>
                <w:color w:val="000000"/>
                <w:sz w:val="24"/>
                <w:szCs w:val="24"/>
              </w:rPr>
              <w:t>faecal</w:t>
            </w:r>
            <w:proofErr w:type="spellEnd"/>
            <w:r>
              <w:rPr>
                <w:color w:val="000000"/>
                <w:sz w:val="24"/>
                <w:szCs w:val="24"/>
              </w:rPr>
              <w:t xml:space="preserve"> excretion; toxicity influenced by size, crystal</w:t>
            </w:r>
          </w:p>
          <w:p w14:paraId="2AA7C431" w14:textId="77777777" w:rsidR="0059665B" w:rsidRDefault="00040B3E">
            <w:pPr>
              <w:pBdr>
                <w:top w:val="nil"/>
                <w:left w:val="nil"/>
                <w:bottom w:val="nil"/>
                <w:right w:val="nil"/>
                <w:between w:val="nil"/>
              </w:pBdr>
              <w:spacing w:line="252" w:lineRule="auto"/>
              <w:ind w:left="108"/>
              <w:rPr>
                <w:color w:val="000000"/>
                <w:sz w:val="24"/>
                <w:szCs w:val="24"/>
              </w:rPr>
            </w:pPr>
            <w:r>
              <w:rPr>
                <w:color w:val="000000"/>
                <w:sz w:val="24"/>
                <w:szCs w:val="24"/>
              </w:rPr>
              <w:t>form, age, and food matrix.</w:t>
            </w:r>
          </w:p>
        </w:tc>
      </w:tr>
      <w:tr w:rsidR="0059665B" w14:paraId="673D6773" w14:textId="77777777" w:rsidTr="00EC3B1F">
        <w:trPr>
          <w:trHeight w:val="1380"/>
        </w:trPr>
        <w:tc>
          <w:tcPr>
            <w:tcW w:w="1546" w:type="dxa"/>
          </w:tcPr>
          <w:p w14:paraId="03D83127" w14:textId="77777777" w:rsidR="0059665B" w:rsidRDefault="0059665B">
            <w:pPr>
              <w:pBdr>
                <w:top w:val="nil"/>
                <w:left w:val="nil"/>
                <w:bottom w:val="nil"/>
                <w:right w:val="nil"/>
                <w:between w:val="nil"/>
              </w:pBdr>
              <w:rPr>
                <w:color w:val="000000"/>
                <w:sz w:val="24"/>
                <w:szCs w:val="24"/>
              </w:rPr>
            </w:pPr>
          </w:p>
        </w:tc>
        <w:tc>
          <w:tcPr>
            <w:tcW w:w="1526" w:type="dxa"/>
          </w:tcPr>
          <w:p w14:paraId="17E26563" w14:textId="77777777" w:rsidR="0059665B" w:rsidRDefault="00040B3E">
            <w:pPr>
              <w:pBdr>
                <w:top w:val="nil"/>
                <w:left w:val="nil"/>
                <w:bottom w:val="nil"/>
                <w:right w:val="nil"/>
                <w:between w:val="nil"/>
              </w:pBdr>
              <w:spacing w:before="1" w:line="275" w:lineRule="auto"/>
              <w:ind w:left="110"/>
              <w:rPr>
                <w:color w:val="000000"/>
                <w:sz w:val="24"/>
                <w:szCs w:val="24"/>
              </w:rPr>
            </w:pPr>
            <w:r>
              <w:rPr>
                <w:color w:val="000000"/>
                <w:sz w:val="24"/>
                <w:szCs w:val="24"/>
              </w:rPr>
              <w:t>Iron oxide</w:t>
            </w:r>
          </w:p>
          <w:p w14:paraId="6358391F" w14:textId="77777777" w:rsidR="0059665B" w:rsidRDefault="00040B3E">
            <w:pPr>
              <w:pBdr>
                <w:top w:val="nil"/>
                <w:left w:val="nil"/>
                <w:bottom w:val="nil"/>
                <w:right w:val="nil"/>
                <w:between w:val="nil"/>
              </w:pBdr>
              <w:spacing w:line="242" w:lineRule="auto"/>
              <w:ind w:left="110"/>
              <w:rPr>
                <w:color w:val="000000"/>
                <w:sz w:val="24"/>
                <w:szCs w:val="24"/>
              </w:rPr>
            </w:pPr>
            <w:r>
              <w:rPr>
                <w:color w:val="000000"/>
                <w:sz w:val="24"/>
                <w:szCs w:val="24"/>
              </w:rPr>
              <w:t>nanoparticles (</w:t>
            </w:r>
            <w:proofErr w:type="spellStart"/>
            <w:r>
              <w:rPr>
                <w:color w:val="000000"/>
                <w:sz w:val="24"/>
                <w:szCs w:val="24"/>
              </w:rPr>
              <w:t>Fe₂O</w:t>
            </w:r>
            <w:proofErr w:type="spellEnd"/>
            <w:r>
              <w:rPr>
                <w:color w:val="000000"/>
                <w:sz w:val="24"/>
                <w:szCs w:val="24"/>
              </w:rPr>
              <w:t>₃)</w:t>
            </w:r>
          </w:p>
        </w:tc>
        <w:tc>
          <w:tcPr>
            <w:tcW w:w="1566" w:type="dxa"/>
          </w:tcPr>
          <w:p w14:paraId="4A945700" w14:textId="77777777" w:rsidR="0059665B" w:rsidRDefault="00040B3E">
            <w:pPr>
              <w:pBdr>
                <w:top w:val="nil"/>
                <w:left w:val="nil"/>
                <w:bottom w:val="nil"/>
                <w:right w:val="nil"/>
                <w:between w:val="nil"/>
              </w:pBdr>
              <w:spacing w:before="1"/>
              <w:ind w:left="109" w:right="248"/>
              <w:rPr>
                <w:color w:val="000000"/>
                <w:sz w:val="24"/>
                <w:szCs w:val="24"/>
              </w:rPr>
            </w:pPr>
            <w:r>
              <w:rPr>
                <w:color w:val="000000"/>
                <w:sz w:val="24"/>
                <w:szCs w:val="24"/>
              </w:rPr>
              <w:t>Iron oxides with various shapes and crystalline</w:t>
            </w:r>
          </w:p>
          <w:p w14:paraId="37DA66E7" w14:textId="77777777" w:rsidR="0059665B" w:rsidRDefault="00040B3E">
            <w:pPr>
              <w:pBdr>
                <w:top w:val="nil"/>
                <w:left w:val="nil"/>
                <w:bottom w:val="nil"/>
                <w:right w:val="nil"/>
                <w:between w:val="nil"/>
              </w:pBdr>
              <w:spacing w:before="1" w:line="254" w:lineRule="auto"/>
              <w:ind w:left="109"/>
              <w:rPr>
                <w:color w:val="000000"/>
                <w:sz w:val="24"/>
                <w:szCs w:val="24"/>
              </w:rPr>
            </w:pPr>
            <w:r>
              <w:rPr>
                <w:color w:val="000000"/>
                <w:sz w:val="24"/>
                <w:szCs w:val="24"/>
              </w:rPr>
              <w:t>forms</w:t>
            </w:r>
          </w:p>
        </w:tc>
        <w:tc>
          <w:tcPr>
            <w:tcW w:w="1741" w:type="dxa"/>
          </w:tcPr>
          <w:p w14:paraId="50AA85D5" w14:textId="77777777" w:rsidR="0059665B" w:rsidRDefault="00040B3E">
            <w:pPr>
              <w:pBdr>
                <w:top w:val="nil"/>
                <w:left w:val="nil"/>
                <w:bottom w:val="nil"/>
                <w:right w:val="nil"/>
                <w:between w:val="nil"/>
              </w:pBdr>
              <w:spacing w:before="1" w:line="242" w:lineRule="auto"/>
              <w:ind w:left="104" w:right="388"/>
              <w:rPr>
                <w:color w:val="000000"/>
                <w:sz w:val="24"/>
                <w:szCs w:val="24"/>
              </w:rPr>
            </w:pPr>
            <w:proofErr w:type="spellStart"/>
            <w:r>
              <w:rPr>
                <w:color w:val="000000"/>
                <w:sz w:val="24"/>
                <w:szCs w:val="24"/>
              </w:rPr>
              <w:t>Colourants</w:t>
            </w:r>
            <w:proofErr w:type="spellEnd"/>
            <w:r>
              <w:rPr>
                <w:color w:val="000000"/>
                <w:sz w:val="24"/>
                <w:szCs w:val="24"/>
              </w:rPr>
              <w:t>; possible iron fortification</w:t>
            </w:r>
          </w:p>
        </w:tc>
        <w:tc>
          <w:tcPr>
            <w:tcW w:w="3509" w:type="dxa"/>
          </w:tcPr>
          <w:p w14:paraId="38DD1505" w14:textId="77777777" w:rsidR="0059665B" w:rsidRDefault="00040B3E">
            <w:pPr>
              <w:pBdr>
                <w:top w:val="nil"/>
                <w:left w:val="nil"/>
                <w:bottom w:val="nil"/>
                <w:right w:val="nil"/>
                <w:between w:val="nil"/>
              </w:pBdr>
              <w:spacing w:before="1" w:line="275" w:lineRule="auto"/>
              <w:ind w:left="108"/>
              <w:rPr>
                <w:color w:val="000000"/>
                <w:sz w:val="24"/>
                <w:szCs w:val="24"/>
              </w:rPr>
            </w:pPr>
            <w:r>
              <w:rPr>
                <w:color w:val="000000"/>
                <w:sz w:val="24"/>
                <w:szCs w:val="24"/>
              </w:rPr>
              <w:t>Generally low toxicity; little</w:t>
            </w:r>
          </w:p>
          <w:p w14:paraId="147C3616" w14:textId="77777777" w:rsidR="0059665B" w:rsidRDefault="00040B3E">
            <w:pPr>
              <w:pBdr>
                <w:top w:val="nil"/>
                <w:left w:val="nil"/>
                <w:bottom w:val="nil"/>
                <w:right w:val="nil"/>
                <w:between w:val="nil"/>
              </w:pBdr>
              <w:spacing w:line="242" w:lineRule="auto"/>
              <w:ind w:left="108"/>
              <w:rPr>
                <w:color w:val="000000"/>
                <w:sz w:val="24"/>
                <w:szCs w:val="24"/>
              </w:rPr>
            </w:pPr>
            <w:r>
              <w:rPr>
                <w:color w:val="000000"/>
                <w:sz w:val="24"/>
                <w:szCs w:val="24"/>
              </w:rPr>
              <w:t>accumulation found; reactive oxygen species (ROS) production; high</w:t>
            </w:r>
          </w:p>
          <w:p w14:paraId="7C33B897" w14:textId="77777777" w:rsidR="0059665B" w:rsidRDefault="00040B3E">
            <w:pPr>
              <w:pBdr>
                <w:top w:val="nil"/>
                <w:left w:val="nil"/>
                <w:bottom w:val="nil"/>
                <w:right w:val="nil"/>
                <w:between w:val="nil"/>
              </w:pBdr>
              <w:spacing w:line="276" w:lineRule="auto"/>
              <w:ind w:left="108"/>
              <w:rPr>
                <w:color w:val="000000"/>
                <w:sz w:val="24"/>
                <w:szCs w:val="24"/>
              </w:rPr>
            </w:pPr>
            <w:r>
              <w:rPr>
                <w:color w:val="000000"/>
                <w:sz w:val="24"/>
                <w:szCs w:val="24"/>
              </w:rPr>
              <w:t>doses (up to 1000 mg/kg) show no major toxicity in rats.</w:t>
            </w:r>
          </w:p>
        </w:tc>
      </w:tr>
      <w:tr w:rsidR="0059665B" w14:paraId="393ADFB0" w14:textId="77777777" w:rsidTr="00EC3B1F">
        <w:trPr>
          <w:trHeight w:val="1929"/>
        </w:trPr>
        <w:tc>
          <w:tcPr>
            <w:tcW w:w="1546" w:type="dxa"/>
          </w:tcPr>
          <w:p w14:paraId="39B68483" w14:textId="77777777" w:rsidR="0059665B" w:rsidRDefault="0059665B">
            <w:pPr>
              <w:pBdr>
                <w:top w:val="nil"/>
                <w:left w:val="nil"/>
                <w:bottom w:val="nil"/>
                <w:right w:val="nil"/>
                <w:between w:val="nil"/>
              </w:pBdr>
              <w:rPr>
                <w:color w:val="000000"/>
                <w:sz w:val="24"/>
                <w:szCs w:val="24"/>
              </w:rPr>
            </w:pPr>
          </w:p>
        </w:tc>
        <w:tc>
          <w:tcPr>
            <w:tcW w:w="1526" w:type="dxa"/>
          </w:tcPr>
          <w:p w14:paraId="2A067859" w14:textId="77777777" w:rsidR="0059665B" w:rsidRDefault="00040B3E">
            <w:pPr>
              <w:pBdr>
                <w:top w:val="nil"/>
                <w:left w:val="nil"/>
                <w:bottom w:val="nil"/>
                <w:right w:val="nil"/>
                <w:between w:val="nil"/>
              </w:pBdr>
              <w:spacing w:line="271" w:lineRule="auto"/>
              <w:ind w:left="110"/>
              <w:rPr>
                <w:color w:val="000000"/>
                <w:sz w:val="24"/>
                <w:szCs w:val="24"/>
              </w:rPr>
            </w:pPr>
            <w:r>
              <w:rPr>
                <w:color w:val="000000"/>
                <w:sz w:val="24"/>
                <w:szCs w:val="24"/>
              </w:rPr>
              <w:t>Zinc oxide</w:t>
            </w:r>
          </w:p>
          <w:p w14:paraId="5543B13E" w14:textId="77777777" w:rsidR="0059665B" w:rsidRDefault="00040B3E">
            <w:pPr>
              <w:pBdr>
                <w:top w:val="nil"/>
                <w:left w:val="nil"/>
                <w:bottom w:val="nil"/>
                <w:right w:val="nil"/>
                <w:between w:val="nil"/>
              </w:pBdr>
              <w:spacing w:line="242" w:lineRule="auto"/>
              <w:ind w:left="110"/>
              <w:rPr>
                <w:color w:val="000000"/>
                <w:sz w:val="24"/>
                <w:szCs w:val="24"/>
              </w:rPr>
            </w:pPr>
            <w:r>
              <w:rPr>
                <w:color w:val="000000"/>
                <w:sz w:val="24"/>
                <w:szCs w:val="24"/>
              </w:rPr>
              <w:t>nanoparticles (ZnO)</w:t>
            </w:r>
          </w:p>
        </w:tc>
        <w:tc>
          <w:tcPr>
            <w:tcW w:w="1566" w:type="dxa"/>
          </w:tcPr>
          <w:p w14:paraId="20F3793B" w14:textId="77777777" w:rsidR="0059665B" w:rsidRDefault="00040B3E">
            <w:pPr>
              <w:pBdr>
                <w:top w:val="nil"/>
                <w:left w:val="nil"/>
                <w:bottom w:val="nil"/>
                <w:right w:val="nil"/>
                <w:between w:val="nil"/>
              </w:pBdr>
              <w:spacing w:line="242" w:lineRule="auto"/>
              <w:ind w:left="109" w:right="413"/>
              <w:rPr>
                <w:color w:val="000000"/>
                <w:sz w:val="24"/>
                <w:szCs w:val="24"/>
              </w:rPr>
            </w:pPr>
            <w:r>
              <w:rPr>
                <w:color w:val="000000"/>
                <w:sz w:val="24"/>
                <w:szCs w:val="24"/>
              </w:rPr>
              <w:t>Zinc oxide particles; size-</w:t>
            </w:r>
          </w:p>
          <w:p w14:paraId="377EA0E1" w14:textId="77777777" w:rsidR="0059665B" w:rsidRDefault="00040B3E">
            <w:pPr>
              <w:pBdr>
                <w:top w:val="nil"/>
                <w:left w:val="nil"/>
                <w:bottom w:val="nil"/>
                <w:right w:val="nil"/>
                <w:between w:val="nil"/>
              </w:pBdr>
              <w:ind w:left="109" w:right="433"/>
              <w:rPr>
                <w:color w:val="000000"/>
                <w:sz w:val="24"/>
                <w:szCs w:val="24"/>
              </w:rPr>
            </w:pPr>
            <w:r>
              <w:rPr>
                <w:color w:val="000000"/>
                <w:sz w:val="24"/>
                <w:szCs w:val="24"/>
              </w:rPr>
              <w:t>dependent absorption</w:t>
            </w:r>
          </w:p>
        </w:tc>
        <w:tc>
          <w:tcPr>
            <w:tcW w:w="1741" w:type="dxa"/>
          </w:tcPr>
          <w:p w14:paraId="0FEEA66B" w14:textId="77777777" w:rsidR="0059665B" w:rsidRDefault="00040B3E">
            <w:pPr>
              <w:pBdr>
                <w:top w:val="nil"/>
                <w:left w:val="nil"/>
                <w:bottom w:val="nil"/>
                <w:right w:val="nil"/>
                <w:between w:val="nil"/>
              </w:pBdr>
              <w:spacing w:line="271" w:lineRule="auto"/>
              <w:ind w:left="104"/>
              <w:rPr>
                <w:color w:val="000000"/>
                <w:sz w:val="24"/>
                <w:szCs w:val="24"/>
              </w:rPr>
            </w:pPr>
            <w:r>
              <w:rPr>
                <w:color w:val="000000"/>
                <w:sz w:val="24"/>
                <w:szCs w:val="24"/>
              </w:rPr>
              <w:t>Zinc</w:t>
            </w:r>
          </w:p>
          <w:p w14:paraId="5172FFB5" w14:textId="77777777" w:rsidR="0059665B" w:rsidRDefault="00040B3E">
            <w:pPr>
              <w:pBdr>
                <w:top w:val="nil"/>
                <w:left w:val="nil"/>
                <w:bottom w:val="nil"/>
                <w:right w:val="nil"/>
                <w:between w:val="nil"/>
              </w:pBdr>
              <w:spacing w:line="242" w:lineRule="auto"/>
              <w:ind w:left="104"/>
              <w:rPr>
                <w:color w:val="000000"/>
                <w:sz w:val="24"/>
                <w:szCs w:val="24"/>
              </w:rPr>
            </w:pPr>
            <w:r>
              <w:rPr>
                <w:color w:val="000000"/>
                <w:sz w:val="24"/>
                <w:szCs w:val="24"/>
              </w:rPr>
              <w:t>supplements; antimicrobial</w:t>
            </w:r>
          </w:p>
          <w:p w14:paraId="43C89C5E" w14:textId="77777777" w:rsidR="0059665B" w:rsidRDefault="00040B3E">
            <w:pPr>
              <w:pBdr>
                <w:top w:val="nil"/>
                <w:left w:val="nil"/>
                <w:bottom w:val="nil"/>
                <w:right w:val="nil"/>
                <w:between w:val="nil"/>
              </w:pBdr>
              <w:ind w:left="104" w:right="106"/>
              <w:rPr>
                <w:color w:val="000000"/>
                <w:sz w:val="24"/>
                <w:szCs w:val="24"/>
              </w:rPr>
            </w:pPr>
            <w:r>
              <w:rPr>
                <w:color w:val="000000"/>
                <w:sz w:val="24"/>
                <w:szCs w:val="24"/>
              </w:rPr>
              <w:t>packaging; UV- absorber</w:t>
            </w:r>
          </w:p>
        </w:tc>
        <w:tc>
          <w:tcPr>
            <w:tcW w:w="3509" w:type="dxa"/>
          </w:tcPr>
          <w:p w14:paraId="0AD219F7" w14:textId="07F7326A" w:rsidR="0059665B" w:rsidRDefault="00040B3E" w:rsidP="00EC3B1F">
            <w:pPr>
              <w:pBdr>
                <w:top w:val="nil"/>
                <w:left w:val="nil"/>
                <w:bottom w:val="nil"/>
                <w:right w:val="nil"/>
                <w:between w:val="nil"/>
              </w:pBdr>
              <w:ind w:left="108"/>
              <w:rPr>
                <w:color w:val="000000"/>
                <w:sz w:val="24"/>
                <w:szCs w:val="24"/>
              </w:rPr>
            </w:pPr>
            <w:r>
              <w:rPr>
                <w:color w:val="000000"/>
                <w:sz w:val="24"/>
                <w:szCs w:val="24"/>
              </w:rPr>
              <w:t>High absorption for smaller particles; may cause liver, lung, and kidney</w:t>
            </w:r>
            <w:r w:rsidR="00EC3B1F">
              <w:rPr>
                <w:color w:val="000000"/>
                <w:sz w:val="24"/>
                <w:szCs w:val="24"/>
              </w:rPr>
              <w:t xml:space="preserve"> damage, </w:t>
            </w:r>
            <w:r>
              <w:rPr>
                <w:color w:val="000000"/>
                <w:sz w:val="24"/>
                <w:szCs w:val="24"/>
              </w:rPr>
              <w:t xml:space="preserve">toxicity at high doses; toxicity increase with </w:t>
            </w:r>
            <w:r w:rsidR="00EC3B1F">
              <w:rPr>
                <w:color w:val="000000"/>
                <w:sz w:val="24"/>
                <w:szCs w:val="24"/>
              </w:rPr>
              <w:t>some</w:t>
            </w:r>
            <w:r>
              <w:rPr>
                <w:color w:val="000000"/>
                <w:sz w:val="24"/>
                <w:szCs w:val="24"/>
              </w:rPr>
              <w:t xml:space="preserve"> food</w:t>
            </w:r>
            <w:r w:rsidR="00EC3B1F">
              <w:rPr>
                <w:color w:val="000000"/>
                <w:sz w:val="24"/>
                <w:szCs w:val="24"/>
              </w:rPr>
              <w:t xml:space="preserve"> </w:t>
            </w:r>
            <w:r>
              <w:rPr>
                <w:color w:val="000000"/>
                <w:sz w:val="24"/>
                <w:szCs w:val="24"/>
              </w:rPr>
              <w:t>components (e.g., ascorbic acid); limited migration from packaging into food.</w:t>
            </w:r>
          </w:p>
        </w:tc>
      </w:tr>
      <w:tr w:rsidR="0059665B" w14:paraId="045AEA56" w14:textId="77777777" w:rsidTr="00EC3B1F">
        <w:trPr>
          <w:trHeight w:val="1378"/>
        </w:trPr>
        <w:tc>
          <w:tcPr>
            <w:tcW w:w="1546" w:type="dxa"/>
          </w:tcPr>
          <w:p w14:paraId="22A43D4E" w14:textId="77777777" w:rsidR="0059665B" w:rsidRDefault="00040B3E">
            <w:pPr>
              <w:pBdr>
                <w:top w:val="nil"/>
                <w:left w:val="nil"/>
                <w:bottom w:val="nil"/>
                <w:right w:val="nil"/>
                <w:between w:val="nil"/>
              </w:pBdr>
              <w:spacing w:line="275" w:lineRule="auto"/>
              <w:ind w:left="105"/>
              <w:rPr>
                <w:color w:val="000000"/>
                <w:sz w:val="24"/>
                <w:szCs w:val="24"/>
              </w:rPr>
            </w:pPr>
            <w:r>
              <w:rPr>
                <w:color w:val="000000"/>
                <w:sz w:val="24"/>
                <w:szCs w:val="24"/>
              </w:rPr>
              <w:t>Organic</w:t>
            </w:r>
          </w:p>
          <w:p w14:paraId="11D08F10" w14:textId="77777777" w:rsidR="0059665B" w:rsidRDefault="00040B3E">
            <w:pPr>
              <w:pBdr>
                <w:top w:val="nil"/>
                <w:left w:val="nil"/>
                <w:bottom w:val="nil"/>
                <w:right w:val="nil"/>
                <w:between w:val="nil"/>
              </w:pBdr>
              <w:ind w:left="105"/>
              <w:rPr>
                <w:color w:val="000000"/>
                <w:sz w:val="24"/>
                <w:szCs w:val="24"/>
              </w:rPr>
            </w:pPr>
            <w:r>
              <w:rPr>
                <w:color w:val="000000"/>
                <w:sz w:val="24"/>
                <w:szCs w:val="24"/>
              </w:rPr>
              <w:t>Nanoparticles</w:t>
            </w:r>
          </w:p>
        </w:tc>
        <w:tc>
          <w:tcPr>
            <w:tcW w:w="1526" w:type="dxa"/>
          </w:tcPr>
          <w:p w14:paraId="090D155C" w14:textId="77777777" w:rsidR="0059665B" w:rsidRDefault="00040B3E">
            <w:pPr>
              <w:pBdr>
                <w:top w:val="nil"/>
                <w:left w:val="nil"/>
                <w:bottom w:val="nil"/>
                <w:right w:val="nil"/>
                <w:between w:val="nil"/>
              </w:pBdr>
              <w:spacing w:line="275" w:lineRule="auto"/>
              <w:ind w:left="110"/>
              <w:rPr>
                <w:color w:val="000000"/>
                <w:sz w:val="24"/>
                <w:szCs w:val="24"/>
              </w:rPr>
            </w:pPr>
            <w:r>
              <w:rPr>
                <w:color w:val="000000"/>
                <w:sz w:val="24"/>
                <w:szCs w:val="24"/>
              </w:rPr>
              <w:t>Lipid</w:t>
            </w:r>
          </w:p>
          <w:p w14:paraId="55F914E8" w14:textId="77777777" w:rsidR="0059665B" w:rsidRDefault="00040B3E">
            <w:pPr>
              <w:pBdr>
                <w:top w:val="nil"/>
                <w:left w:val="nil"/>
                <w:bottom w:val="nil"/>
                <w:right w:val="nil"/>
                <w:between w:val="nil"/>
              </w:pBdr>
              <w:ind w:left="110"/>
              <w:rPr>
                <w:color w:val="000000"/>
                <w:sz w:val="24"/>
                <w:szCs w:val="24"/>
              </w:rPr>
            </w:pPr>
            <w:r>
              <w:rPr>
                <w:color w:val="000000"/>
                <w:sz w:val="24"/>
                <w:szCs w:val="24"/>
              </w:rPr>
              <w:t>nanoparticles</w:t>
            </w:r>
          </w:p>
        </w:tc>
        <w:tc>
          <w:tcPr>
            <w:tcW w:w="1566" w:type="dxa"/>
          </w:tcPr>
          <w:p w14:paraId="4FA3E1BF" w14:textId="77777777" w:rsidR="0059665B" w:rsidRDefault="00040B3E">
            <w:pPr>
              <w:pBdr>
                <w:top w:val="nil"/>
                <w:left w:val="nil"/>
                <w:bottom w:val="nil"/>
                <w:right w:val="nil"/>
                <w:between w:val="nil"/>
              </w:pBdr>
              <w:spacing w:line="275" w:lineRule="auto"/>
              <w:ind w:left="109"/>
              <w:rPr>
                <w:color w:val="000000"/>
                <w:sz w:val="24"/>
                <w:szCs w:val="24"/>
              </w:rPr>
            </w:pPr>
            <w:r>
              <w:rPr>
                <w:color w:val="000000"/>
                <w:sz w:val="24"/>
                <w:szCs w:val="24"/>
              </w:rPr>
              <w:t>Micelles,</w:t>
            </w:r>
          </w:p>
          <w:p w14:paraId="5D183194" w14:textId="77777777" w:rsidR="0059665B" w:rsidRDefault="00040B3E">
            <w:pPr>
              <w:pBdr>
                <w:top w:val="nil"/>
                <w:left w:val="nil"/>
                <w:bottom w:val="nil"/>
                <w:right w:val="nil"/>
                <w:between w:val="nil"/>
              </w:pBdr>
              <w:ind w:left="109" w:right="202"/>
              <w:rPr>
                <w:color w:val="000000"/>
                <w:sz w:val="24"/>
                <w:szCs w:val="24"/>
              </w:rPr>
            </w:pPr>
            <w:r>
              <w:rPr>
                <w:color w:val="000000"/>
                <w:sz w:val="24"/>
                <w:szCs w:val="24"/>
              </w:rPr>
              <w:t>vesicles, oil droplets, and solid lipid</w:t>
            </w:r>
          </w:p>
          <w:p w14:paraId="0432E8C4" w14:textId="77777777" w:rsidR="0059665B" w:rsidRDefault="00040B3E">
            <w:pPr>
              <w:pBdr>
                <w:top w:val="nil"/>
                <w:left w:val="nil"/>
                <w:bottom w:val="nil"/>
                <w:right w:val="nil"/>
                <w:between w:val="nil"/>
              </w:pBdr>
              <w:spacing w:line="256" w:lineRule="auto"/>
              <w:ind w:left="109"/>
              <w:rPr>
                <w:color w:val="000000"/>
                <w:sz w:val="24"/>
                <w:szCs w:val="24"/>
              </w:rPr>
            </w:pPr>
            <w:r>
              <w:rPr>
                <w:color w:val="000000"/>
                <w:sz w:val="24"/>
                <w:szCs w:val="24"/>
              </w:rPr>
              <w:t>nanoparticles</w:t>
            </w:r>
          </w:p>
        </w:tc>
        <w:tc>
          <w:tcPr>
            <w:tcW w:w="1741" w:type="dxa"/>
          </w:tcPr>
          <w:p w14:paraId="2F562E2A" w14:textId="1F218EB5" w:rsidR="0059665B" w:rsidRDefault="00040B3E" w:rsidP="00EC3B1F">
            <w:pPr>
              <w:pBdr>
                <w:top w:val="nil"/>
                <w:left w:val="nil"/>
                <w:bottom w:val="nil"/>
                <w:right w:val="nil"/>
                <w:between w:val="nil"/>
              </w:pBdr>
              <w:ind w:left="104" w:right="109"/>
              <w:rPr>
                <w:color w:val="000000"/>
                <w:sz w:val="24"/>
                <w:szCs w:val="24"/>
              </w:rPr>
            </w:pPr>
            <w:r>
              <w:rPr>
                <w:color w:val="000000"/>
                <w:sz w:val="24"/>
                <w:szCs w:val="24"/>
              </w:rPr>
              <w:t xml:space="preserve">Give nutrients, </w:t>
            </w:r>
            <w:proofErr w:type="spellStart"/>
            <w:r>
              <w:rPr>
                <w:color w:val="000000"/>
                <w:sz w:val="24"/>
                <w:szCs w:val="24"/>
              </w:rPr>
              <w:t>flavours</w:t>
            </w:r>
            <w:proofErr w:type="spellEnd"/>
            <w:r>
              <w:rPr>
                <w:color w:val="000000"/>
                <w:sz w:val="24"/>
                <w:szCs w:val="24"/>
              </w:rPr>
              <w:t xml:space="preserve">, </w:t>
            </w:r>
            <w:r w:rsidR="00EC3B1F">
              <w:rPr>
                <w:color w:val="000000"/>
                <w:sz w:val="24"/>
                <w:szCs w:val="24"/>
              </w:rPr>
              <w:t>and anti-microbials</w:t>
            </w:r>
            <w:r>
              <w:rPr>
                <w:color w:val="000000"/>
                <w:sz w:val="24"/>
                <w:szCs w:val="24"/>
              </w:rPr>
              <w:t xml:space="preserve"> used</w:t>
            </w:r>
            <w:r w:rsidR="00EC3B1F">
              <w:rPr>
                <w:color w:val="000000"/>
                <w:sz w:val="24"/>
                <w:szCs w:val="24"/>
              </w:rPr>
              <w:t xml:space="preserve"> </w:t>
            </w:r>
            <w:r>
              <w:rPr>
                <w:color w:val="000000"/>
                <w:sz w:val="24"/>
                <w:szCs w:val="24"/>
              </w:rPr>
              <w:t>in beverages &amp; emulsions</w:t>
            </w:r>
          </w:p>
        </w:tc>
        <w:tc>
          <w:tcPr>
            <w:tcW w:w="3509" w:type="dxa"/>
          </w:tcPr>
          <w:p w14:paraId="61408C80" w14:textId="5FB9D3AE" w:rsidR="0059665B" w:rsidRDefault="00040B3E" w:rsidP="00EC3B1F">
            <w:pPr>
              <w:pBdr>
                <w:top w:val="nil"/>
                <w:left w:val="nil"/>
                <w:bottom w:val="nil"/>
                <w:right w:val="nil"/>
                <w:between w:val="nil"/>
              </w:pBdr>
              <w:ind w:left="108"/>
              <w:rPr>
                <w:color w:val="000000"/>
                <w:sz w:val="24"/>
                <w:szCs w:val="24"/>
              </w:rPr>
            </w:pPr>
            <w:r>
              <w:rPr>
                <w:color w:val="000000"/>
                <w:sz w:val="24"/>
                <w:szCs w:val="24"/>
              </w:rPr>
              <w:t>Mostly digestible; broken down by lipases; releases FFA/MAG; minimal toxicity expected; indigestible lipids</w:t>
            </w:r>
            <w:r w:rsidR="00EC3B1F">
              <w:rPr>
                <w:color w:val="000000"/>
                <w:sz w:val="24"/>
                <w:szCs w:val="24"/>
              </w:rPr>
              <w:t xml:space="preserve"> </w:t>
            </w:r>
            <w:r>
              <w:rPr>
                <w:color w:val="000000"/>
                <w:sz w:val="24"/>
                <w:szCs w:val="24"/>
              </w:rPr>
              <w:t>(terpenes, hydrocarbons) may resist digestion—little data on toxicity.</w:t>
            </w:r>
          </w:p>
        </w:tc>
      </w:tr>
      <w:tr w:rsidR="0059665B" w14:paraId="715D5802" w14:textId="77777777" w:rsidTr="00EC3B1F">
        <w:trPr>
          <w:trHeight w:val="1099"/>
        </w:trPr>
        <w:tc>
          <w:tcPr>
            <w:tcW w:w="1546" w:type="dxa"/>
          </w:tcPr>
          <w:p w14:paraId="2EDCA4EF" w14:textId="77777777" w:rsidR="0059665B" w:rsidRDefault="0059665B">
            <w:pPr>
              <w:pBdr>
                <w:top w:val="nil"/>
                <w:left w:val="nil"/>
                <w:bottom w:val="nil"/>
                <w:right w:val="nil"/>
                <w:between w:val="nil"/>
              </w:pBdr>
              <w:rPr>
                <w:color w:val="000000"/>
                <w:sz w:val="24"/>
                <w:szCs w:val="24"/>
              </w:rPr>
            </w:pPr>
          </w:p>
        </w:tc>
        <w:tc>
          <w:tcPr>
            <w:tcW w:w="1526" w:type="dxa"/>
          </w:tcPr>
          <w:p w14:paraId="61B0276F" w14:textId="77777777" w:rsidR="0059665B" w:rsidRDefault="00040B3E">
            <w:pPr>
              <w:pBdr>
                <w:top w:val="nil"/>
                <w:left w:val="nil"/>
                <w:bottom w:val="nil"/>
                <w:right w:val="nil"/>
                <w:between w:val="nil"/>
              </w:pBdr>
              <w:ind w:left="110"/>
              <w:rPr>
                <w:color w:val="000000"/>
                <w:sz w:val="24"/>
                <w:szCs w:val="24"/>
              </w:rPr>
            </w:pPr>
            <w:r>
              <w:rPr>
                <w:color w:val="000000"/>
                <w:sz w:val="24"/>
                <w:szCs w:val="24"/>
              </w:rPr>
              <w:t>Carbohydrate nanoparticles</w:t>
            </w:r>
          </w:p>
        </w:tc>
        <w:tc>
          <w:tcPr>
            <w:tcW w:w="1566" w:type="dxa"/>
          </w:tcPr>
          <w:p w14:paraId="3DE5B985" w14:textId="77777777" w:rsidR="0059665B" w:rsidRDefault="00040B3E">
            <w:pPr>
              <w:pBdr>
                <w:top w:val="nil"/>
                <w:left w:val="nil"/>
                <w:bottom w:val="nil"/>
                <w:right w:val="nil"/>
                <w:between w:val="nil"/>
              </w:pBdr>
              <w:ind w:left="109" w:right="228"/>
              <w:rPr>
                <w:color w:val="000000"/>
                <w:sz w:val="24"/>
                <w:szCs w:val="24"/>
              </w:rPr>
            </w:pPr>
            <w:r>
              <w:rPr>
                <w:color w:val="000000"/>
                <w:sz w:val="24"/>
                <w:szCs w:val="24"/>
              </w:rPr>
              <w:t>From starch, cellulose,</w:t>
            </w:r>
          </w:p>
          <w:p w14:paraId="310B083F" w14:textId="77777777" w:rsidR="0059665B" w:rsidRDefault="00040B3E">
            <w:pPr>
              <w:pBdr>
                <w:top w:val="nil"/>
                <w:left w:val="nil"/>
                <w:bottom w:val="nil"/>
                <w:right w:val="nil"/>
                <w:between w:val="nil"/>
              </w:pBdr>
              <w:spacing w:line="276" w:lineRule="auto"/>
              <w:ind w:left="109" w:right="585"/>
              <w:rPr>
                <w:color w:val="000000"/>
                <w:sz w:val="24"/>
                <w:szCs w:val="24"/>
              </w:rPr>
            </w:pPr>
            <w:r>
              <w:rPr>
                <w:color w:val="000000"/>
                <w:sz w:val="24"/>
                <w:szCs w:val="24"/>
              </w:rPr>
              <w:t>chitosan, alginate,</w:t>
            </w:r>
          </w:p>
        </w:tc>
        <w:tc>
          <w:tcPr>
            <w:tcW w:w="1741" w:type="dxa"/>
          </w:tcPr>
          <w:p w14:paraId="0F482611" w14:textId="77777777" w:rsidR="0059665B" w:rsidRDefault="00040B3E">
            <w:pPr>
              <w:pBdr>
                <w:top w:val="nil"/>
                <w:left w:val="nil"/>
                <w:bottom w:val="nil"/>
                <w:right w:val="nil"/>
                <w:between w:val="nil"/>
              </w:pBdr>
              <w:ind w:left="104" w:right="349"/>
              <w:rPr>
                <w:color w:val="000000"/>
                <w:sz w:val="24"/>
                <w:szCs w:val="24"/>
              </w:rPr>
            </w:pPr>
            <w:r>
              <w:rPr>
                <w:color w:val="000000"/>
                <w:sz w:val="24"/>
                <w:szCs w:val="24"/>
              </w:rPr>
              <w:t xml:space="preserve">Thickeners, </w:t>
            </w:r>
            <w:proofErr w:type="spellStart"/>
            <w:r>
              <w:rPr>
                <w:color w:val="000000"/>
                <w:sz w:val="24"/>
                <w:szCs w:val="24"/>
              </w:rPr>
              <w:t>stabilisers</w:t>
            </w:r>
            <w:proofErr w:type="spellEnd"/>
            <w:r>
              <w:rPr>
                <w:color w:val="000000"/>
                <w:sz w:val="24"/>
                <w:szCs w:val="24"/>
              </w:rPr>
              <w:t>,</w:t>
            </w:r>
          </w:p>
          <w:p w14:paraId="5DE91119" w14:textId="17BAF22E" w:rsidR="0059665B" w:rsidRDefault="00EC3B1F">
            <w:pPr>
              <w:pBdr>
                <w:top w:val="nil"/>
                <w:left w:val="nil"/>
                <w:bottom w:val="nil"/>
                <w:right w:val="nil"/>
                <w:between w:val="nil"/>
              </w:pBdr>
              <w:spacing w:line="276" w:lineRule="auto"/>
              <w:ind w:left="104"/>
              <w:rPr>
                <w:color w:val="000000"/>
                <w:sz w:val="24"/>
                <w:szCs w:val="24"/>
              </w:rPr>
            </w:pPr>
            <w:r>
              <w:rPr>
                <w:color w:val="000000"/>
                <w:sz w:val="24"/>
                <w:szCs w:val="24"/>
              </w:rPr>
              <w:t>Encapsulation systems</w:t>
            </w:r>
          </w:p>
        </w:tc>
        <w:tc>
          <w:tcPr>
            <w:tcW w:w="3509" w:type="dxa"/>
          </w:tcPr>
          <w:p w14:paraId="5141CB64" w14:textId="77777777" w:rsidR="0059665B" w:rsidRDefault="00040B3E">
            <w:pPr>
              <w:pBdr>
                <w:top w:val="nil"/>
                <w:left w:val="nil"/>
                <w:bottom w:val="nil"/>
                <w:right w:val="nil"/>
                <w:between w:val="nil"/>
              </w:pBdr>
              <w:spacing w:line="275" w:lineRule="auto"/>
              <w:ind w:left="108"/>
              <w:rPr>
                <w:color w:val="000000"/>
                <w:sz w:val="24"/>
                <w:szCs w:val="24"/>
              </w:rPr>
            </w:pPr>
            <w:r>
              <w:rPr>
                <w:color w:val="000000"/>
                <w:sz w:val="24"/>
                <w:szCs w:val="24"/>
              </w:rPr>
              <w:t>Digestible CHOs are harmless;</w:t>
            </w:r>
          </w:p>
          <w:p w14:paraId="642496F7" w14:textId="77777777" w:rsidR="0059665B" w:rsidRDefault="00040B3E">
            <w:pPr>
              <w:pBdr>
                <w:top w:val="nil"/>
                <w:left w:val="nil"/>
                <w:bottom w:val="nil"/>
                <w:right w:val="nil"/>
                <w:between w:val="nil"/>
              </w:pBdr>
              <w:spacing w:line="275" w:lineRule="auto"/>
              <w:ind w:left="108"/>
              <w:rPr>
                <w:color w:val="000000"/>
                <w:sz w:val="24"/>
                <w:szCs w:val="24"/>
              </w:rPr>
            </w:pPr>
            <w:r>
              <w:rPr>
                <w:color w:val="000000"/>
                <w:sz w:val="24"/>
                <w:szCs w:val="24"/>
              </w:rPr>
              <w:t xml:space="preserve">indigestible </w:t>
            </w:r>
            <w:proofErr w:type="spellStart"/>
            <w:r>
              <w:rPr>
                <w:color w:val="000000"/>
                <w:sz w:val="24"/>
                <w:szCs w:val="24"/>
              </w:rPr>
              <w:t>fibres</w:t>
            </w:r>
            <w:proofErr w:type="spellEnd"/>
            <w:r>
              <w:rPr>
                <w:color w:val="000000"/>
                <w:sz w:val="24"/>
                <w:szCs w:val="24"/>
              </w:rPr>
              <w:t xml:space="preserve"> are fermented in</w:t>
            </w:r>
          </w:p>
          <w:p w14:paraId="6AC06130" w14:textId="77777777" w:rsidR="0059665B" w:rsidRDefault="00040B3E">
            <w:pPr>
              <w:pBdr>
                <w:top w:val="nil"/>
                <w:left w:val="nil"/>
                <w:bottom w:val="nil"/>
                <w:right w:val="nil"/>
                <w:between w:val="nil"/>
              </w:pBdr>
              <w:spacing w:line="276" w:lineRule="auto"/>
              <w:ind w:left="108"/>
              <w:rPr>
                <w:color w:val="000000"/>
                <w:sz w:val="24"/>
                <w:szCs w:val="24"/>
              </w:rPr>
            </w:pPr>
            <w:r>
              <w:rPr>
                <w:color w:val="000000"/>
                <w:sz w:val="24"/>
                <w:szCs w:val="24"/>
              </w:rPr>
              <w:t>the colon; generally low toxicity; fate depends on digestibility.</w:t>
            </w:r>
          </w:p>
        </w:tc>
      </w:tr>
      <w:tr w:rsidR="0059665B" w14:paraId="6072CF4D" w14:textId="77777777" w:rsidTr="00EC3B1F">
        <w:trPr>
          <w:trHeight w:val="1836"/>
        </w:trPr>
        <w:tc>
          <w:tcPr>
            <w:tcW w:w="1546" w:type="dxa"/>
          </w:tcPr>
          <w:p w14:paraId="2506424F" w14:textId="77777777" w:rsidR="0059665B" w:rsidRDefault="0059665B">
            <w:pPr>
              <w:pBdr>
                <w:top w:val="nil"/>
                <w:left w:val="nil"/>
                <w:bottom w:val="nil"/>
                <w:right w:val="nil"/>
                <w:between w:val="nil"/>
              </w:pBdr>
              <w:rPr>
                <w:color w:val="000000"/>
                <w:sz w:val="24"/>
                <w:szCs w:val="24"/>
              </w:rPr>
            </w:pPr>
          </w:p>
        </w:tc>
        <w:tc>
          <w:tcPr>
            <w:tcW w:w="1526" w:type="dxa"/>
          </w:tcPr>
          <w:p w14:paraId="7C2A94A8" w14:textId="77777777" w:rsidR="0059665B" w:rsidRDefault="00040B3E">
            <w:pPr>
              <w:pBdr>
                <w:top w:val="nil"/>
                <w:left w:val="nil"/>
                <w:bottom w:val="nil"/>
                <w:right w:val="nil"/>
                <w:between w:val="nil"/>
              </w:pBdr>
              <w:spacing w:line="272" w:lineRule="auto"/>
              <w:ind w:left="110"/>
              <w:rPr>
                <w:color w:val="000000"/>
                <w:sz w:val="24"/>
                <w:szCs w:val="24"/>
              </w:rPr>
            </w:pPr>
            <w:r>
              <w:rPr>
                <w:color w:val="000000"/>
                <w:sz w:val="24"/>
                <w:szCs w:val="24"/>
              </w:rPr>
              <w:t>Protein</w:t>
            </w:r>
          </w:p>
          <w:p w14:paraId="0895E792" w14:textId="77777777" w:rsidR="0059665B" w:rsidRDefault="00040B3E">
            <w:pPr>
              <w:pBdr>
                <w:top w:val="nil"/>
                <w:left w:val="nil"/>
                <w:bottom w:val="nil"/>
                <w:right w:val="nil"/>
                <w:between w:val="nil"/>
              </w:pBdr>
              <w:spacing w:before="4"/>
              <w:ind w:left="110"/>
              <w:rPr>
                <w:color w:val="000000"/>
                <w:sz w:val="24"/>
                <w:szCs w:val="24"/>
              </w:rPr>
            </w:pPr>
            <w:r>
              <w:rPr>
                <w:color w:val="000000"/>
                <w:sz w:val="24"/>
                <w:szCs w:val="24"/>
              </w:rPr>
              <w:t>nanoparticles</w:t>
            </w:r>
          </w:p>
        </w:tc>
        <w:tc>
          <w:tcPr>
            <w:tcW w:w="1566" w:type="dxa"/>
          </w:tcPr>
          <w:p w14:paraId="79E18D4C" w14:textId="77777777" w:rsidR="0059665B" w:rsidRDefault="00040B3E">
            <w:pPr>
              <w:pBdr>
                <w:top w:val="nil"/>
                <w:left w:val="nil"/>
                <w:bottom w:val="nil"/>
                <w:right w:val="nil"/>
                <w:between w:val="nil"/>
              </w:pBdr>
              <w:ind w:left="109" w:right="255"/>
              <w:rPr>
                <w:color w:val="000000"/>
                <w:sz w:val="24"/>
                <w:szCs w:val="24"/>
              </w:rPr>
            </w:pPr>
            <w:r>
              <w:rPr>
                <w:color w:val="000000"/>
                <w:sz w:val="24"/>
                <w:szCs w:val="24"/>
              </w:rPr>
              <w:t>Casein micelles, whey, soy, zein, gliadin</w:t>
            </w:r>
          </w:p>
          <w:p w14:paraId="5CF6A4D4" w14:textId="77777777" w:rsidR="0059665B" w:rsidRDefault="00040B3E">
            <w:pPr>
              <w:pBdr>
                <w:top w:val="nil"/>
                <w:left w:val="nil"/>
                <w:bottom w:val="nil"/>
                <w:right w:val="nil"/>
                <w:between w:val="nil"/>
              </w:pBdr>
              <w:ind w:left="109"/>
              <w:rPr>
                <w:color w:val="000000"/>
                <w:sz w:val="24"/>
                <w:szCs w:val="24"/>
              </w:rPr>
            </w:pPr>
            <w:r>
              <w:rPr>
                <w:color w:val="000000"/>
                <w:sz w:val="24"/>
                <w:szCs w:val="24"/>
              </w:rPr>
              <w:t>nanoparticles</w:t>
            </w:r>
          </w:p>
        </w:tc>
        <w:tc>
          <w:tcPr>
            <w:tcW w:w="1741" w:type="dxa"/>
          </w:tcPr>
          <w:p w14:paraId="7D1E3B8B" w14:textId="77777777" w:rsidR="0059665B" w:rsidRDefault="00040B3E">
            <w:pPr>
              <w:pBdr>
                <w:top w:val="nil"/>
                <w:left w:val="nil"/>
                <w:bottom w:val="nil"/>
                <w:right w:val="nil"/>
                <w:between w:val="nil"/>
              </w:pBdr>
              <w:spacing w:line="242" w:lineRule="auto"/>
              <w:ind w:left="104" w:right="162"/>
              <w:rPr>
                <w:color w:val="000000"/>
                <w:sz w:val="24"/>
                <w:szCs w:val="24"/>
              </w:rPr>
            </w:pPr>
            <w:r>
              <w:rPr>
                <w:color w:val="000000"/>
                <w:sz w:val="24"/>
                <w:szCs w:val="24"/>
              </w:rPr>
              <w:t>Natural (casein micelles) or</w:t>
            </w:r>
          </w:p>
          <w:p w14:paraId="0BDF3E3B" w14:textId="40208A53" w:rsidR="0059665B" w:rsidRDefault="00040B3E">
            <w:pPr>
              <w:pBdr>
                <w:top w:val="nil"/>
                <w:left w:val="nil"/>
                <w:bottom w:val="nil"/>
                <w:right w:val="nil"/>
                <w:between w:val="nil"/>
              </w:pBdr>
              <w:ind w:left="104" w:right="229"/>
              <w:rPr>
                <w:color w:val="000000"/>
                <w:sz w:val="24"/>
                <w:szCs w:val="24"/>
              </w:rPr>
            </w:pPr>
            <w:r>
              <w:rPr>
                <w:color w:val="000000"/>
                <w:sz w:val="24"/>
                <w:szCs w:val="24"/>
              </w:rPr>
              <w:t xml:space="preserve">engineered </w:t>
            </w:r>
          </w:p>
          <w:p w14:paraId="0E63254B" w14:textId="2365ED1D" w:rsidR="0059665B" w:rsidRDefault="00040B3E">
            <w:pPr>
              <w:pBdr>
                <w:top w:val="nil"/>
                <w:left w:val="nil"/>
                <w:bottom w:val="nil"/>
                <w:right w:val="nil"/>
                <w:between w:val="nil"/>
              </w:pBdr>
              <w:spacing w:line="242" w:lineRule="auto"/>
              <w:ind w:left="104" w:right="349"/>
              <w:rPr>
                <w:color w:val="000000"/>
                <w:sz w:val="24"/>
                <w:szCs w:val="24"/>
              </w:rPr>
            </w:pPr>
            <w:r>
              <w:rPr>
                <w:color w:val="000000"/>
                <w:sz w:val="24"/>
                <w:szCs w:val="24"/>
              </w:rPr>
              <w:t>(</w:t>
            </w:r>
            <w:r w:rsidR="002451FB">
              <w:rPr>
                <w:color w:val="000000"/>
                <w:sz w:val="24"/>
                <w:szCs w:val="24"/>
              </w:rPr>
              <w:t>Vitamins</w:t>
            </w:r>
            <w:r>
              <w:rPr>
                <w:color w:val="000000"/>
                <w:sz w:val="24"/>
                <w:szCs w:val="24"/>
              </w:rPr>
              <w:t xml:space="preserve">, </w:t>
            </w:r>
            <w:proofErr w:type="spellStart"/>
            <w:r>
              <w:rPr>
                <w:color w:val="000000"/>
                <w:sz w:val="24"/>
                <w:szCs w:val="24"/>
              </w:rPr>
              <w:t>flavours</w:t>
            </w:r>
            <w:proofErr w:type="spellEnd"/>
            <w:r>
              <w:rPr>
                <w:color w:val="000000"/>
                <w:sz w:val="24"/>
                <w:szCs w:val="24"/>
              </w:rPr>
              <w:t>,</w:t>
            </w:r>
          </w:p>
          <w:p w14:paraId="0C9A6925" w14:textId="77777777" w:rsidR="0059665B" w:rsidRDefault="00040B3E">
            <w:pPr>
              <w:pBdr>
                <w:top w:val="nil"/>
                <w:left w:val="nil"/>
                <w:bottom w:val="nil"/>
                <w:right w:val="nil"/>
                <w:between w:val="nil"/>
              </w:pBdr>
              <w:spacing w:line="252" w:lineRule="auto"/>
              <w:ind w:left="104"/>
              <w:rPr>
                <w:color w:val="000000"/>
                <w:sz w:val="24"/>
                <w:szCs w:val="24"/>
              </w:rPr>
            </w:pPr>
            <w:proofErr w:type="spellStart"/>
            <w:r>
              <w:rPr>
                <w:color w:val="000000"/>
                <w:sz w:val="24"/>
                <w:szCs w:val="24"/>
              </w:rPr>
              <w:t>bioactives</w:t>
            </w:r>
            <w:proofErr w:type="spellEnd"/>
            <w:r>
              <w:rPr>
                <w:color w:val="000000"/>
                <w:sz w:val="24"/>
                <w:szCs w:val="24"/>
              </w:rPr>
              <w:t>)</w:t>
            </w:r>
          </w:p>
        </w:tc>
        <w:tc>
          <w:tcPr>
            <w:tcW w:w="3509" w:type="dxa"/>
          </w:tcPr>
          <w:p w14:paraId="1AC05B14" w14:textId="77777777" w:rsidR="0059665B" w:rsidRDefault="00040B3E">
            <w:pPr>
              <w:pBdr>
                <w:top w:val="nil"/>
                <w:left w:val="nil"/>
                <w:bottom w:val="nil"/>
                <w:right w:val="nil"/>
                <w:between w:val="nil"/>
              </w:pBdr>
              <w:ind w:left="108" w:right="157"/>
              <w:rPr>
                <w:color w:val="000000"/>
                <w:sz w:val="24"/>
                <w:szCs w:val="24"/>
              </w:rPr>
            </w:pPr>
            <w:r>
              <w:rPr>
                <w:color w:val="000000"/>
                <w:sz w:val="24"/>
                <w:szCs w:val="24"/>
              </w:rPr>
              <w:t>Usually digested into amino acids; low toxicity; bonding type (covalent vs physical) affects stability but not toxicity; casein micelles safely consumed for centuries.</w:t>
            </w:r>
          </w:p>
        </w:tc>
      </w:tr>
    </w:tbl>
    <w:p w14:paraId="225CC4C8" w14:textId="45097608" w:rsidR="002451FB" w:rsidRDefault="002451FB">
      <w:pPr>
        <w:pStyle w:val="Heading1"/>
        <w:spacing w:before="9"/>
        <w:ind w:firstLine="165"/>
      </w:pPr>
      <w:r>
        <w:t xml:space="preserve">Source: </w:t>
      </w:r>
      <w:r w:rsidRPr="002451FB">
        <w:rPr>
          <w:color w:val="00B0F0"/>
        </w:rPr>
        <w:t>Cheng et al</w:t>
      </w:r>
      <w:r w:rsidR="00EC3B1F">
        <w:rPr>
          <w:color w:val="00B0F0"/>
        </w:rPr>
        <w:t>., 2022, Zhou et al., 2022, Xiang et al.</w:t>
      </w:r>
      <w:r>
        <w:rPr>
          <w:color w:val="00B0F0"/>
        </w:rPr>
        <w:t xml:space="preserve">, 2025 </w:t>
      </w:r>
    </w:p>
    <w:p w14:paraId="0475F514" w14:textId="77777777" w:rsidR="002451FB" w:rsidRDefault="002451FB">
      <w:pPr>
        <w:pStyle w:val="Heading1"/>
        <w:spacing w:before="9"/>
        <w:ind w:firstLine="165"/>
      </w:pPr>
    </w:p>
    <w:p w14:paraId="2F87B04A" w14:textId="5BF5EC45" w:rsidR="0059665B" w:rsidRDefault="00040B3E">
      <w:pPr>
        <w:pStyle w:val="Heading1"/>
        <w:spacing w:before="9"/>
        <w:ind w:firstLine="165"/>
      </w:pPr>
      <w:r>
        <w:t xml:space="preserve">Organs affected in </w:t>
      </w:r>
      <w:r w:rsidR="00171FD8">
        <w:t>the</w:t>
      </w:r>
      <w:r>
        <w:t xml:space="preserve"> body</w:t>
      </w:r>
    </w:p>
    <w:p w14:paraId="0382CF44" w14:textId="6A5EB030" w:rsidR="0059665B" w:rsidRDefault="00040B3E">
      <w:pPr>
        <w:pBdr>
          <w:top w:val="nil"/>
          <w:left w:val="nil"/>
          <w:bottom w:val="nil"/>
          <w:right w:val="nil"/>
          <w:between w:val="nil"/>
        </w:pBdr>
        <w:spacing w:before="185" w:line="256" w:lineRule="auto"/>
        <w:ind w:left="165" w:right="1167"/>
        <w:rPr>
          <w:color w:val="000000"/>
          <w:sz w:val="24"/>
          <w:szCs w:val="24"/>
        </w:rPr>
      </w:pPr>
      <w:r>
        <w:rPr>
          <w:color w:val="000000"/>
          <w:sz w:val="24"/>
          <w:szCs w:val="24"/>
        </w:rPr>
        <w:t xml:space="preserve">This table </w:t>
      </w:r>
      <w:proofErr w:type="spellStart"/>
      <w:r w:rsidR="002451FB">
        <w:rPr>
          <w:color w:val="000000"/>
          <w:sz w:val="24"/>
          <w:szCs w:val="24"/>
        </w:rPr>
        <w:t>summarises</w:t>
      </w:r>
      <w:proofErr w:type="spellEnd"/>
      <w:r>
        <w:rPr>
          <w:color w:val="000000"/>
          <w:sz w:val="24"/>
          <w:szCs w:val="24"/>
        </w:rPr>
        <w:t xml:space="preserve"> how different nanoparticles affect specific organs in the body and the </w:t>
      </w:r>
      <w:r>
        <w:rPr>
          <w:color w:val="000000"/>
          <w:sz w:val="24"/>
          <w:szCs w:val="24"/>
        </w:rPr>
        <w:lastRenderedPageBreak/>
        <w:t>diseases or conditions they may cause. Inorganic nanoparticles such as silver, titanium</w:t>
      </w:r>
    </w:p>
    <w:p w14:paraId="11941262" w14:textId="77777777" w:rsidR="0059665B" w:rsidRDefault="00040B3E">
      <w:pPr>
        <w:pBdr>
          <w:top w:val="nil"/>
          <w:left w:val="nil"/>
          <w:bottom w:val="nil"/>
          <w:right w:val="nil"/>
          <w:between w:val="nil"/>
        </w:pBdr>
        <w:spacing w:before="4"/>
        <w:ind w:left="165"/>
        <w:rPr>
          <w:color w:val="000000"/>
          <w:sz w:val="24"/>
          <w:szCs w:val="24"/>
        </w:rPr>
      </w:pPr>
      <w:r>
        <w:rPr>
          <w:color w:val="000000"/>
          <w:sz w:val="24"/>
          <w:szCs w:val="24"/>
        </w:rPr>
        <w:t>dioxide, and zinc oxide show the highest toxicity, affecting organs like the liver, kidney,</w:t>
      </w:r>
    </w:p>
    <w:p w14:paraId="2070329B" w14:textId="4508436B" w:rsidR="0059665B" w:rsidRDefault="00040B3E" w:rsidP="00EC3B1F">
      <w:pPr>
        <w:pBdr>
          <w:top w:val="nil"/>
          <w:left w:val="nil"/>
          <w:bottom w:val="nil"/>
          <w:right w:val="nil"/>
          <w:between w:val="nil"/>
        </w:pBdr>
        <w:spacing w:before="66" w:line="261" w:lineRule="auto"/>
        <w:ind w:right="1167"/>
        <w:rPr>
          <w:color w:val="000000"/>
          <w:sz w:val="24"/>
          <w:szCs w:val="24"/>
        </w:rPr>
      </w:pPr>
      <w:r>
        <w:rPr>
          <w:color w:val="000000"/>
          <w:sz w:val="24"/>
          <w:szCs w:val="24"/>
        </w:rPr>
        <w:t>heart, and intestines. In contrast, organic nanoparticles (lipid, protein, carbohydrate) are generally digestible and safe, with no major disease associations</w:t>
      </w:r>
      <w:r w:rsidR="00171FD8">
        <w:rPr>
          <w:color w:val="000000"/>
          <w:sz w:val="24"/>
          <w:szCs w:val="24"/>
        </w:rPr>
        <w:t xml:space="preserve"> (</w:t>
      </w:r>
      <w:r w:rsidR="00171FD8" w:rsidRPr="00171FD8">
        <w:rPr>
          <w:color w:val="00B0F0"/>
          <w:sz w:val="24"/>
          <w:szCs w:val="24"/>
        </w:rPr>
        <w:t>Serov et al, 2024</w:t>
      </w:r>
      <w:r w:rsidR="00171FD8">
        <w:rPr>
          <w:color w:val="000000"/>
          <w:sz w:val="24"/>
          <w:szCs w:val="24"/>
        </w:rPr>
        <w:t>)</w:t>
      </w:r>
      <w:r>
        <w:rPr>
          <w:color w:val="000000"/>
          <w:sz w:val="24"/>
          <w:szCs w:val="24"/>
        </w:rPr>
        <w:t>.</w:t>
      </w:r>
    </w:p>
    <w:p w14:paraId="0B5227F9" w14:textId="77777777" w:rsidR="0059665B" w:rsidRDefault="00040B3E">
      <w:pPr>
        <w:pBdr>
          <w:top w:val="nil"/>
          <w:left w:val="nil"/>
          <w:bottom w:val="nil"/>
          <w:right w:val="nil"/>
          <w:between w:val="nil"/>
        </w:pBdr>
        <w:spacing w:before="154"/>
        <w:ind w:left="165"/>
        <w:rPr>
          <w:color w:val="000000"/>
          <w:sz w:val="24"/>
          <w:szCs w:val="24"/>
        </w:rPr>
      </w:pPr>
      <w:r>
        <w:rPr>
          <w:color w:val="000000"/>
          <w:sz w:val="24"/>
          <w:szCs w:val="24"/>
        </w:rPr>
        <w:t>Table 2: Different diseases caused by various nanoparticles and organs affected</w:t>
      </w:r>
    </w:p>
    <w:tbl>
      <w:tblPr>
        <w:tblStyle w:val="a0"/>
        <w:tblW w:w="935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6"/>
        <w:gridCol w:w="1985"/>
        <w:gridCol w:w="5682"/>
      </w:tblGrid>
      <w:tr w:rsidR="0059665B" w14:paraId="6BBA09E0" w14:textId="77777777">
        <w:trPr>
          <w:trHeight w:val="555"/>
        </w:trPr>
        <w:tc>
          <w:tcPr>
            <w:tcW w:w="1686" w:type="dxa"/>
          </w:tcPr>
          <w:p w14:paraId="0C38F714" w14:textId="77777777" w:rsidR="0059665B" w:rsidRDefault="00040B3E">
            <w:pPr>
              <w:pBdr>
                <w:top w:val="nil"/>
                <w:left w:val="nil"/>
                <w:bottom w:val="nil"/>
                <w:right w:val="nil"/>
                <w:between w:val="nil"/>
              </w:pBdr>
              <w:spacing w:line="276" w:lineRule="auto"/>
              <w:ind w:left="110"/>
              <w:rPr>
                <w:color w:val="000000"/>
                <w:sz w:val="24"/>
                <w:szCs w:val="24"/>
              </w:rPr>
            </w:pPr>
            <w:r>
              <w:rPr>
                <w:color w:val="000000"/>
                <w:sz w:val="24"/>
                <w:szCs w:val="24"/>
              </w:rPr>
              <w:t>Nanoparticle Type</w:t>
            </w:r>
          </w:p>
        </w:tc>
        <w:tc>
          <w:tcPr>
            <w:tcW w:w="1985" w:type="dxa"/>
          </w:tcPr>
          <w:p w14:paraId="006B6654" w14:textId="77777777" w:rsidR="0059665B" w:rsidRDefault="00040B3E">
            <w:pPr>
              <w:pBdr>
                <w:top w:val="nil"/>
                <w:left w:val="nil"/>
                <w:bottom w:val="nil"/>
                <w:right w:val="nil"/>
                <w:between w:val="nil"/>
              </w:pBdr>
              <w:spacing w:line="276" w:lineRule="auto"/>
              <w:ind w:left="110" w:right="440"/>
              <w:rPr>
                <w:color w:val="000000"/>
                <w:sz w:val="24"/>
                <w:szCs w:val="24"/>
              </w:rPr>
            </w:pPr>
            <w:r>
              <w:rPr>
                <w:color w:val="000000"/>
                <w:sz w:val="24"/>
                <w:szCs w:val="24"/>
              </w:rPr>
              <w:t>Main Organ(s) Affected</w:t>
            </w:r>
          </w:p>
        </w:tc>
        <w:tc>
          <w:tcPr>
            <w:tcW w:w="5682" w:type="dxa"/>
          </w:tcPr>
          <w:p w14:paraId="33415080"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Associated Disease or Condition</w:t>
            </w:r>
          </w:p>
        </w:tc>
      </w:tr>
      <w:tr w:rsidR="0059665B" w14:paraId="0DF18C0E" w14:textId="77777777">
        <w:trPr>
          <w:trHeight w:val="940"/>
        </w:trPr>
        <w:tc>
          <w:tcPr>
            <w:tcW w:w="1686" w:type="dxa"/>
          </w:tcPr>
          <w:p w14:paraId="5B19D7BD" w14:textId="77777777" w:rsidR="0059665B" w:rsidRDefault="00040B3E">
            <w:pPr>
              <w:pBdr>
                <w:top w:val="nil"/>
                <w:left w:val="nil"/>
                <w:bottom w:val="nil"/>
                <w:right w:val="nil"/>
                <w:between w:val="nil"/>
              </w:pBdr>
              <w:spacing w:before="1" w:line="275" w:lineRule="auto"/>
              <w:ind w:left="110"/>
              <w:rPr>
                <w:color w:val="000000"/>
                <w:sz w:val="24"/>
                <w:szCs w:val="24"/>
              </w:rPr>
            </w:pPr>
            <w:r>
              <w:rPr>
                <w:color w:val="000000"/>
                <w:sz w:val="24"/>
                <w:szCs w:val="24"/>
              </w:rPr>
              <w:t>Silver</w:t>
            </w:r>
          </w:p>
          <w:p w14:paraId="09764B8D" w14:textId="77777777" w:rsidR="0059665B" w:rsidRDefault="00040B3E">
            <w:pPr>
              <w:pBdr>
                <w:top w:val="nil"/>
                <w:left w:val="nil"/>
                <w:bottom w:val="nil"/>
                <w:right w:val="nil"/>
                <w:between w:val="nil"/>
              </w:pBdr>
              <w:spacing w:line="275" w:lineRule="auto"/>
              <w:ind w:left="110"/>
              <w:rPr>
                <w:color w:val="000000"/>
                <w:sz w:val="24"/>
                <w:szCs w:val="24"/>
              </w:rPr>
            </w:pPr>
            <w:r>
              <w:rPr>
                <w:color w:val="000000"/>
                <w:sz w:val="24"/>
                <w:szCs w:val="24"/>
              </w:rPr>
              <w:t>nanoparticles</w:t>
            </w:r>
          </w:p>
        </w:tc>
        <w:tc>
          <w:tcPr>
            <w:tcW w:w="1985" w:type="dxa"/>
          </w:tcPr>
          <w:p w14:paraId="1A3D0431"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Intestine (GIT)</w:t>
            </w:r>
          </w:p>
        </w:tc>
        <w:tc>
          <w:tcPr>
            <w:tcW w:w="5682" w:type="dxa"/>
          </w:tcPr>
          <w:p w14:paraId="31D68679"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Intestinal inflammation, villi damage, abnormal mucus secretion</w:t>
            </w:r>
          </w:p>
        </w:tc>
      </w:tr>
      <w:tr w:rsidR="0059665B" w14:paraId="360304C1" w14:textId="77777777">
        <w:trPr>
          <w:trHeight w:val="275"/>
        </w:trPr>
        <w:tc>
          <w:tcPr>
            <w:tcW w:w="1686" w:type="dxa"/>
          </w:tcPr>
          <w:p w14:paraId="06969C21" w14:textId="77777777" w:rsidR="0059665B" w:rsidRDefault="0059665B">
            <w:pPr>
              <w:pBdr>
                <w:top w:val="nil"/>
                <w:left w:val="nil"/>
                <w:bottom w:val="nil"/>
                <w:right w:val="nil"/>
                <w:between w:val="nil"/>
              </w:pBdr>
              <w:rPr>
                <w:color w:val="000000"/>
                <w:sz w:val="20"/>
                <w:szCs w:val="20"/>
              </w:rPr>
            </w:pPr>
          </w:p>
        </w:tc>
        <w:tc>
          <w:tcPr>
            <w:tcW w:w="1985" w:type="dxa"/>
          </w:tcPr>
          <w:p w14:paraId="5AF04373"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Liver</w:t>
            </w:r>
          </w:p>
        </w:tc>
        <w:tc>
          <w:tcPr>
            <w:tcW w:w="5682" w:type="dxa"/>
          </w:tcPr>
          <w:p w14:paraId="4E588C16"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Hepatotoxicity, mild liver injury, altered liver enzymes</w:t>
            </w:r>
          </w:p>
        </w:tc>
      </w:tr>
      <w:tr w:rsidR="0059665B" w14:paraId="0E264FFD" w14:textId="77777777">
        <w:trPr>
          <w:trHeight w:val="275"/>
        </w:trPr>
        <w:tc>
          <w:tcPr>
            <w:tcW w:w="1686" w:type="dxa"/>
          </w:tcPr>
          <w:p w14:paraId="2CDA3502" w14:textId="77777777" w:rsidR="0059665B" w:rsidRDefault="0059665B">
            <w:pPr>
              <w:pBdr>
                <w:top w:val="nil"/>
                <w:left w:val="nil"/>
                <w:bottom w:val="nil"/>
                <w:right w:val="nil"/>
                <w:between w:val="nil"/>
              </w:pBdr>
              <w:rPr>
                <w:color w:val="000000"/>
                <w:sz w:val="20"/>
                <w:szCs w:val="20"/>
              </w:rPr>
            </w:pPr>
          </w:p>
        </w:tc>
        <w:tc>
          <w:tcPr>
            <w:tcW w:w="1985" w:type="dxa"/>
          </w:tcPr>
          <w:p w14:paraId="4A305FD9"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Kidney</w:t>
            </w:r>
          </w:p>
        </w:tc>
        <w:tc>
          <w:tcPr>
            <w:tcW w:w="5682" w:type="dxa"/>
          </w:tcPr>
          <w:p w14:paraId="3CD9E4AB"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Nephrotoxicity (impaired kidney function)</w:t>
            </w:r>
          </w:p>
        </w:tc>
      </w:tr>
      <w:tr w:rsidR="0059665B" w14:paraId="13AEA580" w14:textId="77777777">
        <w:trPr>
          <w:trHeight w:val="275"/>
        </w:trPr>
        <w:tc>
          <w:tcPr>
            <w:tcW w:w="1686" w:type="dxa"/>
          </w:tcPr>
          <w:p w14:paraId="6ED7448B" w14:textId="77777777" w:rsidR="0059665B" w:rsidRDefault="0059665B">
            <w:pPr>
              <w:pBdr>
                <w:top w:val="nil"/>
                <w:left w:val="nil"/>
                <w:bottom w:val="nil"/>
                <w:right w:val="nil"/>
                <w:between w:val="nil"/>
              </w:pBdr>
              <w:rPr>
                <w:color w:val="000000"/>
                <w:sz w:val="20"/>
                <w:szCs w:val="20"/>
              </w:rPr>
            </w:pPr>
          </w:p>
        </w:tc>
        <w:tc>
          <w:tcPr>
            <w:tcW w:w="1985" w:type="dxa"/>
          </w:tcPr>
          <w:p w14:paraId="536D8C12"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Immune System</w:t>
            </w:r>
          </w:p>
        </w:tc>
        <w:tc>
          <w:tcPr>
            <w:tcW w:w="5682" w:type="dxa"/>
          </w:tcPr>
          <w:p w14:paraId="2CA366E2"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Lymphocyte infiltration, immune activation</w:t>
            </w:r>
          </w:p>
        </w:tc>
      </w:tr>
      <w:tr w:rsidR="0059665B" w14:paraId="355D06A1" w14:textId="77777777">
        <w:trPr>
          <w:trHeight w:val="555"/>
        </w:trPr>
        <w:tc>
          <w:tcPr>
            <w:tcW w:w="1686" w:type="dxa"/>
          </w:tcPr>
          <w:p w14:paraId="2E0FD839" w14:textId="77777777" w:rsidR="0059665B" w:rsidRDefault="00040B3E">
            <w:pPr>
              <w:pBdr>
                <w:top w:val="nil"/>
                <w:left w:val="nil"/>
                <w:bottom w:val="nil"/>
                <w:right w:val="nil"/>
                <w:between w:val="nil"/>
              </w:pBdr>
              <w:spacing w:before="1" w:line="275" w:lineRule="auto"/>
              <w:ind w:left="110"/>
              <w:rPr>
                <w:color w:val="000000"/>
                <w:sz w:val="24"/>
                <w:szCs w:val="24"/>
              </w:rPr>
            </w:pPr>
            <w:r>
              <w:rPr>
                <w:color w:val="000000"/>
                <w:sz w:val="24"/>
                <w:szCs w:val="24"/>
              </w:rPr>
              <w:t>Titanium</w:t>
            </w:r>
          </w:p>
          <w:p w14:paraId="30E6C971" w14:textId="77777777" w:rsidR="0059665B" w:rsidRDefault="00040B3E">
            <w:pPr>
              <w:pBdr>
                <w:top w:val="nil"/>
                <w:left w:val="nil"/>
                <w:bottom w:val="nil"/>
                <w:right w:val="nil"/>
                <w:between w:val="nil"/>
              </w:pBdr>
              <w:spacing w:line="259" w:lineRule="auto"/>
              <w:ind w:left="110"/>
              <w:rPr>
                <w:color w:val="000000"/>
                <w:sz w:val="24"/>
                <w:szCs w:val="24"/>
              </w:rPr>
            </w:pPr>
            <w:r>
              <w:rPr>
                <w:color w:val="000000"/>
                <w:sz w:val="24"/>
                <w:szCs w:val="24"/>
              </w:rPr>
              <w:t>dioxide NPs</w:t>
            </w:r>
          </w:p>
        </w:tc>
        <w:tc>
          <w:tcPr>
            <w:tcW w:w="1985" w:type="dxa"/>
          </w:tcPr>
          <w:p w14:paraId="20CAB983"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Liver</w:t>
            </w:r>
          </w:p>
        </w:tc>
        <w:tc>
          <w:tcPr>
            <w:tcW w:w="5682" w:type="dxa"/>
          </w:tcPr>
          <w:p w14:paraId="1C3B98AE"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Liver injury, hepatic inflammation, oxidative stress</w:t>
            </w:r>
          </w:p>
        </w:tc>
      </w:tr>
      <w:tr w:rsidR="0059665B" w14:paraId="08523981" w14:textId="77777777">
        <w:trPr>
          <w:trHeight w:val="275"/>
        </w:trPr>
        <w:tc>
          <w:tcPr>
            <w:tcW w:w="1686" w:type="dxa"/>
          </w:tcPr>
          <w:p w14:paraId="4CD429E6" w14:textId="77777777" w:rsidR="0059665B" w:rsidRDefault="0059665B">
            <w:pPr>
              <w:pBdr>
                <w:top w:val="nil"/>
                <w:left w:val="nil"/>
                <w:bottom w:val="nil"/>
                <w:right w:val="nil"/>
                <w:between w:val="nil"/>
              </w:pBdr>
              <w:rPr>
                <w:color w:val="000000"/>
                <w:sz w:val="20"/>
                <w:szCs w:val="20"/>
              </w:rPr>
            </w:pPr>
          </w:p>
        </w:tc>
        <w:tc>
          <w:tcPr>
            <w:tcW w:w="1985" w:type="dxa"/>
          </w:tcPr>
          <w:p w14:paraId="02584D7A"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Kidney</w:t>
            </w:r>
          </w:p>
        </w:tc>
        <w:tc>
          <w:tcPr>
            <w:tcW w:w="5682" w:type="dxa"/>
          </w:tcPr>
          <w:p w14:paraId="10A0EA89"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Kidney toxicity</w:t>
            </w:r>
          </w:p>
        </w:tc>
      </w:tr>
      <w:tr w:rsidR="0059665B" w14:paraId="5A96C601" w14:textId="77777777">
        <w:trPr>
          <w:trHeight w:val="275"/>
        </w:trPr>
        <w:tc>
          <w:tcPr>
            <w:tcW w:w="1686" w:type="dxa"/>
          </w:tcPr>
          <w:p w14:paraId="5574C907" w14:textId="77777777" w:rsidR="0059665B" w:rsidRDefault="0059665B">
            <w:pPr>
              <w:pBdr>
                <w:top w:val="nil"/>
                <w:left w:val="nil"/>
                <w:bottom w:val="nil"/>
                <w:right w:val="nil"/>
                <w:between w:val="nil"/>
              </w:pBdr>
              <w:rPr>
                <w:color w:val="000000"/>
                <w:sz w:val="20"/>
                <w:szCs w:val="20"/>
              </w:rPr>
            </w:pPr>
          </w:p>
        </w:tc>
        <w:tc>
          <w:tcPr>
            <w:tcW w:w="1985" w:type="dxa"/>
          </w:tcPr>
          <w:p w14:paraId="7C50F019"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Heart</w:t>
            </w:r>
          </w:p>
        </w:tc>
        <w:tc>
          <w:tcPr>
            <w:tcW w:w="5682" w:type="dxa"/>
          </w:tcPr>
          <w:p w14:paraId="4817F820"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Cardiac damage (especially in young animals)</w:t>
            </w:r>
          </w:p>
        </w:tc>
      </w:tr>
      <w:tr w:rsidR="0059665B" w14:paraId="419FC5EA" w14:textId="77777777">
        <w:trPr>
          <w:trHeight w:val="275"/>
        </w:trPr>
        <w:tc>
          <w:tcPr>
            <w:tcW w:w="1686" w:type="dxa"/>
          </w:tcPr>
          <w:p w14:paraId="65370128" w14:textId="77777777" w:rsidR="0059665B" w:rsidRDefault="0059665B">
            <w:pPr>
              <w:pBdr>
                <w:top w:val="nil"/>
                <w:left w:val="nil"/>
                <w:bottom w:val="nil"/>
                <w:right w:val="nil"/>
                <w:between w:val="nil"/>
              </w:pBdr>
              <w:rPr>
                <w:color w:val="000000"/>
                <w:sz w:val="20"/>
                <w:szCs w:val="20"/>
              </w:rPr>
            </w:pPr>
          </w:p>
        </w:tc>
        <w:tc>
          <w:tcPr>
            <w:tcW w:w="1985" w:type="dxa"/>
          </w:tcPr>
          <w:p w14:paraId="0A3451D9"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Immune System</w:t>
            </w:r>
          </w:p>
        </w:tc>
        <w:tc>
          <w:tcPr>
            <w:tcW w:w="5682" w:type="dxa"/>
          </w:tcPr>
          <w:p w14:paraId="14349E0B"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Immune dysfunction, mast cell activation</w:t>
            </w:r>
          </w:p>
        </w:tc>
      </w:tr>
      <w:tr w:rsidR="0059665B" w14:paraId="3771A938" w14:textId="77777777">
        <w:trPr>
          <w:trHeight w:val="275"/>
        </w:trPr>
        <w:tc>
          <w:tcPr>
            <w:tcW w:w="1686" w:type="dxa"/>
          </w:tcPr>
          <w:p w14:paraId="29788B82" w14:textId="77777777" w:rsidR="0059665B" w:rsidRDefault="0059665B">
            <w:pPr>
              <w:pBdr>
                <w:top w:val="nil"/>
                <w:left w:val="nil"/>
                <w:bottom w:val="nil"/>
                <w:right w:val="nil"/>
                <w:between w:val="nil"/>
              </w:pBdr>
              <w:rPr>
                <w:color w:val="000000"/>
                <w:sz w:val="20"/>
                <w:szCs w:val="20"/>
              </w:rPr>
            </w:pPr>
          </w:p>
        </w:tc>
        <w:tc>
          <w:tcPr>
            <w:tcW w:w="1985" w:type="dxa"/>
          </w:tcPr>
          <w:p w14:paraId="108CCA7A"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GIT</w:t>
            </w:r>
          </w:p>
        </w:tc>
        <w:tc>
          <w:tcPr>
            <w:tcW w:w="5682" w:type="dxa"/>
          </w:tcPr>
          <w:p w14:paraId="04407268"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Potential disruption of the gut barrier in high doses</w:t>
            </w:r>
          </w:p>
        </w:tc>
      </w:tr>
      <w:tr w:rsidR="0059665B" w14:paraId="64985BA4" w14:textId="77777777">
        <w:trPr>
          <w:trHeight w:val="555"/>
        </w:trPr>
        <w:tc>
          <w:tcPr>
            <w:tcW w:w="1686" w:type="dxa"/>
          </w:tcPr>
          <w:p w14:paraId="1E758DFB"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Iron oxide</w:t>
            </w:r>
          </w:p>
          <w:p w14:paraId="1ED49859" w14:textId="77777777" w:rsidR="0059665B" w:rsidRDefault="00040B3E">
            <w:pPr>
              <w:pBdr>
                <w:top w:val="nil"/>
                <w:left w:val="nil"/>
                <w:bottom w:val="nil"/>
                <w:right w:val="nil"/>
                <w:between w:val="nil"/>
              </w:pBdr>
              <w:spacing w:before="4" w:line="254" w:lineRule="auto"/>
              <w:ind w:left="110"/>
              <w:rPr>
                <w:color w:val="000000"/>
                <w:sz w:val="24"/>
                <w:szCs w:val="24"/>
              </w:rPr>
            </w:pPr>
            <w:r>
              <w:rPr>
                <w:color w:val="000000"/>
                <w:sz w:val="24"/>
                <w:szCs w:val="24"/>
              </w:rPr>
              <w:t>nanoparticles</w:t>
            </w:r>
          </w:p>
        </w:tc>
        <w:tc>
          <w:tcPr>
            <w:tcW w:w="1985" w:type="dxa"/>
          </w:tcPr>
          <w:p w14:paraId="5CE550B8"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Liver</w:t>
            </w:r>
          </w:p>
        </w:tc>
        <w:tc>
          <w:tcPr>
            <w:tcW w:w="5682" w:type="dxa"/>
          </w:tcPr>
          <w:p w14:paraId="64567A22" w14:textId="77777777" w:rsidR="0059665B" w:rsidRDefault="00040B3E">
            <w:pPr>
              <w:pBdr>
                <w:top w:val="nil"/>
                <w:left w:val="nil"/>
                <w:bottom w:val="nil"/>
                <w:right w:val="nil"/>
                <w:between w:val="nil"/>
              </w:pBdr>
              <w:spacing w:line="280" w:lineRule="auto"/>
              <w:ind w:left="110"/>
              <w:rPr>
                <w:color w:val="000000"/>
                <w:sz w:val="24"/>
                <w:szCs w:val="24"/>
              </w:rPr>
            </w:pPr>
            <w:r>
              <w:rPr>
                <w:color w:val="000000"/>
                <w:sz w:val="24"/>
                <w:szCs w:val="24"/>
              </w:rPr>
              <w:t>Possible oxidative stress–related liver injury (at high doses)</w:t>
            </w:r>
          </w:p>
        </w:tc>
      </w:tr>
      <w:tr w:rsidR="0059665B" w14:paraId="555B0432" w14:textId="77777777">
        <w:trPr>
          <w:trHeight w:val="270"/>
        </w:trPr>
        <w:tc>
          <w:tcPr>
            <w:tcW w:w="1686" w:type="dxa"/>
          </w:tcPr>
          <w:p w14:paraId="440094FE" w14:textId="77777777" w:rsidR="0059665B" w:rsidRDefault="0059665B">
            <w:pPr>
              <w:pBdr>
                <w:top w:val="nil"/>
                <w:left w:val="nil"/>
                <w:bottom w:val="nil"/>
                <w:right w:val="nil"/>
                <w:between w:val="nil"/>
              </w:pBdr>
              <w:rPr>
                <w:color w:val="000000"/>
                <w:sz w:val="20"/>
                <w:szCs w:val="20"/>
              </w:rPr>
            </w:pPr>
          </w:p>
        </w:tc>
        <w:tc>
          <w:tcPr>
            <w:tcW w:w="1985" w:type="dxa"/>
          </w:tcPr>
          <w:p w14:paraId="6560BC1F" w14:textId="77777777" w:rsidR="0059665B" w:rsidRDefault="00040B3E">
            <w:pPr>
              <w:pBdr>
                <w:top w:val="nil"/>
                <w:left w:val="nil"/>
                <w:bottom w:val="nil"/>
                <w:right w:val="nil"/>
                <w:between w:val="nil"/>
              </w:pBdr>
              <w:spacing w:line="250" w:lineRule="auto"/>
              <w:ind w:left="110"/>
              <w:rPr>
                <w:color w:val="000000"/>
                <w:sz w:val="24"/>
                <w:szCs w:val="24"/>
              </w:rPr>
            </w:pPr>
            <w:r>
              <w:rPr>
                <w:color w:val="000000"/>
                <w:sz w:val="24"/>
                <w:szCs w:val="24"/>
              </w:rPr>
              <w:t>Kidney</w:t>
            </w:r>
          </w:p>
        </w:tc>
        <w:tc>
          <w:tcPr>
            <w:tcW w:w="5682" w:type="dxa"/>
          </w:tcPr>
          <w:p w14:paraId="4B1DE806" w14:textId="77777777" w:rsidR="0059665B" w:rsidRDefault="00040B3E">
            <w:pPr>
              <w:pBdr>
                <w:top w:val="nil"/>
                <w:left w:val="nil"/>
                <w:bottom w:val="nil"/>
                <w:right w:val="nil"/>
                <w:between w:val="nil"/>
              </w:pBdr>
              <w:spacing w:line="250" w:lineRule="auto"/>
              <w:ind w:left="110"/>
              <w:rPr>
                <w:color w:val="000000"/>
                <w:sz w:val="24"/>
                <w:szCs w:val="24"/>
              </w:rPr>
            </w:pPr>
            <w:r>
              <w:rPr>
                <w:color w:val="000000"/>
                <w:sz w:val="24"/>
                <w:szCs w:val="24"/>
              </w:rPr>
              <w:t>Potential kidney stress (rare; mainly high doses)</w:t>
            </w:r>
          </w:p>
        </w:tc>
      </w:tr>
      <w:tr w:rsidR="0059665B" w14:paraId="18F4F5F7" w14:textId="77777777">
        <w:trPr>
          <w:trHeight w:val="550"/>
        </w:trPr>
        <w:tc>
          <w:tcPr>
            <w:tcW w:w="1686" w:type="dxa"/>
          </w:tcPr>
          <w:p w14:paraId="1FBCE016" w14:textId="77777777" w:rsidR="0059665B" w:rsidRDefault="0059665B">
            <w:pPr>
              <w:pBdr>
                <w:top w:val="nil"/>
                <w:left w:val="nil"/>
                <w:bottom w:val="nil"/>
                <w:right w:val="nil"/>
                <w:between w:val="nil"/>
              </w:pBdr>
              <w:rPr>
                <w:color w:val="000000"/>
                <w:sz w:val="24"/>
                <w:szCs w:val="24"/>
              </w:rPr>
            </w:pPr>
          </w:p>
        </w:tc>
        <w:tc>
          <w:tcPr>
            <w:tcW w:w="1985" w:type="dxa"/>
          </w:tcPr>
          <w:p w14:paraId="2BED7161"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Blood</w:t>
            </w:r>
          </w:p>
        </w:tc>
        <w:tc>
          <w:tcPr>
            <w:tcW w:w="5682" w:type="dxa"/>
          </w:tcPr>
          <w:p w14:paraId="4F23515B" w14:textId="77777777" w:rsidR="0059665B" w:rsidRDefault="00040B3E">
            <w:pPr>
              <w:pBdr>
                <w:top w:val="nil"/>
                <w:left w:val="nil"/>
                <w:bottom w:val="nil"/>
                <w:right w:val="nil"/>
                <w:between w:val="nil"/>
              </w:pBdr>
              <w:spacing w:line="276" w:lineRule="auto"/>
              <w:ind w:left="110"/>
              <w:rPr>
                <w:color w:val="000000"/>
                <w:sz w:val="24"/>
                <w:szCs w:val="24"/>
              </w:rPr>
            </w:pPr>
            <w:r>
              <w:rPr>
                <w:color w:val="000000"/>
                <w:sz w:val="24"/>
                <w:szCs w:val="24"/>
              </w:rPr>
              <w:t>ROS (reactive oxygen species) generation → oxidative stress–related conditions</w:t>
            </w:r>
          </w:p>
        </w:tc>
      </w:tr>
      <w:tr w:rsidR="0059665B" w14:paraId="754A3FE0" w14:textId="77777777">
        <w:trPr>
          <w:trHeight w:val="278"/>
        </w:trPr>
        <w:tc>
          <w:tcPr>
            <w:tcW w:w="1686" w:type="dxa"/>
          </w:tcPr>
          <w:p w14:paraId="088CB969" w14:textId="77777777" w:rsidR="0059665B" w:rsidRDefault="00040B3E">
            <w:pPr>
              <w:pBdr>
                <w:top w:val="nil"/>
                <w:left w:val="nil"/>
                <w:bottom w:val="nil"/>
                <w:right w:val="nil"/>
                <w:between w:val="nil"/>
              </w:pBdr>
              <w:spacing w:line="258" w:lineRule="auto"/>
              <w:ind w:left="110"/>
              <w:rPr>
                <w:color w:val="000000"/>
                <w:sz w:val="24"/>
                <w:szCs w:val="24"/>
              </w:rPr>
            </w:pPr>
            <w:r>
              <w:rPr>
                <w:color w:val="000000"/>
                <w:sz w:val="24"/>
                <w:szCs w:val="24"/>
              </w:rPr>
              <w:t>ZnO NPs</w:t>
            </w:r>
          </w:p>
        </w:tc>
        <w:tc>
          <w:tcPr>
            <w:tcW w:w="1985" w:type="dxa"/>
          </w:tcPr>
          <w:p w14:paraId="19B198DC" w14:textId="77777777" w:rsidR="0059665B" w:rsidRDefault="00040B3E">
            <w:pPr>
              <w:pBdr>
                <w:top w:val="nil"/>
                <w:left w:val="nil"/>
                <w:bottom w:val="nil"/>
                <w:right w:val="nil"/>
                <w:between w:val="nil"/>
              </w:pBdr>
              <w:spacing w:line="258" w:lineRule="auto"/>
              <w:ind w:left="110"/>
              <w:rPr>
                <w:color w:val="000000"/>
                <w:sz w:val="24"/>
                <w:szCs w:val="24"/>
              </w:rPr>
            </w:pPr>
            <w:r>
              <w:rPr>
                <w:color w:val="000000"/>
                <w:sz w:val="24"/>
                <w:szCs w:val="24"/>
              </w:rPr>
              <w:t>Liver</w:t>
            </w:r>
          </w:p>
        </w:tc>
        <w:tc>
          <w:tcPr>
            <w:tcW w:w="5682" w:type="dxa"/>
          </w:tcPr>
          <w:p w14:paraId="4D41EDBD" w14:textId="77777777" w:rsidR="0059665B" w:rsidRDefault="00040B3E">
            <w:pPr>
              <w:pBdr>
                <w:top w:val="nil"/>
                <w:left w:val="nil"/>
                <w:bottom w:val="nil"/>
                <w:right w:val="nil"/>
                <w:between w:val="nil"/>
              </w:pBdr>
              <w:spacing w:line="258" w:lineRule="auto"/>
              <w:ind w:left="110"/>
              <w:rPr>
                <w:color w:val="000000"/>
                <w:sz w:val="24"/>
                <w:szCs w:val="24"/>
              </w:rPr>
            </w:pPr>
            <w:r>
              <w:rPr>
                <w:color w:val="000000"/>
                <w:sz w:val="24"/>
                <w:szCs w:val="24"/>
              </w:rPr>
              <w:t>Liver damage, inflammation</w:t>
            </w:r>
          </w:p>
        </w:tc>
      </w:tr>
      <w:tr w:rsidR="0059665B" w14:paraId="3114DD6A" w14:textId="77777777">
        <w:trPr>
          <w:trHeight w:val="275"/>
        </w:trPr>
        <w:tc>
          <w:tcPr>
            <w:tcW w:w="1686" w:type="dxa"/>
          </w:tcPr>
          <w:p w14:paraId="3C817ADF" w14:textId="77777777" w:rsidR="0059665B" w:rsidRDefault="0059665B">
            <w:pPr>
              <w:pBdr>
                <w:top w:val="nil"/>
                <w:left w:val="nil"/>
                <w:bottom w:val="nil"/>
                <w:right w:val="nil"/>
                <w:between w:val="nil"/>
              </w:pBdr>
              <w:rPr>
                <w:color w:val="000000"/>
                <w:sz w:val="20"/>
                <w:szCs w:val="20"/>
              </w:rPr>
            </w:pPr>
          </w:p>
        </w:tc>
        <w:tc>
          <w:tcPr>
            <w:tcW w:w="1985" w:type="dxa"/>
          </w:tcPr>
          <w:p w14:paraId="4E5398A6"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Kidney</w:t>
            </w:r>
          </w:p>
        </w:tc>
        <w:tc>
          <w:tcPr>
            <w:tcW w:w="5682" w:type="dxa"/>
          </w:tcPr>
          <w:p w14:paraId="7813F7C3"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Nephrotoxicity</w:t>
            </w:r>
          </w:p>
        </w:tc>
      </w:tr>
      <w:tr w:rsidR="0059665B" w14:paraId="610E3771" w14:textId="77777777">
        <w:trPr>
          <w:trHeight w:val="275"/>
        </w:trPr>
        <w:tc>
          <w:tcPr>
            <w:tcW w:w="1686" w:type="dxa"/>
          </w:tcPr>
          <w:p w14:paraId="087F02CE" w14:textId="77777777" w:rsidR="0059665B" w:rsidRDefault="0059665B">
            <w:pPr>
              <w:pBdr>
                <w:top w:val="nil"/>
                <w:left w:val="nil"/>
                <w:bottom w:val="nil"/>
                <w:right w:val="nil"/>
                <w:between w:val="nil"/>
              </w:pBdr>
              <w:rPr>
                <w:color w:val="000000"/>
                <w:sz w:val="20"/>
                <w:szCs w:val="20"/>
              </w:rPr>
            </w:pPr>
          </w:p>
        </w:tc>
        <w:tc>
          <w:tcPr>
            <w:tcW w:w="1985" w:type="dxa"/>
          </w:tcPr>
          <w:p w14:paraId="0B9B3D68"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Lung</w:t>
            </w:r>
          </w:p>
        </w:tc>
        <w:tc>
          <w:tcPr>
            <w:tcW w:w="5682" w:type="dxa"/>
          </w:tcPr>
          <w:p w14:paraId="5D8F6478"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Lung inflammation (from systemic distribution)</w:t>
            </w:r>
          </w:p>
        </w:tc>
      </w:tr>
      <w:tr w:rsidR="0059665B" w14:paraId="346D1D52" w14:textId="77777777">
        <w:trPr>
          <w:trHeight w:val="275"/>
        </w:trPr>
        <w:tc>
          <w:tcPr>
            <w:tcW w:w="1686" w:type="dxa"/>
          </w:tcPr>
          <w:p w14:paraId="7971E0CF" w14:textId="77777777" w:rsidR="0059665B" w:rsidRDefault="0059665B">
            <w:pPr>
              <w:pBdr>
                <w:top w:val="nil"/>
                <w:left w:val="nil"/>
                <w:bottom w:val="nil"/>
                <w:right w:val="nil"/>
                <w:between w:val="nil"/>
              </w:pBdr>
              <w:rPr>
                <w:color w:val="000000"/>
                <w:sz w:val="20"/>
                <w:szCs w:val="20"/>
              </w:rPr>
            </w:pPr>
          </w:p>
        </w:tc>
        <w:tc>
          <w:tcPr>
            <w:tcW w:w="1985" w:type="dxa"/>
          </w:tcPr>
          <w:p w14:paraId="20CA6195"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Intestine</w:t>
            </w:r>
          </w:p>
        </w:tc>
        <w:tc>
          <w:tcPr>
            <w:tcW w:w="5682" w:type="dxa"/>
          </w:tcPr>
          <w:p w14:paraId="0F0E58B0" w14:textId="77777777" w:rsidR="0059665B" w:rsidRDefault="00040B3E">
            <w:pPr>
              <w:pBdr>
                <w:top w:val="nil"/>
                <w:left w:val="nil"/>
                <w:bottom w:val="nil"/>
                <w:right w:val="nil"/>
                <w:between w:val="nil"/>
              </w:pBdr>
              <w:spacing w:before="1" w:line="254" w:lineRule="auto"/>
              <w:ind w:left="110"/>
              <w:rPr>
                <w:color w:val="000000"/>
                <w:sz w:val="24"/>
                <w:szCs w:val="24"/>
              </w:rPr>
            </w:pPr>
            <w:r>
              <w:rPr>
                <w:color w:val="000000"/>
                <w:sz w:val="24"/>
                <w:szCs w:val="24"/>
              </w:rPr>
              <w:t>Increased permeability; inflammation</w:t>
            </w:r>
          </w:p>
        </w:tc>
      </w:tr>
      <w:tr w:rsidR="0059665B" w14:paraId="0F5B576E" w14:textId="77777777">
        <w:trPr>
          <w:trHeight w:val="555"/>
        </w:trPr>
        <w:tc>
          <w:tcPr>
            <w:tcW w:w="1686" w:type="dxa"/>
          </w:tcPr>
          <w:p w14:paraId="590AB445" w14:textId="77777777" w:rsidR="0059665B" w:rsidRDefault="00040B3E">
            <w:pPr>
              <w:pBdr>
                <w:top w:val="nil"/>
                <w:left w:val="nil"/>
                <w:bottom w:val="nil"/>
                <w:right w:val="nil"/>
                <w:between w:val="nil"/>
              </w:pBdr>
              <w:spacing w:line="276" w:lineRule="auto"/>
              <w:ind w:left="110" w:right="580"/>
              <w:rPr>
                <w:color w:val="000000"/>
                <w:sz w:val="24"/>
                <w:szCs w:val="24"/>
              </w:rPr>
            </w:pPr>
            <w:r>
              <w:rPr>
                <w:color w:val="000000"/>
                <w:sz w:val="24"/>
                <w:szCs w:val="24"/>
              </w:rPr>
              <w:t>Lipid NPs (organic)</w:t>
            </w:r>
          </w:p>
        </w:tc>
        <w:tc>
          <w:tcPr>
            <w:tcW w:w="1985" w:type="dxa"/>
          </w:tcPr>
          <w:p w14:paraId="0AB2A0F9"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Liver</w:t>
            </w:r>
          </w:p>
        </w:tc>
        <w:tc>
          <w:tcPr>
            <w:tcW w:w="5682" w:type="dxa"/>
          </w:tcPr>
          <w:p w14:paraId="01D62523" w14:textId="77777777" w:rsidR="0059665B" w:rsidRDefault="00040B3E">
            <w:pPr>
              <w:pBdr>
                <w:top w:val="nil"/>
                <w:left w:val="nil"/>
                <w:bottom w:val="nil"/>
                <w:right w:val="nil"/>
                <w:between w:val="nil"/>
              </w:pBdr>
              <w:spacing w:line="276" w:lineRule="auto"/>
              <w:ind w:left="110" w:right="108"/>
              <w:rPr>
                <w:color w:val="000000"/>
                <w:sz w:val="24"/>
                <w:szCs w:val="24"/>
              </w:rPr>
            </w:pPr>
            <w:r>
              <w:rPr>
                <w:color w:val="000000"/>
                <w:sz w:val="24"/>
                <w:szCs w:val="24"/>
              </w:rPr>
              <w:t>Potential accumulation only if indigestible oils are used—no confirmed diseases</w:t>
            </w:r>
          </w:p>
        </w:tc>
      </w:tr>
      <w:tr w:rsidR="0059665B" w14:paraId="3345E834" w14:textId="77777777">
        <w:trPr>
          <w:trHeight w:val="550"/>
        </w:trPr>
        <w:tc>
          <w:tcPr>
            <w:tcW w:w="1686" w:type="dxa"/>
          </w:tcPr>
          <w:p w14:paraId="3E35D4C8" w14:textId="77777777" w:rsidR="0059665B" w:rsidRDefault="00040B3E">
            <w:pPr>
              <w:pBdr>
                <w:top w:val="nil"/>
                <w:left w:val="nil"/>
                <w:bottom w:val="nil"/>
                <w:right w:val="nil"/>
                <w:between w:val="nil"/>
              </w:pBdr>
              <w:spacing w:line="276" w:lineRule="auto"/>
              <w:ind w:left="110"/>
              <w:rPr>
                <w:color w:val="000000"/>
                <w:sz w:val="24"/>
                <w:szCs w:val="24"/>
              </w:rPr>
            </w:pPr>
            <w:r>
              <w:rPr>
                <w:color w:val="000000"/>
                <w:sz w:val="24"/>
                <w:szCs w:val="24"/>
              </w:rPr>
              <w:t>Carbohydrate nanoparticles</w:t>
            </w:r>
          </w:p>
        </w:tc>
        <w:tc>
          <w:tcPr>
            <w:tcW w:w="1985" w:type="dxa"/>
          </w:tcPr>
          <w:p w14:paraId="3230C184" w14:textId="77777777" w:rsidR="0059665B" w:rsidRDefault="00040B3E">
            <w:pPr>
              <w:pBdr>
                <w:top w:val="nil"/>
                <w:left w:val="nil"/>
                <w:bottom w:val="nil"/>
                <w:right w:val="nil"/>
                <w:between w:val="nil"/>
              </w:pBdr>
              <w:spacing w:before="1"/>
              <w:ind w:left="110"/>
              <w:rPr>
                <w:color w:val="000000"/>
                <w:sz w:val="24"/>
                <w:szCs w:val="24"/>
              </w:rPr>
            </w:pPr>
            <w:r>
              <w:rPr>
                <w:color w:val="000000"/>
                <w:sz w:val="24"/>
                <w:szCs w:val="24"/>
              </w:rPr>
              <w:t>GIT</w:t>
            </w:r>
          </w:p>
        </w:tc>
        <w:tc>
          <w:tcPr>
            <w:tcW w:w="5682" w:type="dxa"/>
          </w:tcPr>
          <w:p w14:paraId="137CBC06" w14:textId="77777777" w:rsidR="0059665B" w:rsidRDefault="00040B3E">
            <w:pPr>
              <w:pBdr>
                <w:top w:val="nil"/>
                <w:left w:val="nil"/>
                <w:bottom w:val="nil"/>
                <w:right w:val="nil"/>
                <w:between w:val="nil"/>
              </w:pBdr>
              <w:spacing w:line="276" w:lineRule="auto"/>
              <w:ind w:left="110"/>
              <w:rPr>
                <w:color w:val="000000"/>
                <w:sz w:val="24"/>
                <w:szCs w:val="24"/>
              </w:rPr>
            </w:pPr>
            <w:r>
              <w:rPr>
                <w:color w:val="000000"/>
                <w:sz w:val="24"/>
                <w:szCs w:val="24"/>
              </w:rPr>
              <w:t xml:space="preserve">Usually, no disease; fermentable </w:t>
            </w:r>
            <w:proofErr w:type="spellStart"/>
            <w:r>
              <w:rPr>
                <w:color w:val="000000"/>
                <w:sz w:val="24"/>
                <w:szCs w:val="24"/>
              </w:rPr>
              <w:t>fibres</w:t>
            </w:r>
            <w:proofErr w:type="spellEnd"/>
            <w:r>
              <w:rPr>
                <w:color w:val="000000"/>
                <w:sz w:val="24"/>
                <w:szCs w:val="24"/>
              </w:rPr>
              <w:t xml:space="preserve"> may cause mild gas/bloating (not a disease)</w:t>
            </w:r>
          </w:p>
        </w:tc>
      </w:tr>
      <w:tr w:rsidR="0059665B" w14:paraId="0783941A" w14:textId="77777777">
        <w:trPr>
          <w:trHeight w:val="548"/>
        </w:trPr>
        <w:tc>
          <w:tcPr>
            <w:tcW w:w="1686" w:type="dxa"/>
          </w:tcPr>
          <w:p w14:paraId="1BE9EB4F" w14:textId="77777777" w:rsidR="0059665B" w:rsidRDefault="00040B3E">
            <w:pPr>
              <w:pBdr>
                <w:top w:val="nil"/>
                <w:left w:val="nil"/>
                <w:bottom w:val="nil"/>
                <w:right w:val="nil"/>
                <w:between w:val="nil"/>
              </w:pBdr>
              <w:spacing w:line="275" w:lineRule="auto"/>
              <w:ind w:left="110"/>
              <w:rPr>
                <w:color w:val="000000"/>
                <w:sz w:val="24"/>
                <w:szCs w:val="24"/>
              </w:rPr>
            </w:pPr>
            <w:r>
              <w:rPr>
                <w:color w:val="000000"/>
                <w:sz w:val="24"/>
                <w:szCs w:val="24"/>
              </w:rPr>
              <w:t>Protein</w:t>
            </w:r>
          </w:p>
          <w:p w14:paraId="77F4F60F" w14:textId="77777777" w:rsidR="0059665B" w:rsidRDefault="00040B3E">
            <w:pPr>
              <w:pBdr>
                <w:top w:val="nil"/>
                <w:left w:val="nil"/>
                <w:bottom w:val="nil"/>
                <w:right w:val="nil"/>
                <w:between w:val="nil"/>
              </w:pBdr>
              <w:spacing w:line="254" w:lineRule="auto"/>
              <w:ind w:left="110"/>
              <w:rPr>
                <w:color w:val="000000"/>
                <w:sz w:val="24"/>
                <w:szCs w:val="24"/>
              </w:rPr>
            </w:pPr>
            <w:r>
              <w:rPr>
                <w:color w:val="000000"/>
                <w:sz w:val="24"/>
                <w:szCs w:val="24"/>
              </w:rPr>
              <w:t>nanoparticles</w:t>
            </w:r>
          </w:p>
        </w:tc>
        <w:tc>
          <w:tcPr>
            <w:tcW w:w="1985" w:type="dxa"/>
          </w:tcPr>
          <w:p w14:paraId="0B909EC7" w14:textId="77777777" w:rsidR="0059665B" w:rsidRDefault="00040B3E">
            <w:pPr>
              <w:pBdr>
                <w:top w:val="nil"/>
                <w:left w:val="nil"/>
                <w:bottom w:val="nil"/>
                <w:right w:val="nil"/>
                <w:between w:val="nil"/>
              </w:pBdr>
              <w:spacing w:line="275" w:lineRule="auto"/>
              <w:ind w:left="110"/>
              <w:rPr>
                <w:color w:val="000000"/>
                <w:sz w:val="24"/>
                <w:szCs w:val="24"/>
              </w:rPr>
            </w:pPr>
            <w:r>
              <w:rPr>
                <w:color w:val="000000"/>
                <w:sz w:val="24"/>
                <w:szCs w:val="24"/>
              </w:rPr>
              <w:t>GIT</w:t>
            </w:r>
          </w:p>
        </w:tc>
        <w:tc>
          <w:tcPr>
            <w:tcW w:w="5682" w:type="dxa"/>
          </w:tcPr>
          <w:p w14:paraId="4627FF8D" w14:textId="77777777" w:rsidR="0059665B" w:rsidRDefault="00040B3E">
            <w:pPr>
              <w:pBdr>
                <w:top w:val="nil"/>
                <w:left w:val="nil"/>
                <w:bottom w:val="nil"/>
                <w:right w:val="nil"/>
                <w:between w:val="nil"/>
              </w:pBdr>
              <w:spacing w:line="276" w:lineRule="auto"/>
              <w:ind w:left="110" w:right="108"/>
              <w:rPr>
                <w:color w:val="000000"/>
                <w:sz w:val="24"/>
                <w:szCs w:val="24"/>
              </w:rPr>
            </w:pPr>
            <w:r>
              <w:rPr>
                <w:color w:val="000000"/>
                <w:sz w:val="24"/>
                <w:szCs w:val="24"/>
              </w:rPr>
              <w:t>Generally safe; no disease linked (casein micelles eaten for centuries)</w:t>
            </w:r>
          </w:p>
        </w:tc>
      </w:tr>
    </w:tbl>
    <w:p w14:paraId="5DD54EAF" w14:textId="1EB9562A" w:rsidR="0059665B" w:rsidRPr="002451FB" w:rsidRDefault="002451FB">
      <w:pPr>
        <w:pBdr>
          <w:top w:val="nil"/>
          <w:left w:val="nil"/>
          <w:bottom w:val="nil"/>
          <w:right w:val="nil"/>
          <w:between w:val="nil"/>
        </w:pBdr>
        <w:spacing w:before="192"/>
        <w:rPr>
          <w:color w:val="00B0F0"/>
          <w:sz w:val="24"/>
          <w:szCs w:val="24"/>
        </w:rPr>
      </w:pPr>
      <w:r w:rsidRPr="002451FB">
        <w:rPr>
          <w:color w:val="00B0F0"/>
          <w:sz w:val="24"/>
          <w:szCs w:val="24"/>
        </w:rPr>
        <w:t xml:space="preserve">Source: </w:t>
      </w:r>
      <w:proofErr w:type="spellStart"/>
      <w:r w:rsidR="000F769C">
        <w:rPr>
          <w:color w:val="00B0F0"/>
          <w:sz w:val="24"/>
          <w:szCs w:val="24"/>
        </w:rPr>
        <w:t>Ghebretatios</w:t>
      </w:r>
      <w:proofErr w:type="spellEnd"/>
      <w:r w:rsidR="000F769C">
        <w:rPr>
          <w:color w:val="00B0F0"/>
          <w:sz w:val="24"/>
          <w:szCs w:val="24"/>
        </w:rPr>
        <w:t xml:space="preserve"> et al, 2021; </w:t>
      </w:r>
      <w:r w:rsidRPr="002451FB">
        <w:rPr>
          <w:color w:val="00B0F0"/>
          <w:sz w:val="24"/>
          <w:szCs w:val="24"/>
        </w:rPr>
        <w:t xml:space="preserve">Rahman et al 2024, </w:t>
      </w:r>
    </w:p>
    <w:p w14:paraId="5B3873FA" w14:textId="77777777" w:rsidR="0059665B" w:rsidRDefault="00040B3E">
      <w:pPr>
        <w:pStyle w:val="Heading1"/>
        <w:spacing w:before="0"/>
        <w:ind w:firstLine="165"/>
      </w:pPr>
      <w:r>
        <w:t>Conclusion</w:t>
      </w:r>
    </w:p>
    <w:p w14:paraId="1FC626F2" w14:textId="77777777" w:rsidR="0059665B" w:rsidRDefault="00040B3E">
      <w:pPr>
        <w:pBdr>
          <w:top w:val="nil"/>
          <w:left w:val="nil"/>
          <w:bottom w:val="nil"/>
          <w:right w:val="nil"/>
          <w:between w:val="nil"/>
        </w:pBdr>
        <w:spacing w:before="184" w:line="259" w:lineRule="auto"/>
        <w:ind w:left="165" w:right="1151"/>
        <w:jc w:val="both"/>
        <w:rPr>
          <w:color w:val="000000"/>
          <w:sz w:val="24"/>
          <w:szCs w:val="24"/>
        </w:rPr>
        <w:sectPr w:rsidR="0059665B">
          <w:pgSz w:w="11910" w:h="16840"/>
          <w:pgMar w:top="1380" w:right="283" w:bottom="280" w:left="1275" w:header="360" w:footer="360" w:gutter="0"/>
          <w:cols w:space="720"/>
        </w:sectPr>
      </w:pPr>
      <w:r>
        <w:rPr>
          <w:color w:val="000000"/>
          <w:sz w:val="24"/>
          <w:szCs w:val="24"/>
        </w:rPr>
        <w:t xml:space="preserve">The food business has seen tremendous progress thanks to nanotechnology, which has improved product stability, safety, and nutritional value. Targeted nutrition delivery, increased shelf life, enhanced </w:t>
      </w:r>
      <w:proofErr w:type="spellStart"/>
      <w:r>
        <w:rPr>
          <w:color w:val="000000"/>
          <w:sz w:val="24"/>
          <w:szCs w:val="24"/>
        </w:rPr>
        <w:t>flavour</w:t>
      </w:r>
      <w:proofErr w:type="spellEnd"/>
      <w:r>
        <w:rPr>
          <w:color w:val="000000"/>
          <w:sz w:val="24"/>
          <w:szCs w:val="24"/>
        </w:rPr>
        <w:t xml:space="preserve">, and better texture have all been made possible by the use of nanoparticles in food and food packaging. Nevertheless, these advantages come with rising worries about the possible health hazards connected to long-term exposure to and consumption of engineered nanomaterials (ENMs). Silver, titanium dioxide, zinc oxide, and iron oxide are examples of inorganic nanoparticles that have shown both positive and negative effects based on their physicochemical properties, dosage, and interactions with biological systems. Among the main toxicity mechanisms identified in experimental research are accumulation in essential organs, as well as the activation of oxidative stress and inflammatory reactions. On the other </w:t>
      </w:r>
      <w:r>
        <w:rPr>
          <w:color w:val="000000"/>
          <w:sz w:val="24"/>
          <w:szCs w:val="24"/>
        </w:rPr>
        <w:lastRenderedPageBreak/>
        <w:t>hand, organic nanoparticles made from proteins, lipids, or carbohydrates are often less</w:t>
      </w:r>
    </w:p>
    <w:p w14:paraId="0FD0E5B0" w14:textId="77777777" w:rsidR="0059665B" w:rsidRDefault="00040B3E">
      <w:pPr>
        <w:pBdr>
          <w:top w:val="nil"/>
          <w:left w:val="nil"/>
          <w:bottom w:val="nil"/>
          <w:right w:val="nil"/>
          <w:between w:val="nil"/>
        </w:pBdr>
        <w:spacing w:before="66" w:line="259" w:lineRule="auto"/>
        <w:ind w:left="165" w:right="1155"/>
        <w:jc w:val="both"/>
        <w:rPr>
          <w:color w:val="000000"/>
          <w:sz w:val="24"/>
          <w:szCs w:val="24"/>
        </w:rPr>
      </w:pPr>
      <w:r>
        <w:rPr>
          <w:color w:val="000000"/>
          <w:sz w:val="24"/>
          <w:szCs w:val="24"/>
        </w:rPr>
        <w:lastRenderedPageBreak/>
        <w:t xml:space="preserve">hazardous since they are more biocompatible and biodegradable. There are still a lot of unanswered questions about the </w:t>
      </w:r>
      <w:proofErr w:type="spellStart"/>
      <w:r>
        <w:rPr>
          <w:color w:val="000000"/>
          <w:sz w:val="24"/>
          <w:szCs w:val="24"/>
        </w:rPr>
        <w:t>behaviours</w:t>
      </w:r>
      <w:proofErr w:type="spellEnd"/>
      <w:r>
        <w:rPr>
          <w:color w:val="000000"/>
          <w:sz w:val="24"/>
          <w:szCs w:val="24"/>
        </w:rPr>
        <w:t xml:space="preserve"> of nanoparticles in intricate food matrices, bioavailability, and long-term toxicity, despite tremendous research advancements. Future research should thus concentrate on creating uniform safety assessment procedures and using in vivo models that replicate actual dietary exposure. To guarantee that the benefits of nanotechnology in food science do not </w:t>
      </w:r>
      <w:proofErr w:type="spellStart"/>
      <w:r>
        <w:rPr>
          <w:color w:val="000000"/>
          <w:sz w:val="24"/>
          <w:szCs w:val="24"/>
        </w:rPr>
        <w:t>jeopardise</w:t>
      </w:r>
      <w:proofErr w:type="spellEnd"/>
      <w:r>
        <w:rPr>
          <w:color w:val="000000"/>
          <w:sz w:val="24"/>
          <w:szCs w:val="24"/>
        </w:rPr>
        <w:t xml:space="preserve"> environmental and consumer safety, stringent regulatory rules and a cautious approach are necessary.</w:t>
      </w:r>
    </w:p>
    <w:p w14:paraId="5C084742" w14:textId="77777777" w:rsidR="0059665B" w:rsidRDefault="00040B3E">
      <w:pPr>
        <w:pStyle w:val="Heading1"/>
        <w:ind w:firstLine="165"/>
      </w:pPr>
      <w:r>
        <w:t>References</w:t>
      </w:r>
    </w:p>
    <w:p w14:paraId="32F1F20D" w14:textId="28FD8ED3" w:rsidR="00215DEE" w:rsidRDefault="00F22A5B" w:rsidP="00366E1B">
      <w:pPr>
        <w:ind w:left="165"/>
      </w:pPr>
      <w:r w:rsidRPr="00F22A5B">
        <w:t xml:space="preserve">Abbas, N. H., </w:t>
      </w:r>
      <w:proofErr w:type="spellStart"/>
      <w:r w:rsidRPr="00F22A5B">
        <w:t>Rasuli</w:t>
      </w:r>
      <w:proofErr w:type="spellEnd"/>
      <w:r w:rsidRPr="00F22A5B">
        <w:t xml:space="preserve">, R., &amp; </w:t>
      </w:r>
      <w:proofErr w:type="spellStart"/>
      <w:r w:rsidRPr="00F22A5B">
        <w:t>Nakhostin</w:t>
      </w:r>
      <w:proofErr w:type="spellEnd"/>
      <w:r w:rsidRPr="00F22A5B">
        <w:t xml:space="preserve"> Panahi, P. (2025). Decorated titanium oxide with Ag nanoparticles as an efficient photocatalyst under visible light: a novel synthesis approach. Scientific Reports, 15, 8207. </w:t>
      </w:r>
      <w:hyperlink r:id="rId12" w:history="1">
        <w:r w:rsidRPr="00E56609">
          <w:rPr>
            <w:rStyle w:val="Hyperlink"/>
          </w:rPr>
          <w:t>https://doi.org/10.1038/s41598-025-92864-2</w:t>
        </w:r>
      </w:hyperlink>
      <w:r>
        <w:t xml:space="preserve"> </w:t>
      </w:r>
    </w:p>
    <w:p w14:paraId="0F9319D0" w14:textId="77777777" w:rsidR="00215DEE" w:rsidRDefault="00215DEE" w:rsidP="00366E1B">
      <w:pPr>
        <w:ind w:left="165"/>
      </w:pPr>
    </w:p>
    <w:p w14:paraId="1EEBA0EB" w14:textId="599E4165" w:rsidR="00366E1B" w:rsidRDefault="00FE4496" w:rsidP="00366E1B">
      <w:pPr>
        <w:ind w:left="165"/>
      </w:pPr>
      <w:proofErr w:type="spellStart"/>
      <w:r w:rsidRPr="00FE4496">
        <w:t>Abegunde</w:t>
      </w:r>
      <w:proofErr w:type="spellEnd"/>
      <w:r w:rsidRPr="00FE4496">
        <w:t xml:space="preserve">, S. M., </w:t>
      </w:r>
      <w:proofErr w:type="spellStart"/>
      <w:r w:rsidRPr="00FE4496">
        <w:t>Alaka</w:t>
      </w:r>
      <w:proofErr w:type="spellEnd"/>
      <w:r w:rsidRPr="00FE4496">
        <w:t xml:space="preserve">, M. O., &amp; </w:t>
      </w:r>
      <w:proofErr w:type="spellStart"/>
      <w:r w:rsidRPr="00FE4496">
        <w:t>Awonyemi</w:t>
      </w:r>
      <w:proofErr w:type="spellEnd"/>
      <w:r w:rsidRPr="00FE4496">
        <w:t xml:space="preserve">, O. I. (2025). Nanomaterial toxicity: a comprehensive review of mechanisms and mitigation strategies. Discover Hazards, 1(3), 3. </w:t>
      </w:r>
      <w:hyperlink r:id="rId13" w:history="1">
        <w:r w:rsidRPr="00E56609">
          <w:rPr>
            <w:rStyle w:val="Hyperlink"/>
          </w:rPr>
          <w:t>https://doi.org/10.1007/s44475-025-00003-2</w:t>
        </w:r>
      </w:hyperlink>
      <w:r>
        <w:t xml:space="preserve"> </w:t>
      </w:r>
      <w:r w:rsidR="00FC2C87">
        <w:t xml:space="preserve">  </w:t>
      </w:r>
    </w:p>
    <w:p w14:paraId="64B7FF70" w14:textId="77777777" w:rsidR="00FC2C87" w:rsidRDefault="00FC2C87" w:rsidP="00366E1B">
      <w:pPr>
        <w:ind w:left="165"/>
      </w:pPr>
    </w:p>
    <w:p w14:paraId="7433ECBA" w14:textId="1FFA046B" w:rsidR="00FC2C87" w:rsidRPr="00FC2C87" w:rsidRDefault="00266A34" w:rsidP="00366E1B">
      <w:pPr>
        <w:ind w:left="165"/>
        <w:rPr>
          <w:sz w:val="24"/>
          <w:szCs w:val="24"/>
        </w:rPr>
      </w:pPr>
      <w:proofErr w:type="spellStart"/>
      <w:r w:rsidRPr="00266A34">
        <w:rPr>
          <w:color w:val="222222"/>
          <w:sz w:val="24"/>
          <w:szCs w:val="24"/>
          <w:shd w:val="clear" w:color="auto" w:fill="FFFFFF"/>
        </w:rPr>
        <w:t>Adly</w:t>
      </w:r>
      <w:proofErr w:type="spellEnd"/>
      <w:r w:rsidRPr="00266A34">
        <w:rPr>
          <w:color w:val="222222"/>
          <w:sz w:val="24"/>
          <w:szCs w:val="24"/>
          <w:shd w:val="clear" w:color="auto" w:fill="FFFFFF"/>
        </w:rPr>
        <w:t xml:space="preserve">, H. M., </w:t>
      </w:r>
      <w:proofErr w:type="spellStart"/>
      <w:r w:rsidRPr="00266A34">
        <w:rPr>
          <w:color w:val="222222"/>
          <w:sz w:val="24"/>
          <w:szCs w:val="24"/>
          <w:shd w:val="clear" w:color="auto" w:fill="FFFFFF"/>
        </w:rPr>
        <w:t>Saati</w:t>
      </w:r>
      <w:proofErr w:type="spellEnd"/>
      <w:r w:rsidRPr="00266A34">
        <w:rPr>
          <w:color w:val="222222"/>
          <w:sz w:val="24"/>
          <w:szCs w:val="24"/>
          <w:shd w:val="clear" w:color="auto" w:fill="FFFFFF"/>
        </w:rPr>
        <w:t xml:space="preserve">, A. A., Obaid, M. S., &amp; Saleh, S. A. K. (2025). Chemical Migration of Polycyclic Aromatic Hydrocarbons and Other Compounds from Plastic Food Packaging: Assessment of Food Safety Risks and Health Impacts. Foods. </w:t>
      </w:r>
      <w:hyperlink r:id="rId14" w:history="1">
        <w:r w:rsidRPr="00E56609">
          <w:rPr>
            <w:rStyle w:val="Hyperlink"/>
            <w:sz w:val="24"/>
            <w:szCs w:val="24"/>
            <w:shd w:val="clear" w:color="auto" w:fill="FFFFFF"/>
          </w:rPr>
          <w:t>https://doi.org/10.3390/foods14061013</w:t>
        </w:r>
      </w:hyperlink>
      <w:r>
        <w:rPr>
          <w:color w:val="222222"/>
          <w:sz w:val="24"/>
          <w:szCs w:val="24"/>
          <w:shd w:val="clear" w:color="auto" w:fill="FFFFFF"/>
        </w:rPr>
        <w:t xml:space="preserve"> </w:t>
      </w:r>
    </w:p>
    <w:p w14:paraId="44A2A344" w14:textId="7321EFA1" w:rsidR="0059665B" w:rsidRDefault="0002028E">
      <w:pPr>
        <w:spacing w:before="185"/>
        <w:ind w:left="165"/>
        <w:rPr>
          <w:sz w:val="24"/>
          <w:szCs w:val="24"/>
        </w:rPr>
      </w:pPr>
      <w:r w:rsidRPr="0002028E">
        <w:rPr>
          <w:sz w:val="24"/>
          <w:szCs w:val="24"/>
        </w:rPr>
        <w:t xml:space="preserve">Joint FAO/WHO Expert Committee on Food Additives. (2007). Evaluation of certain food additives and contaminants: Sixty-seventh report of the Joint FAO/WHO Expert Committee on Food Additives (WHO Technical Report Series, No. 940). World Health Organization. </w:t>
      </w:r>
      <w:hyperlink r:id="rId15" w:history="1">
        <w:r w:rsidRPr="00E56609">
          <w:rPr>
            <w:rStyle w:val="Hyperlink"/>
            <w:sz w:val="24"/>
            <w:szCs w:val="24"/>
          </w:rPr>
          <w:t>https://iris.who.int/handle/10665/43592</w:t>
        </w:r>
      </w:hyperlink>
      <w:r>
        <w:rPr>
          <w:sz w:val="24"/>
          <w:szCs w:val="24"/>
        </w:rPr>
        <w:t xml:space="preserve"> </w:t>
      </w:r>
    </w:p>
    <w:p w14:paraId="0654454E" w14:textId="113EF047" w:rsidR="00B453E3" w:rsidRDefault="00086954">
      <w:pPr>
        <w:spacing w:before="185"/>
        <w:ind w:left="165"/>
        <w:rPr>
          <w:sz w:val="24"/>
          <w:szCs w:val="24"/>
        </w:rPr>
      </w:pPr>
      <w:proofErr w:type="spellStart"/>
      <w:r w:rsidRPr="00086954">
        <w:rPr>
          <w:sz w:val="24"/>
          <w:szCs w:val="24"/>
        </w:rPr>
        <w:t>Ahari</w:t>
      </w:r>
      <w:proofErr w:type="spellEnd"/>
      <w:r w:rsidRPr="00086954">
        <w:rPr>
          <w:sz w:val="24"/>
          <w:szCs w:val="24"/>
        </w:rPr>
        <w:t xml:space="preserve">, H., </w:t>
      </w:r>
      <w:proofErr w:type="spellStart"/>
      <w:r w:rsidRPr="00086954">
        <w:rPr>
          <w:sz w:val="24"/>
          <w:szCs w:val="24"/>
        </w:rPr>
        <w:t>Anvar</w:t>
      </w:r>
      <w:proofErr w:type="spellEnd"/>
      <w:r w:rsidRPr="00086954">
        <w:rPr>
          <w:sz w:val="24"/>
          <w:szCs w:val="24"/>
        </w:rPr>
        <w:t xml:space="preserve">, A. A., </w:t>
      </w:r>
      <w:proofErr w:type="spellStart"/>
      <w:r w:rsidRPr="00086954">
        <w:rPr>
          <w:sz w:val="24"/>
          <w:szCs w:val="24"/>
        </w:rPr>
        <w:t>Ataee</w:t>
      </w:r>
      <w:proofErr w:type="spellEnd"/>
      <w:r w:rsidRPr="00086954">
        <w:rPr>
          <w:sz w:val="24"/>
          <w:szCs w:val="24"/>
        </w:rPr>
        <w:t xml:space="preserve">, M., &amp; </w:t>
      </w:r>
      <w:proofErr w:type="spellStart"/>
      <w:r w:rsidRPr="00086954">
        <w:rPr>
          <w:sz w:val="24"/>
          <w:szCs w:val="24"/>
        </w:rPr>
        <w:t>Naeimabadi</w:t>
      </w:r>
      <w:proofErr w:type="spellEnd"/>
      <w:r w:rsidRPr="00086954">
        <w:rPr>
          <w:sz w:val="24"/>
          <w:szCs w:val="24"/>
        </w:rPr>
        <w:t xml:space="preserve">, M. (2021). Employing </w:t>
      </w:r>
      <w:proofErr w:type="spellStart"/>
      <w:r w:rsidRPr="00086954">
        <w:rPr>
          <w:sz w:val="24"/>
          <w:szCs w:val="24"/>
        </w:rPr>
        <w:t>Nanosilver</w:t>
      </w:r>
      <w:proofErr w:type="spellEnd"/>
      <w:r w:rsidRPr="00086954">
        <w:rPr>
          <w:sz w:val="24"/>
          <w:szCs w:val="24"/>
        </w:rPr>
        <w:t xml:space="preserve">, </w:t>
      </w:r>
      <w:proofErr w:type="spellStart"/>
      <w:r w:rsidRPr="00086954">
        <w:rPr>
          <w:sz w:val="24"/>
          <w:szCs w:val="24"/>
        </w:rPr>
        <w:t>Nanocopper</w:t>
      </w:r>
      <w:proofErr w:type="spellEnd"/>
      <w:r w:rsidRPr="00086954">
        <w:rPr>
          <w:sz w:val="24"/>
          <w:szCs w:val="24"/>
        </w:rPr>
        <w:t xml:space="preserve">, and </w:t>
      </w:r>
      <w:proofErr w:type="spellStart"/>
      <w:r w:rsidRPr="00086954">
        <w:rPr>
          <w:sz w:val="24"/>
          <w:szCs w:val="24"/>
        </w:rPr>
        <w:t>Nanoclays</w:t>
      </w:r>
      <w:proofErr w:type="spellEnd"/>
      <w:r w:rsidRPr="00086954">
        <w:rPr>
          <w:sz w:val="24"/>
          <w:szCs w:val="24"/>
        </w:rPr>
        <w:t xml:space="preserve"> in Food Packaging Production: A Systematic Review. Coatings, 11(5), 509. </w:t>
      </w:r>
      <w:hyperlink r:id="rId16" w:history="1">
        <w:r w:rsidRPr="00E56609">
          <w:rPr>
            <w:rStyle w:val="Hyperlink"/>
            <w:sz w:val="24"/>
            <w:szCs w:val="24"/>
          </w:rPr>
          <w:t>https://doi.org/10.3390/coatings11050509</w:t>
        </w:r>
      </w:hyperlink>
      <w:r>
        <w:rPr>
          <w:sz w:val="24"/>
          <w:szCs w:val="24"/>
        </w:rPr>
        <w:t xml:space="preserve"> </w:t>
      </w:r>
    </w:p>
    <w:p w14:paraId="51EF2BDE" w14:textId="347ECD0E" w:rsidR="00BB3629" w:rsidRDefault="006F0BFA">
      <w:pPr>
        <w:spacing w:before="185"/>
        <w:ind w:left="165"/>
        <w:rPr>
          <w:sz w:val="24"/>
          <w:szCs w:val="24"/>
        </w:rPr>
      </w:pPr>
      <w:r w:rsidRPr="006F0BFA">
        <w:rPr>
          <w:sz w:val="24"/>
          <w:szCs w:val="24"/>
        </w:rPr>
        <w:t>Ahmad, F., Salem-</w:t>
      </w:r>
      <w:proofErr w:type="spellStart"/>
      <w:r w:rsidRPr="006F0BFA">
        <w:rPr>
          <w:sz w:val="24"/>
          <w:szCs w:val="24"/>
        </w:rPr>
        <w:t>Bekhit</w:t>
      </w:r>
      <w:proofErr w:type="spellEnd"/>
      <w:r w:rsidRPr="006F0BFA">
        <w:rPr>
          <w:sz w:val="24"/>
          <w:szCs w:val="24"/>
        </w:rPr>
        <w:t xml:space="preserve">, M. M., Khan, F., </w:t>
      </w:r>
      <w:proofErr w:type="spellStart"/>
      <w:r w:rsidRPr="006F0BFA">
        <w:rPr>
          <w:sz w:val="24"/>
          <w:szCs w:val="24"/>
        </w:rPr>
        <w:t>Alshehri</w:t>
      </w:r>
      <w:proofErr w:type="spellEnd"/>
      <w:r w:rsidRPr="006F0BFA">
        <w:rPr>
          <w:sz w:val="24"/>
          <w:szCs w:val="24"/>
        </w:rPr>
        <w:t xml:space="preserve">, S., Khan, A., </w:t>
      </w:r>
      <w:proofErr w:type="spellStart"/>
      <w:r w:rsidRPr="006F0BFA">
        <w:rPr>
          <w:sz w:val="24"/>
          <w:szCs w:val="24"/>
        </w:rPr>
        <w:t>Ghoneim</w:t>
      </w:r>
      <w:proofErr w:type="spellEnd"/>
      <w:r w:rsidRPr="006F0BFA">
        <w:rPr>
          <w:sz w:val="24"/>
          <w:szCs w:val="24"/>
        </w:rPr>
        <w:t xml:space="preserve">, M. M., Wu, H.-F., Taha, E. I., &amp; </w:t>
      </w:r>
      <w:proofErr w:type="spellStart"/>
      <w:r w:rsidRPr="006F0BFA">
        <w:rPr>
          <w:sz w:val="24"/>
          <w:szCs w:val="24"/>
        </w:rPr>
        <w:t>Elbagory</w:t>
      </w:r>
      <w:proofErr w:type="spellEnd"/>
      <w:r w:rsidRPr="006F0BFA">
        <w:rPr>
          <w:sz w:val="24"/>
          <w:szCs w:val="24"/>
        </w:rPr>
        <w:t xml:space="preserve">, I. (2022). Unique Properties of Surface-Functionalized Nanoparticles for Bio-Application: Functionalization Mechanisms and Importance in Application. Nanomaterials, 12(8), 1333. </w:t>
      </w:r>
      <w:hyperlink r:id="rId17" w:history="1">
        <w:r w:rsidR="00B77767" w:rsidRPr="00E56609">
          <w:rPr>
            <w:rStyle w:val="Hyperlink"/>
            <w:sz w:val="24"/>
            <w:szCs w:val="24"/>
          </w:rPr>
          <w:t>https://doi.org/10.3390/nano12081333</w:t>
        </w:r>
      </w:hyperlink>
      <w:r w:rsidR="00B77767">
        <w:rPr>
          <w:sz w:val="24"/>
          <w:szCs w:val="24"/>
        </w:rPr>
        <w:t xml:space="preserve"> </w:t>
      </w:r>
      <w:r>
        <w:rPr>
          <w:sz w:val="24"/>
          <w:szCs w:val="24"/>
        </w:rPr>
        <w:t xml:space="preserve"> </w:t>
      </w:r>
      <w:r w:rsidR="00B77767">
        <w:rPr>
          <w:sz w:val="24"/>
          <w:szCs w:val="24"/>
        </w:rPr>
        <w:t xml:space="preserve"> </w:t>
      </w:r>
    </w:p>
    <w:p w14:paraId="6F178F48" w14:textId="0FA83489" w:rsidR="00A46A8E" w:rsidRDefault="00B77767">
      <w:pPr>
        <w:spacing w:before="185"/>
        <w:ind w:left="165"/>
        <w:rPr>
          <w:sz w:val="24"/>
          <w:szCs w:val="24"/>
        </w:rPr>
      </w:pPr>
      <w:proofErr w:type="spellStart"/>
      <w:r w:rsidRPr="00B77767">
        <w:rPr>
          <w:sz w:val="24"/>
          <w:szCs w:val="24"/>
        </w:rPr>
        <w:t>Angelopoulou</w:t>
      </w:r>
      <w:proofErr w:type="spellEnd"/>
      <w:r w:rsidRPr="00B77767">
        <w:rPr>
          <w:sz w:val="24"/>
          <w:szCs w:val="24"/>
        </w:rPr>
        <w:t xml:space="preserve">, P., </w:t>
      </w:r>
      <w:proofErr w:type="spellStart"/>
      <w:r w:rsidRPr="00B77767">
        <w:rPr>
          <w:sz w:val="24"/>
          <w:szCs w:val="24"/>
        </w:rPr>
        <w:t>Giaouris</w:t>
      </w:r>
      <w:proofErr w:type="spellEnd"/>
      <w:r w:rsidRPr="00B77767">
        <w:rPr>
          <w:sz w:val="24"/>
          <w:szCs w:val="24"/>
        </w:rPr>
        <w:t xml:space="preserve">, E., &amp; </w:t>
      </w:r>
      <w:proofErr w:type="spellStart"/>
      <w:r w:rsidRPr="00B77767">
        <w:rPr>
          <w:sz w:val="24"/>
          <w:szCs w:val="24"/>
        </w:rPr>
        <w:t>Gardikis</w:t>
      </w:r>
      <w:proofErr w:type="spellEnd"/>
      <w:r w:rsidRPr="00B77767">
        <w:rPr>
          <w:sz w:val="24"/>
          <w:szCs w:val="24"/>
        </w:rPr>
        <w:t xml:space="preserve">, K. (2022). Applications and Prospects of Nanotechnology in Food and Cosmetics Preservation. Nanomaterials, 12(7), 1196. </w:t>
      </w:r>
      <w:hyperlink r:id="rId18" w:history="1">
        <w:r w:rsidRPr="00E56609">
          <w:rPr>
            <w:rStyle w:val="Hyperlink"/>
            <w:sz w:val="24"/>
            <w:szCs w:val="24"/>
          </w:rPr>
          <w:t>https://doi.org/10.3390/nano12071196</w:t>
        </w:r>
      </w:hyperlink>
      <w:r>
        <w:rPr>
          <w:sz w:val="24"/>
          <w:szCs w:val="24"/>
        </w:rPr>
        <w:t xml:space="preserve"> </w:t>
      </w:r>
    </w:p>
    <w:p w14:paraId="7991563B" w14:textId="1AC2CE11" w:rsidR="00896F53" w:rsidRDefault="009346DC">
      <w:pPr>
        <w:spacing w:before="185"/>
        <w:ind w:left="165"/>
        <w:rPr>
          <w:sz w:val="24"/>
          <w:szCs w:val="24"/>
        </w:rPr>
      </w:pPr>
      <w:proofErr w:type="spellStart"/>
      <w:r w:rsidRPr="009346DC">
        <w:rPr>
          <w:sz w:val="24"/>
          <w:szCs w:val="24"/>
        </w:rPr>
        <w:t>Baldea</w:t>
      </w:r>
      <w:proofErr w:type="spellEnd"/>
      <w:r w:rsidRPr="009346DC">
        <w:rPr>
          <w:sz w:val="24"/>
          <w:szCs w:val="24"/>
        </w:rPr>
        <w:t xml:space="preserve">, I., </w:t>
      </w:r>
      <w:proofErr w:type="spellStart"/>
      <w:r w:rsidRPr="009346DC">
        <w:rPr>
          <w:sz w:val="24"/>
          <w:szCs w:val="24"/>
        </w:rPr>
        <w:t>Iacoviță</w:t>
      </w:r>
      <w:proofErr w:type="spellEnd"/>
      <w:r w:rsidRPr="009346DC">
        <w:rPr>
          <w:sz w:val="24"/>
          <w:szCs w:val="24"/>
        </w:rPr>
        <w:t xml:space="preserve">, C., </w:t>
      </w:r>
      <w:proofErr w:type="spellStart"/>
      <w:r w:rsidRPr="009346DC">
        <w:rPr>
          <w:sz w:val="24"/>
          <w:szCs w:val="24"/>
        </w:rPr>
        <w:t>Gurgu</w:t>
      </w:r>
      <w:proofErr w:type="spellEnd"/>
      <w:r w:rsidRPr="009346DC">
        <w:rPr>
          <w:sz w:val="24"/>
          <w:szCs w:val="24"/>
        </w:rPr>
        <w:t xml:space="preserve">, R. A., </w:t>
      </w:r>
      <w:proofErr w:type="spellStart"/>
      <w:r w:rsidRPr="009346DC">
        <w:rPr>
          <w:sz w:val="24"/>
          <w:szCs w:val="24"/>
        </w:rPr>
        <w:t>Vizitiu</w:t>
      </w:r>
      <w:proofErr w:type="spellEnd"/>
      <w:r w:rsidRPr="009346DC">
        <w:rPr>
          <w:sz w:val="24"/>
          <w:szCs w:val="24"/>
        </w:rPr>
        <w:t xml:space="preserve">, A. S., </w:t>
      </w:r>
      <w:proofErr w:type="spellStart"/>
      <w:r w:rsidRPr="009346DC">
        <w:rPr>
          <w:sz w:val="24"/>
          <w:szCs w:val="24"/>
        </w:rPr>
        <w:t>Râzniceanu</w:t>
      </w:r>
      <w:proofErr w:type="spellEnd"/>
      <w:r w:rsidRPr="009346DC">
        <w:rPr>
          <w:sz w:val="24"/>
          <w:szCs w:val="24"/>
        </w:rPr>
        <w:t xml:space="preserve">, V., &amp; </w:t>
      </w:r>
      <w:proofErr w:type="spellStart"/>
      <w:r w:rsidRPr="009346DC">
        <w:rPr>
          <w:sz w:val="24"/>
          <w:szCs w:val="24"/>
        </w:rPr>
        <w:t>Mitrea</w:t>
      </w:r>
      <w:proofErr w:type="spellEnd"/>
      <w:r w:rsidRPr="009346DC">
        <w:rPr>
          <w:sz w:val="24"/>
          <w:szCs w:val="24"/>
        </w:rPr>
        <w:t xml:space="preserve">, D. R. (2025). Magnetic Hyperthermia with Iron Oxide Nanoparticles: From Toxicity Challenges to Cancer Applications. Nanomaterials, 15(19), 1519. </w:t>
      </w:r>
      <w:hyperlink r:id="rId19" w:history="1">
        <w:r w:rsidRPr="00E56609">
          <w:rPr>
            <w:rStyle w:val="Hyperlink"/>
            <w:sz w:val="24"/>
            <w:szCs w:val="24"/>
          </w:rPr>
          <w:t>https://doi.org/10.3390/nano15191519</w:t>
        </w:r>
      </w:hyperlink>
      <w:r>
        <w:rPr>
          <w:sz w:val="24"/>
          <w:szCs w:val="24"/>
        </w:rPr>
        <w:t xml:space="preserve"> </w:t>
      </w:r>
    </w:p>
    <w:p w14:paraId="4C7B11A8" w14:textId="0DA0B18F" w:rsidR="0059665B" w:rsidRDefault="001E7201">
      <w:pPr>
        <w:spacing w:line="270" w:lineRule="auto"/>
        <w:ind w:left="165"/>
        <w:rPr>
          <w:sz w:val="24"/>
          <w:szCs w:val="24"/>
        </w:rPr>
      </w:pPr>
      <w:proofErr w:type="spellStart"/>
      <w:r w:rsidRPr="001E7201">
        <w:rPr>
          <w:color w:val="000000"/>
          <w:sz w:val="24"/>
          <w:szCs w:val="24"/>
        </w:rPr>
        <w:t>Bellmann</w:t>
      </w:r>
      <w:proofErr w:type="spellEnd"/>
      <w:r w:rsidRPr="001E7201">
        <w:rPr>
          <w:color w:val="000000"/>
          <w:sz w:val="24"/>
          <w:szCs w:val="24"/>
        </w:rPr>
        <w:t xml:space="preserve">, S., </w:t>
      </w:r>
      <w:proofErr w:type="spellStart"/>
      <w:r w:rsidRPr="001E7201">
        <w:rPr>
          <w:color w:val="000000"/>
          <w:sz w:val="24"/>
          <w:szCs w:val="24"/>
        </w:rPr>
        <w:t>Carlander</w:t>
      </w:r>
      <w:proofErr w:type="spellEnd"/>
      <w:r w:rsidRPr="001E7201">
        <w:rPr>
          <w:color w:val="000000"/>
          <w:sz w:val="24"/>
          <w:szCs w:val="24"/>
        </w:rPr>
        <w:t xml:space="preserve">, D., Fasano, A., </w:t>
      </w:r>
      <w:proofErr w:type="spellStart"/>
      <w:r w:rsidRPr="001E7201">
        <w:rPr>
          <w:color w:val="000000"/>
          <w:sz w:val="24"/>
          <w:szCs w:val="24"/>
        </w:rPr>
        <w:t>Momcilovic</w:t>
      </w:r>
      <w:proofErr w:type="spellEnd"/>
      <w:r w:rsidRPr="001E7201">
        <w:rPr>
          <w:color w:val="000000"/>
          <w:sz w:val="24"/>
          <w:szCs w:val="24"/>
        </w:rPr>
        <w:t xml:space="preserve">, D., </w:t>
      </w:r>
      <w:proofErr w:type="spellStart"/>
      <w:r w:rsidRPr="001E7201">
        <w:rPr>
          <w:color w:val="000000"/>
          <w:sz w:val="24"/>
          <w:szCs w:val="24"/>
        </w:rPr>
        <w:t>Scimeca</w:t>
      </w:r>
      <w:proofErr w:type="spellEnd"/>
      <w:r w:rsidRPr="001E7201">
        <w:rPr>
          <w:color w:val="000000"/>
          <w:sz w:val="24"/>
          <w:szCs w:val="24"/>
        </w:rPr>
        <w:t xml:space="preserve">, J. A., Waldman, W. J., </w:t>
      </w:r>
      <w:proofErr w:type="spellStart"/>
      <w:r w:rsidRPr="001E7201">
        <w:rPr>
          <w:color w:val="000000"/>
          <w:sz w:val="24"/>
          <w:szCs w:val="24"/>
        </w:rPr>
        <w:t>Gombau</w:t>
      </w:r>
      <w:proofErr w:type="spellEnd"/>
      <w:r w:rsidRPr="001E7201">
        <w:rPr>
          <w:color w:val="000000"/>
          <w:sz w:val="24"/>
          <w:szCs w:val="24"/>
        </w:rPr>
        <w:t xml:space="preserve">, L., </w:t>
      </w:r>
      <w:proofErr w:type="spellStart"/>
      <w:r w:rsidRPr="001E7201">
        <w:rPr>
          <w:color w:val="000000"/>
          <w:sz w:val="24"/>
          <w:szCs w:val="24"/>
        </w:rPr>
        <w:t>Tsytsikova</w:t>
      </w:r>
      <w:proofErr w:type="spellEnd"/>
      <w:r w:rsidRPr="001E7201">
        <w:rPr>
          <w:color w:val="000000"/>
          <w:sz w:val="24"/>
          <w:szCs w:val="24"/>
        </w:rPr>
        <w:t xml:space="preserve">, L., Canady, R., Pereira, D. I. A., &amp; David, E. B. (2015). Mammalian gastrointestinal tract parameters modulating the integrity, surface properties, and absorption of food-relevant nanomaterials. Wiley Interdisciplinary Reviews: Nanomedicine and Nanobiotechnology, 7(5), 609–622. </w:t>
      </w:r>
      <w:hyperlink r:id="rId20" w:history="1">
        <w:r w:rsidRPr="00E56609">
          <w:rPr>
            <w:rStyle w:val="Hyperlink"/>
            <w:sz w:val="24"/>
            <w:szCs w:val="24"/>
          </w:rPr>
          <w:t>https://doi.org/10.1002/wnan.1333</w:t>
        </w:r>
      </w:hyperlink>
      <w:r>
        <w:rPr>
          <w:color w:val="000000"/>
          <w:sz w:val="24"/>
          <w:szCs w:val="24"/>
        </w:rPr>
        <w:t xml:space="preserve"> </w:t>
      </w:r>
    </w:p>
    <w:p w14:paraId="42025587" w14:textId="247168C3" w:rsidR="00366E1B" w:rsidRDefault="000246D8">
      <w:pPr>
        <w:spacing w:line="270" w:lineRule="auto"/>
        <w:ind w:left="165"/>
        <w:rPr>
          <w:sz w:val="24"/>
          <w:szCs w:val="24"/>
        </w:rPr>
      </w:pPr>
      <w:r w:rsidRPr="000246D8">
        <w:rPr>
          <w:sz w:val="24"/>
          <w:szCs w:val="24"/>
        </w:rPr>
        <w:t xml:space="preserve">Biswas, R., </w:t>
      </w:r>
      <w:proofErr w:type="spellStart"/>
      <w:r w:rsidRPr="000246D8">
        <w:rPr>
          <w:sz w:val="24"/>
          <w:szCs w:val="24"/>
        </w:rPr>
        <w:t>Alam</w:t>
      </w:r>
      <w:proofErr w:type="spellEnd"/>
      <w:r w:rsidRPr="000246D8">
        <w:rPr>
          <w:sz w:val="24"/>
          <w:szCs w:val="24"/>
        </w:rPr>
        <w:t xml:space="preserve">, M., Sarkar, A., Haque, M. I., Hasan, M. M., &amp; Hoque, M. J. H. (2022). Application of nanotechnology in food: Processing, preservation, packaging and safety assessment. </w:t>
      </w:r>
      <w:proofErr w:type="spellStart"/>
      <w:r w:rsidRPr="000246D8">
        <w:rPr>
          <w:sz w:val="24"/>
          <w:szCs w:val="24"/>
        </w:rPr>
        <w:t>Heliyon</w:t>
      </w:r>
      <w:proofErr w:type="spellEnd"/>
      <w:r w:rsidRPr="000246D8">
        <w:rPr>
          <w:sz w:val="24"/>
          <w:szCs w:val="24"/>
        </w:rPr>
        <w:t xml:space="preserve">, 8, e11795. </w:t>
      </w:r>
      <w:hyperlink r:id="rId21" w:history="1">
        <w:r w:rsidRPr="00E56609">
          <w:rPr>
            <w:rStyle w:val="Hyperlink"/>
            <w:sz w:val="24"/>
            <w:szCs w:val="24"/>
          </w:rPr>
          <w:t>https://doi.org/10.1016/j.heliyon.2022.e11795</w:t>
        </w:r>
      </w:hyperlink>
      <w:r>
        <w:rPr>
          <w:sz w:val="24"/>
          <w:szCs w:val="24"/>
        </w:rPr>
        <w:t xml:space="preserve"> </w:t>
      </w:r>
    </w:p>
    <w:p w14:paraId="35549512" w14:textId="54CF088B" w:rsidR="0059665B" w:rsidRDefault="00A73DE2">
      <w:pPr>
        <w:pBdr>
          <w:top w:val="nil"/>
          <w:left w:val="nil"/>
          <w:bottom w:val="nil"/>
          <w:right w:val="nil"/>
          <w:between w:val="nil"/>
        </w:pBdr>
        <w:spacing w:before="19" w:line="261" w:lineRule="auto"/>
        <w:ind w:left="165" w:right="1167"/>
        <w:rPr>
          <w:color w:val="000000"/>
          <w:sz w:val="24"/>
          <w:szCs w:val="24"/>
        </w:rPr>
      </w:pPr>
      <w:r w:rsidRPr="00A73DE2">
        <w:rPr>
          <w:color w:val="000000"/>
          <w:sz w:val="24"/>
          <w:szCs w:val="24"/>
        </w:rPr>
        <w:t xml:space="preserve">Cha, K., Hong, H.-W., Choi, Y.-G., Lee, M. J., Park, J. H., </w:t>
      </w:r>
      <w:proofErr w:type="spellStart"/>
      <w:r w:rsidRPr="00A73DE2">
        <w:rPr>
          <w:color w:val="000000"/>
          <w:sz w:val="24"/>
          <w:szCs w:val="24"/>
        </w:rPr>
        <w:t>Chae</w:t>
      </w:r>
      <w:proofErr w:type="spellEnd"/>
      <w:r w:rsidRPr="00A73DE2">
        <w:rPr>
          <w:color w:val="000000"/>
          <w:sz w:val="24"/>
          <w:szCs w:val="24"/>
        </w:rPr>
        <w:t xml:space="preserve">, H.-K., Ryu, G., &amp; Myung, H. (2008). Comparison of acute responses of mice livers to short-term exposure to </w:t>
      </w:r>
      <w:proofErr w:type="spellStart"/>
      <w:r w:rsidRPr="00A73DE2">
        <w:rPr>
          <w:color w:val="000000"/>
          <w:sz w:val="24"/>
          <w:szCs w:val="24"/>
        </w:rPr>
        <w:t>nano</w:t>
      </w:r>
      <w:proofErr w:type="spellEnd"/>
      <w:r w:rsidRPr="00A73DE2">
        <w:rPr>
          <w:color w:val="000000"/>
          <w:sz w:val="24"/>
          <w:szCs w:val="24"/>
        </w:rPr>
        <w:t xml:space="preserve">-sized or micro-sized silver particles. Biotechnology Letters, 30(11), 1893–1899. </w:t>
      </w:r>
      <w:hyperlink r:id="rId22" w:history="1">
        <w:r w:rsidRPr="00E56609">
          <w:rPr>
            <w:rStyle w:val="Hyperlink"/>
            <w:sz w:val="24"/>
            <w:szCs w:val="24"/>
          </w:rPr>
          <w:t>https://doi.org/10.1007/s10529-008-9786-2</w:t>
        </w:r>
      </w:hyperlink>
      <w:r>
        <w:rPr>
          <w:color w:val="000000"/>
          <w:sz w:val="24"/>
          <w:szCs w:val="24"/>
        </w:rPr>
        <w:t xml:space="preserve"> </w:t>
      </w:r>
    </w:p>
    <w:p w14:paraId="08E7A79D" w14:textId="6D5F11DB" w:rsidR="0059665B" w:rsidRDefault="00307DD8">
      <w:pPr>
        <w:pBdr>
          <w:top w:val="nil"/>
          <w:left w:val="nil"/>
          <w:bottom w:val="nil"/>
          <w:right w:val="nil"/>
          <w:between w:val="nil"/>
        </w:pBdr>
        <w:spacing w:before="158" w:line="259" w:lineRule="auto"/>
        <w:ind w:left="165" w:right="1167"/>
        <w:rPr>
          <w:color w:val="000000"/>
          <w:sz w:val="24"/>
          <w:szCs w:val="24"/>
        </w:rPr>
      </w:pPr>
      <w:r w:rsidRPr="00307DD8">
        <w:rPr>
          <w:color w:val="000000"/>
          <w:sz w:val="24"/>
          <w:szCs w:val="24"/>
        </w:rPr>
        <w:t xml:space="preserve">Chaudhry, Q., </w:t>
      </w:r>
      <w:proofErr w:type="spellStart"/>
      <w:r w:rsidRPr="00307DD8">
        <w:rPr>
          <w:color w:val="000000"/>
          <w:sz w:val="24"/>
          <w:szCs w:val="24"/>
        </w:rPr>
        <w:t>Scotter</w:t>
      </w:r>
      <w:proofErr w:type="spellEnd"/>
      <w:r w:rsidRPr="00307DD8">
        <w:rPr>
          <w:color w:val="000000"/>
          <w:sz w:val="24"/>
          <w:szCs w:val="24"/>
        </w:rPr>
        <w:t xml:space="preserve">, M., Blackburn, J., Ross, B., Boxall, A., Castle, L., Aitken, R., &amp; Watkins, R. (2008). Applications and implications of nanotechnologies for the food sector. </w:t>
      </w:r>
      <w:r w:rsidRPr="00307DD8">
        <w:rPr>
          <w:color w:val="000000"/>
          <w:sz w:val="24"/>
          <w:szCs w:val="24"/>
        </w:rPr>
        <w:lastRenderedPageBreak/>
        <w:t xml:space="preserve">Food Additives and Contaminants, 25(3), 241–258. </w:t>
      </w:r>
      <w:hyperlink r:id="rId23" w:history="1">
        <w:r w:rsidRPr="00E56609">
          <w:rPr>
            <w:rStyle w:val="Hyperlink"/>
            <w:sz w:val="24"/>
            <w:szCs w:val="24"/>
          </w:rPr>
          <w:t>https://doi.org/10.1080/02652030701744538</w:t>
        </w:r>
      </w:hyperlink>
      <w:r>
        <w:rPr>
          <w:color w:val="000000"/>
          <w:sz w:val="24"/>
          <w:szCs w:val="24"/>
        </w:rPr>
        <w:t xml:space="preserve"> </w:t>
      </w:r>
    </w:p>
    <w:p w14:paraId="3A15DDDE" w14:textId="7F799B1C" w:rsidR="0059665B" w:rsidRDefault="00C3336D">
      <w:pPr>
        <w:pBdr>
          <w:top w:val="nil"/>
          <w:left w:val="nil"/>
          <w:bottom w:val="nil"/>
          <w:right w:val="nil"/>
          <w:between w:val="nil"/>
        </w:pBdr>
        <w:spacing w:before="157" w:line="259" w:lineRule="auto"/>
        <w:ind w:left="165" w:right="1167"/>
        <w:rPr>
          <w:color w:val="000000"/>
          <w:sz w:val="24"/>
          <w:szCs w:val="24"/>
        </w:rPr>
      </w:pPr>
      <w:r w:rsidRPr="00C3336D">
        <w:rPr>
          <w:color w:val="000000"/>
          <w:sz w:val="24"/>
          <w:szCs w:val="24"/>
        </w:rPr>
        <w:t xml:space="preserve">Cho, W.-S., Kang, B.-C., Lee, J. K., </w:t>
      </w:r>
      <w:proofErr w:type="spellStart"/>
      <w:r w:rsidRPr="00C3336D">
        <w:rPr>
          <w:color w:val="000000"/>
          <w:sz w:val="24"/>
          <w:szCs w:val="24"/>
        </w:rPr>
        <w:t>Jeong</w:t>
      </w:r>
      <w:proofErr w:type="spellEnd"/>
      <w:r w:rsidRPr="00C3336D">
        <w:rPr>
          <w:color w:val="000000"/>
          <w:sz w:val="24"/>
          <w:szCs w:val="24"/>
        </w:rPr>
        <w:t xml:space="preserve">, J., Che, J.-H., &amp; Seok, S. H. (2013). Comparative absorption, distribution, and excretion of titanium dioxide and zinc oxide nanoparticles after repeated oral administration. Particle and </w:t>
      </w:r>
      <w:proofErr w:type="spellStart"/>
      <w:r w:rsidRPr="00C3336D">
        <w:rPr>
          <w:color w:val="000000"/>
          <w:sz w:val="24"/>
          <w:szCs w:val="24"/>
        </w:rPr>
        <w:t>Fibre</w:t>
      </w:r>
      <w:proofErr w:type="spellEnd"/>
      <w:r w:rsidRPr="00C3336D">
        <w:rPr>
          <w:color w:val="000000"/>
          <w:sz w:val="24"/>
          <w:szCs w:val="24"/>
        </w:rPr>
        <w:t xml:space="preserve"> Toxicology, 10(1), 9. </w:t>
      </w:r>
      <w:hyperlink r:id="rId24" w:history="1">
        <w:r w:rsidRPr="00E56609">
          <w:rPr>
            <w:rStyle w:val="Hyperlink"/>
            <w:sz w:val="24"/>
            <w:szCs w:val="24"/>
          </w:rPr>
          <w:t>https://doi.org/10.1186/1743-8977-10-9</w:t>
        </w:r>
      </w:hyperlink>
      <w:r>
        <w:rPr>
          <w:color w:val="000000"/>
          <w:sz w:val="24"/>
          <w:szCs w:val="24"/>
        </w:rPr>
        <w:t xml:space="preserve"> </w:t>
      </w:r>
    </w:p>
    <w:p w14:paraId="6F1D0FF7" w14:textId="7683ADFE" w:rsidR="00A46A8E" w:rsidRDefault="00DA7073">
      <w:pPr>
        <w:pBdr>
          <w:top w:val="nil"/>
          <w:left w:val="nil"/>
          <w:bottom w:val="nil"/>
          <w:right w:val="nil"/>
          <w:between w:val="nil"/>
        </w:pBdr>
        <w:spacing w:before="157" w:line="259" w:lineRule="auto"/>
        <w:ind w:left="165" w:right="1167"/>
        <w:rPr>
          <w:color w:val="000000"/>
          <w:sz w:val="24"/>
          <w:szCs w:val="24"/>
        </w:rPr>
      </w:pPr>
      <w:r w:rsidRPr="00DA7073">
        <w:rPr>
          <w:color w:val="000000"/>
          <w:sz w:val="24"/>
          <w:szCs w:val="24"/>
        </w:rPr>
        <w:t xml:space="preserve">Dash, K. K., Deka, P., </w:t>
      </w:r>
      <w:proofErr w:type="spellStart"/>
      <w:r w:rsidRPr="00DA7073">
        <w:rPr>
          <w:color w:val="000000"/>
          <w:sz w:val="24"/>
          <w:szCs w:val="24"/>
        </w:rPr>
        <w:t>Bangar</w:t>
      </w:r>
      <w:proofErr w:type="spellEnd"/>
      <w:r w:rsidRPr="00DA7073">
        <w:rPr>
          <w:color w:val="000000"/>
          <w:sz w:val="24"/>
          <w:szCs w:val="24"/>
        </w:rPr>
        <w:t xml:space="preserve">, S. P., Chaudhary, V., </w:t>
      </w:r>
      <w:proofErr w:type="spellStart"/>
      <w:r w:rsidRPr="00DA7073">
        <w:rPr>
          <w:color w:val="000000"/>
          <w:sz w:val="24"/>
          <w:szCs w:val="24"/>
        </w:rPr>
        <w:t>Trif</w:t>
      </w:r>
      <w:proofErr w:type="spellEnd"/>
      <w:r w:rsidRPr="00DA7073">
        <w:rPr>
          <w:color w:val="000000"/>
          <w:sz w:val="24"/>
          <w:szCs w:val="24"/>
        </w:rPr>
        <w:t xml:space="preserve">, M., &amp; </w:t>
      </w:r>
      <w:proofErr w:type="spellStart"/>
      <w:r w:rsidRPr="00DA7073">
        <w:rPr>
          <w:color w:val="000000"/>
          <w:sz w:val="24"/>
          <w:szCs w:val="24"/>
        </w:rPr>
        <w:t>Rusu</w:t>
      </w:r>
      <w:proofErr w:type="spellEnd"/>
      <w:r w:rsidRPr="00DA7073">
        <w:rPr>
          <w:color w:val="000000"/>
          <w:sz w:val="24"/>
          <w:szCs w:val="24"/>
        </w:rPr>
        <w:t xml:space="preserve">, A. (2022). Applications of Inorganic Nanoparticles in Food Packaging: A Comprehensive Review. Polymers, 14(3), 521. </w:t>
      </w:r>
      <w:hyperlink r:id="rId25" w:history="1">
        <w:r w:rsidRPr="00E56609">
          <w:rPr>
            <w:rStyle w:val="Hyperlink"/>
            <w:sz w:val="24"/>
            <w:szCs w:val="24"/>
          </w:rPr>
          <w:t>https://doi.org/10.3390/polym14030521</w:t>
        </w:r>
      </w:hyperlink>
      <w:r>
        <w:rPr>
          <w:color w:val="000000"/>
          <w:sz w:val="24"/>
          <w:szCs w:val="24"/>
        </w:rPr>
        <w:t xml:space="preserve"> </w:t>
      </w:r>
    </w:p>
    <w:p w14:paraId="772646E1" w14:textId="6EA7E8AC" w:rsidR="0059665B" w:rsidRDefault="007701B6">
      <w:pPr>
        <w:spacing w:before="24" w:line="256" w:lineRule="auto"/>
        <w:ind w:left="165" w:right="1167"/>
        <w:rPr>
          <w:sz w:val="24"/>
          <w:szCs w:val="24"/>
        </w:rPr>
      </w:pPr>
      <w:r w:rsidRPr="007701B6">
        <w:rPr>
          <w:color w:val="000000"/>
          <w:sz w:val="24"/>
          <w:szCs w:val="24"/>
        </w:rPr>
        <w:t xml:space="preserve">Davidov-Pardo, G., </w:t>
      </w:r>
      <w:proofErr w:type="spellStart"/>
      <w:r w:rsidRPr="007701B6">
        <w:rPr>
          <w:color w:val="000000"/>
          <w:sz w:val="24"/>
          <w:szCs w:val="24"/>
        </w:rPr>
        <w:t>Joye</w:t>
      </w:r>
      <w:proofErr w:type="spellEnd"/>
      <w:r w:rsidRPr="007701B6">
        <w:rPr>
          <w:color w:val="000000"/>
          <w:sz w:val="24"/>
          <w:szCs w:val="24"/>
        </w:rPr>
        <w:t xml:space="preserve">, I. J., &amp; McClements, D. J. (2015). Food-grade protein-based nanoparticles and microparticles for bioactive delivery: Fabrication, characterization, and utilization. Advances in Protein Chemistry and Structural Biology, 98, 293–325. </w:t>
      </w:r>
      <w:hyperlink r:id="rId26" w:history="1">
        <w:r w:rsidRPr="00E56609">
          <w:rPr>
            <w:rStyle w:val="Hyperlink"/>
            <w:sz w:val="24"/>
            <w:szCs w:val="24"/>
          </w:rPr>
          <w:t>https://doi.org/10.1016/bs.apcsb.2014.11.004</w:t>
        </w:r>
      </w:hyperlink>
      <w:r>
        <w:rPr>
          <w:color w:val="000000"/>
          <w:sz w:val="24"/>
          <w:szCs w:val="24"/>
        </w:rPr>
        <w:t xml:space="preserve"> </w:t>
      </w:r>
    </w:p>
    <w:p w14:paraId="37CF3317" w14:textId="77777777" w:rsidR="00EC3B1F" w:rsidRDefault="00EC3B1F">
      <w:pPr>
        <w:spacing w:before="24" w:line="256" w:lineRule="auto"/>
        <w:ind w:left="165" w:right="1167"/>
        <w:rPr>
          <w:sz w:val="24"/>
          <w:szCs w:val="24"/>
        </w:rPr>
      </w:pPr>
    </w:p>
    <w:p w14:paraId="3E734197" w14:textId="1CA0A198" w:rsidR="00641C0C" w:rsidRPr="00210139" w:rsidRDefault="00027503">
      <w:pPr>
        <w:spacing w:before="24" w:line="256" w:lineRule="auto"/>
        <w:ind w:left="165" w:right="1167"/>
        <w:rPr>
          <w:sz w:val="24"/>
          <w:szCs w:val="24"/>
        </w:rPr>
      </w:pPr>
      <w:r w:rsidRPr="00210139">
        <w:rPr>
          <w:bCs/>
          <w:sz w:val="24"/>
          <w:szCs w:val="24"/>
        </w:rPr>
        <w:t xml:space="preserve">de Oliveira Filho, J. G., Miranda, M., Ferreira, M. D., &amp; </w:t>
      </w:r>
      <w:proofErr w:type="spellStart"/>
      <w:r w:rsidRPr="00210139">
        <w:rPr>
          <w:bCs/>
          <w:sz w:val="24"/>
          <w:szCs w:val="24"/>
        </w:rPr>
        <w:t>Plotto</w:t>
      </w:r>
      <w:proofErr w:type="spellEnd"/>
      <w:r w:rsidRPr="00210139">
        <w:rPr>
          <w:bCs/>
          <w:sz w:val="24"/>
          <w:szCs w:val="24"/>
        </w:rPr>
        <w:t xml:space="preserve">, A. (2021). </w:t>
      </w:r>
      <w:proofErr w:type="spellStart"/>
      <w:r w:rsidRPr="00210139">
        <w:rPr>
          <w:bCs/>
          <w:sz w:val="24"/>
          <w:szCs w:val="24"/>
        </w:rPr>
        <w:t>Nanoemulsions</w:t>
      </w:r>
      <w:proofErr w:type="spellEnd"/>
      <w:r w:rsidRPr="00210139">
        <w:rPr>
          <w:bCs/>
          <w:sz w:val="24"/>
          <w:szCs w:val="24"/>
        </w:rPr>
        <w:t xml:space="preserve"> as Edible Coatings: A Potential Strategy for Fresh Fruits and Vegetables Preservation. Foods. </w:t>
      </w:r>
      <w:hyperlink r:id="rId27" w:history="1">
        <w:r w:rsidRPr="00210139">
          <w:rPr>
            <w:rStyle w:val="Hyperlink"/>
            <w:bCs/>
            <w:sz w:val="24"/>
            <w:szCs w:val="24"/>
          </w:rPr>
          <w:t>https://doi.org/10.3390/foods10102438</w:t>
        </w:r>
      </w:hyperlink>
      <w:r w:rsidRPr="00210139">
        <w:rPr>
          <w:bCs/>
          <w:sz w:val="24"/>
          <w:szCs w:val="24"/>
        </w:rPr>
        <w:t xml:space="preserve"> </w:t>
      </w:r>
    </w:p>
    <w:p w14:paraId="127A1A8E" w14:textId="141CFC5E" w:rsidR="0059665B" w:rsidRDefault="00381BFC">
      <w:pPr>
        <w:spacing w:before="164" w:line="256" w:lineRule="auto"/>
        <w:ind w:left="165" w:right="1167"/>
        <w:rPr>
          <w:sz w:val="24"/>
          <w:szCs w:val="24"/>
        </w:rPr>
      </w:pPr>
      <w:proofErr w:type="spellStart"/>
      <w:r w:rsidRPr="00381BFC">
        <w:rPr>
          <w:sz w:val="24"/>
          <w:szCs w:val="24"/>
        </w:rPr>
        <w:t>Echegoyen</w:t>
      </w:r>
      <w:proofErr w:type="spellEnd"/>
      <w:r w:rsidRPr="00381BFC">
        <w:rPr>
          <w:sz w:val="24"/>
          <w:szCs w:val="24"/>
        </w:rPr>
        <w:t xml:space="preserve">, Y., &amp; </w:t>
      </w:r>
      <w:proofErr w:type="spellStart"/>
      <w:r w:rsidRPr="00381BFC">
        <w:rPr>
          <w:sz w:val="24"/>
          <w:szCs w:val="24"/>
        </w:rPr>
        <w:t>Nerín</w:t>
      </w:r>
      <w:proofErr w:type="spellEnd"/>
      <w:r w:rsidRPr="00381BFC">
        <w:rPr>
          <w:sz w:val="24"/>
          <w:szCs w:val="24"/>
        </w:rPr>
        <w:t xml:space="preserve">, C. (2013). Nanoparticle release from </w:t>
      </w:r>
      <w:proofErr w:type="spellStart"/>
      <w:r w:rsidRPr="00381BFC">
        <w:rPr>
          <w:sz w:val="24"/>
          <w:szCs w:val="24"/>
        </w:rPr>
        <w:t>nano</w:t>
      </w:r>
      <w:proofErr w:type="spellEnd"/>
      <w:r w:rsidRPr="00381BFC">
        <w:rPr>
          <w:sz w:val="24"/>
          <w:szCs w:val="24"/>
        </w:rPr>
        <w:t xml:space="preserve">-silver antimicrobial food containers. Food and Chemical Toxicology. </w:t>
      </w:r>
      <w:hyperlink r:id="rId28" w:history="1">
        <w:r w:rsidRPr="00E56609">
          <w:rPr>
            <w:rStyle w:val="Hyperlink"/>
            <w:sz w:val="24"/>
            <w:szCs w:val="24"/>
          </w:rPr>
          <w:t>https://doi.org/10.1016/j.fct.2013.08.014</w:t>
        </w:r>
      </w:hyperlink>
      <w:r>
        <w:rPr>
          <w:sz w:val="24"/>
          <w:szCs w:val="24"/>
        </w:rPr>
        <w:t xml:space="preserve"> </w:t>
      </w:r>
    </w:p>
    <w:p w14:paraId="0EF39C49" w14:textId="75779CB8" w:rsidR="001829C3" w:rsidRDefault="00934F5B">
      <w:pPr>
        <w:spacing w:before="164" w:line="256" w:lineRule="auto"/>
        <w:ind w:left="165" w:right="1167"/>
        <w:rPr>
          <w:sz w:val="24"/>
          <w:szCs w:val="24"/>
        </w:rPr>
      </w:pPr>
      <w:proofErr w:type="spellStart"/>
      <w:r w:rsidRPr="00934F5B">
        <w:rPr>
          <w:sz w:val="24"/>
          <w:szCs w:val="24"/>
        </w:rPr>
        <w:t>Elfaky</w:t>
      </w:r>
      <w:proofErr w:type="spellEnd"/>
      <w:r w:rsidRPr="00934F5B">
        <w:rPr>
          <w:sz w:val="24"/>
          <w:szCs w:val="24"/>
        </w:rPr>
        <w:t xml:space="preserve">, M. A., </w:t>
      </w:r>
      <w:proofErr w:type="spellStart"/>
      <w:r w:rsidRPr="00934F5B">
        <w:rPr>
          <w:sz w:val="24"/>
          <w:szCs w:val="24"/>
        </w:rPr>
        <w:t>Sirwi</w:t>
      </w:r>
      <w:proofErr w:type="spellEnd"/>
      <w:r w:rsidRPr="00934F5B">
        <w:rPr>
          <w:sz w:val="24"/>
          <w:szCs w:val="24"/>
        </w:rPr>
        <w:t xml:space="preserve">, A., Ismail, S. H., </w:t>
      </w:r>
      <w:proofErr w:type="spellStart"/>
      <w:r w:rsidRPr="00934F5B">
        <w:rPr>
          <w:sz w:val="24"/>
          <w:szCs w:val="24"/>
        </w:rPr>
        <w:t>Awad</w:t>
      </w:r>
      <w:proofErr w:type="spellEnd"/>
      <w:r w:rsidRPr="00934F5B">
        <w:rPr>
          <w:sz w:val="24"/>
          <w:szCs w:val="24"/>
        </w:rPr>
        <w:t xml:space="preserve">, H. H., &amp; Gad, S. S. (2022). Hepatoprotective Effect of Silver Nanoparticles at Two Different Particle Sizes: Comparative Study with and without Silymarin. Current Issues in Molecular Biology, 44(7), 2923-2938. </w:t>
      </w:r>
      <w:hyperlink r:id="rId29" w:history="1">
        <w:r w:rsidRPr="00E56609">
          <w:rPr>
            <w:rStyle w:val="Hyperlink"/>
            <w:sz w:val="24"/>
            <w:szCs w:val="24"/>
          </w:rPr>
          <w:t>https://doi.org/10.3390/cimb44070202</w:t>
        </w:r>
      </w:hyperlink>
      <w:r>
        <w:rPr>
          <w:sz w:val="24"/>
          <w:szCs w:val="24"/>
        </w:rPr>
        <w:t xml:space="preserve"> </w:t>
      </w:r>
    </w:p>
    <w:p w14:paraId="72387694" w14:textId="39352AA7" w:rsidR="002451FB" w:rsidRDefault="005D189A">
      <w:pPr>
        <w:spacing w:before="164" w:line="256" w:lineRule="auto"/>
        <w:ind w:left="165" w:right="1167"/>
        <w:rPr>
          <w:sz w:val="24"/>
          <w:szCs w:val="24"/>
        </w:rPr>
      </w:pPr>
      <w:r w:rsidRPr="005D189A">
        <w:rPr>
          <w:sz w:val="24"/>
          <w:szCs w:val="24"/>
        </w:rPr>
        <w:t xml:space="preserve">Cheng, T.-M., Chu, H.-Y., Huang, H.-M., Li, Z.-L., Chen, C.-Y., Shih, Y.-J., Whang-Peng, J., Cheng, R. H., Mo, J.-K., Lin, H.-Y., &amp; Wang, K. (2022). Toxicologic Concerns with Current Medical Nanoparticles. International Journal of Molecular Sciences, 23(14), 7597. </w:t>
      </w:r>
      <w:hyperlink r:id="rId30" w:history="1">
        <w:r w:rsidRPr="00E56609">
          <w:rPr>
            <w:rStyle w:val="Hyperlink"/>
            <w:sz w:val="24"/>
            <w:szCs w:val="24"/>
          </w:rPr>
          <w:t>https://doi.org/10.3390/ijms23147597</w:t>
        </w:r>
      </w:hyperlink>
      <w:r>
        <w:rPr>
          <w:sz w:val="24"/>
          <w:szCs w:val="24"/>
        </w:rPr>
        <w:t xml:space="preserve"> </w:t>
      </w:r>
    </w:p>
    <w:p w14:paraId="52C87AE3" w14:textId="48B21967" w:rsidR="00CF6BA7" w:rsidRDefault="00B12536">
      <w:pPr>
        <w:spacing w:before="164" w:line="256" w:lineRule="auto"/>
        <w:ind w:left="165" w:right="1167"/>
        <w:rPr>
          <w:sz w:val="24"/>
          <w:szCs w:val="24"/>
        </w:rPr>
      </w:pPr>
      <w:r w:rsidRPr="00B12536">
        <w:rPr>
          <w:sz w:val="24"/>
          <w:szCs w:val="24"/>
        </w:rPr>
        <w:t xml:space="preserve">Cruz-Rosa, S., &amp; Pérez-Reyes, O. (2023). Titanium Oxide Nanoparticles as Emerging Aquatic Pollutants: An Evaluation of the Nanotoxicity in the Freshwater Shrimp Larvae </w:t>
      </w:r>
      <w:proofErr w:type="spellStart"/>
      <w:r w:rsidRPr="00B12536">
        <w:rPr>
          <w:sz w:val="24"/>
          <w:szCs w:val="24"/>
        </w:rPr>
        <w:t>Atya</w:t>
      </w:r>
      <w:proofErr w:type="spellEnd"/>
      <w:r w:rsidRPr="00B12536">
        <w:rPr>
          <w:sz w:val="24"/>
          <w:szCs w:val="24"/>
        </w:rPr>
        <w:t xml:space="preserve"> </w:t>
      </w:r>
      <w:proofErr w:type="spellStart"/>
      <w:r w:rsidRPr="00B12536">
        <w:rPr>
          <w:sz w:val="24"/>
          <w:szCs w:val="24"/>
        </w:rPr>
        <w:t>lanipes</w:t>
      </w:r>
      <w:proofErr w:type="spellEnd"/>
      <w:r w:rsidRPr="00B12536">
        <w:rPr>
          <w:sz w:val="24"/>
          <w:szCs w:val="24"/>
        </w:rPr>
        <w:t xml:space="preserve">. Ecologies, 4(1), 141-151. </w:t>
      </w:r>
      <w:hyperlink r:id="rId31" w:history="1">
        <w:r w:rsidRPr="00E56609">
          <w:rPr>
            <w:rStyle w:val="Hyperlink"/>
            <w:sz w:val="24"/>
            <w:szCs w:val="24"/>
          </w:rPr>
          <w:t>https://doi.org/10.3390/ecologies4010011</w:t>
        </w:r>
      </w:hyperlink>
      <w:r>
        <w:rPr>
          <w:sz w:val="24"/>
          <w:szCs w:val="24"/>
        </w:rPr>
        <w:t xml:space="preserve"> </w:t>
      </w:r>
    </w:p>
    <w:p w14:paraId="1701B99D" w14:textId="498C1461" w:rsidR="00BF04C0" w:rsidRDefault="00F413BF" w:rsidP="00BF04C0">
      <w:pPr>
        <w:spacing w:before="164" w:line="256" w:lineRule="auto"/>
        <w:ind w:left="165" w:right="1167"/>
        <w:rPr>
          <w:sz w:val="24"/>
          <w:szCs w:val="24"/>
        </w:rPr>
      </w:pPr>
      <w:proofErr w:type="spellStart"/>
      <w:r w:rsidRPr="00F413BF">
        <w:rPr>
          <w:sz w:val="24"/>
          <w:szCs w:val="24"/>
        </w:rPr>
        <w:t>Eker</w:t>
      </w:r>
      <w:proofErr w:type="spellEnd"/>
      <w:r w:rsidRPr="00F413BF">
        <w:rPr>
          <w:sz w:val="24"/>
          <w:szCs w:val="24"/>
        </w:rPr>
        <w:t xml:space="preserve">, F., </w:t>
      </w:r>
      <w:proofErr w:type="spellStart"/>
      <w:r w:rsidRPr="00F413BF">
        <w:rPr>
          <w:sz w:val="24"/>
          <w:szCs w:val="24"/>
        </w:rPr>
        <w:t>Duman</w:t>
      </w:r>
      <w:proofErr w:type="spellEnd"/>
      <w:r w:rsidRPr="00F413BF">
        <w:rPr>
          <w:sz w:val="24"/>
          <w:szCs w:val="24"/>
        </w:rPr>
        <w:t xml:space="preserve">, H., </w:t>
      </w:r>
      <w:proofErr w:type="spellStart"/>
      <w:r w:rsidRPr="00F413BF">
        <w:rPr>
          <w:sz w:val="24"/>
          <w:szCs w:val="24"/>
        </w:rPr>
        <w:t>Akdaşçi</w:t>
      </w:r>
      <w:proofErr w:type="spellEnd"/>
      <w:r w:rsidRPr="00F413BF">
        <w:rPr>
          <w:sz w:val="24"/>
          <w:szCs w:val="24"/>
        </w:rPr>
        <w:t xml:space="preserve">, E., </w:t>
      </w:r>
      <w:proofErr w:type="spellStart"/>
      <w:r w:rsidRPr="00F413BF">
        <w:rPr>
          <w:sz w:val="24"/>
          <w:szCs w:val="24"/>
        </w:rPr>
        <w:t>Bolat</w:t>
      </w:r>
      <w:proofErr w:type="spellEnd"/>
      <w:r w:rsidRPr="00F413BF">
        <w:rPr>
          <w:sz w:val="24"/>
          <w:szCs w:val="24"/>
        </w:rPr>
        <w:t xml:space="preserve">, E., </w:t>
      </w:r>
      <w:proofErr w:type="spellStart"/>
      <w:r w:rsidRPr="00F413BF">
        <w:rPr>
          <w:sz w:val="24"/>
          <w:szCs w:val="24"/>
        </w:rPr>
        <w:t>Sarıtaş</w:t>
      </w:r>
      <w:proofErr w:type="spellEnd"/>
      <w:r w:rsidRPr="00F413BF">
        <w:rPr>
          <w:sz w:val="24"/>
          <w:szCs w:val="24"/>
        </w:rPr>
        <w:t xml:space="preserve">, S., </w:t>
      </w:r>
      <w:proofErr w:type="spellStart"/>
      <w:r w:rsidRPr="00F413BF">
        <w:rPr>
          <w:sz w:val="24"/>
          <w:szCs w:val="24"/>
        </w:rPr>
        <w:t>Karav</w:t>
      </w:r>
      <w:proofErr w:type="spellEnd"/>
      <w:r w:rsidRPr="00F413BF">
        <w:rPr>
          <w:sz w:val="24"/>
          <w:szCs w:val="24"/>
        </w:rPr>
        <w:t xml:space="preserve">, S., &amp; </w:t>
      </w:r>
      <w:proofErr w:type="spellStart"/>
      <w:r w:rsidRPr="00F413BF">
        <w:rPr>
          <w:sz w:val="24"/>
          <w:szCs w:val="24"/>
        </w:rPr>
        <w:t>Witkowska</w:t>
      </w:r>
      <w:proofErr w:type="spellEnd"/>
      <w:r w:rsidRPr="00F413BF">
        <w:rPr>
          <w:sz w:val="24"/>
          <w:szCs w:val="24"/>
        </w:rPr>
        <w:t xml:space="preserve">, A. M. (2024). A comprehensive review of nanoparticles: From classification to application and toxicity. Molecules, 29(15), 3482 </w:t>
      </w:r>
      <w:hyperlink r:id="rId32" w:history="1">
        <w:r w:rsidRPr="00E56609">
          <w:rPr>
            <w:rStyle w:val="Hyperlink"/>
            <w:sz w:val="24"/>
            <w:szCs w:val="24"/>
          </w:rPr>
          <w:t>https://doi.org/10.3390/molecules29153482</w:t>
        </w:r>
      </w:hyperlink>
      <w:r>
        <w:rPr>
          <w:sz w:val="24"/>
          <w:szCs w:val="24"/>
        </w:rPr>
        <w:t xml:space="preserve"> </w:t>
      </w:r>
      <w:r w:rsidR="00BF04C0">
        <w:rPr>
          <w:sz w:val="24"/>
          <w:szCs w:val="24"/>
        </w:rPr>
        <w:t xml:space="preserve"> </w:t>
      </w:r>
    </w:p>
    <w:p w14:paraId="67EDE2AB" w14:textId="569691C3" w:rsidR="00AF198A" w:rsidRDefault="003C67B4" w:rsidP="00BF04C0">
      <w:pPr>
        <w:spacing w:before="164" w:line="256" w:lineRule="auto"/>
        <w:ind w:left="165" w:right="1167"/>
        <w:rPr>
          <w:sz w:val="24"/>
          <w:szCs w:val="24"/>
        </w:rPr>
      </w:pPr>
      <w:proofErr w:type="spellStart"/>
      <w:r w:rsidRPr="003C67B4">
        <w:rPr>
          <w:rStyle w:val="fal6plv"/>
          <w:rFonts w:ascii="Inter" w:hAnsi="Inter"/>
          <w:color w:val="0E101A"/>
          <w:sz w:val="21"/>
          <w:szCs w:val="21"/>
          <w:shd w:val="clear" w:color="auto" w:fill="FFFFFF"/>
        </w:rPr>
        <w:t>Egbuna</w:t>
      </w:r>
      <w:proofErr w:type="spellEnd"/>
      <w:r w:rsidRPr="003C67B4">
        <w:rPr>
          <w:rStyle w:val="fal6plv"/>
          <w:rFonts w:ascii="Inter" w:hAnsi="Inter"/>
          <w:color w:val="0E101A"/>
          <w:sz w:val="21"/>
          <w:szCs w:val="21"/>
          <w:shd w:val="clear" w:color="auto" w:fill="FFFFFF"/>
        </w:rPr>
        <w:t xml:space="preserve">, C., Parmar, V. K., </w:t>
      </w:r>
      <w:proofErr w:type="spellStart"/>
      <w:r w:rsidRPr="003C67B4">
        <w:rPr>
          <w:rStyle w:val="fal6plv"/>
          <w:rFonts w:ascii="Inter" w:hAnsi="Inter"/>
          <w:color w:val="0E101A"/>
          <w:sz w:val="21"/>
          <w:szCs w:val="21"/>
          <w:shd w:val="clear" w:color="auto" w:fill="FFFFFF"/>
        </w:rPr>
        <w:t>Jeevanandam</w:t>
      </w:r>
      <w:proofErr w:type="spellEnd"/>
      <w:r w:rsidRPr="003C67B4">
        <w:rPr>
          <w:rStyle w:val="fal6plv"/>
          <w:rFonts w:ascii="Inter" w:hAnsi="Inter"/>
          <w:color w:val="0E101A"/>
          <w:sz w:val="21"/>
          <w:szCs w:val="21"/>
          <w:shd w:val="clear" w:color="auto" w:fill="FFFFFF"/>
        </w:rPr>
        <w:t>, J., Ezzat, S. M., Patrick-</w:t>
      </w:r>
      <w:proofErr w:type="spellStart"/>
      <w:r w:rsidRPr="003C67B4">
        <w:rPr>
          <w:rStyle w:val="fal6plv"/>
          <w:rFonts w:ascii="Inter" w:hAnsi="Inter"/>
          <w:color w:val="0E101A"/>
          <w:sz w:val="21"/>
          <w:szCs w:val="21"/>
          <w:shd w:val="clear" w:color="auto" w:fill="FFFFFF"/>
        </w:rPr>
        <w:t>Iwuanyanwu</w:t>
      </w:r>
      <w:proofErr w:type="spellEnd"/>
      <w:r w:rsidRPr="003C67B4">
        <w:rPr>
          <w:rStyle w:val="fal6plv"/>
          <w:rFonts w:ascii="Inter" w:hAnsi="Inter"/>
          <w:color w:val="0E101A"/>
          <w:sz w:val="21"/>
          <w:szCs w:val="21"/>
          <w:shd w:val="clear" w:color="auto" w:fill="FFFFFF"/>
        </w:rPr>
        <w:t xml:space="preserve">, K. C., </w:t>
      </w:r>
      <w:proofErr w:type="spellStart"/>
      <w:r w:rsidRPr="003C67B4">
        <w:rPr>
          <w:rStyle w:val="fal6plv"/>
          <w:rFonts w:ascii="Inter" w:hAnsi="Inter"/>
          <w:color w:val="0E101A"/>
          <w:sz w:val="21"/>
          <w:szCs w:val="21"/>
          <w:shd w:val="clear" w:color="auto" w:fill="FFFFFF"/>
        </w:rPr>
        <w:t>Adetunji</w:t>
      </w:r>
      <w:proofErr w:type="spellEnd"/>
      <w:r w:rsidRPr="003C67B4">
        <w:rPr>
          <w:rStyle w:val="fal6plv"/>
          <w:rFonts w:ascii="Inter" w:hAnsi="Inter"/>
          <w:color w:val="0E101A"/>
          <w:sz w:val="21"/>
          <w:szCs w:val="21"/>
          <w:shd w:val="clear" w:color="auto" w:fill="FFFFFF"/>
        </w:rPr>
        <w:t xml:space="preserve">, C. O., Khan, J., </w:t>
      </w:r>
      <w:proofErr w:type="spellStart"/>
      <w:r w:rsidRPr="003C67B4">
        <w:rPr>
          <w:rStyle w:val="fal6plv"/>
          <w:rFonts w:ascii="Inter" w:hAnsi="Inter"/>
          <w:color w:val="0E101A"/>
          <w:sz w:val="21"/>
          <w:szCs w:val="21"/>
          <w:shd w:val="clear" w:color="auto" w:fill="FFFFFF"/>
        </w:rPr>
        <w:t>Onyeike</w:t>
      </w:r>
      <w:proofErr w:type="spellEnd"/>
      <w:r w:rsidRPr="003C67B4">
        <w:rPr>
          <w:rStyle w:val="fal6plv"/>
          <w:rFonts w:ascii="Inter" w:hAnsi="Inter"/>
          <w:color w:val="0E101A"/>
          <w:sz w:val="21"/>
          <w:szCs w:val="21"/>
          <w:shd w:val="clear" w:color="auto" w:fill="FFFFFF"/>
        </w:rPr>
        <w:t xml:space="preserve">, E. N., Uche, C. Z., </w:t>
      </w:r>
      <w:proofErr w:type="spellStart"/>
      <w:r w:rsidRPr="003C67B4">
        <w:rPr>
          <w:rStyle w:val="fal6plv"/>
          <w:rFonts w:ascii="Inter" w:hAnsi="Inter"/>
          <w:color w:val="0E101A"/>
          <w:sz w:val="21"/>
          <w:szCs w:val="21"/>
          <w:shd w:val="clear" w:color="auto" w:fill="FFFFFF"/>
        </w:rPr>
        <w:t>Akram</w:t>
      </w:r>
      <w:proofErr w:type="spellEnd"/>
      <w:r w:rsidRPr="003C67B4">
        <w:rPr>
          <w:rStyle w:val="fal6plv"/>
          <w:rFonts w:ascii="Inter" w:hAnsi="Inter"/>
          <w:color w:val="0E101A"/>
          <w:sz w:val="21"/>
          <w:szCs w:val="21"/>
          <w:shd w:val="clear" w:color="auto" w:fill="FFFFFF"/>
        </w:rPr>
        <w:t xml:space="preserve">, M., Ibrahim, M. S., El </w:t>
      </w:r>
      <w:proofErr w:type="spellStart"/>
      <w:r w:rsidRPr="003C67B4">
        <w:rPr>
          <w:rStyle w:val="fal6plv"/>
          <w:rFonts w:ascii="Inter" w:hAnsi="Inter"/>
          <w:color w:val="0E101A"/>
          <w:sz w:val="21"/>
          <w:szCs w:val="21"/>
          <w:shd w:val="clear" w:color="auto" w:fill="FFFFFF"/>
        </w:rPr>
        <w:t>Mahdy</w:t>
      </w:r>
      <w:proofErr w:type="spellEnd"/>
      <w:r w:rsidRPr="003C67B4">
        <w:rPr>
          <w:rStyle w:val="fal6plv"/>
          <w:rFonts w:ascii="Inter" w:hAnsi="Inter"/>
          <w:color w:val="0E101A"/>
          <w:sz w:val="21"/>
          <w:szCs w:val="21"/>
          <w:shd w:val="clear" w:color="auto" w:fill="FFFFFF"/>
        </w:rPr>
        <w:t xml:space="preserve">, N. M., </w:t>
      </w:r>
      <w:proofErr w:type="spellStart"/>
      <w:r w:rsidRPr="003C67B4">
        <w:rPr>
          <w:rStyle w:val="fal6plv"/>
          <w:rFonts w:ascii="Inter" w:hAnsi="Inter"/>
          <w:color w:val="0E101A"/>
          <w:sz w:val="21"/>
          <w:szCs w:val="21"/>
          <w:shd w:val="clear" w:color="auto" w:fill="FFFFFF"/>
        </w:rPr>
        <w:t>Awuchi</w:t>
      </w:r>
      <w:proofErr w:type="spellEnd"/>
      <w:r w:rsidRPr="003C67B4">
        <w:rPr>
          <w:rStyle w:val="fal6plv"/>
          <w:rFonts w:ascii="Inter" w:hAnsi="Inter"/>
          <w:color w:val="0E101A"/>
          <w:sz w:val="21"/>
          <w:szCs w:val="21"/>
          <w:shd w:val="clear" w:color="auto" w:fill="FFFFFF"/>
        </w:rPr>
        <w:t xml:space="preserve">, C. G., Saravanan, K., </w:t>
      </w:r>
      <w:proofErr w:type="spellStart"/>
      <w:r w:rsidRPr="003C67B4">
        <w:rPr>
          <w:rStyle w:val="fal6plv"/>
          <w:rFonts w:ascii="Inter" w:hAnsi="Inter"/>
          <w:color w:val="0E101A"/>
          <w:sz w:val="21"/>
          <w:szCs w:val="21"/>
          <w:shd w:val="clear" w:color="auto" w:fill="FFFFFF"/>
        </w:rPr>
        <w:t>Tijjani</w:t>
      </w:r>
      <w:proofErr w:type="spellEnd"/>
      <w:r w:rsidRPr="003C67B4">
        <w:rPr>
          <w:rStyle w:val="fal6plv"/>
          <w:rFonts w:ascii="Inter" w:hAnsi="Inter"/>
          <w:color w:val="0E101A"/>
          <w:sz w:val="21"/>
          <w:szCs w:val="21"/>
          <w:shd w:val="clear" w:color="auto" w:fill="FFFFFF"/>
        </w:rPr>
        <w:t xml:space="preserve">, H., </w:t>
      </w:r>
      <w:proofErr w:type="spellStart"/>
      <w:r w:rsidRPr="003C67B4">
        <w:rPr>
          <w:rStyle w:val="fal6plv"/>
          <w:rFonts w:ascii="Inter" w:hAnsi="Inter"/>
          <w:color w:val="0E101A"/>
          <w:sz w:val="21"/>
          <w:szCs w:val="21"/>
          <w:shd w:val="clear" w:color="auto" w:fill="FFFFFF"/>
        </w:rPr>
        <w:t>Odoh</w:t>
      </w:r>
      <w:proofErr w:type="spellEnd"/>
      <w:r w:rsidRPr="003C67B4">
        <w:rPr>
          <w:rStyle w:val="fal6plv"/>
          <w:rFonts w:ascii="Inter" w:hAnsi="Inter"/>
          <w:color w:val="0E101A"/>
          <w:sz w:val="21"/>
          <w:szCs w:val="21"/>
          <w:shd w:val="clear" w:color="auto" w:fill="FFFFFF"/>
        </w:rPr>
        <w:t xml:space="preserve">, U. E., </w:t>
      </w:r>
      <w:proofErr w:type="spellStart"/>
      <w:r w:rsidRPr="003C67B4">
        <w:rPr>
          <w:rStyle w:val="fal6plv"/>
          <w:rFonts w:ascii="Inter" w:hAnsi="Inter"/>
          <w:color w:val="0E101A"/>
          <w:sz w:val="21"/>
          <w:szCs w:val="21"/>
          <w:shd w:val="clear" w:color="auto" w:fill="FFFFFF"/>
        </w:rPr>
        <w:t>Messaoudi</w:t>
      </w:r>
      <w:proofErr w:type="spellEnd"/>
      <w:r w:rsidRPr="003C67B4">
        <w:rPr>
          <w:rStyle w:val="fal6plv"/>
          <w:rFonts w:ascii="Inter" w:hAnsi="Inter"/>
          <w:color w:val="0E101A"/>
          <w:sz w:val="21"/>
          <w:szCs w:val="21"/>
          <w:shd w:val="clear" w:color="auto" w:fill="FFFFFF"/>
        </w:rPr>
        <w:t xml:space="preserve">, M., </w:t>
      </w:r>
      <w:proofErr w:type="spellStart"/>
      <w:r w:rsidRPr="003C67B4">
        <w:rPr>
          <w:rStyle w:val="fal6plv"/>
          <w:rFonts w:ascii="Inter" w:hAnsi="Inter"/>
          <w:color w:val="0E101A"/>
          <w:sz w:val="21"/>
          <w:szCs w:val="21"/>
          <w:shd w:val="clear" w:color="auto" w:fill="FFFFFF"/>
        </w:rPr>
        <w:t>Ifemeje</w:t>
      </w:r>
      <w:proofErr w:type="spellEnd"/>
      <w:r w:rsidRPr="003C67B4">
        <w:rPr>
          <w:rStyle w:val="fal6plv"/>
          <w:rFonts w:ascii="Inter" w:hAnsi="Inter"/>
          <w:color w:val="0E101A"/>
          <w:sz w:val="21"/>
          <w:szCs w:val="21"/>
          <w:shd w:val="clear" w:color="auto" w:fill="FFFFFF"/>
        </w:rPr>
        <w:t xml:space="preserve">, J. C., </w:t>
      </w:r>
      <w:proofErr w:type="spellStart"/>
      <w:r w:rsidRPr="003C67B4">
        <w:rPr>
          <w:rStyle w:val="fal6plv"/>
          <w:rFonts w:ascii="Inter" w:hAnsi="Inter"/>
          <w:color w:val="0E101A"/>
          <w:sz w:val="21"/>
          <w:szCs w:val="21"/>
          <w:shd w:val="clear" w:color="auto" w:fill="FFFFFF"/>
        </w:rPr>
        <w:t>Olisah</w:t>
      </w:r>
      <w:proofErr w:type="spellEnd"/>
      <w:r w:rsidRPr="003C67B4">
        <w:rPr>
          <w:rStyle w:val="fal6plv"/>
          <w:rFonts w:ascii="Inter" w:hAnsi="Inter"/>
          <w:color w:val="0E101A"/>
          <w:sz w:val="21"/>
          <w:szCs w:val="21"/>
          <w:shd w:val="clear" w:color="auto" w:fill="FFFFFF"/>
        </w:rPr>
        <w:t xml:space="preserve">, M. C., </w:t>
      </w:r>
      <w:proofErr w:type="spellStart"/>
      <w:r w:rsidRPr="003C67B4">
        <w:rPr>
          <w:rStyle w:val="fal6plv"/>
          <w:rFonts w:ascii="Inter" w:hAnsi="Inter"/>
          <w:color w:val="0E101A"/>
          <w:sz w:val="21"/>
          <w:szCs w:val="21"/>
          <w:shd w:val="clear" w:color="auto" w:fill="FFFFFF"/>
        </w:rPr>
        <w:t>Ezeofor</w:t>
      </w:r>
      <w:proofErr w:type="spellEnd"/>
      <w:r w:rsidRPr="003C67B4">
        <w:rPr>
          <w:rStyle w:val="fal6plv"/>
          <w:rFonts w:ascii="Inter" w:hAnsi="Inter"/>
          <w:color w:val="0E101A"/>
          <w:sz w:val="21"/>
          <w:szCs w:val="21"/>
          <w:shd w:val="clear" w:color="auto" w:fill="FFFFFF"/>
        </w:rPr>
        <w:t xml:space="preserve">, N. J., </w:t>
      </w:r>
      <w:proofErr w:type="spellStart"/>
      <w:r w:rsidRPr="003C67B4">
        <w:rPr>
          <w:rStyle w:val="fal6plv"/>
          <w:rFonts w:ascii="Inter" w:hAnsi="Inter"/>
          <w:color w:val="0E101A"/>
          <w:sz w:val="21"/>
          <w:szCs w:val="21"/>
          <w:shd w:val="clear" w:color="auto" w:fill="FFFFFF"/>
        </w:rPr>
        <w:t>Chikwendu</w:t>
      </w:r>
      <w:proofErr w:type="spellEnd"/>
      <w:r w:rsidRPr="003C67B4">
        <w:rPr>
          <w:rStyle w:val="fal6plv"/>
          <w:rFonts w:ascii="Inter" w:hAnsi="Inter"/>
          <w:color w:val="0E101A"/>
          <w:sz w:val="21"/>
          <w:szCs w:val="21"/>
          <w:shd w:val="clear" w:color="auto" w:fill="FFFFFF"/>
        </w:rPr>
        <w:t xml:space="preserve">, C. J., &amp; </w:t>
      </w:r>
      <w:proofErr w:type="spellStart"/>
      <w:r w:rsidRPr="003C67B4">
        <w:rPr>
          <w:rStyle w:val="fal6plv"/>
          <w:rFonts w:ascii="Inter" w:hAnsi="Inter"/>
          <w:color w:val="0E101A"/>
          <w:sz w:val="21"/>
          <w:szCs w:val="21"/>
          <w:shd w:val="clear" w:color="auto" w:fill="FFFFFF"/>
        </w:rPr>
        <w:t>Ibeabuchi</w:t>
      </w:r>
      <w:proofErr w:type="spellEnd"/>
      <w:r w:rsidRPr="003C67B4">
        <w:rPr>
          <w:rStyle w:val="fal6plv"/>
          <w:rFonts w:ascii="Inter" w:hAnsi="Inter"/>
          <w:color w:val="0E101A"/>
          <w:sz w:val="21"/>
          <w:szCs w:val="21"/>
          <w:shd w:val="clear" w:color="auto" w:fill="FFFFFF"/>
        </w:rPr>
        <w:t xml:space="preserve">, C. G. (2021). Toxicity of Nanoparticles in Biomedical Application: Nanotoxicology. Journal of Toxicology, 2021(1), 9954443. </w:t>
      </w:r>
      <w:hyperlink r:id="rId33" w:history="1">
        <w:r w:rsidRPr="00E56609">
          <w:rPr>
            <w:rStyle w:val="Hyperlink"/>
            <w:rFonts w:ascii="Inter" w:hAnsi="Inter"/>
            <w:sz w:val="21"/>
            <w:szCs w:val="21"/>
            <w:shd w:val="clear" w:color="auto" w:fill="FFFFFF"/>
          </w:rPr>
          <w:t>https://doi.org/10.1155/2021/9954443</w:t>
        </w:r>
      </w:hyperlink>
      <w:r>
        <w:rPr>
          <w:rStyle w:val="fal6plv"/>
          <w:rFonts w:ascii="Inter" w:hAnsi="Inter"/>
          <w:color w:val="0E101A"/>
          <w:sz w:val="21"/>
          <w:szCs w:val="21"/>
          <w:shd w:val="clear" w:color="auto" w:fill="FFFFFF"/>
        </w:rPr>
        <w:t xml:space="preserve"> </w:t>
      </w:r>
      <w:r w:rsidR="00AF198A">
        <w:rPr>
          <w:rStyle w:val="fal6plv"/>
          <w:rFonts w:ascii="Inter" w:hAnsi="Inter"/>
          <w:color w:val="0E101A"/>
          <w:sz w:val="21"/>
          <w:szCs w:val="21"/>
          <w:shd w:val="clear" w:color="auto" w:fill="FFFFFF"/>
        </w:rPr>
        <w:t xml:space="preserve"> </w:t>
      </w:r>
    </w:p>
    <w:p w14:paraId="7EE6B625" w14:textId="6149DA68" w:rsidR="009028E1" w:rsidRDefault="000510D6" w:rsidP="00BF04C0">
      <w:pPr>
        <w:spacing w:before="164" w:line="256" w:lineRule="auto"/>
        <w:ind w:left="165" w:right="1167"/>
        <w:rPr>
          <w:sz w:val="24"/>
          <w:szCs w:val="24"/>
        </w:rPr>
      </w:pPr>
      <w:r w:rsidRPr="000510D6">
        <w:rPr>
          <w:sz w:val="24"/>
          <w:szCs w:val="24"/>
        </w:rPr>
        <w:t xml:space="preserve">Ferdous, Z., &amp; </w:t>
      </w:r>
      <w:proofErr w:type="spellStart"/>
      <w:r w:rsidRPr="000510D6">
        <w:rPr>
          <w:sz w:val="24"/>
          <w:szCs w:val="24"/>
        </w:rPr>
        <w:t>Nemmar</w:t>
      </w:r>
      <w:proofErr w:type="spellEnd"/>
      <w:r w:rsidRPr="000510D6">
        <w:rPr>
          <w:sz w:val="24"/>
          <w:szCs w:val="24"/>
        </w:rPr>
        <w:t xml:space="preserve">, A. (2020). Health Impact of Silver Nanoparticles: A Review of the Biodistribution and Toxicity Following Various Routes of Exposure. International Journal of Molecular Sciences. </w:t>
      </w:r>
      <w:hyperlink r:id="rId34" w:history="1">
        <w:r w:rsidRPr="00E56609">
          <w:rPr>
            <w:rStyle w:val="Hyperlink"/>
            <w:sz w:val="24"/>
            <w:szCs w:val="24"/>
          </w:rPr>
          <w:t>https://doi.org/10.3390/ijms21072375</w:t>
        </w:r>
      </w:hyperlink>
      <w:r>
        <w:rPr>
          <w:sz w:val="24"/>
          <w:szCs w:val="24"/>
        </w:rPr>
        <w:t xml:space="preserve"> </w:t>
      </w:r>
    </w:p>
    <w:p w14:paraId="715973F4" w14:textId="2A0D48C8" w:rsidR="0059665B" w:rsidRDefault="0028603D">
      <w:pPr>
        <w:pBdr>
          <w:top w:val="nil"/>
          <w:left w:val="nil"/>
          <w:bottom w:val="nil"/>
          <w:right w:val="nil"/>
          <w:between w:val="nil"/>
        </w:pBdr>
        <w:spacing w:before="165" w:line="259" w:lineRule="auto"/>
        <w:ind w:left="165" w:right="1167"/>
        <w:rPr>
          <w:color w:val="000000"/>
          <w:sz w:val="24"/>
          <w:szCs w:val="24"/>
        </w:rPr>
      </w:pPr>
      <w:proofErr w:type="spellStart"/>
      <w:r w:rsidRPr="0028603D">
        <w:rPr>
          <w:color w:val="000000"/>
          <w:sz w:val="24"/>
          <w:szCs w:val="24"/>
        </w:rPr>
        <w:t>Fulgoni</w:t>
      </w:r>
      <w:proofErr w:type="spellEnd"/>
      <w:r w:rsidRPr="0028603D">
        <w:rPr>
          <w:color w:val="000000"/>
          <w:sz w:val="24"/>
          <w:szCs w:val="24"/>
        </w:rPr>
        <w:t xml:space="preserve"> III, V. L., </w:t>
      </w:r>
      <w:proofErr w:type="spellStart"/>
      <w:r w:rsidRPr="0028603D">
        <w:rPr>
          <w:color w:val="000000"/>
          <w:sz w:val="24"/>
          <w:szCs w:val="24"/>
        </w:rPr>
        <w:t>Keast</w:t>
      </w:r>
      <w:proofErr w:type="spellEnd"/>
      <w:r w:rsidRPr="0028603D">
        <w:rPr>
          <w:color w:val="000000"/>
          <w:sz w:val="24"/>
          <w:szCs w:val="24"/>
        </w:rPr>
        <w:t xml:space="preserve">, D. R., Bailey, R. L., &amp; Dwyer, J. (2011). Foods, </w:t>
      </w:r>
      <w:proofErr w:type="spellStart"/>
      <w:r w:rsidRPr="0028603D">
        <w:rPr>
          <w:color w:val="000000"/>
          <w:sz w:val="24"/>
          <w:szCs w:val="24"/>
        </w:rPr>
        <w:t>fortificants</w:t>
      </w:r>
      <w:proofErr w:type="spellEnd"/>
      <w:r w:rsidRPr="0028603D">
        <w:rPr>
          <w:color w:val="000000"/>
          <w:sz w:val="24"/>
          <w:szCs w:val="24"/>
        </w:rPr>
        <w:t xml:space="preserve">, and supplements: Where do Americans get their nutrients? The Journal of Nutrition. </w:t>
      </w:r>
      <w:hyperlink r:id="rId35" w:history="1">
        <w:r w:rsidRPr="00E56609">
          <w:rPr>
            <w:rStyle w:val="Hyperlink"/>
            <w:sz w:val="24"/>
            <w:szCs w:val="24"/>
          </w:rPr>
          <w:t>https://doi.org/10.3945/jn.111.142257</w:t>
        </w:r>
      </w:hyperlink>
      <w:r>
        <w:rPr>
          <w:color w:val="000000"/>
          <w:sz w:val="24"/>
          <w:szCs w:val="24"/>
        </w:rPr>
        <w:t xml:space="preserve"> </w:t>
      </w:r>
    </w:p>
    <w:p w14:paraId="351E8BF1" w14:textId="758A916B" w:rsidR="0056156C" w:rsidRDefault="00813159">
      <w:pPr>
        <w:pBdr>
          <w:top w:val="nil"/>
          <w:left w:val="nil"/>
          <w:bottom w:val="nil"/>
          <w:right w:val="nil"/>
          <w:between w:val="nil"/>
        </w:pBdr>
        <w:spacing w:before="165" w:line="259" w:lineRule="auto"/>
        <w:ind w:left="165" w:right="1167"/>
        <w:rPr>
          <w:color w:val="000000"/>
          <w:sz w:val="24"/>
          <w:szCs w:val="24"/>
        </w:rPr>
      </w:pPr>
      <w:proofErr w:type="spellStart"/>
      <w:r w:rsidRPr="00813159">
        <w:rPr>
          <w:color w:val="000000"/>
          <w:sz w:val="24"/>
          <w:szCs w:val="24"/>
        </w:rPr>
        <w:lastRenderedPageBreak/>
        <w:t>Frippiat</w:t>
      </w:r>
      <w:proofErr w:type="spellEnd"/>
      <w:r w:rsidRPr="00813159">
        <w:rPr>
          <w:color w:val="000000"/>
          <w:sz w:val="24"/>
          <w:szCs w:val="24"/>
        </w:rPr>
        <w:t xml:space="preserve">, T., Art, T., &amp; </w:t>
      </w:r>
      <w:proofErr w:type="spellStart"/>
      <w:r w:rsidRPr="00813159">
        <w:rPr>
          <w:color w:val="000000"/>
          <w:sz w:val="24"/>
          <w:szCs w:val="24"/>
        </w:rPr>
        <w:t>Delguste</w:t>
      </w:r>
      <w:proofErr w:type="spellEnd"/>
      <w:r w:rsidRPr="00813159">
        <w:rPr>
          <w:color w:val="000000"/>
          <w:sz w:val="24"/>
          <w:szCs w:val="24"/>
        </w:rPr>
        <w:t xml:space="preserve">, C. (2025). Silver Nanoparticles as Antimicrobial Agents in Veterinary Medicine: Current Applications and Future Perspectives. Nanomaterials. </w:t>
      </w:r>
      <w:hyperlink r:id="rId36" w:history="1">
        <w:r w:rsidRPr="00E56609">
          <w:rPr>
            <w:rStyle w:val="Hyperlink"/>
            <w:sz w:val="24"/>
            <w:szCs w:val="24"/>
          </w:rPr>
          <w:t>https://doi.org/10.3390/nano15030202</w:t>
        </w:r>
      </w:hyperlink>
      <w:r>
        <w:rPr>
          <w:color w:val="000000"/>
          <w:sz w:val="24"/>
          <w:szCs w:val="24"/>
        </w:rPr>
        <w:t xml:space="preserve"> </w:t>
      </w:r>
    </w:p>
    <w:p w14:paraId="2ACE0C87" w14:textId="4FA51908" w:rsidR="0059665B" w:rsidRDefault="004554B6">
      <w:pPr>
        <w:spacing w:before="19" w:line="261" w:lineRule="auto"/>
        <w:ind w:left="165" w:right="1167"/>
        <w:rPr>
          <w:sz w:val="24"/>
          <w:szCs w:val="24"/>
        </w:rPr>
      </w:pPr>
      <w:proofErr w:type="spellStart"/>
      <w:r w:rsidRPr="004554B6">
        <w:rPr>
          <w:color w:val="000000"/>
          <w:sz w:val="24"/>
          <w:szCs w:val="24"/>
        </w:rPr>
        <w:t>Gaillet</w:t>
      </w:r>
      <w:proofErr w:type="spellEnd"/>
      <w:r w:rsidRPr="004554B6">
        <w:rPr>
          <w:color w:val="000000"/>
          <w:sz w:val="24"/>
          <w:szCs w:val="24"/>
        </w:rPr>
        <w:t xml:space="preserve">, S., &amp; </w:t>
      </w:r>
      <w:proofErr w:type="spellStart"/>
      <w:r w:rsidRPr="004554B6">
        <w:rPr>
          <w:color w:val="000000"/>
          <w:sz w:val="24"/>
          <w:szCs w:val="24"/>
        </w:rPr>
        <w:t>Rouanet</w:t>
      </w:r>
      <w:proofErr w:type="spellEnd"/>
      <w:r w:rsidRPr="004554B6">
        <w:rPr>
          <w:color w:val="000000"/>
          <w:sz w:val="24"/>
          <w:szCs w:val="24"/>
        </w:rPr>
        <w:t xml:space="preserve">, J. M. (2015). Silver nanoparticles: their potential toxic effects after oral exposure and underlying mechanisms--a review. Food and Chemical Toxicology, 77, 58–63. </w:t>
      </w:r>
      <w:hyperlink r:id="rId37" w:history="1">
        <w:r w:rsidRPr="00E56609">
          <w:rPr>
            <w:rStyle w:val="Hyperlink"/>
            <w:sz w:val="24"/>
            <w:szCs w:val="24"/>
          </w:rPr>
          <w:t>https://doi.org/10.1016/j.fct.2014.12.019</w:t>
        </w:r>
      </w:hyperlink>
      <w:r>
        <w:rPr>
          <w:color w:val="000000"/>
          <w:sz w:val="24"/>
          <w:szCs w:val="24"/>
        </w:rPr>
        <w:t xml:space="preserve"> </w:t>
      </w:r>
      <w:r w:rsidR="00040B3E">
        <w:rPr>
          <w:sz w:val="24"/>
          <w:szCs w:val="24"/>
        </w:rPr>
        <w:t>.</w:t>
      </w:r>
    </w:p>
    <w:p w14:paraId="52425FB2" w14:textId="27DF9153" w:rsidR="000F769C" w:rsidRDefault="00B14FB7">
      <w:pPr>
        <w:spacing w:before="19" w:line="261" w:lineRule="auto"/>
        <w:ind w:left="165" w:right="1167"/>
        <w:rPr>
          <w:sz w:val="24"/>
          <w:szCs w:val="24"/>
        </w:rPr>
      </w:pPr>
      <w:proofErr w:type="spellStart"/>
      <w:r w:rsidRPr="00B14FB7">
        <w:rPr>
          <w:sz w:val="24"/>
          <w:szCs w:val="24"/>
        </w:rPr>
        <w:t>Ghebretatios</w:t>
      </w:r>
      <w:proofErr w:type="spellEnd"/>
      <w:r w:rsidRPr="00B14FB7">
        <w:rPr>
          <w:sz w:val="24"/>
          <w:szCs w:val="24"/>
        </w:rPr>
        <w:t xml:space="preserve">, M., </w:t>
      </w:r>
      <w:proofErr w:type="spellStart"/>
      <w:r w:rsidRPr="00B14FB7">
        <w:rPr>
          <w:sz w:val="24"/>
          <w:szCs w:val="24"/>
        </w:rPr>
        <w:t>Schaly</w:t>
      </w:r>
      <w:proofErr w:type="spellEnd"/>
      <w:r w:rsidRPr="00B14FB7">
        <w:rPr>
          <w:sz w:val="24"/>
          <w:szCs w:val="24"/>
        </w:rPr>
        <w:t xml:space="preserve">, S., &amp; Prakash, S. (2021). Nanoparticles in the Food Industry and Their Impact on Human Gut Microbiome and Diseases. International Journal of Molecular Sciences, 22(4), 1942. </w:t>
      </w:r>
      <w:hyperlink r:id="rId38" w:history="1">
        <w:r w:rsidRPr="00E56609">
          <w:rPr>
            <w:rStyle w:val="Hyperlink"/>
            <w:sz w:val="24"/>
            <w:szCs w:val="24"/>
          </w:rPr>
          <w:t>https://doi.org/10.3390/ijms22041942</w:t>
        </w:r>
      </w:hyperlink>
      <w:r>
        <w:rPr>
          <w:sz w:val="24"/>
          <w:szCs w:val="24"/>
        </w:rPr>
        <w:t xml:space="preserve"> </w:t>
      </w:r>
    </w:p>
    <w:p w14:paraId="3DC36F4F" w14:textId="773263C6" w:rsidR="0059665B" w:rsidRDefault="00B6032C">
      <w:pPr>
        <w:pBdr>
          <w:top w:val="nil"/>
          <w:left w:val="nil"/>
          <w:bottom w:val="nil"/>
          <w:right w:val="nil"/>
          <w:between w:val="nil"/>
        </w:pBdr>
        <w:spacing w:before="154" w:line="261" w:lineRule="auto"/>
        <w:ind w:left="165" w:right="1167"/>
        <w:rPr>
          <w:color w:val="000000"/>
          <w:sz w:val="24"/>
          <w:szCs w:val="24"/>
        </w:rPr>
      </w:pPr>
      <w:r w:rsidRPr="00B6032C">
        <w:rPr>
          <w:color w:val="000000"/>
          <w:sz w:val="24"/>
          <w:szCs w:val="24"/>
        </w:rPr>
        <w:t xml:space="preserve">Gupta, A., </w:t>
      </w:r>
      <w:proofErr w:type="spellStart"/>
      <w:r w:rsidRPr="00B6032C">
        <w:rPr>
          <w:color w:val="000000"/>
          <w:sz w:val="24"/>
          <w:szCs w:val="24"/>
        </w:rPr>
        <w:t>Eral</w:t>
      </w:r>
      <w:proofErr w:type="spellEnd"/>
      <w:r w:rsidRPr="00B6032C">
        <w:rPr>
          <w:color w:val="000000"/>
          <w:sz w:val="24"/>
          <w:szCs w:val="24"/>
        </w:rPr>
        <w:t xml:space="preserve">, H. B., Hatton, T. A., &amp; Doyle, P. S. (2016). </w:t>
      </w:r>
      <w:proofErr w:type="spellStart"/>
      <w:r w:rsidRPr="00B6032C">
        <w:rPr>
          <w:color w:val="000000"/>
          <w:sz w:val="24"/>
          <w:szCs w:val="24"/>
        </w:rPr>
        <w:t>Nanoemulsions</w:t>
      </w:r>
      <w:proofErr w:type="spellEnd"/>
      <w:r w:rsidRPr="00B6032C">
        <w:rPr>
          <w:color w:val="000000"/>
          <w:sz w:val="24"/>
          <w:szCs w:val="24"/>
        </w:rPr>
        <w:t xml:space="preserve">: formation, properties and applications. Soft Matter, 12(11), 2826–2841. </w:t>
      </w:r>
      <w:hyperlink r:id="rId39" w:history="1">
        <w:r w:rsidRPr="00E56609">
          <w:rPr>
            <w:rStyle w:val="Hyperlink"/>
            <w:sz w:val="24"/>
            <w:szCs w:val="24"/>
          </w:rPr>
          <w:t>https://doi.org/10.1039/c5sm02958a</w:t>
        </w:r>
      </w:hyperlink>
      <w:r>
        <w:rPr>
          <w:color w:val="000000"/>
          <w:sz w:val="24"/>
          <w:szCs w:val="24"/>
        </w:rPr>
        <w:t xml:space="preserve"> </w:t>
      </w:r>
    </w:p>
    <w:p w14:paraId="707F7D95" w14:textId="01FDCF86" w:rsidR="0059665B" w:rsidRDefault="00D94C3F">
      <w:pPr>
        <w:pBdr>
          <w:top w:val="nil"/>
          <w:left w:val="nil"/>
          <w:bottom w:val="nil"/>
          <w:right w:val="nil"/>
          <w:between w:val="nil"/>
        </w:pBdr>
        <w:spacing w:before="153" w:line="259" w:lineRule="auto"/>
        <w:ind w:left="165" w:right="1398"/>
        <w:jc w:val="both"/>
        <w:rPr>
          <w:color w:val="000000"/>
          <w:sz w:val="24"/>
          <w:szCs w:val="24"/>
        </w:rPr>
      </w:pPr>
      <w:proofErr w:type="spellStart"/>
      <w:r w:rsidRPr="00D94C3F">
        <w:rPr>
          <w:color w:val="000000"/>
          <w:sz w:val="24"/>
          <w:szCs w:val="24"/>
        </w:rPr>
        <w:t>Hajipour</w:t>
      </w:r>
      <w:proofErr w:type="spellEnd"/>
      <w:r w:rsidRPr="00D94C3F">
        <w:rPr>
          <w:color w:val="000000"/>
          <w:sz w:val="24"/>
          <w:szCs w:val="24"/>
        </w:rPr>
        <w:t xml:space="preserve">, M. J., Fromm, K. M., </w:t>
      </w:r>
      <w:proofErr w:type="spellStart"/>
      <w:r w:rsidRPr="00D94C3F">
        <w:rPr>
          <w:color w:val="000000"/>
          <w:sz w:val="24"/>
          <w:szCs w:val="24"/>
        </w:rPr>
        <w:t>Ashkarran</w:t>
      </w:r>
      <w:proofErr w:type="spellEnd"/>
      <w:r w:rsidRPr="00D94C3F">
        <w:rPr>
          <w:color w:val="000000"/>
          <w:sz w:val="24"/>
          <w:szCs w:val="24"/>
        </w:rPr>
        <w:t xml:space="preserve">, A. A., de </w:t>
      </w:r>
      <w:proofErr w:type="spellStart"/>
      <w:r w:rsidRPr="00D94C3F">
        <w:rPr>
          <w:color w:val="000000"/>
          <w:sz w:val="24"/>
          <w:szCs w:val="24"/>
        </w:rPr>
        <w:t>Aberasturi</w:t>
      </w:r>
      <w:proofErr w:type="spellEnd"/>
      <w:r w:rsidRPr="00D94C3F">
        <w:rPr>
          <w:color w:val="000000"/>
          <w:sz w:val="24"/>
          <w:szCs w:val="24"/>
        </w:rPr>
        <w:t xml:space="preserve">, D. J., de </w:t>
      </w:r>
      <w:proofErr w:type="spellStart"/>
      <w:r w:rsidRPr="00D94C3F">
        <w:rPr>
          <w:color w:val="000000"/>
          <w:sz w:val="24"/>
          <w:szCs w:val="24"/>
        </w:rPr>
        <w:t>Larramendi</w:t>
      </w:r>
      <w:proofErr w:type="spellEnd"/>
      <w:r w:rsidRPr="00D94C3F">
        <w:rPr>
          <w:color w:val="000000"/>
          <w:sz w:val="24"/>
          <w:szCs w:val="24"/>
        </w:rPr>
        <w:t xml:space="preserve">, I. R., </w:t>
      </w:r>
      <w:proofErr w:type="spellStart"/>
      <w:r w:rsidRPr="00D94C3F">
        <w:rPr>
          <w:color w:val="000000"/>
          <w:sz w:val="24"/>
          <w:szCs w:val="24"/>
        </w:rPr>
        <w:t>Rojo</w:t>
      </w:r>
      <w:proofErr w:type="spellEnd"/>
      <w:r w:rsidRPr="00D94C3F">
        <w:rPr>
          <w:color w:val="000000"/>
          <w:sz w:val="24"/>
          <w:szCs w:val="24"/>
        </w:rPr>
        <w:t xml:space="preserve">, T., </w:t>
      </w:r>
      <w:proofErr w:type="spellStart"/>
      <w:r w:rsidRPr="00D94C3F">
        <w:rPr>
          <w:color w:val="000000"/>
          <w:sz w:val="24"/>
          <w:szCs w:val="24"/>
        </w:rPr>
        <w:t>Serpooshan</w:t>
      </w:r>
      <w:proofErr w:type="spellEnd"/>
      <w:r w:rsidRPr="00D94C3F">
        <w:rPr>
          <w:color w:val="000000"/>
          <w:sz w:val="24"/>
          <w:szCs w:val="24"/>
        </w:rPr>
        <w:t xml:space="preserve">, V., </w:t>
      </w:r>
      <w:proofErr w:type="spellStart"/>
      <w:r w:rsidRPr="00D94C3F">
        <w:rPr>
          <w:color w:val="000000"/>
          <w:sz w:val="24"/>
          <w:szCs w:val="24"/>
        </w:rPr>
        <w:t>Parak</w:t>
      </w:r>
      <w:proofErr w:type="spellEnd"/>
      <w:r w:rsidRPr="00D94C3F">
        <w:rPr>
          <w:color w:val="000000"/>
          <w:sz w:val="24"/>
          <w:szCs w:val="24"/>
        </w:rPr>
        <w:t xml:space="preserve">, W. J., &amp; </w:t>
      </w:r>
      <w:proofErr w:type="spellStart"/>
      <w:r w:rsidRPr="00D94C3F">
        <w:rPr>
          <w:color w:val="000000"/>
          <w:sz w:val="24"/>
          <w:szCs w:val="24"/>
        </w:rPr>
        <w:t>Mahmoudi</w:t>
      </w:r>
      <w:proofErr w:type="spellEnd"/>
      <w:r w:rsidRPr="00D94C3F">
        <w:rPr>
          <w:color w:val="000000"/>
          <w:sz w:val="24"/>
          <w:szCs w:val="24"/>
        </w:rPr>
        <w:t xml:space="preserve">, M. (2012). Antibacterial properties of nanoparticles. Trends in Biotechnology, 30(10), 499–511. </w:t>
      </w:r>
      <w:hyperlink r:id="rId40" w:history="1">
        <w:r w:rsidRPr="00E56609">
          <w:rPr>
            <w:rStyle w:val="Hyperlink"/>
            <w:sz w:val="24"/>
            <w:szCs w:val="24"/>
          </w:rPr>
          <w:t>https://doi.org/10.1016/j.tibtech.2012.06.004</w:t>
        </w:r>
      </w:hyperlink>
      <w:r>
        <w:rPr>
          <w:color w:val="000000"/>
          <w:sz w:val="24"/>
          <w:szCs w:val="24"/>
        </w:rPr>
        <w:t xml:space="preserve"> </w:t>
      </w:r>
    </w:p>
    <w:p w14:paraId="34D2541D" w14:textId="449C333F" w:rsidR="00215DEE" w:rsidRDefault="00DF00FD">
      <w:pPr>
        <w:pBdr>
          <w:top w:val="nil"/>
          <w:left w:val="nil"/>
          <w:bottom w:val="nil"/>
          <w:right w:val="nil"/>
          <w:between w:val="nil"/>
        </w:pBdr>
        <w:spacing w:before="153" w:line="259" w:lineRule="auto"/>
        <w:ind w:left="165" w:right="1398"/>
        <w:jc w:val="both"/>
        <w:rPr>
          <w:color w:val="000000"/>
          <w:sz w:val="24"/>
          <w:szCs w:val="24"/>
        </w:rPr>
      </w:pPr>
      <w:r w:rsidRPr="00DF00FD">
        <w:rPr>
          <w:color w:val="000000"/>
          <w:sz w:val="24"/>
          <w:szCs w:val="24"/>
        </w:rPr>
        <w:t xml:space="preserve">Han, K., Yang, H., Fan, D., &amp; Deng, J. (2025). Advances in Nanotechnology Research in Food Production, Nutrition, and Health. Nutrients, 17(15), 2443. </w:t>
      </w:r>
      <w:hyperlink r:id="rId41" w:history="1">
        <w:r w:rsidRPr="00E56609">
          <w:rPr>
            <w:rStyle w:val="Hyperlink"/>
            <w:sz w:val="24"/>
            <w:szCs w:val="24"/>
          </w:rPr>
          <w:t>https://doi.org/10.3390/nu17152443</w:t>
        </w:r>
      </w:hyperlink>
      <w:r>
        <w:rPr>
          <w:color w:val="000000"/>
          <w:sz w:val="24"/>
          <w:szCs w:val="24"/>
        </w:rPr>
        <w:t xml:space="preserve"> </w:t>
      </w:r>
    </w:p>
    <w:p w14:paraId="6C7F7555" w14:textId="11C98198" w:rsidR="001829C3" w:rsidRDefault="008675BD">
      <w:pPr>
        <w:pBdr>
          <w:top w:val="nil"/>
          <w:left w:val="nil"/>
          <w:bottom w:val="nil"/>
          <w:right w:val="nil"/>
          <w:between w:val="nil"/>
        </w:pBdr>
        <w:spacing w:before="153" w:line="259" w:lineRule="auto"/>
        <w:ind w:left="165" w:right="1398"/>
        <w:jc w:val="both"/>
        <w:rPr>
          <w:color w:val="000000"/>
          <w:sz w:val="24"/>
          <w:szCs w:val="24"/>
        </w:rPr>
      </w:pPr>
      <w:r w:rsidRPr="008675BD">
        <w:rPr>
          <w:color w:val="000000"/>
          <w:sz w:val="24"/>
          <w:szCs w:val="24"/>
        </w:rPr>
        <w:t xml:space="preserve">Hashim, M., Mujahid, H., Hassan, S., Bukhari, S., Anjum, I., </w:t>
      </w:r>
      <w:proofErr w:type="spellStart"/>
      <w:r w:rsidRPr="008675BD">
        <w:rPr>
          <w:color w:val="000000"/>
          <w:sz w:val="24"/>
          <w:szCs w:val="24"/>
        </w:rPr>
        <w:t>Hano</w:t>
      </w:r>
      <w:proofErr w:type="spellEnd"/>
      <w:r w:rsidRPr="008675BD">
        <w:rPr>
          <w:color w:val="000000"/>
          <w:sz w:val="24"/>
          <w:szCs w:val="24"/>
        </w:rPr>
        <w:t xml:space="preserve">, C., Abbasi, B. H., &amp; Anjum, S. (2022). Implication of Nanoparticles to Combat Chronic Liver and Kidney Diseases: Progress and Perspectives. Biomolecules, 12(10), 1337. </w:t>
      </w:r>
      <w:hyperlink r:id="rId42" w:history="1">
        <w:r w:rsidRPr="00E56609">
          <w:rPr>
            <w:rStyle w:val="Hyperlink"/>
            <w:sz w:val="24"/>
            <w:szCs w:val="24"/>
          </w:rPr>
          <w:t>https://doi.org/10.3390/biom12101337</w:t>
        </w:r>
      </w:hyperlink>
      <w:r>
        <w:rPr>
          <w:color w:val="000000"/>
          <w:sz w:val="24"/>
          <w:szCs w:val="24"/>
        </w:rPr>
        <w:t xml:space="preserve"> </w:t>
      </w:r>
    </w:p>
    <w:p w14:paraId="18326BC2" w14:textId="3F1E0E26" w:rsidR="0059665B" w:rsidRDefault="00550BD4">
      <w:pPr>
        <w:spacing w:before="24" w:line="256" w:lineRule="auto"/>
        <w:ind w:left="165" w:right="1167"/>
        <w:rPr>
          <w:sz w:val="24"/>
          <w:szCs w:val="24"/>
        </w:rPr>
      </w:pPr>
      <w:r w:rsidRPr="00550BD4">
        <w:rPr>
          <w:color w:val="000000"/>
          <w:sz w:val="24"/>
          <w:szCs w:val="24"/>
        </w:rPr>
        <w:t xml:space="preserve">Jones, O. G., &amp; McClements, D. J. (2010). Functional biopolymer particles: Design, fabrication, and applications. Comprehensive Reviews in Food Science and Food Safety. </w:t>
      </w:r>
      <w:hyperlink r:id="rId43" w:history="1">
        <w:r w:rsidRPr="00E56609">
          <w:rPr>
            <w:rStyle w:val="Hyperlink"/>
            <w:sz w:val="24"/>
            <w:szCs w:val="24"/>
          </w:rPr>
          <w:t>https://doi.org/10.1111/j.1541-4337.2010.00118.x</w:t>
        </w:r>
      </w:hyperlink>
      <w:r>
        <w:rPr>
          <w:color w:val="000000"/>
          <w:sz w:val="24"/>
          <w:szCs w:val="24"/>
        </w:rPr>
        <w:t xml:space="preserve"> </w:t>
      </w:r>
    </w:p>
    <w:p w14:paraId="3D69F132" w14:textId="4C2FEF6D" w:rsidR="0059665B" w:rsidRDefault="0050773E">
      <w:pPr>
        <w:spacing w:before="19"/>
        <w:ind w:left="165"/>
        <w:rPr>
          <w:sz w:val="24"/>
          <w:szCs w:val="24"/>
        </w:rPr>
      </w:pPr>
      <w:r w:rsidRPr="0050773E">
        <w:rPr>
          <w:color w:val="000000"/>
          <w:sz w:val="24"/>
          <w:szCs w:val="24"/>
        </w:rPr>
        <w:t xml:space="preserve">Jovanović, B. (2014). Critical review of public health regulations of titanium dioxide, a human food additive. Integrated Environmental Assessment and Management, 11(1), 10–20. </w:t>
      </w:r>
      <w:hyperlink r:id="rId44" w:history="1">
        <w:r w:rsidRPr="00E56609">
          <w:rPr>
            <w:rStyle w:val="Hyperlink"/>
            <w:sz w:val="24"/>
            <w:szCs w:val="24"/>
          </w:rPr>
          <w:t>https://doi.org/10.1002/ieam.1571</w:t>
        </w:r>
      </w:hyperlink>
      <w:r>
        <w:rPr>
          <w:color w:val="000000"/>
          <w:sz w:val="24"/>
          <w:szCs w:val="24"/>
        </w:rPr>
        <w:t xml:space="preserve"> </w:t>
      </w:r>
    </w:p>
    <w:p w14:paraId="2456EB13" w14:textId="2E2CD57D" w:rsidR="0059665B" w:rsidRDefault="00D330BF">
      <w:pPr>
        <w:spacing w:before="184" w:line="256" w:lineRule="auto"/>
        <w:ind w:left="165" w:right="1167"/>
        <w:rPr>
          <w:sz w:val="24"/>
          <w:szCs w:val="24"/>
        </w:rPr>
      </w:pPr>
      <w:proofErr w:type="spellStart"/>
      <w:r w:rsidRPr="00D330BF">
        <w:rPr>
          <w:sz w:val="24"/>
          <w:szCs w:val="24"/>
        </w:rPr>
        <w:t>Joye</w:t>
      </w:r>
      <w:proofErr w:type="spellEnd"/>
      <w:r w:rsidRPr="00D330BF">
        <w:rPr>
          <w:sz w:val="24"/>
          <w:szCs w:val="24"/>
        </w:rPr>
        <w:t xml:space="preserve">, I. J., Davidov-Pardo, G., &amp; McClements, D. J. (2014). Nanotechnology for increased micronutrient bioavailability. Trends in Food Science &amp; Technology, 40(2), 168–182. </w:t>
      </w:r>
      <w:hyperlink r:id="rId45" w:history="1">
        <w:r w:rsidRPr="00E56609">
          <w:rPr>
            <w:rStyle w:val="Hyperlink"/>
            <w:sz w:val="24"/>
            <w:szCs w:val="24"/>
          </w:rPr>
          <w:t>https://doi.org/10.1016/j.tifs.2014.08.006</w:t>
        </w:r>
      </w:hyperlink>
      <w:r>
        <w:rPr>
          <w:sz w:val="24"/>
          <w:szCs w:val="24"/>
        </w:rPr>
        <w:t xml:space="preserve"> </w:t>
      </w:r>
    </w:p>
    <w:p w14:paraId="2950306D" w14:textId="41D921C1" w:rsidR="00FC2C87" w:rsidRDefault="00F567CA">
      <w:pPr>
        <w:spacing w:before="184" w:line="256" w:lineRule="auto"/>
        <w:ind w:left="165" w:right="1167"/>
        <w:rPr>
          <w:sz w:val="24"/>
          <w:szCs w:val="24"/>
        </w:rPr>
      </w:pPr>
      <w:r w:rsidRPr="00F567CA">
        <w:rPr>
          <w:sz w:val="24"/>
          <w:szCs w:val="24"/>
        </w:rPr>
        <w:t xml:space="preserve">Jung, A., Kim, S.-H., Yang, J.-Y., </w:t>
      </w:r>
      <w:proofErr w:type="spellStart"/>
      <w:r w:rsidRPr="00F567CA">
        <w:rPr>
          <w:sz w:val="24"/>
          <w:szCs w:val="24"/>
        </w:rPr>
        <w:t>Jeong</w:t>
      </w:r>
      <w:proofErr w:type="spellEnd"/>
      <w:r w:rsidRPr="00F567CA">
        <w:rPr>
          <w:sz w:val="24"/>
          <w:szCs w:val="24"/>
        </w:rPr>
        <w:t xml:space="preserve">, J., Lee, J. K., Oh, J.-H., &amp; Lee, J. H. (2021). Effect of Pulmonary Inflammation by Surface Functionalization of Zinc Oxide Nanoparticles. Toxics, 9(12), 336. </w:t>
      </w:r>
      <w:hyperlink r:id="rId46" w:history="1">
        <w:r w:rsidRPr="00E56609">
          <w:rPr>
            <w:rStyle w:val="Hyperlink"/>
            <w:sz w:val="24"/>
            <w:szCs w:val="24"/>
          </w:rPr>
          <w:t>https://doi.org/10.3390/toxics9120336</w:t>
        </w:r>
      </w:hyperlink>
      <w:r>
        <w:rPr>
          <w:sz w:val="24"/>
          <w:szCs w:val="24"/>
        </w:rPr>
        <w:t xml:space="preserve"> </w:t>
      </w:r>
    </w:p>
    <w:p w14:paraId="4ABA82A2" w14:textId="3270A023" w:rsidR="00366E1B" w:rsidRDefault="00054A19">
      <w:pPr>
        <w:spacing w:before="184" w:line="256" w:lineRule="auto"/>
        <w:ind w:left="165" w:right="1167"/>
        <w:rPr>
          <w:sz w:val="24"/>
          <w:szCs w:val="24"/>
        </w:rPr>
      </w:pPr>
      <w:r w:rsidRPr="00054A19">
        <w:rPr>
          <w:sz w:val="24"/>
          <w:szCs w:val="24"/>
        </w:rPr>
        <w:t xml:space="preserve">Ijaz, I., Gilani, E., Nazir, A., &amp; Bukhari, A. (2020). Detail review on chemical, physical and green synthesis, classification, characterizations and applications of nanoparticles. Green Chemistry Letters and Reviews, 13(3), 223–245. </w:t>
      </w:r>
      <w:hyperlink r:id="rId47" w:history="1">
        <w:r w:rsidRPr="00E56609">
          <w:rPr>
            <w:rStyle w:val="Hyperlink"/>
            <w:sz w:val="24"/>
            <w:szCs w:val="24"/>
          </w:rPr>
          <w:t>https://doi.org/10.1080/17518253.2020.1802517</w:t>
        </w:r>
      </w:hyperlink>
      <w:r>
        <w:rPr>
          <w:sz w:val="24"/>
          <w:szCs w:val="24"/>
        </w:rPr>
        <w:t xml:space="preserve"> </w:t>
      </w:r>
      <w:r w:rsidR="00366E1B">
        <w:rPr>
          <w:sz w:val="24"/>
          <w:szCs w:val="24"/>
        </w:rPr>
        <w:t xml:space="preserve"> </w:t>
      </w:r>
    </w:p>
    <w:p w14:paraId="3D9C7B17" w14:textId="553119B3" w:rsidR="00DF5870" w:rsidRDefault="00B17250">
      <w:pPr>
        <w:spacing w:before="184" w:line="256" w:lineRule="auto"/>
        <w:ind w:left="165" w:right="1167"/>
        <w:rPr>
          <w:sz w:val="24"/>
          <w:szCs w:val="24"/>
        </w:rPr>
      </w:pPr>
      <w:proofErr w:type="spellStart"/>
      <w:r w:rsidRPr="00B17250">
        <w:rPr>
          <w:sz w:val="24"/>
          <w:szCs w:val="24"/>
        </w:rPr>
        <w:t>Ihtisham</w:t>
      </w:r>
      <w:proofErr w:type="spellEnd"/>
      <w:r w:rsidRPr="00B17250">
        <w:rPr>
          <w:sz w:val="24"/>
          <w:szCs w:val="24"/>
        </w:rPr>
        <w:t xml:space="preserve">, M., Noori, A., Yadav, S., </w:t>
      </w:r>
      <w:proofErr w:type="spellStart"/>
      <w:r w:rsidRPr="00B17250">
        <w:rPr>
          <w:sz w:val="24"/>
          <w:szCs w:val="24"/>
        </w:rPr>
        <w:t>Sarraf</w:t>
      </w:r>
      <w:proofErr w:type="spellEnd"/>
      <w:r w:rsidRPr="00B17250">
        <w:rPr>
          <w:sz w:val="24"/>
          <w:szCs w:val="24"/>
        </w:rPr>
        <w:t xml:space="preserve">, M., Kumari, P., </w:t>
      </w:r>
      <w:proofErr w:type="spellStart"/>
      <w:r w:rsidRPr="00B17250">
        <w:rPr>
          <w:sz w:val="24"/>
          <w:szCs w:val="24"/>
        </w:rPr>
        <w:t>Brestic</w:t>
      </w:r>
      <w:proofErr w:type="spellEnd"/>
      <w:r w:rsidRPr="00B17250">
        <w:rPr>
          <w:sz w:val="24"/>
          <w:szCs w:val="24"/>
        </w:rPr>
        <w:t xml:space="preserve">, M., Imran, M., Jiang, F., Yan, X., &amp; Rastogi, A. (2021). Silver Nanoparticle's Toxicological Effects and Phytoremediation. Nanomaterials, 11(9), 2164. </w:t>
      </w:r>
      <w:hyperlink r:id="rId48" w:history="1">
        <w:r w:rsidRPr="00E56609">
          <w:rPr>
            <w:rStyle w:val="Hyperlink"/>
            <w:sz w:val="24"/>
            <w:szCs w:val="24"/>
          </w:rPr>
          <w:t>https://doi.org/10.3390/nano11092164</w:t>
        </w:r>
      </w:hyperlink>
      <w:r>
        <w:rPr>
          <w:sz w:val="24"/>
          <w:szCs w:val="24"/>
        </w:rPr>
        <w:t xml:space="preserve"> </w:t>
      </w:r>
    </w:p>
    <w:p w14:paraId="48150AA5" w14:textId="4372ECA8" w:rsidR="00275CE3" w:rsidRDefault="004F7100" w:rsidP="000B53FB">
      <w:pPr>
        <w:spacing w:before="184" w:line="256" w:lineRule="auto"/>
        <w:ind w:left="165" w:right="1167"/>
        <w:rPr>
          <w:sz w:val="24"/>
          <w:szCs w:val="24"/>
        </w:rPr>
      </w:pPr>
      <w:r w:rsidRPr="004F7100">
        <w:rPr>
          <w:sz w:val="24"/>
          <w:szCs w:val="24"/>
        </w:rPr>
        <w:t xml:space="preserve">Hong, J., &amp; Zhang, Y. Q. (2016). Murine liver damage caused by exposure to </w:t>
      </w:r>
      <w:proofErr w:type="spellStart"/>
      <w:r w:rsidRPr="004F7100">
        <w:rPr>
          <w:sz w:val="24"/>
          <w:szCs w:val="24"/>
        </w:rPr>
        <w:t>nano</w:t>
      </w:r>
      <w:proofErr w:type="spellEnd"/>
      <w:r w:rsidRPr="004F7100">
        <w:rPr>
          <w:sz w:val="24"/>
          <w:szCs w:val="24"/>
        </w:rPr>
        <w:t xml:space="preserve">-titanium dioxide. Nanotechnology, 27(11), 112001. </w:t>
      </w:r>
      <w:hyperlink r:id="rId49" w:history="1">
        <w:r w:rsidRPr="00E56609">
          <w:rPr>
            <w:rStyle w:val="Hyperlink"/>
            <w:sz w:val="24"/>
            <w:szCs w:val="24"/>
          </w:rPr>
          <w:t>https://doi.org/10.1088/0957-4484/27/11/112001</w:t>
        </w:r>
      </w:hyperlink>
      <w:r>
        <w:rPr>
          <w:sz w:val="24"/>
          <w:szCs w:val="24"/>
        </w:rPr>
        <w:t xml:space="preserve"> </w:t>
      </w:r>
    </w:p>
    <w:p w14:paraId="760A8DB5" w14:textId="304A9258" w:rsidR="000B53FB" w:rsidRDefault="00F41A4C" w:rsidP="000B53FB">
      <w:pPr>
        <w:spacing w:before="184" w:line="256" w:lineRule="auto"/>
        <w:ind w:left="165" w:right="1167"/>
        <w:rPr>
          <w:sz w:val="24"/>
          <w:szCs w:val="24"/>
        </w:rPr>
      </w:pPr>
      <w:proofErr w:type="spellStart"/>
      <w:r w:rsidRPr="00F41A4C">
        <w:rPr>
          <w:sz w:val="24"/>
          <w:szCs w:val="24"/>
        </w:rPr>
        <w:lastRenderedPageBreak/>
        <w:t>Ketebo</w:t>
      </w:r>
      <w:proofErr w:type="spellEnd"/>
      <w:r w:rsidRPr="00F41A4C">
        <w:rPr>
          <w:sz w:val="24"/>
          <w:szCs w:val="24"/>
        </w:rPr>
        <w:t xml:space="preserve">, A. A., Din, S. U., Lee, G., &amp; Park, S. (2023). Mechanobiological Analysis of Nanoparticle Toxicity. Nanomaterials, 13(10), 1682. </w:t>
      </w:r>
      <w:hyperlink r:id="rId50" w:history="1">
        <w:r w:rsidRPr="00E56609">
          <w:rPr>
            <w:rStyle w:val="Hyperlink"/>
            <w:sz w:val="24"/>
            <w:szCs w:val="24"/>
          </w:rPr>
          <w:t>https://doi.org/10.3390/nano13101682</w:t>
        </w:r>
      </w:hyperlink>
      <w:r>
        <w:rPr>
          <w:sz w:val="24"/>
          <w:szCs w:val="24"/>
        </w:rPr>
        <w:t xml:space="preserve"> </w:t>
      </w:r>
      <w:r w:rsidR="000B53FB">
        <w:rPr>
          <w:sz w:val="24"/>
          <w:szCs w:val="24"/>
        </w:rPr>
        <w:t xml:space="preserve">   </w:t>
      </w:r>
    </w:p>
    <w:p w14:paraId="7CC36278" w14:textId="743EC526" w:rsidR="004A4B90" w:rsidRDefault="00264183">
      <w:pPr>
        <w:spacing w:before="184" w:line="256" w:lineRule="auto"/>
        <w:ind w:left="165" w:right="1167"/>
        <w:rPr>
          <w:sz w:val="24"/>
          <w:szCs w:val="24"/>
        </w:rPr>
      </w:pPr>
      <w:r w:rsidRPr="00264183">
        <w:rPr>
          <w:sz w:val="24"/>
          <w:szCs w:val="24"/>
        </w:rPr>
        <w:t xml:space="preserve">Kim, E.-H., Park, S., &amp; Bae, O.-N. (2025). Cardiovascular Toxicity of Metal-Based Nanoparticles. International Journal of Molecular Sciences, 26(12), 5816. </w:t>
      </w:r>
      <w:hyperlink r:id="rId51" w:history="1">
        <w:r w:rsidRPr="00E56609">
          <w:rPr>
            <w:rStyle w:val="Hyperlink"/>
            <w:sz w:val="24"/>
            <w:szCs w:val="24"/>
          </w:rPr>
          <w:t>https://doi.org/10.3390/ijms26125816</w:t>
        </w:r>
      </w:hyperlink>
      <w:r>
        <w:rPr>
          <w:sz w:val="24"/>
          <w:szCs w:val="24"/>
        </w:rPr>
        <w:t xml:space="preserve"> </w:t>
      </w:r>
      <w:r w:rsidR="004A4B90">
        <w:rPr>
          <w:sz w:val="24"/>
          <w:szCs w:val="24"/>
        </w:rPr>
        <w:t xml:space="preserve"> </w:t>
      </w:r>
    </w:p>
    <w:p w14:paraId="4A2698CD" w14:textId="48D2319B" w:rsidR="0059665B" w:rsidRDefault="00F05757">
      <w:pPr>
        <w:spacing w:before="24"/>
        <w:ind w:left="165"/>
        <w:rPr>
          <w:sz w:val="24"/>
          <w:szCs w:val="24"/>
        </w:rPr>
      </w:pPr>
      <w:r w:rsidRPr="00F05757">
        <w:rPr>
          <w:color w:val="000000"/>
          <w:sz w:val="24"/>
          <w:szCs w:val="24"/>
        </w:rPr>
        <w:t xml:space="preserve">Le </w:t>
      </w:r>
      <w:proofErr w:type="spellStart"/>
      <w:r w:rsidRPr="00F05757">
        <w:rPr>
          <w:color w:val="000000"/>
          <w:sz w:val="24"/>
          <w:szCs w:val="24"/>
        </w:rPr>
        <w:t>Corre</w:t>
      </w:r>
      <w:proofErr w:type="spellEnd"/>
      <w:r w:rsidRPr="00F05757">
        <w:rPr>
          <w:color w:val="000000"/>
          <w:sz w:val="24"/>
          <w:szCs w:val="24"/>
        </w:rPr>
        <w:t xml:space="preserve">, D., Bras, J., &amp; Dufresne, A. (2010). Starch Nanoparticles: A Review. Biomacromolecules, 11(5), 1139–1153. </w:t>
      </w:r>
      <w:hyperlink r:id="rId52" w:history="1">
        <w:r w:rsidRPr="00E56609">
          <w:rPr>
            <w:rStyle w:val="Hyperlink"/>
            <w:sz w:val="24"/>
            <w:szCs w:val="24"/>
          </w:rPr>
          <w:t>https://doi.org/10.1021/bm901428y</w:t>
        </w:r>
      </w:hyperlink>
      <w:r>
        <w:rPr>
          <w:color w:val="000000"/>
          <w:sz w:val="24"/>
          <w:szCs w:val="24"/>
        </w:rPr>
        <w:t xml:space="preserve"> </w:t>
      </w:r>
    </w:p>
    <w:p w14:paraId="697D89A0" w14:textId="48CCA5D1" w:rsidR="00BB3629" w:rsidRDefault="00EC387E">
      <w:pPr>
        <w:spacing w:before="24"/>
        <w:ind w:left="165"/>
        <w:rPr>
          <w:sz w:val="24"/>
          <w:szCs w:val="24"/>
        </w:rPr>
      </w:pPr>
      <w:r w:rsidRPr="00EC387E">
        <w:rPr>
          <w:sz w:val="24"/>
          <w:szCs w:val="24"/>
        </w:rPr>
        <w:t xml:space="preserve">Li, X. (2025). Properties and Applications of Nanoparticles and Nanomaterials. International Journal of Molecular Sciences. </w:t>
      </w:r>
      <w:hyperlink r:id="rId53" w:history="1">
        <w:r w:rsidRPr="00E56609">
          <w:rPr>
            <w:rStyle w:val="Hyperlink"/>
            <w:sz w:val="24"/>
            <w:szCs w:val="24"/>
          </w:rPr>
          <w:t>https://doi.org/10.3390/ijms26020765</w:t>
        </w:r>
      </w:hyperlink>
      <w:r>
        <w:rPr>
          <w:sz w:val="24"/>
          <w:szCs w:val="24"/>
        </w:rPr>
        <w:t xml:space="preserve"> </w:t>
      </w:r>
    </w:p>
    <w:p w14:paraId="45C0DD0B" w14:textId="177566F3" w:rsidR="0059665B" w:rsidRDefault="00C176A9">
      <w:pPr>
        <w:spacing w:before="179" w:line="261" w:lineRule="auto"/>
        <w:ind w:left="165" w:right="1167"/>
        <w:rPr>
          <w:sz w:val="24"/>
          <w:szCs w:val="24"/>
        </w:rPr>
      </w:pPr>
      <w:proofErr w:type="spellStart"/>
      <w:r w:rsidRPr="00C176A9">
        <w:rPr>
          <w:sz w:val="24"/>
          <w:szCs w:val="24"/>
        </w:rPr>
        <w:t>Livney</w:t>
      </w:r>
      <w:proofErr w:type="spellEnd"/>
      <w:r w:rsidRPr="00C176A9">
        <w:rPr>
          <w:sz w:val="24"/>
          <w:szCs w:val="24"/>
        </w:rPr>
        <w:t xml:space="preserve">, Y. D. (2010). Milk proteins as vehicles for </w:t>
      </w:r>
      <w:proofErr w:type="spellStart"/>
      <w:r w:rsidRPr="00C176A9">
        <w:rPr>
          <w:sz w:val="24"/>
          <w:szCs w:val="24"/>
        </w:rPr>
        <w:t>bioactives</w:t>
      </w:r>
      <w:proofErr w:type="spellEnd"/>
      <w:r w:rsidRPr="00C176A9">
        <w:rPr>
          <w:sz w:val="24"/>
          <w:szCs w:val="24"/>
        </w:rPr>
        <w:t xml:space="preserve">. Current Opinion in Colloid &amp; Interface Science, 15(1–2), 73–83. </w:t>
      </w:r>
      <w:hyperlink r:id="rId54" w:history="1">
        <w:r w:rsidRPr="00E56609">
          <w:rPr>
            <w:rStyle w:val="Hyperlink"/>
            <w:sz w:val="24"/>
            <w:szCs w:val="24"/>
          </w:rPr>
          <w:t>https://doi.org/10.1016/j.cocis.2009.11.002</w:t>
        </w:r>
      </w:hyperlink>
      <w:r>
        <w:rPr>
          <w:sz w:val="24"/>
          <w:szCs w:val="24"/>
        </w:rPr>
        <w:t xml:space="preserve"> </w:t>
      </w:r>
    </w:p>
    <w:p w14:paraId="12ECD068" w14:textId="5F3FBEDC" w:rsidR="0059665B" w:rsidRDefault="00D86878">
      <w:pPr>
        <w:pBdr>
          <w:top w:val="nil"/>
          <w:left w:val="nil"/>
          <w:bottom w:val="nil"/>
          <w:right w:val="nil"/>
          <w:between w:val="nil"/>
        </w:pBdr>
        <w:spacing w:before="153" w:line="261" w:lineRule="auto"/>
        <w:ind w:left="165" w:right="1167"/>
        <w:rPr>
          <w:color w:val="000000"/>
          <w:sz w:val="24"/>
          <w:szCs w:val="24"/>
        </w:rPr>
      </w:pPr>
      <w:proofErr w:type="spellStart"/>
      <w:r w:rsidRPr="00D86878">
        <w:rPr>
          <w:color w:val="000000"/>
          <w:sz w:val="24"/>
          <w:szCs w:val="24"/>
        </w:rPr>
        <w:t>Livney</w:t>
      </w:r>
      <w:proofErr w:type="spellEnd"/>
      <w:r w:rsidRPr="00D86878">
        <w:rPr>
          <w:color w:val="000000"/>
          <w:sz w:val="24"/>
          <w:szCs w:val="24"/>
        </w:rPr>
        <w:t xml:space="preserve">, Y. D. (2015). Nanostructured delivery systems in food: Latest developments and potential future directions. Current Opinion in Food Science, 3, 125–135. </w:t>
      </w:r>
      <w:hyperlink r:id="rId55" w:history="1">
        <w:r w:rsidRPr="00E56609">
          <w:rPr>
            <w:rStyle w:val="Hyperlink"/>
            <w:sz w:val="24"/>
            <w:szCs w:val="24"/>
          </w:rPr>
          <w:t>https://doi.org/10.1016/j.cofs.2015.06.010</w:t>
        </w:r>
      </w:hyperlink>
      <w:r>
        <w:rPr>
          <w:color w:val="000000"/>
          <w:sz w:val="24"/>
          <w:szCs w:val="24"/>
        </w:rPr>
        <w:t xml:space="preserve"> </w:t>
      </w:r>
    </w:p>
    <w:p w14:paraId="097601DC" w14:textId="4B68C7FE" w:rsidR="0059665B" w:rsidRDefault="00C40E86">
      <w:pPr>
        <w:spacing w:before="24" w:line="256" w:lineRule="auto"/>
        <w:ind w:left="165" w:right="1167"/>
        <w:rPr>
          <w:sz w:val="24"/>
          <w:szCs w:val="24"/>
        </w:rPr>
      </w:pPr>
      <w:proofErr w:type="spellStart"/>
      <w:r w:rsidRPr="00C40E86">
        <w:rPr>
          <w:color w:val="000000"/>
          <w:sz w:val="24"/>
          <w:szCs w:val="24"/>
        </w:rPr>
        <w:t>Mackevica</w:t>
      </w:r>
      <w:proofErr w:type="spellEnd"/>
      <w:r w:rsidRPr="00C40E86">
        <w:rPr>
          <w:color w:val="000000"/>
          <w:sz w:val="24"/>
          <w:szCs w:val="24"/>
        </w:rPr>
        <w:t xml:space="preserve">, A., Olsson, M. E., &amp; Hansen, S. F. (2016). Silver nanoparticle release from commercially available plastic food containers into food simulants. Journal of Nanoparticle Research. </w:t>
      </w:r>
      <w:hyperlink r:id="rId56" w:history="1">
        <w:r w:rsidRPr="00E56609">
          <w:rPr>
            <w:rStyle w:val="Hyperlink"/>
            <w:sz w:val="24"/>
            <w:szCs w:val="24"/>
          </w:rPr>
          <w:t>https://doi.org/10.1007/s11051-015-3313-x</w:t>
        </w:r>
      </w:hyperlink>
      <w:r>
        <w:rPr>
          <w:color w:val="000000"/>
          <w:sz w:val="24"/>
          <w:szCs w:val="24"/>
        </w:rPr>
        <w:t xml:space="preserve"> </w:t>
      </w:r>
    </w:p>
    <w:p w14:paraId="0F31FC43" w14:textId="77777777" w:rsidR="0059665B" w:rsidRDefault="00040B3E">
      <w:pPr>
        <w:pBdr>
          <w:top w:val="nil"/>
          <w:left w:val="nil"/>
          <w:bottom w:val="nil"/>
          <w:right w:val="nil"/>
          <w:between w:val="nil"/>
        </w:pBdr>
        <w:spacing w:before="165"/>
        <w:ind w:left="165"/>
        <w:rPr>
          <w:color w:val="000000"/>
          <w:sz w:val="24"/>
          <w:szCs w:val="24"/>
        </w:rPr>
      </w:pPr>
      <w:r>
        <w:rPr>
          <w:color w:val="000000"/>
          <w:sz w:val="24"/>
          <w:szCs w:val="24"/>
        </w:rPr>
        <w:t>Maharramov, A. M., Hasanova, U. A., Suleymanova, I. A., Osmanova, G. E., &amp; Hajiyeva, N.</w:t>
      </w:r>
    </w:p>
    <w:p w14:paraId="0BA757AE" w14:textId="77777777" w:rsidR="0059665B" w:rsidRDefault="00040B3E">
      <w:pPr>
        <w:pBdr>
          <w:top w:val="nil"/>
          <w:left w:val="nil"/>
          <w:bottom w:val="nil"/>
          <w:right w:val="nil"/>
          <w:between w:val="nil"/>
        </w:pBdr>
        <w:spacing w:before="24" w:line="256" w:lineRule="auto"/>
        <w:ind w:left="165" w:right="1167"/>
        <w:rPr>
          <w:color w:val="000000"/>
          <w:sz w:val="24"/>
          <w:szCs w:val="24"/>
        </w:rPr>
      </w:pPr>
      <w:r>
        <w:rPr>
          <w:color w:val="000000"/>
          <w:sz w:val="24"/>
          <w:szCs w:val="24"/>
        </w:rPr>
        <w:t xml:space="preserve">E. (2019). The engineered nanoparticles in food chain: potential toxicity and effects. </w:t>
      </w:r>
      <w:r>
        <w:rPr>
          <w:i/>
          <w:color w:val="000000"/>
          <w:sz w:val="24"/>
          <w:szCs w:val="24"/>
        </w:rPr>
        <w:t>SN Applied Sciences</w:t>
      </w:r>
      <w:r>
        <w:rPr>
          <w:color w:val="000000"/>
          <w:sz w:val="24"/>
          <w:szCs w:val="24"/>
        </w:rPr>
        <w:t xml:space="preserve">, </w:t>
      </w:r>
      <w:r>
        <w:rPr>
          <w:i/>
          <w:color w:val="000000"/>
          <w:sz w:val="24"/>
          <w:szCs w:val="24"/>
        </w:rPr>
        <w:t>1</w:t>
      </w:r>
      <w:r>
        <w:rPr>
          <w:color w:val="000000"/>
          <w:sz w:val="24"/>
          <w:szCs w:val="24"/>
        </w:rPr>
        <w:t>(11), 1–25. https://doi.org/10.1007/s42452-019-1412-5</w:t>
      </w:r>
    </w:p>
    <w:p w14:paraId="2DDB70AC" w14:textId="77777777" w:rsidR="0059665B" w:rsidRDefault="00040B3E">
      <w:pPr>
        <w:spacing w:before="165" w:line="259" w:lineRule="auto"/>
        <w:ind w:left="165" w:right="1167"/>
        <w:rPr>
          <w:sz w:val="24"/>
          <w:szCs w:val="24"/>
        </w:rPr>
      </w:pPr>
      <w:r>
        <w:rPr>
          <w:sz w:val="24"/>
          <w:szCs w:val="24"/>
        </w:rPr>
        <w:t xml:space="preserve">McClements, D. J. (2012). Advances in fabrication of emulsions with enhanced functionality using structural design principles. </w:t>
      </w:r>
      <w:r>
        <w:rPr>
          <w:i/>
          <w:sz w:val="24"/>
          <w:szCs w:val="24"/>
        </w:rPr>
        <w:t>Current Opinion in Colloid &amp; Interface Science</w:t>
      </w:r>
      <w:r>
        <w:rPr>
          <w:sz w:val="24"/>
          <w:szCs w:val="24"/>
        </w:rPr>
        <w:t xml:space="preserve">, </w:t>
      </w:r>
      <w:r>
        <w:rPr>
          <w:i/>
          <w:sz w:val="24"/>
          <w:szCs w:val="24"/>
        </w:rPr>
        <w:t>17</w:t>
      </w:r>
      <w:r>
        <w:rPr>
          <w:sz w:val="24"/>
          <w:szCs w:val="24"/>
        </w:rPr>
        <w:t>(5), 235–245.</w:t>
      </w:r>
    </w:p>
    <w:p w14:paraId="567E54BE" w14:textId="6249F0D1" w:rsidR="0059665B" w:rsidRDefault="00492D92">
      <w:pPr>
        <w:pBdr>
          <w:top w:val="nil"/>
          <w:left w:val="nil"/>
          <w:bottom w:val="nil"/>
          <w:right w:val="nil"/>
          <w:between w:val="nil"/>
        </w:pBdr>
        <w:spacing w:before="156" w:line="261" w:lineRule="auto"/>
        <w:ind w:left="165" w:right="1167"/>
        <w:rPr>
          <w:color w:val="000000"/>
          <w:sz w:val="24"/>
          <w:szCs w:val="24"/>
        </w:rPr>
      </w:pPr>
      <w:r w:rsidRPr="00492D92">
        <w:rPr>
          <w:color w:val="000000"/>
          <w:sz w:val="24"/>
          <w:szCs w:val="24"/>
        </w:rPr>
        <w:t xml:space="preserve">McClements, D. J. (2013). Edible lipid nanoparticles: Digestion, absorption, and potential toxicity. Progress in Lipid Research. </w:t>
      </w:r>
      <w:hyperlink r:id="rId57" w:history="1">
        <w:r w:rsidRPr="00E56609">
          <w:rPr>
            <w:rStyle w:val="Hyperlink"/>
            <w:sz w:val="24"/>
            <w:szCs w:val="24"/>
          </w:rPr>
          <w:t>https://doi.org/10.1016/j.plipres.2013.04.008</w:t>
        </w:r>
      </w:hyperlink>
      <w:r>
        <w:rPr>
          <w:color w:val="000000"/>
          <w:sz w:val="24"/>
          <w:szCs w:val="24"/>
        </w:rPr>
        <w:t xml:space="preserve"> </w:t>
      </w:r>
    </w:p>
    <w:p w14:paraId="4785EA32" w14:textId="45407357" w:rsidR="0059665B" w:rsidRDefault="005F6FA9">
      <w:pPr>
        <w:pBdr>
          <w:top w:val="nil"/>
          <w:left w:val="nil"/>
          <w:bottom w:val="nil"/>
          <w:right w:val="nil"/>
          <w:between w:val="nil"/>
        </w:pBdr>
        <w:spacing w:before="158" w:line="256" w:lineRule="auto"/>
        <w:ind w:left="165" w:right="1167"/>
        <w:rPr>
          <w:color w:val="000000"/>
          <w:sz w:val="24"/>
          <w:szCs w:val="24"/>
        </w:rPr>
      </w:pPr>
      <w:r w:rsidRPr="005F6FA9">
        <w:rPr>
          <w:color w:val="000000"/>
          <w:sz w:val="24"/>
          <w:szCs w:val="24"/>
        </w:rPr>
        <w:t xml:space="preserve">McClements, D. J. (2015). Reduced-fat foods: the complex science of developing diet-based strategies for tackling overweight and obesity. Advances in Nutrition, 6(3), 338S-352S. </w:t>
      </w:r>
      <w:hyperlink r:id="rId58" w:history="1">
        <w:r w:rsidRPr="00E56609">
          <w:rPr>
            <w:rStyle w:val="Hyperlink"/>
            <w:sz w:val="24"/>
            <w:szCs w:val="24"/>
          </w:rPr>
          <w:t>https://doi.org/10.3945/an.114.006999</w:t>
        </w:r>
      </w:hyperlink>
      <w:r>
        <w:rPr>
          <w:color w:val="000000"/>
          <w:sz w:val="24"/>
          <w:szCs w:val="24"/>
        </w:rPr>
        <w:t xml:space="preserve"> </w:t>
      </w:r>
    </w:p>
    <w:p w14:paraId="10652130" w14:textId="062EE324" w:rsidR="0059665B" w:rsidRDefault="002D3F39">
      <w:pPr>
        <w:spacing w:before="5"/>
        <w:ind w:left="165"/>
        <w:rPr>
          <w:sz w:val="24"/>
          <w:szCs w:val="24"/>
        </w:rPr>
      </w:pPr>
      <w:r w:rsidRPr="002D3F39">
        <w:rPr>
          <w:color w:val="000000"/>
          <w:sz w:val="24"/>
          <w:szCs w:val="24"/>
        </w:rPr>
        <w:t xml:space="preserve">McClements, D. J., &amp; Rao, J. (2011). Food-grade </w:t>
      </w:r>
      <w:proofErr w:type="spellStart"/>
      <w:r w:rsidRPr="002D3F39">
        <w:rPr>
          <w:color w:val="000000"/>
          <w:sz w:val="24"/>
          <w:szCs w:val="24"/>
        </w:rPr>
        <w:t>nanoemulsions</w:t>
      </w:r>
      <w:proofErr w:type="spellEnd"/>
      <w:r w:rsidRPr="002D3F39">
        <w:rPr>
          <w:color w:val="000000"/>
          <w:sz w:val="24"/>
          <w:szCs w:val="24"/>
        </w:rPr>
        <w:t xml:space="preserve">: formulation, fabrication, properties, performance, biological fate, and potential toxicity. Critical Reviews in Food Science and Nutrition, 51(4), 285–330. </w:t>
      </w:r>
      <w:hyperlink r:id="rId59" w:history="1">
        <w:r w:rsidRPr="00E56609">
          <w:rPr>
            <w:rStyle w:val="Hyperlink"/>
            <w:sz w:val="24"/>
            <w:szCs w:val="24"/>
          </w:rPr>
          <w:t>https://doi.org/10.1080/10408398.2011.559558</w:t>
        </w:r>
      </w:hyperlink>
      <w:r>
        <w:rPr>
          <w:color w:val="000000"/>
          <w:sz w:val="24"/>
          <w:szCs w:val="24"/>
        </w:rPr>
        <w:t xml:space="preserve"> </w:t>
      </w:r>
    </w:p>
    <w:p w14:paraId="12B6EA4F" w14:textId="3A8CC130" w:rsidR="0059665B" w:rsidRDefault="00BB6904">
      <w:pPr>
        <w:pBdr>
          <w:top w:val="nil"/>
          <w:left w:val="nil"/>
          <w:bottom w:val="nil"/>
          <w:right w:val="nil"/>
          <w:between w:val="nil"/>
        </w:pBdr>
        <w:spacing w:before="179" w:line="261" w:lineRule="auto"/>
        <w:ind w:left="165" w:right="1167"/>
        <w:rPr>
          <w:color w:val="000000"/>
          <w:sz w:val="24"/>
          <w:szCs w:val="24"/>
        </w:rPr>
      </w:pPr>
      <w:r w:rsidRPr="00BB6904">
        <w:rPr>
          <w:color w:val="000000"/>
          <w:sz w:val="24"/>
          <w:szCs w:val="24"/>
        </w:rPr>
        <w:t xml:space="preserve">McClements, D. J., &amp; Xiao, H. (2012). Potential biological fate of ingested </w:t>
      </w:r>
      <w:proofErr w:type="spellStart"/>
      <w:r w:rsidRPr="00BB6904">
        <w:rPr>
          <w:color w:val="000000"/>
          <w:sz w:val="24"/>
          <w:szCs w:val="24"/>
        </w:rPr>
        <w:t>nanoemulsions</w:t>
      </w:r>
      <w:proofErr w:type="spellEnd"/>
      <w:r w:rsidRPr="00BB6904">
        <w:rPr>
          <w:color w:val="000000"/>
          <w:sz w:val="24"/>
          <w:szCs w:val="24"/>
        </w:rPr>
        <w:t xml:space="preserve">: influence of particle characteristics. Food &amp; Function. </w:t>
      </w:r>
      <w:hyperlink r:id="rId60" w:history="1">
        <w:r w:rsidRPr="00E56609">
          <w:rPr>
            <w:rStyle w:val="Hyperlink"/>
            <w:sz w:val="24"/>
            <w:szCs w:val="24"/>
          </w:rPr>
          <w:t>https://doi.org/10.1039/c1fo10193e</w:t>
        </w:r>
      </w:hyperlink>
      <w:r>
        <w:rPr>
          <w:color w:val="000000"/>
          <w:sz w:val="24"/>
          <w:szCs w:val="24"/>
        </w:rPr>
        <w:t xml:space="preserve"> </w:t>
      </w:r>
    </w:p>
    <w:p w14:paraId="6A9A035A" w14:textId="03D108A5" w:rsidR="0059665B" w:rsidRDefault="00705196">
      <w:pPr>
        <w:spacing w:before="4"/>
        <w:ind w:left="165"/>
        <w:rPr>
          <w:sz w:val="24"/>
          <w:szCs w:val="24"/>
        </w:rPr>
      </w:pPr>
      <w:r w:rsidRPr="00705196">
        <w:rPr>
          <w:color w:val="000000"/>
          <w:sz w:val="24"/>
          <w:szCs w:val="24"/>
        </w:rPr>
        <w:t xml:space="preserve">McClements, D. J., &amp; Xiao, H. (2017). Is </w:t>
      </w:r>
      <w:proofErr w:type="spellStart"/>
      <w:r w:rsidRPr="00705196">
        <w:rPr>
          <w:color w:val="000000"/>
          <w:sz w:val="24"/>
          <w:szCs w:val="24"/>
        </w:rPr>
        <w:t>nano</w:t>
      </w:r>
      <w:proofErr w:type="spellEnd"/>
      <w:r w:rsidRPr="00705196">
        <w:rPr>
          <w:color w:val="000000"/>
          <w:sz w:val="24"/>
          <w:szCs w:val="24"/>
        </w:rPr>
        <w:t xml:space="preserve"> safe in foods? Establishing the factors impacting the gastrointestinal fate and toxicity of organic and inorganic food-grade nanoparticles. </w:t>
      </w:r>
      <w:proofErr w:type="spellStart"/>
      <w:r w:rsidRPr="00705196">
        <w:rPr>
          <w:color w:val="000000"/>
          <w:sz w:val="24"/>
          <w:szCs w:val="24"/>
        </w:rPr>
        <w:t>Npj</w:t>
      </w:r>
      <w:proofErr w:type="spellEnd"/>
      <w:r w:rsidRPr="00705196">
        <w:rPr>
          <w:color w:val="000000"/>
          <w:sz w:val="24"/>
          <w:szCs w:val="24"/>
        </w:rPr>
        <w:t xml:space="preserve"> Science of Food, 1(1), 6. </w:t>
      </w:r>
      <w:hyperlink r:id="rId61" w:history="1">
        <w:r w:rsidRPr="00E56609">
          <w:rPr>
            <w:rStyle w:val="Hyperlink"/>
            <w:sz w:val="24"/>
            <w:szCs w:val="24"/>
          </w:rPr>
          <w:t>https://doi.org/10.1038/s41538-017-0005-1</w:t>
        </w:r>
      </w:hyperlink>
      <w:r>
        <w:rPr>
          <w:color w:val="000000"/>
          <w:sz w:val="24"/>
          <w:szCs w:val="24"/>
        </w:rPr>
        <w:t xml:space="preserve"> </w:t>
      </w:r>
    </w:p>
    <w:p w14:paraId="447E94D4" w14:textId="77777777" w:rsidR="002C4E8F" w:rsidRDefault="002C4E8F">
      <w:pPr>
        <w:spacing w:before="4"/>
        <w:ind w:left="165"/>
        <w:rPr>
          <w:sz w:val="24"/>
          <w:szCs w:val="24"/>
        </w:rPr>
      </w:pPr>
    </w:p>
    <w:p w14:paraId="41E1AD32" w14:textId="4758F5E3" w:rsidR="002C4E8F" w:rsidRDefault="001E1ECB">
      <w:pPr>
        <w:spacing w:before="4"/>
        <w:ind w:left="165"/>
        <w:rPr>
          <w:sz w:val="24"/>
          <w:szCs w:val="24"/>
        </w:rPr>
      </w:pPr>
      <w:r w:rsidRPr="001E1ECB">
        <w:rPr>
          <w:sz w:val="24"/>
          <w:szCs w:val="24"/>
        </w:rPr>
        <w:t xml:space="preserve">Mendes, A. R., </w:t>
      </w:r>
      <w:proofErr w:type="spellStart"/>
      <w:r w:rsidRPr="001E1ECB">
        <w:rPr>
          <w:sz w:val="24"/>
          <w:szCs w:val="24"/>
        </w:rPr>
        <w:t>Granadeiro</w:t>
      </w:r>
      <w:proofErr w:type="spellEnd"/>
      <w:r w:rsidRPr="001E1ECB">
        <w:rPr>
          <w:sz w:val="24"/>
          <w:szCs w:val="24"/>
        </w:rPr>
        <w:t xml:space="preserve">, C. M., </w:t>
      </w:r>
      <w:proofErr w:type="spellStart"/>
      <w:r w:rsidRPr="001E1ECB">
        <w:rPr>
          <w:sz w:val="24"/>
          <w:szCs w:val="24"/>
        </w:rPr>
        <w:t>Leite</w:t>
      </w:r>
      <w:proofErr w:type="spellEnd"/>
      <w:r w:rsidRPr="001E1ECB">
        <w:rPr>
          <w:sz w:val="24"/>
          <w:szCs w:val="24"/>
        </w:rPr>
        <w:t xml:space="preserve">, A., Pereira, E., Teixeira, P., &amp; </w:t>
      </w:r>
      <w:proofErr w:type="spellStart"/>
      <w:r w:rsidRPr="001E1ECB">
        <w:rPr>
          <w:sz w:val="24"/>
          <w:szCs w:val="24"/>
        </w:rPr>
        <w:t>Poças</w:t>
      </w:r>
      <w:proofErr w:type="spellEnd"/>
      <w:r w:rsidRPr="001E1ECB">
        <w:rPr>
          <w:sz w:val="24"/>
          <w:szCs w:val="24"/>
        </w:rPr>
        <w:t xml:space="preserve">, F. (2024). Optimizing Antimicrobial Efficacy: Investigating the Impact of Zinc Oxide Nanoparticle Shape and Size. Nanomaterials, 14(7), 638. </w:t>
      </w:r>
      <w:hyperlink r:id="rId62" w:history="1">
        <w:r w:rsidRPr="00E56609">
          <w:rPr>
            <w:rStyle w:val="Hyperlink"/>
            <w:sz w:val="24"/>
            <w:szCs w:val="24"/>
          </w:rPr>
          <w:t>https://doi.org/10.3390/nano14070638</w:t>
        </w:r>
      </w:hyperlink>
      <w:r>
        <w:rPr>
          <w:sz w:val="24"/>
          <w:szCs w:val="24"/>
        </w:rPr>
        <w:t xml:space="preserve"> </w:t>
      </w:r>
    </w:p>
    <w:p w14:paraId="4FF52F31" w14:textId="77777777" w:rsidR="00B475DF" w:rsidRDefault="00B475DF">
      <w:pPr>
        <w:spacing w:before="4"/>
        <w:ind w:left="165"/>
        <w:rPr>
          <w:sz w:val="24"/>
          <w:szCs w:val="24"/>
        </w:rPr>
      </w:pPr>
    </w:p>
    <w:p w14:paraId="1FA4F2CC" w14:textId="77777777" w:rsidR="00B475DF" w:rsidRDefault="00B475DF">
      <w:pPr>
        <w:spacing w:before="4"/>
        <w:ind w:left="165"/>
        <w:rPr>
          <w:sz w:val="24"/>
          <w:szCs w:val="24"/>
        </w:rPr>
      </w:pPr>
      <w:r w:rsidRPr="00B475DF">
        <w:rPr>
          <w:sz w:val="24"/>
          <w:szCs w:val="24"/>
        </w:rPr>
        <w:t>Mishra S. P., The apocalyptic Anthropocene epoch and its management in India, Int. Jour. Adv. Research, 2017, 5(3), pp. 645-663; DOI: 10.21474/IJAR01/3555</w:t>
      </w:r>
    </w:p>
    <w:p w14:paraId="12DDE3D3" w14:textId="77777777" w:rsidR="00B475DF" w:rsidRDefault="00B475DF">
      <w:pPr>
        <w:spacing w:before="4"/>
        <w:ind w:left="165"/>
        <w:rPr>
          <w:sz w:val="24"/>
          <w:szCs w:val="24"/>
        </w:rPr>
      </w:pPr>
    </w:p>
    <w:p w14:paraId="4C58005D" w14:textId="6CFB2D07" w:rsidR="00B475DF" w:rsidRDefault="00B475DF">
      <w:pPr>
        <w:spacing w:before="4"/>
        <w:ind w:left="165"/>
        <w:rPr>
          <w:sz w:val="24"/>
          <w:szCs w:val="24"/>
        </w:rPr>
      </w:pPr>
      <w:r w:rsidRPr="00B475DF">
        <w:rPr>
          <w:sz w:val="24"/>
          <w:szCs w:val="24"/>
        </w:rPr>
        <w:t>Mishra D. P., Mishra S. P., Organic farming: paradigm shift during pandemic to 'food safety</w:t>
      </w:r>
      <w:r>
        <w:rPr>
          <w:sz w:val="24"/>
          <w:szCs w:val="24"/>
        </w:rPr>
        <w:t>.</w:t>
      </w:r>
      <w:r w:rsidRPr="00B475DF">
        <w:rPr>
          <w:sz w:val="24"/>
          <w:szCs w:val="24"/>
        </w:rPr>
        <w:t xml:space="preserve"> complying 'food security in India; Annual Research &amp; Review in Biology 35(10):63-74, (Oct- 2020); DOI: </w:t>
      </w:r>
      <w:r w:rsidRPr="00B475DF">
        <w:rPr>
          <w:sz w:val="24"/>
          <w:szCs w:val="24"/>
        </w:rPr>
        <w:lastRenderedPageBreak/>
        <w:t>10.9734/ARRB/2020/XXXXX</w:t>
      </w:r>
    </w:p>
    <w:p w14:paraId="4F200B55" w14:textId="77777777" w:rsidR="00694B40" w:rsidRDefault="00694B40">
      <w:pPr>
        <w:spacing w:before="4"/>
        <w:ind w:left="165"/>
        <w:rPr>
          <w:sz w:val="24"/>
          <w:szCs w:val="24"/>
        </w:rPr>
      </w:pPr>
    </w:p>
    <w:p w14:paraId="47A08E37" w14:textId="2E5B3605" w:rsidR="00694B40" w:rsidRDefault="00BB0D57">
      <w:pPr>
        <w:spacing w:before="4"/>
        <w:ind w:left="165"/>
        <w:rPr>
          <w:sz w:val="24"/>
          <w:szCs w:val="24"/>
        </w:rPr>
      </w:pPr>
      <w:r w:rsidRPr="00BB0D57">
        <w:rPr>
          <w:sz w:val="24"/>
          <w:szCs w:val="24"/>
        </w:rPr>
        <w:t xml:space="preserve">Mishra, D. P., &amp; Mishra, S. P. (2025). Food Fortification: Strategic Launch Pad towards Achieving Sustainable Nutritional Security. European Journal of Nutrition &amp; Food Safety, 17(5), 61-73. </w:t>
      </w:r>
      <w:hyperlink r:id="rId63" w:history="1">
        <w:r w:rsidRPr="00E56609">
          <w:rPr>
            <w:rStyle w:val="Hyperlink"/>
            <w:sz w:val="24"/>
            <w:szCs w:val="24"/>
          </w:rPr>
          <w:t>https://doi.org/10.9734/ejnfs/2025/v17i51708</w:t>
        </w:r>
      </w:hyperlink>
      <w:r>
        <w:rPr>
          <w:sz w:val="24"/>
          <w:szCs w:val="24"/>
        </w:rPr>
        <w:t xml:space="preserve"> </w:t>
      </w:r>
    </w:p>
    <w:p w14:paraId="76FB31C9" w14:textId="77777777" w:rsidR="00B475DF" w:rsidRDefault="00B475DF">
      <w:pPr>
        <w:spacing w:before="4"/>
        <w:ind w:left="165"/>
        <w:rPr>
          <w:sz w:val="24"/>
          <w:szCs w:val="24"/>
        </w:rPr>
      </w:pPr>
    </w:p>
    <w:p w14:paraId="3804D64D" w14:textId="4691CD32" w:rsidR="00DF50AD" w:rsidRDefault="000A1869">
      <w:pPr>
        <w:spacing w:before="4"/>
        <w:ind w:left="165"/>
        <w:rPr>
          <w:sz w:val="24"/>
          <w:szCs w:val="24"/>
        </w:rPr>
      </w:pPr>
      <w:r w:rsidRPr="000A1869">
        <w:rPr>
          <w:sz w:val="24"/>
          <w:szCs w:val="24"/>
        </w:rPr>
        <w:t xml:space="preserve">Muthu, A., Nguyen, D. H. H., </w:t>
      </w:r>
      <w:proofErr w:type="spellStart"/>
      <w:r w:rsidRPr="000A1869">
        <w:rPr>
          <w:sz w:val="24"/>
          <w:szCs w:val="24"/>
        </w:rPr>
        <w:t>Neji</w:t>
      </w:r>
      <w:proofErr w:type="spellEnd"/>
      <w:r w:rsidRPr="000A1869">
        <w:rPr>
          <w:sz w:val="24"/>
          <w:szCs w:val="24"/>
        </w:rPr>
        <w:t xml:space="preserve">, C., </w:t>
      </w:r>
      <w:proofErr w:type="spellStart"/>
      <w:r w:rsidRPr="000A1869">
        <w:rPr>
          <w:sz w:val="24"/>
          <w:szCs w:val="24"/>
        </w:rPr>
        <w:t>Törős</w:t>
      </w:r>
      <w:proofErr w:type="spellEnd"/>
      <w:r w:rsidRPr="000A1869">
        <w:rPr>
          <w:sz w:val="24"/>
          <w:szCs w:val="24"/>
        </w:rPr>
        <w:t xml:space="preserve">, G., </w:t>
      </w:r>
      <w:proofErr w:type="spellStart"/>
      <w:r w:rsidRPr="000A1869">
        <w:rPr>
          <w:sz w:val="24"/>
          <w:szCs w:val="24"/>
        </w:rPr>
        <w:t>Ferroudj</w:t>
      </w:r>
      <w:proofErr w:type="spellEnd"/>
      <w:r w:rsidRPr="000A1869">
        <w:rPr>
          <w:sz w:val="24"/>
          <w:szCs w:val="24"/>
        </w:rPr>
        <w:t xml:space="preserve">, A., </w:t>
      </w:r>
      <w:proofErr w:type="spellStart"/>
      <w:r w:rsidRPr="000A1869">
        <w:rPr>
          <w:sz w:val="24"/>
          <w:szCs w:val="24"/>
        </w:rPr>
        <w:t>Atieh</w:t>
      </w:r>
      <w:proofErr w:type="spellEnd"/>
      <w:r w:rsidRPr="000A1869">
        <w:rPr>
          <w:sz w:val="24"/>
          <w:szCs w:val="24"/>
        </w:rPr>
        <w:t xml:space="preserve">, R., </w:t>
      </w:r>
      <w:proofErr w:type="spellStart"/>
      <w:r w:rsidRPr="000A1869">
        <w:rPr>
          <w:sz w:val="24"/>
          <w:szCs w:val="24"/>
        </w:rPr>
        <w:t>Prokisch</w:t>
      </w:r>
      <w:proofErr w:type="spellEnd"/>
      <w:r w:rsidRPr="000A1869">
        <w:rPr>
          <w:sz w:val="24"/>
          <w:szCs w:val="24"/>
        </w:rPr>
        <w:t>, J., El-</w:t>
      </w:r>
      <w:proofErr w:type="spellStart"/>
      <w:r w:rsidRPr="000A1869">
        <w:rPr>
          <w:sz w:val="24"/>
          <w:szCs w:val="24"/>
        </w:rPr>
        <w:t>Ramady</w:t>
      </w:r>
      <w:proofErr w:type="spellEnd"/>
      <w:r w:rsidRPr="000A1869">
        <w:rPr>
          <w:sz w:val="24"/>
          <w:szCs w:val="24"/>
        </w:rPr>
        <w:t xml:space="preserve">, H., &amp; </w:t>
      </w:r>
      <w:proofErr w:type="spellStart"/>
      <w:r w:rsidRPr="000A1869">
        <w:rPr>
          <w:sz w:val="24"/>
          <w:szCs w:val="24"/>
        </w:rPr>
        <w:t>Béni</w:t>
      </w:r>
      <w:proofErr w:type="spellEnd"/>
      <w:r w:rsidRPr="000A1869">
        <w:rPr>
          <w:sz w:val="24"/>
          <w:szCs w:val="24"/>
        </w:rPr>
        <w:t xml:space="preserve">, Á. (2025). Nanomaterials for Smart and Sustainable Food Packaging: Nano-Sensing Mechanisms, and Regulatory Perspectives. Foods, 14(15), 2657. </w:t>
      </w:r>
      <w:hyperlink r:id="rId64" w:history="1">
        <w:r w:rsidRPr="00E56609">
          <w:rPr>
            <w:rStyle w:val="Hyperlink"/>
            <w:sz w:val="24"/>
            <w:szCs w:val="24"/>
          </w:rPr>
          <w:t>https://doi.org/10.3390/foods14152657</w:t>
        </w:r>
      </w:hyperlink>
      <w:r>
        <w:rPr>
          <w:sz w:val="24"/>
          <w:szCs w:val="24"/>
        </w:rPr>
        <w:t xml:space="preserve"> </w:t>
      </w:r>
    </w:p>
    <w:p w14:paraId="05261E11" w14:textId="106649AD" w:rsidR="0059665B" w:rsidRDefault="00902A3C">
      <w:pPr>
        <w:spacing w:before="24"/>
        <w:ind w:left="165"/>
        <w:rPr>
          <w:sz w:val="24"/>
          <w:szCs w:val="24"/>
        </w:rPr>
      </w:pPr>
      <w:r w:rsidRPr="00902A3C">
        <w:rPr>
          <w:color w:val="000000"/>
          <w:sz w:val="24"/>
          <w:szCs w:val="24"/>
        </w:rPr>
        <w:t xml:space="preserve">Myrick, J. M., </w:t>
      </w:r>
      <w:proofErr w:type="spellStart"/>
      <w:r w:rsidRPr="00902A3C">
        <w:rPr>
          <w:color w:val="000000"/>
          <w:sz w:val="24"/>
          <w:szCs w:val="24"/>
        </w:rPr>
        <w:t>Vendra</w:t>
      </w:r>
      <w:proofErr w:type="spellEnd"/>
      <w:r w:rsidRPr="00902A3C">
        <w:rPr>
          <w:color w:val="000000"/>
          <w:sz w:val="24"/>
          <w:szCs w:val="24"/>
        </w:rPr>
        <w:t xml:space="preserve">, V. K., &amp; Krishnan, S. (2014). Self-assembled polysaccharide nanostructures for controlled-release applications. Nanotechnology Reviews, 3(4), 319–346. </w:t>
      </w:r>
      <w:hyperlink r:id="rId65" w:history="1">
        <w:r w:rsidRPr="00E56609">
          <w:rPr>
            <w:rStyle w:val="Hyperlink"/>
            <w:sz w:val="24"/>
            <w:szCs w:val="24"/>
          </w:rPr>
          <w:t>https://doi.org/10.1515/ntrev-2012-0050</w:t>
        </w:r>
      </w:hyperlink>
      <w:r>
        <w:rPr>
          <w:color w:val="000000"/>
          <w:sz w:val="24"/>
          <w:szCs w:val="24"/>
        </w:rPr>
        <w:t xml:space="preserve"> </w:t>
      </w:r>
    </w:p>
    <w:p w14:paraId="75EC96A2" w14:textId="0DBF8DD3" w:rsidR="00DD1F1E" w:rsidRDefault="00244D82">
      <w:pPr>
        <w:pBdr>
          <w:top w:val="nil"/>
          <w:left w:val="nil"/>
          <w:bottom w:val="nil"/>
          <w:right w:val="nil"/>
          <w:between w:val="nil"/>
        </w:pBdr>
        <w:spacing w:before="179" w:line="261" w:lineRule="auto"/>
        <w:ind w:left="165" w:right="1167"/>
        <w:rPr>
          <w:color w:val="000000"/>
          <w:sz w:val="24"/>
          <w:szCs w:val="24"/>
        </w:rPr>
      </w:pPr>
      <w:r w:rsidRPr="00244D82">
        <w:rPr>
          <w:color w:val="000000"/>
          <w:sz w:val="24"/>
          <w:szCs w:val="24"/>
        </w:rPr>
        <w:t xml:space="preserve">Nadeem, M., </w:t>
      </w:r>
      <w:proofErr w:type="spellStart"/>
      <w:r w:rsidRPr="00244D82">
        <w:rPr>
          <w:color w:val="000000"/>
          <w:sz w:val="24"/>
          <w:szCs w:val="24"/>
        </w:rPr>
        <w:t>Tungmunnithum</w:t>
      </w:r>
      <w:proofErr w:type="spellEnd"/>
      <w:r w:rsidRPr="00244D82">
        <w:rPr>
          <w:color w:val="000000"/>
          <w:sz w:val="24"/>
          <w:szCs w:val="24"/>
        </w:rPr>
        <w:t xml:space="preserve">, D., </w:t>
      </w:r>
      <w:proofErr w:type="spellStart"/>
      <w:r w:rsidRPr="00244D82">
        <w:rPr>
          <w:color w:val="000000"/>
          <w:sz w:val="24"/>
          <w:szCs w:val="24"/>
        </w:rPr>
        <w:t>Hano</w:t>
      </w:r>
      <w:proofErr w:type="spellEnd"/>
      <w:r w:rsidRPr="00244D82">
        <w:rPr>
          <w:color w:val="000000"/>
          <w:sz w:val="24"/>
          <w:szCs w:val="24"/>
        </w:rPr>
        <w:t xml:space="preserve">, C., Abbasi, B. H., Hashmi, S. S., Ahmad, W., &amp; </w:t>
      </w:r>
      <w:proofErr w:type="spellStart"/>
      <w:r w:rsidRPr="00244D82">
        <w:rPr>
          <w:color w:val="000000"/>
          <w:sz w:val="24"/>
          <w:szCs w:val="24"/>
        </w:rPr>
        <w:t>Zahir</w:t>
      </w:r>
      <w:proofErr w:type="spellEnd"/>
      <w:r w:rsidRPr="00244D82">
        <w:rPr>
          <w:color w:val="000000"/>
          <w:sz w:val="24"/>
          <w:szCs w:val="24"/>
        </w:rPr>
        <w:t xml:space="preserve">, A. (2018). The current trends in the green syntheses of titanium oxide nanoparticles and their applications. Green Chemistry Letters and Reviews, 11(4), 492–502. </w:t>
      </w:r>
      <w:hyperlink r:id="rId66" w:history="1">
        <w:r w:rsidRPr="00E56609">
          <w:rPr>
            <w:rStyle w:val="Hyperlink"/>
            <w:sz w:val="24"/>
            <w:szCs w:val="24"/>
          </w:rPr>
          <w:t>https://doi.org/10.1080/17518253.2018.1538430</w:t>
        </w:r>
      </w:hyperlink>
      <w:r>
        <w:rPr>
          <w:color w:val="000000"/>
          <w:sz w:val="24"/>
          <w:szCs w:val="24"/>
        </w:rPr>
        <w:t xml:space="preserve"> </w:t>
      </w:r>
    </w:p>
    <w:p w14:paraId="6481F08D" w14:textId="4530FDC8" w:rsidR="00B475DF" w:rsidRDefault="00B475DF">
      <w:pPr>
        <w:pBdr>
          <w:top w:val="nil"/>
          <w:left w:val="nil"/>
          <w:bottom w:val="nil"/>
          <w:right w:val="nil"/>
          <w:between w:val="nil"/>
        </w:pBdr>
        <w:spacing w:before="179" w:line="261" w:lineRule="auto"/>
        <w:ind w:left="165" w:right="1167"/>
        <w:rPr>
          <w:color w:val="000000"/>
          <w:sz w:val="24"/>
          <w:szCs w:val="24"/>
        </w:rPr>
      </w:pPr>
      <w:r w:rsidRPr="00B475DF">
        <w:rPr>
          <w:color w:val="000000"/>
          <w:sz w:val="24"/>
          <w:szCs w:val="24"/>
        </w:rPr>
        <w:t xml:space="preserve">Nayak, S. K., </w:t>
      </w:r>
      <w:proofErr w:type="spellStart"/>
      <w:r w:rsidRPr="00B475DF">
        <w:rPr>
          <w:color w:val="000000"/>
          <w:sz w:val="24"/>
          <w:szCs w:val="24"/>
        </w:rPr>
        <w:t>Beura</w:t>
      </w:r>
      <w:proofErr w:type="spellEnd"/>
      <w:r w:rsidRPr="00B475DF">
        <w:rPr>
          <w:color w:val="000000"/>
          <w:sz w:val="24"/>
          <w:szCs w:val="24"/>
        </w:rPr>
        <w:t xml:space="preserve">, M., Siddique, M., &amp; Mishra, S. P. (2021). Analysis of Indian Food Based on Machine learning Classification Models. Journal of Scientific Research and Reports, 27(7), 1-7. </w:t>
      </w:r>
      <w:hyperlink r:id="rId67" w:history="1">
        <w:r w:rsidRPr="0081309B">
          <w:rPr>
            <w:rStyle w:val="Hyperlink"/>
            <w:sz w:val="24"/>
            <w:szCs w:val="24"/>
          </w:rPr>
          <w:t>https://doi.org/10.9734/jsrr/2021/v27i730407</w:t>
        </w:r>
      </w:hyperlink>
      <w:r>
        <w:rPr>
          <w:color w:val="000000"/>
          <w:sz w:val="24"/>
          <w:szCs w:val="24"/>
        </w:rPr>
        <w:t xml:space="preserve"> </w:t>
      </w:r>
    </w:p>
    <w:p w14:paraId="3274C06C" w14:textId="58C2ABE7" w:rsidR="000F769C" w:rsidRPr="000F769C" w:rsidRDefault="00B4363E" w:rsidP="000F769C">
      <w:pPr>
        <w:pBdr>
          <w:top w:val="nil"/>
          <w:left w:val="nil"/>
          <w:bottom w:val="nil"/>
          <w:right w:val="nil"/>
          <w:between w:val="nil"/>
        </w:pBdr>
        <w:spacing w:before="179" w:line="261" w:lineRule="auto"/>
        <w:ind w:left="165" w:right="1167"/>
        <w:rPr>
          <w:color w:val="000000"/>
          <w:sz w:val="24"/>
          <w:szCs w:val="24"/>
        </w:rPr>
      </w:pPr>
      <w:proofErr w:type="spellStart"/>
      <w:r w:rsidRPr="00B4363E">
        <w:rPr>
          <w:color w:val="000000"/>
          <w:sz w:val="24"/>
          <w:szCs w:val="24"/>
        </w:rPr>
        <w:t>Oftedal</w:t>
      </w:r>
      <w:proofErr w:type="spellEnd"/>
      <w:r w:rsidRPr="00B4363E">
        <w:rPr>
          <w:color w:val="000000"/>
          <w:sz w:val="24"/>
          <w:szCs w:val="24"/>
        </w:rPr>
        <w:t xml:space="preserve">, O. T. (2012). The evolution of milk secretion and its ancient origins. Animal, 6(3), 355–368. </w:t>
      </w:r>
      <w:hyperlink r:id="rId68" w:history="1">
        <w:r w:rsidRPr="00E56609">
          <w:rPr>
            <w:rStyle w:val="Hyperlink"/>
            <w:sz w:val="24"/>
            <w:szCs w:val="24"/>
          </w:rPr>
          <w:t>https://doi.org/10.1017/S1751731111001935</w:t>
        </w:r>
      </w:hyperlink>
      <w:r>
        <w:rPr>
          <w:color w:val="000000"/>
          <w:sz w:val="24"/>
          <w:szCs w:val="24"/>
        </w:rPr>
        <w:t xml:space="preserve"> </w:t>
      </w:r>
    </w:p>
    <w:p w14:paraId="447385D5" w14:textId="152709A7" w:rsidR="000F769C" w:rsidRDefault="000F769C" w:rsidP="000F769C">
      <w:pPr>
        <w:pBdr>
          <w:top w:val="nil"/>
          <w:left w:val="nil"/>
          <w:bottom w:val="nil"/>
          <w:right w:val="nil"/>
          <w:between w:val="nil"/>
        </w:pBdr>
        <w:spacing w:before="179" w:line="261" w:lineRule="auto"/>
        <w:ind w:left="165" w:right="1167"/>
        <w:rPr>
          <w:color w:val="000000"/>
          <w:sz w:val="24"/>
          <w:szCs w:val="24"/>
        </w:rPr>
      </w:pPr>
      <w:proofErr w:type="spellStart"/>
      <w:r w:rsidRPr="000F769C">
        <w:rPr>
          <w:color w:val="000000"/>
          <w:sz w:val="24"/>
          <w:szCs w:val="24"/>
        </w:rPr>
        <w:t>Okur</w:t>
      </w:r>
      <w:proofErr w:type="spellEnd"/>
      <w:r w:rsidRPr="000F769C">
        <w:rPr>
          <w:color w:val="000000"/>
          <w:sz w:val="24"/>
          <w:szCs w:val="24"/>
        </w:rPr>
        <w:t xml:space="preserve"> EE, </w:t>
      </w:r>
      <w:proofErr w:type="spellStart"/>
      <w:r w:rsidRPr="000F769C">
        <w:rPr>
          <w:color w:val="000000"/>
          <w:sz w:val="24"/>
          <w:szCs w:val="24"/>
        </w:rPr>
        <w:t>Eker</w:t>
      </w:r>
      <w:proofErr w:type="spellEnd"/>
      <w:r w:rsidRPr="000F769C">
        <w:rPr>
          <w:color w:val="000000"/>
          <w:sz w:val="24"/>
          <w:szCs w:val="24"/>
        </w:rPr>
        <w:t xml:space="preserve"> F, </w:t>
      </w:r>
      <w:proofErr w:type="spellStart"/>
      <w:r w:rsidRPr="000F769C">
        <w:rPr>
          <w:color w:val="000000"/>
          <w:sz w:val="24"/>
          <w:szCs w:val="24"/>
        </w:rPr>
        <w:t>Akdaşçi</w:t>
      </w:r>
      <w:proofErr w:type="spellEnd"/>
      <w:r w:rsidRPr="000F769C">
        <w:rPr>
          <w:color w:val="000000"/>
          <w:sz w:val="24"/>
          <w:szCs w:val="24"/>
        </w:rPr>
        <w:t xml:space="preserve"> E, </w:t>
      </w:r>
      <w:proofErr w:type="spellStart"/>
      <w:r w:rsidRPr="000F769C">
        <w:rPr>
          <w:color w:val="000000"/>
          <w:sz w:val="24"/>
          <w:szCs w:val="24"/>
        </w:rPr>
        <w:t>Bechelany</w:t>
      </w:r>
      <w:proofErr w:type="spellEnd"/>
      <w:r w:rsidRPr="000F769C">
        <w:rPr>
          <w:color w:val="000000"/>
          <w:sz w:val="24"/>
          <w:szCs w:val="24"/>
        </w:rPr>
        <w:t xml:space="preserve"> M, </w:t>
      </w:r>
      <w:proofErr w:type="spellStart"/>
      <w:r w:rsidRPr="000F769C">
        <w:rPr>
          <w:color w:val="000000"/>
          <w:sz w:val="24"/>
          <w:szCs w:val="24"/>
        </w:rPr>
        <w:t>Karav</w:t>
      </w:r>
      <w:proofErr w:type="spellEnd"/>
      <w:r w:rsidRPr="000F769C">
        <w:rPr>
          <w:color w:val="000000"/>
          <w:sz w:val="24"/>
          <w:szCs w:val="24"/>
        </w:rPr>
        <w:t xml:space="preserve"> S. Comprehensive Review of Silver Nanoparticles in Food Packaging Applications. International Journal of Molecular Sciences. 2025; 26(20):9842. </w:t>
      </w:r>
      <w:hyperlink r:id="rId69" w:history="1">
        <w:r w:rsidRPr="0081309B">
          <w:rPr>
            <w:rStyle w:val="Hyperlink"/>
            <w:sz w:val="24"/>
            <w:szCs w:val="24"/>
          </w:rPr>
          <w:t>https://doi.org/10.3390/ijms26209842</w:t>
        </w:r>
      </w:hyperlink>
    </w:p>
    <w:p w14:paraId="18BBE2E4" w14:textId="48A09560" w:rsidR="00DD1F1E" w:rsidRDefault="000E0906">
      <w:pPr>
        <w:pBdr>
          <w:top w:val="nil"/>
          <w:left w:val="nil"/>
          <w:bottom w:val="nil"/>
          <w:right w:val="nil"/>
          <w:between w:val="nil"/>
        </w:pBdr>
        <w:spacing w:before="179" w:line="261" w:lineRule="auto"/>
        <w:ind w:left="165" w:right="1167"/>
        <w:rPr>
          <w:color w:val="000000"/>
          <w:sz w:val="24"/>
          <w:szCs w:val="24"/>
        </w:rPr>
      </w:pPr>
      <w:r w:rsidRPr="000E0906">
        <w:rPr>
          <w:color w:val="000000"/>
          <w:sz w:val="24"/>
          <w:szCs w:val="24"/>
        </w:rPr>
        <w:t>Padilla-</w:t>
      </w:r>
      <w:proofErr w:type="spellStart"/>
      <w:r w:rsidRPr="000E0906">
        <w:rPr>
          <w:color w:val="000000"/>
          <w:sz w:val="24"/>
          <w:szCs w:val="24"/>
        </w:rPr>
        <w:t>Camberos</w:t>
      </w:r>
      <w:proofErr w:type="spellEnd"/>
      <w:r w:rsidRPr="000E0906">
        <w:rPr>
          <w:color w:val="000000"/>
          <w:sz w:val="24"/>
          <w:szCs w:val="24"/>
        </w:rPr>
        <w:t xml:space="preserve">, E., Juárez-Navarro, K. J., Sanchez-Hernandez, I. M., Torres-Gonzalez, O. R., &amp; Flores-Fernandez, J. M. (2022). Toxicological Evaluation of Silver Nanoparticles Synthesized with Peel Extract of </w:t>
      </w:r>
      <w:proofErr w:type="spellStart"/>
      <w:r w:rsidRPr="000E0906">
        <w:rPr>
          <w:color w:val="000000"/>
          <w:sz w:val="24"/>
          <w:szCs w:val="24"/>
        </w:rPr>
        <w:t>Stenocereus</w:t>
      </w:r>
      <w:proofErr w:type="spellEnd"/>
      <w:r w:rsidRPr="000E0906">
        <w:rPr>
          <w:color w:val="000000"/>
          <w:sz w:val="24"/>
          <w:szCs w:val="24"/>
        </w:rPr>
        <w:t xml:space="preserve"> </w:t>
      </w:r>
      <w:proofErr w:type="spellStart"/>
      <w:r w:rsidRPr="000E0906">
        <w:rPr>
          <w:color w:val="000000"/>
          <w:sz w:val="24"/>
          <w:szCs w:val="24"/>
        </w:rPr>
        <w:t>queretaroensis</w:t>
      </w:r>
      <w:proofErr w:type="spellEnd"/>
      <w:r w:rsidRPr="000E0906">
        <w:rPr>
          <w:color w:val="000000"/>
          <w:sz w:val="24"/>
          <w:szCs w:val="24"/>
        </w:rPr>
        <w:t xml:space="preserve">. Materials, 15(16), 5700. </w:t>
      </w:r>
      <w:hyperlink r:id="rId70" w:history="1">
        <w:r w:rsidRPr="00E56609">
          <w:rPr>
            <w:rStyle w:val="Hyperlink"/>
            <w:sz w:val="24"/>
            <w:szCs w:val="24"/>
          </w:rPr>
          <w:t>https://doi.org/10.3390/ma15165700</w:t>
        </w:r>
      </w:hyperlink>
      <w:r>
        <w:rPr>
          <w:color w:val="000000"/>
          <w:sz w:val="24"/>
          <w:szCs w:val="24"/>
        </w:rPr>
        <w:t xml:space="preserve"> </w:t>
      </w:r>
    </w:p>
    <w:p w14:paraId="188392FE" w14:textId="21AB23D2" w:rsidR="0059665B" w:rsidRDefault="00370D4F">
      <w:pPr>
        <w:spacing w:before="24" w:line="256" w:lineRule="auto"/>
        <w:ind w:left="165" w:right="1167"/>
        <w:rPr>
          <w:sz w:val="24"/>
          <w:szCs w:val="24"/>
        </w:rPr>
      </w:pPr>
      <w:proofErr w:type="spellStart"/>
      <w:r w:rsidRPr="00370D4F">
        <w:rPr>
          <w:color w:val="000000"/>
          <w:sz w:val="24"/>
          <w:szCs w:val="24"/>
        </w:rPr>
        <w:t>Pasupuleti</w:t>
      </w:r>
      <w:proofErr w:type="spellEnd"/>
      <w:r w:rsidRPr="00370D4F">
        <w:rPr>
          <w:color w:val="000000"/>
          <w:sz w:val="24"/>
          <w:szCs w:val="24"/>
        </w:rPr>
        <w:t xml:space="preserve">, S., Alapati, S., Ganapathy, S., </w:t>
      </w:r>
      <w:proofErr w:type="spellStart"/>
      <w:r w:rsidRPr="00370D4F">
        <w:rPr>
          <w:color w:val="000000"/>
          <w:sz w:val="24"/>
          <w:szCs w:val="24"/>
        </w:rPr>
        <w:t>Anumolu</w:t>
      </w:r>
      <w:proofErr w:type="spellEnd"/>
      <w:r w:rsidRPr="00370D4F">
        <w:rPr>
          <w:color w:val="000000"/>
          <w:sz w:val="24"/>
          <w:szCs w:val="24"/>
        </w:rPr>
        <w:t xml:space="preserve">, G., Pully, N. R., &amp; </w:t>
      </w:r>
      <w:proofErr w:type="spellStart"/>
      <w:r w:rsidRPr="00370D4F">
        <w:rPr>
          <w:color w:val="000000"/>
          <w:sz w:val="24"/>
          <w:szCs w:val="24"/>
        </w:rPr>
        <w:t>Prakhya</w:t>
      </w:r>
      <w:proofErr w:type="spellEnd"/>
      <w:r w:rsidRPr="00370D4F">
        <w:rPr>
          <w:color w:val="000000"/>
          <w:sz w:val="24"/>
          <w:szCs w:val="24"/>
        </w:rPr>
        <w:t xml:space="preserve">, B. M. (2012). Toxicity of zinc oxide nanoparticles through oral route. Toxicology and Industrial Health. </w:t>
      </w:r>
      <w:hyperlink r:id="rId71" w:history="1">
        <w:r w:rsidRPr="00E56609">
          <w:rPr>
            <w:rStyle w:val="Hyperlink"/>
            <w:sz w:val="24"/>
            <w:szCs w:val="24"/>
          </w:rPr>
          <w:t>https://doi.org/10.1177/0748233711420473</w:t>
        </w:r>
      </w:hyperlink>
      <w:r>
        <w:rPr>
          <w:color w:val="000000"/>
          <w:sz w:val="24"/>
          <w:szCs w:val="24"/>
        </w:rPr>
        <w:t xml:space="preserve"> </w:t>
      </w:r>
    </w:p>
    <w:p w14:paraId="0AAAD1F3" w14:textId="080B6A37" w:rsidR="0059665B" w:rsidRDefault="00BB4311">
      <w:pPr>
        <w:pBdr>
          <w:top w:val="nil"/>
          <w:left w:val="nil"/>
          <w:bottom w:val="nil"/>
          <w:right w:val="nil"/>
          <w:between w:val="nil"/>
        </w:pBdr>
        <w:spacing w:before="165" w:line="259" w:lineRule="auto"/>
        <w:ind w:left="165" w:right="1167"/>
        <w:rPr>
          <w:color w:val="000000"/>
          <w:sz w:val="24"/>
          <w:szCs w:val="24"/>
        </w:rPr>
      </w:pPr>
      <w:r w:rsidRPr="00BB4311">
        <w:rPr>
          <w:color w:val="000000"/>
          <w:sz w:val="24"/>
          <w:szCs w:val="24"/>
        </w:rPr>
        <w:t xml:space="preserve">Patil, U. S., </w:t>
      </w:r>
      <w:proofErr w:type="spellStart"/>
      <w:r w:rsidRPr="00BB4311">
        <w:rPr>
          <w:color w:val="000000"/>
          <w:sz w:val="24"/>
          <w:szCs w:val="24"/>
        </w:rPr>
        <w:t>Adireddy</w:t>
      </w:r>
      <w:proofErr w:type="spellEnd"/>
      <w:r w:rsidRPr="00BB4311">
        <w:rPr>
          <w:color w:val="000000"/>
          <w:sz w:val="24"/>
          <w:szCs w:val="24"/>
        </w:rPr>
        <w:t xml:space="preserve">, S., Jaiswal, A., </w:t>
      </w:r>
      <w:proofErr w:type="spellStart"/>
      <w:r w:rsidRPr="00BB4311">
        <w:rPr>
          <w:color w:val="000000"/>
          <w:sz w:val="24"/>
          <w:szCs w:val="24"/>
        </w:rPr>
        <w:t>Mandava</w:t>
      </w:r>
      <w:proofErr w:type="spellEnd"/>
      <w:r w:rsidRPr="00BB4311">
        <w:rPr>
          <w:color w:val="000000"/>
          <w:sz w:val="24"/>
          <w:szCs w:val="24"/>
        </w:rPr>
        <w:t xml:space="preserve">, S., Lee, B. R., &amp; </w:t>
      </w:r>
      <w:proofErr w:type="spellStart"/>
      <w:r w:rsidRPr="00BB4311">
        <w:rPr>
          <w:color w:val="000000"/>
          <w:sz w:val="24"/>
          <w:szCs w:val="24"/>
        </w:rPr>
        <w:t>Chrisey</w:t>
      </w:r>
      <w:proofErr w:type="spellEnd"/>
      <w:r w:rsidRPr="00BB4311">
        <w:rPr>
          <w:color w:val="000000"/>
          <w:sz w:val="24"/>
          <w:szCs w:val="24"/>
        </w:rPr>
        <w:t xml:space="preserve">, D. B. (2015). In Vitro/In Vivo Toxicity Evaluation and Quantification of Iron Oxide Nanoparticles. International Journal of Molecular Sciences, 16(10), 24417–24450. </w:t>
      </w:r>
      <w:hyperlink r:id="rId72" w:history="1">
        <w:r w:rsidRPr="00E56609">
          <w:rPr>
            <w:rStyle w:val="Hyperlink"/>
            <w:sz w:val="24"/>
            <w:szCs w:val="24"/>
          </w:rPr>
          <w:t>https://doi.org/10.3390/ijms161024417</w:t>
        </w:r>
      </w:hyperlink>
      <w:r>
        <w:rPr>
          <w:color w:val="000000"/>
          <w:sz w:val="24"/>
          <w:szCs w:val="24"/>
        </w:rPr>
        <w:t xml:space="preserve"> </w:t>
      </w:r>
    </w:p>
    <w:p w14:paraId="444FF44D" w14:textId="3FCDB6AE" w:rsidR="002F2BD1" w:rsidRDefault="00551C03">
      <w:pPr>
        <w:pBdr>
          <w:top w:val="nil"/>
          <w:left w:val="nil"/>
          <w:bottom w:val="nil"/>
          <w:right w:val="nil"/>
          <w:between w:val="nil"/>
        </w:pBdr>
        <w:spacing w:before="165" w:line="259" w:lineRule="auto"/>
        <w:ind w:left="165" w:right="1167"/>
        <w:rPr>
          <w:color w:val="000000"/>
          <w:sz w:val="24"/>
          <w:szCs w:val="24"/>
        </w:rPr>
      </w:pPr>
      <w:r w:rsidRPr="00551C03">
        <w:rPr>
          <w:color w:val="000000"/>
          <w:sz w:val="24"/>
          <w:szCs w:val="24"/>
        </w:rPr>
        <w:t xml:space="preserve">Petrov, G. V., </w:t>
      </w:r>
      <w:proofErr w:type="spellStart"/>
      <w:r w:rsidRPr="00551C03">
        <w:rPr>
          <w:color w:val="000000"/>
          <w:sz w:val="24"/>
          <w:szCs w:val="24"/>
        </w:rPr>
        <w:t>Koldina</w:t>
      </w:r>
      <w:proofErr w:type="spellEnd"/>
      <w:r w:rsidRPr="00551C03">
        <w:rPr>
          <w:color w:val="000000"/>
          <w:sz w:val="24"/>
          <w:szCs w:val="24"/>
        </w:rPr>
        <w:t xml:space="preserve">, A. M., </w:t>
      </w:r>
      <w:proofErr w:type="spellStart"/>
      <w:r w:rsidRPr="00551C03">
        <w:rPr>
          <w:color w:val="000000"/>
          <w:sz w:val="24"/>
          <w:szCs w:val="24"/>
        </w:rPr>
        <w:t>Ledenev</w:t>
      </w:r>
      <w:proofErr w:type="spellEnd"/>
      <w:r w:rsidRPr="00551C03">
        <w:rPr>
          <w:color w:val="000000"/>
          <w:sz w:val="24"/>
          <w:szCs w:val="24"/>
        </w:rPr>
        <w:t xml:space="preserve">, O. V., </w:t>
      </w:r>
      <w:proofErr w:type="spellStart"/>
      <w:r w:rsidRPr="00551C03">
        <w:rPr>
          <w:color w:val="000000"/>
          <w:sz w:val="24"/>
          <w:szCs w:val="24"/>
        </w:rPr>
        <w:t>Tumasov</w:t>
      </w:r>
      <w:proofErr w:type="spellEnd"/>
      <w:r w:rsidRPr="00551C03">
        <w:rPr>
          <w:color w:val="000000"/>
          <w:sz w:val="24"/>
          <w:szCs w:val="24"/>
        </w:rPr>
        <w:t xml:space="preserve">, V. N., </w:t>
      </w:r>
      <w:proofErr w:type="spellStart"/>
      <w:r w:rsidRPr="00551C03">
        <w:rPr>
          <w:color w:val="000000"/>
          <w:sz w:val="24"/>
          <w:szCs w:val="24"/>
        </w:rPr>
        <w:t>Nazarov</w:t>
      </w:r>
      <w:proofErr w:type="spellEnd"/>
      <w:r w:rsidRPr="00551C03">
        <w:rPr>
          <w:color w:val="000000"/>
          <w:sz w:val="24"/>
          <w:szCs w:val="24"/>
        </w:rPr>
        <w:t xml:space="preserve">, A. A., &amp; </w:t>
      </w:r>
      <w:proofErr w:type="spellStart"/>
      <w:r w:rsidRPr="00551C03">
        <w:rPr>
          <w:color w:val="000000"/>
          <w:sz w:val="24"/>
          <w:szCs w:val="24"/>
        </w:rPr>
        <w:t>Syroeshkin</w:t>
      </w:r>
      <w:proofErr w:type="spellEnd"/>
      <w:r w:rsidRPr="00551C03">
        <w:rPr>
          <w:color w:val="000000"/>
          <w:sz w:val="24"/>
          <w:szCs w:val="24"/>
        </w:rPr>
        <w:t xml:space="preserve">, A. V. (2025). Nanoparticles and Nanomaterials: A Review from the Standpoint of Pharmacy and Medicine. Pharmaceutics, 17(5), 655. </w:t>
      </w:r>
      <w:hyperlink r:id="rId73" w:history="1">
        <w:r w:rsidRPr="00E56609">
          <w:rPr>
            <w:rStyle w:val="Hyperlink"/>
            <w:sz w:val="24"/>
            <w:szCs w:val="24"/>
          </w:rPr>
          <w:t>https://doi.org/10.3390/pharmaceutics17050655</w:t>
        </w:r>
      </w:hyperlink>
      <w:r>
        <w:rPr>
          <w:color w:val="000000"/>
          <w:sz w:val="24"/>
          <w:szCs w:val="24"/>
        </w:rPr>
        <w:t xml:space="preserve"> </w:t>
      </w:r>
    </w:p>
    <w:p w14:paraId="317E0281" w14:textId="36535E70" w:rsidR="0059665B" w:rsidRDefault="001C604A">
      <w:pPr>
        <w:spacing w:line="275" w:lineRule="auto"/>
        <w:ind w:left="165"/>
        <w:rPr>
          <w:sz w:val="24"/>
          <w:szCs w:val="24"/>
        </w:rPr>
      </w:pPr>
      <w:proofErr w:type="spellStart"/>
      <w:r w:rsidRPr="001C604A">
        <w:rPr>
          <w:color w:val="000000"/>
          <w:sz w:val="24"/>
          <w:szCs w:val="24"/>
        </w:rPr>
        <w:t>Pietroiusti</w:t>
      </w:r>
      <w:proofErr w:type="spellEnd"/>
      <w:r w:rsidRPr="001C604A">
        <w:rPr>
          <w:color w:val="000000"/>
          <w:sz w:val="24"/>
          <w:szCs w:val="24"/>
        </w:rPr>
        <w:t xml:space="preserve">, A., </w:t>
      </w:r>
      <w:proofErr w:type="spellStart"/>
      <w:r w:rsidRPr="001C604A">
        <w:rPr>
          <w:color w:val="000000"/>
          <w:sz w:val="24"/>
          <w:szCs w:val="24"/>
        </w:rPr>
        <w:t>Magrini</w:t>
      </w:r>
      <w:proofErr w:type="spellEnd"/>
      <w:r w:rsidRPr="001C604A">
        <w:rPr>
          <w:color w:val="000000"/>
          <w:sz w:val="24"/>
          <w:szCs w:val="24"/>
        </w:rPr>
        <w:t xml:space="preserve">, A., &amp; Campagnolo, L. (2016). New frontiers in nanotoxicology: Gut microbiota/microbiome-mediated effects of engineered nanomaterials. Toxicology and Applied Pharmacology, 299, 90–95. </w:t>
      </w:r>
      <w:hyperlink r:id="rId74" w:history="1">
        <w:r w:rsidRPr="00E56609">
          <w:rPr>
            <w:rStyle w:val="Hyperlink"/>
            <w:sz w:val="24"/>
            <w:szCs w:val="24"/>
          </w:rPr>
          <w:t>https://doi.org/10.1016/j.taap.2015.12.017</w:t>
        </w:r>
      </w:hyperlink>
      <w:r>
        <w:rPr>
          <w:color w:val="000000"/>
          <w:sz w:val="24"/>
          <w:szCs w:val="24"/>
        </w:rPr>
        <w:t xml:space="preserve"> </w:t>
      </w:r>
    </w:p>
    <w:p w14:paraId="4A32CBB4" w14:textId="17BC07BC" w:rsidR="0059665B" w:rsidRDefault="0046410E">
      <w:pPr>
        <w:pBdr>
          <w:top w:val="nil"/>
          <w:left w:val="nil"/>
          <w:bottom w:val="nil"/>
          <w:right w:val="nil"/>
          <w:between w:val="nil"/>
        </w:pBdr>
        <w:spacing w:before="179" w:line="261" w:lineRule="auto"/>
        <w:ind w:left="165" w:right="1326"/>
        <w:rPr>
          <w:color w:val="000000"/>
          <w:sz w:val="24"/>
          <w:szCs w:val="24"/>
        </w:rPr>
      </w:pPr>
      <w:proofErr w:type="spellStart"/>
      <w:r w:rsidRPr="0046410E">
        <w:rPr>
          <w:color w:val="000000"/>
          <w:sz w:val="24"/>
          <w:szCs w:val="24"/>
        </w:rPr>
        <w:t>Piorkowski</w:t>
      </w:r>
      <w:proofErr w:type="spellEnd"/>
      <w:r w:rsidRPr="0046410E">
        <w:rPr>
          <w:color w:val="000000"/>
          <w:sz w:val="24"/>
          <w:szCs w:val="24"/>
        </w:rPr>
        <w:t xml:space="preserve">, D. T., &amp; McClements, D. J. (2014). Beverage emulsions: Recent developments in formulation, production, and applications. Food Hydrocolloids, 42, 5–41. </w:t>
      </w:r>
      <w:hyperlink r:id="rId75" w:history="1">
        <w:r w:rsidRPr="00E56609">
          <w:rPr>
            <w:rStyle w:val="Hyperlink"/>
            <w:sz w:val="24"/>
            <w:szCs w:val="24"/>
          </w:rPr>
          <w:t>https://doi.org/10.1016/j.foodhyd.2013.07.009</w:t>
        </w:r>
      </w:hyperlink>
      <w:r>
        <w:rPr>
          <w:color w:val="000000"/>
          <w:sz w:val="24"/>
          <w:szCs w:val="24"/>
        </w:rPr>
        <w:t xml:space="preserve"> </w:t>
      </w:r>
    </w:p>
    <w:p w14:paraId="7782B0AB" w14:textId="39D71293" w:rsidR="00896F53" w:rsidRDefault="00B3610F">
      <w:pPr>
        <w:pBdr>
          <w:top w:val="nil"/>
          <w:left w:val="nil"/>
          <w:bottom w:val="nil"/>
          <w:right w:val="nil"/>
          <w:between w:val="nil"/>
        </w:pBdr>
        <w:spacing w:before="179" w:line="261" w:lineRule="auto"/>
        <w:ind w:left="165" w:right="1326"/>
        <w:rPr>
          <w:color w:val="000000"/>
          <w:sz w:val="24"/>
          <w:szCs w:val="24"/>
        </w:rPr>
      </w:pPr>
      <w:proofErr w:type="spellStart"/>
      <w:r w:rsidRPr="00B3610F">
        <w:rPr>
          <w:color w:val="000000"/>
          <w:sz w:val="24"/>
          <w:szCs w:val="24"/>
        </w:rPr>
        <w:lastRenderedPageBreak/>
        <w:t>Pourmadadi</w:t>
      </w:r>
      <w:proofErr w:type="spellEnd"/>
      <w:r w:rsidRPr="00B3610F">
        <w:rPr>
          <w:color w:val="000000"/>
          <w:sz w:val="24"/>
          <w:szCs w:val="24"/>
        </w:rPr>
        <w:t xml:space="preserve">, M., </w:t>
      </w:r>
      <w:proofErr w:type="spellStart"/>
      <w:r w:rsidRPr="00B3610F">
        <w:rPr>
          <w:color w:val="000000"/>
          <w:sz w:val="24"/>
          <w:szCs w:val="24"/>
        </w:rPr>
        <w:t>Rahmani</w:t>
      </w:r>
      <w:proofErr w:type="spellEnd"/>
      <w:r w:rsidRPr="00B3610F">
        <w:rPr>
          <w:color w:val="000000"/>
          <w:sz w:val="24"/>
          <w:szCs w:val="24"/>
        </w:rPr>
        <w:t xml:space="preserve">, E., </w:t>
      </w:r>
      <w:proofErr w:type="spellStart"/>
      <w:r w:rsidRPr="00B3610F">
        <w:rPr>
          <w:color w:val="000000"/>
          <w:sz w:val="24"/>
          <w:szCs w:val="24"/>
        </w:rPr>
        <w:t>Shamsabadipour</w:t>
      </w:r>
      <w:proofErr w:type="spellEnd"/>
      <w:r w:rsidRPr="00B3610F">
        <w:rPr>
          <w:color w:val="000000"/>
          <w:sz w:val="24"/>
          <w:szCs w:val="24"/>
        </w:rPr>
        <w:t xml:space="preserve">, A., </w:t>
      </w:r>
      <w:proofErr w:type="spellStart"/>
      <w:r w:rsidRPr="00B3610F">
        <w:rPr>
          <w:color w:val="000000"/>
          <w:sz w:val="24"/>
          <w:szCs w:val="24"/>
        </w:rPr>
        <w:t>Mahtabian</w:t>
      </w:r>
      <w:proofErr w:type="spellEnd"/>
      <w:r w:rsidRPr="00B3610F">
        <w:rPr>
          <w:color w:val="000000"/>
          <w:sz w:val="24"/>
          <w:szCs w:val="24"/>
        </w:rPr>
        <w:t xml:space="preserve">, S., Ahmadi, M., </w:t>
      </w:r>
      <w:proofErr w:type="spellStart"/>
      <w:r w:rsidRPr="00B3610F">
        <w:rPr>
          <w:color w:val="000000"/>
          <w:sz w:val="24"/>
          <w:szCs w:val="24"/>
        </w:rPr>
        <w:t>Rahdar</w:t>
      </w:r>
      <w:proofErr w:type="spellEnd"/>
      <w:r w:rsidRPr="00B3610F">
        <w:rPr>
          <w:color w:val="000000"/>
          <w:sz w:val="24"/>
          <w:szCs w:val="24"/>
        </w:rPr>
        <w:t xml:space="preserve">, A., &amp; </w:t>
      </w:r>
      <w:proofErr w:type="spellStart"/>
      <w:r w:rsidRPr="00B3610F">
        <w:rPr>
          <w:color w:val="000000"/>
          <w:sz w:val="24"/>
          <w:szCs w:val="24"/>
        </w:rPr>
        <w:t>Díez</w:t>
      </w:r>
      <w:proofErr w:type="spellEnd"/>
      <w:r w:rsidRPr="00B3610F">
        <w:rPr>
          <w:color w:val="000000"/>
          <w:sz w:val="24"/>
          <w:szCs w:val="24"/>
        </w:rPr>
        <w:t xml:space="preserve">-Pascual, A. M. (2022). Role of Iron Oxide (Fe2O3) Nanocomposites in Advanced Biomedical Applications: A State-of-the-Art Review. Nanomaterials, 12(21), 3873. </w:t>
      </w:r>
      <w:hyperlink r:id="rId76" w:history="1">
        <w:r w:rsidRPr="00E56609">
          <w:rPr>
            <w:rStyle w:val="Hyperlink"/>
            <w:sz w:val="24"/>
            <w:szCs w:val="24"/>
          </w:rPr>
          <w:t>https://doi.org/10.3390/nano12213873</w:t>
        </w:r>
      </w:hyperlink>
      <w:r>
        <w:rPr>
          <w:color w:val="000000"/>
          <w:sz w:val="24"/>
          <w:szCs w:val="24"/>
        </w:rPr>
        <w:t xml:space="preserve"> </w:t>
      </w:r>
    </w:p>
    <w:p w14:paraId="19BDA51D" w14:textId="31A0D13B" w:rsidR="0059665B" w:rsidRDefault="005644E3">
      <w:pPr>
        <w:pBdr>
          <w:top w:val="nil"/>
          <w:left w:val="nil"/>
          <w:bottom w:val="nil"/>
          <w:right w:val="nil"/>
          <w:between w:val="nil"/>
        </w:pBdr>
        <w:spacing w:before="153" w:line="259" w:lineRule="auto"/>
        <w:ind w:left="165" w:right="1167"/>
        <w:rPr>
          <w:color w:val="000000"/>
          <w:sz w:val="24"/>
          <w:szCs w:val="24"/>
        </w:rPr>
      </w:pPr>
      <w:proofErr w:type="spellStart"/>
      <w:r w:rsidRPr="005644E3">
        <w:rPr>
          <w:color w:val="000000"/>
          <w:sz w:val="24"/>
          <w:szCs w:val="24"/>
        </w:rPr>
        <w:t>Pugliara</w:t>
      </w:r>
      <w:proofErr w:type="spellEnd"/>
      <w:r w:rsidRPr="005644E3">
        <w:rPr>
          <w:color w:val="000000"/>
          <w:sz w:val="24"/>
          <w:szCs w:val="24"/>
        </w:rPr>
        <w:t xml:space="preserve">, A., </w:t>
      </w:r>
      <w:proofErr w:type="spellStart"/>
      <w:r w:rsidRPr="005644E3">
        <w:rPr>
          <w:color w:val="000000"/>
          <w:sz w:val="24"/>
          <w:szCs w:val="24"/>
        </w:rPr>
        <w:t>Makasheva</w:t>
      </w:r>
      <w:proofErr w:type="spellEnd"/>
      <w:r w:rsidRPr="005644E3">
        <w:rPr>
          <w:color w:val="000000"/>
          <w:sz w:val="24"/>
          <w:szCs w:val="24"/>
        </w:rPr>
        <w:t xml:space="preserve">, K., </w:t>
      </w:r>
      <w:proofErr w:type="spellStart"/>
      <w:r w:rsidRPr="005644E3">
        <w:rPr>
          <w:color w:val="000000"/>
          <w:sz w:val="24"/>
          <w:szCs w:val="24"/>
        </w:rPr>
        <w:t>Despax</w:t>
      </w:r>
      <w:proofErr w:type="spellEnd"/>
      <w:r w:rsidRPr="005644E3">
        <w:rPr>
          <w:color w:val="000000"/>
          <w:sz w:val="24"/>
          <w:szCs w:val="24"/>
        </w:rPr>
        <w:t xml:space="preserve">, B., Bayle, M., </w:t>
      </w:r>
      <w:proofErr w:type="spellStart"/>
      <w:r w:rsidRPr="005644E3">
        <w:rPr>
          <w:color w:val="000000"/>
          <w:sz w:val="24"/>
          <w:szCs w:val="24"/>
        </w:rPr>
        <w:t>Carles</w:t>
      </w:r>
      <w:proofErr w:type="spellEnd"/>
      <w:r w:rsidRPr="005644E3">
        <w:rPr>
          <w:color w:val="000000"/>
          <w:sz w:val="24"/>
          <w:szCs w:val="24"/>
        </w:rPr>
        <w:t xml:space="preserve">, R., Benzo, P., </w:t>
      </w:r>
      <w:proofErr w:type="spellStart"/>
      <w:r w:rsidRPr="005644E3">
        <w:rPr>
          <w:color w:val="000000"/>
          <w:sz w:val="24"/>
          <w:szCs w:val="24"/>
        </w:rPr>
        <w:t>BenAssayag</w:t>
      </w:r>
      <w:proofErr w:type="spellEnd"/>
      <w:r w:rsidRPr="005644E3">
        <w:rPr>
          <w:color w:val="000000"/>
          <w:sz w:val="24"/>
          <w:szCs w:val="24"/>
        </w:rPr>
        <w:t xml:space="preserve">, G., </w:t>
      </w:r>
      <w:proofErr w:type="spellStart"/>
      <w:r w:rsidRPr="005644E3">
        <w:rPr>
          <w:color w:val="000000"/>
          <w:sz w:val="24"/>
          <w:szCs w:val="24"/>
        </w:rPr>
        <w:t>Pécassou</w:t>
      </w:r>
      <w:proofErr w:type="spellEnd"/>
      <w:r w:rsidRPr="005644E3">
        <w:rPr>
          <w:color w:val="000000"/>
          <w:sz w:val="24"/>
          <w:szCs w:val="24"/>
        </w:rPr>
        <w:t xml:space="preserve">, B., Sancho, M. C., &amp; Navarro, E. (2016). Assessing bio-available silver released from silver nanoparticles embedded in silica layers using the green algae Chlamydomonas </w:t>
      </w:r>
      <w:proofErr w:type="spellStart"/>
      <w:r w:rsidRPr="005644E3">
        <w:rPr>
          <w:color w:val="000000"/>
          <w:sz w:val="24"/>
          <w:szCs w:val="24"/>
        </w:rPr>
        <w:t>reinhardtii</w:t>
      </w:r>
      <w:proofErr w:type="spellEnd"/>
      <w:r w:rsidRPr="005644E3">
        <w:rPr>
          <w:color w:val="000000"/>
          <w:sz w:val="24"/>
          <w:szCs w:val="24"/>
        </w:rPr>
        <w:t xml:space="preserve"> as bio-sensors. Science of the Total Environment, 565, 863–871. </w:t>
      </w:r>
      <w:hyperlink r:id="rId77" w:history="1">
        <w:r w:rsidRPr="00E56609">
          <w:rPr>
            <w:rStyle w:val="Hyperlink"/>
            <w:sz w:val="24"/>
            <w:szCs w:val="24"/>
          </w:rPr>
          <w:t>https://doi.org/10.1016/j.scitotenv.2016.02.141</w:t>
        </w:r>
      </w:hyperlink>
      <w:r>
        <w:rPr>
          <w:color w:val="000000"/>
          <w:sz w:val="24"/>
          <w:szCs w:val="24"/>
        </w:rPr>
        <w:t xml:space="preserve"> </w:t>
      </w:r>
    </w:p>
    <w:p w14:paraId="4EF728A5" w14:textId="57284339" w:rsidR="0059665B" w:rsidRDefault="00890902">
      <w:pPr>
        <w:spacing w:before="25"/>
        <w:ind w:left="165"/>
        <w:rPr>
          <w:sz w:val="24"/>
          <w:szCs w:val="24"/>
        </w:rPr>
      </w:pPr>
      <w:proofErr w:type="spellStart"/>
      <w:r w:rsidRPr="00890902">
        <w:rPr>
          <w:color w:val="000000"/>
          <w:sz w:val="24"/>
          <w:szCs w:val="24"/>
        </w:rPr>
        <w:t>Pulit-Prociak</w:t>
      </w:r>
      <w:proofErr w:type="spellEnd"/>
      <w:r w:rsidRPr="00890902">
        <w:rPr>
          <w:color w:val="000000"/>
          <w:sz w:val="24"/>
          <w:szCs w:val="24"/>
        </w:rPr>
        <w:t xml:space="preserve">, J., </w:t>
      </w:r>
      <w:proofErr w:type="spellStart"/>
      <w:r w:rsidRPr="00890902">
        <w:rPr>
          <w:color w:val="000000"/>
          <w:sz w:val="24"/>
          <w:szCs w:val="24"/>
        </w:rPr>
        <w:t>Stokłosa</w:t>
      </w:r>
      <w:proofErr w:type="spellEnd"/>
      <w:r w:rsidRPr="00890902">
        <w:rPr>
          <w:color w:val="000000"/>
          <w:sz w:val="24"/>
          <w:szCs w:val="24"/>
        </w:rPr>
        <w:t xml:space="preserve">, K., &amp; Banach, M. (2015). </w:t>
      </w:r>
      <w:proofErr w:type="spellStart"/>
      <w:r w:rsidRPr="00890902">
        <w:rPr>
          <w:color w:val="000000"/>
          <w:sz w:val="24"/>
          <w:szCs w:val="24"/>
        </w:rPr>
        <w:t>Nanosilver</w:t>
      </w:r>
      <w:proofErr w:type="spellEnd"/>
      <w:r w:rsidRPr="00890902">
        <w:rPr>
          <w:color w:val="000000"/>
          <w:sz w:val="24"/>
          <w:szCs w:val="24"/>
        </w:rPr>
        <w:t xml:space="preserve"> products and toxicity. Environmental Chemistry Letters, 13(1), 59–68. </w:t>
      </w:r>
      <w:hyperlink r:id="rId78" w:history="1">
        <w:r w:rsidRPr="00E56609">
          <w:rPr>
            <w:rStyle w:val="Hyperlink"/>
            <w:sz w:val="24"/>
            <w:szCs w:val="24"/>
          </w:rPr>
          <w:t>https://doi.org/10.1007/s10311-014-0490-2</w:t>
        </w:r>
      </w:hyperlink>
      <w:r>
        <w:rPr>
          <w:color w:val="000000"/>
          <w:sz w:val="24"/>
          <w:szCs w:val="24"/>
        </w:rPr>
        <w:t xml:space="preserve"> </w:t>
      </w:r>
    </w:p>
    <w:p w14:paraId="070677A9" w14:textId="77777777" w:rsidR="002451FB" w:rsidRDefault="002451FB">
      <w:pPr>
        <w:spacing w:before="25"/>
        <w:ind w:left="165"/>
        <w:rPr>
          <w:sz w:val="24"/>
          <w:szCs w:val="24"/>
        </w:rPr>
      </w:pPr>
    </w:p>
    <w:p w14:paraId="2DA612A5" w14:textId="7FDDAE18" w:rsidR="002451FB" w:rsidRDefault="00146026">
      <w:pPr>
        <w:spacing w:before="25"/>
        <w:ind w:left="165"/>
        <w:rPr>
          <w:sz w:val="24"/>
          <w:szCs w:val="24"/>
        </w:rPr>
      </w:pPr>
      <w:r w:rsidRPr="00146026">
        <w:rPr>
          <w:sz w:val="24"/>
          <w:szCs w:val="24"/>
        </w:rPr>
        <w:t xml:space="preserve">Rahman, A., </w:t>
      </w:r>
      <w:proofErr w:type="spellStart"/>
      <w:r w:rsidRPr="00146026">
        <w:rPr>
          <w:sz w:val="24"/>
          <w:szCs w:val="24"/>
        </w:rPr>
        <w:t>Baharlouei</w:t>
      </w:r>
      <w:proofErr w:type="spellEnd"/>
      <w:r w:rsidRPr="00146026">
        <w:rPr>
          <w:sz w:val="24"/>
          <w:szCs w:val="24"/>
        </w:rPr>
        <w:t xml:space="preserve">, P., Koh, E. H. Y., </w:t>
      </w:r>
      <w:proofErr w:type="spellStart"/>
      <w:r w:rsidRPr="00146026">
        <w:rPr>
          <w:sz w:val="24"/>
          <w:szCs w:val="24"/>
        </w:rPr>
        <w:t>Pirvu</w:t>
      </w:r>
      <w:proofErr w:type="spellEnd"/>
      <w:r w:rsidRPr="00146026">
        <w:rPr>
          <w:sz w:val="24"/>
          <w:szCs w:val="24"/>
        </w:rPr>
        <w:t xml:space="preserve">, D. G., </w:t>
      </w:r>
      <w:proofErr w:type="spellStart"/>
      <w:r w:rsidRPr="00146026">
        <w:rPr>
          <w:sz w:val="24"/>
          <w:szCs w:val="24"/>
        </w:rPr>
        <w:t>Rehmani</w:t>
      </w:r>
      <w:proofErr w:type="spellEnd"/>
      <w:r w:rsidRPr="00146026">
        <w:rPr>
          <w:sz w:val="24"/>
          <w:szCs w:val="24"/>
        </w:rPr>
        <w:t xml:space="preserve">, R., Arcos, M., &amp; </w:t>
      </w:r>
      <w:proofErr w:type="spellStart"/>
      <w:r w:rsidRPr="00146026">
        <w:rPr>
          <w:sz w:val="24"/>
          <w:szCs w:val="24"/>
        </w:rPr>
        <w:t>Puri</w:t>
      </w:r>
      <w:proofErr w:type="spellEnd"/>
      <w:r w:rsidRPr="00146026">
        <w:rPr>
          <w:sz w:val="24"/>
          <w:szCs w:val="24"/>
        </w:rPr>
        <w:t xml:space="preserve">, S. (2024). A Comprehensive Analysis of Organic Food: Evaluating Nutritional Value and Impact on Human Health. Foods. </w:t>
      </w:r>
      <w:hyperlink r:id="rId79" w:history="1">
        <w:r w:rsidRPr="00E56609">
          <w:rPr>
            <w:rStyle w:val="Hyperlink"/>
            <w:sz w:val="24"/>
            <w:szCs w:val="24"/>
          </w:rPr>
          <w:t>https://doi.org/10.3390/foods13020208</w:t>
        </w:r>
      </w:hyperlink>
      <w:r>
        <w:rPr>
          <w:sz w:val="24"/>
          <w:szCs w:val="24"/>
        </w:rPr>
        <w:t xml:space="preserve"> </w:t>
      </w:r>
    </w:p>
    <w:p w14:paraId="52A29823" w14:textId="77777777" w:rsidR="002451FB" w:rsidRDefault="002451FB">
      <w:pPr>
        <w:spacing w:before="25"/>
        <w:ind w:left="165"/>
        <w:rPr>
          <w:sz w:val="24"/>
          <w:szCs w:val="24"/>
        </w:rPr>
      </w:pPr>
    </w:p>
    <w:p w14:paraId="2458CAB6" w14:textId="0C11E929" w:rsidR="00FB7A7B" w:rsidRDefault="00733D54">
      <w:pPr>
        <w:spacing w:before="25"/>
        <w:ind w:left="165"/>
        <w:rPr>
          <w:sz w:val="24"/>
          <w:szCs w:val="24"/>
        </w:rPr>
      </w:pPr>
      <w:r w:rsidRPr="00733D54">
        <w:rPr>
          <w:sz w:val="24"/>
          <w:szCs w:val="24"/>
        </w:rPr>
        <w:t xml:space="preserve">Rashid, M. M., Forte </w:t>
      </w:r>
      <w:proofErr w:type="spellStart"/>
      <w:r w:rsidRPr="00733D54">
        <w:rPr>
          <w:sz w:val="24"/>
          <w:szCs w:val="24"/>
        </w:rPr>
        <w:t>Tavčer</w:t>
      </w:r>
      <w:proofErr w:type="spellEnd"/>
      <w:r w:rsidRPr="00733D54">
        <w:rPr>
          <w:sz w:val="24"/>
          <w:szCs w:val="24"/>
        </w:rPr>
        <w:t xml:space="preserve">, P., &amp; </w:t>
      </w:r>
      <w:proofErr w:type="spellStart"/>
      <w:r w:rsidRPr="00733D54">
        <w:rPr>
          <w:sz w:val="24"/>
          <w:szCs w:val="24"/>
        </w:rPr>
        <w:t>Tomšič</w:t>
      </w:r>
      <w:proofErr w:type="spellEnd"/>
      <w:r w:rsidRPr="00733D54">
        <w:rPr>
          <w:sz w:val="24"/>
          <w:szCs w:val="24"/>
        </w:rPr>
        <w:t xml:space="preserve">, B. (2021). Influence of Titanium Dioxide Nanoparticles on Human Health and the Environment. Nanomaterials, 11(9), 2354. </w:t>
      </w:r>
      <w:hyperlink r:id="rId80" w:history="1">
        <w:r w:rsidRPr="00E56609">
          <w:rPr>
            <w:rStyle w:val="Hyperlink"/>
            <w:sz w:val="24"/>
            <w:szCs w:val="24"/>
          </w:rPr>
          <w:t>https://doi.org/10.3390/nano11092354</w:t>
        </w:r>
      </w:hyperlink>
      <w:r>
        <w:rPr>
          <w:sz w:val="24"/>
          <w:szCs w:val="24"/>
        </w:rPr>
        <w:t xml:space="preserve"> </w:t>
      </w:r>
    </w:p>
    <w:p w14:paraId="7ADF21D9" w14:textId="592C3EE2" w:rsidR="0059665B" w:rsidRDefault="00D34307">
      <w:pPr>
        <w:pBdr>
          <w:top w:val="nil"/>
          <w:left w:val="nil"/>
          <w:bottom w:val="nil"/>
          <w:right w:val="nil"/>
          <w:between w:val="nil"/>
        </w:pBdr>
        <w:spacing w:before="184" w:line="256" w:lineRule="auto"/>
        <w:ind w:left="165" w:right="1167"/>
        <w:rPr>
          <w:color w:val="000000"/>
          <w:sz w:val="24"/>
          <w:szCs w:val="24"/>
        </w:rPr>
      </w:pPr>
      <w:r w:rsidRPr="00D34307">
        <w:rPr>
          <w:color w:val="000000"/>
          <w:sz w:val="24"/>
          <w:szCs w:val="24"/>
        </w:rPr>
        <w:t xml:space="preserve">Rajendran, S. R. C. K., </w:t>
      </w:r>
      <w:proofErr w:type="spellStart"/>
      <w:r w:rsidRPr="00D34307">
        <w:rPr>
          <w:color w:val="000000"/>
          <w:sz w:val="24"/>
          <w:szCs w:val="24"/>
        </w:rPr>
        <w:t>Udenigwe</w:t>
      </w:r>
      <w:proofErr w:type="spellEnd"/>
      <w:r w:rsidRPr="00D34307">
        <w:rPr>
          <w:color w:val="000000"/>
          <w:sz w:val="24"/>
          <w:szCs w:val="24"/>
        </w:rPr>
        <w:t xml:space="preserve">, C. C., &amp; Yada, R. Y. (2016). </w:t>
      </w:r>
      <w:proofErr w:type="spellStart"/>
      <w:r w:rsidRPr="00D34307">
        <w:rPr>
          <w:color w:val="000000"/>
          <w:sz w:val="24"/>
          <w:szCs w:val="24"/>
        </w:rPr>
        <w:t>Nanochemistry</w:t>
      </w:r>
      <w:proofErr w:type="spellEnd"/>
      <w:r w:rsidRPr="00D34307">
        <w:rPr>
          <w:color w:val="000000"/>
          <w:sz w:val="24"/>
          <w:szCs w:val="24"/>
        </w:rPr>
        <w:t xml:space="preserve"> of Protein-Based Delivery Agents. Frontiers in Chemistry, 4, 31. </w:t>
      </w:r>
      <w:hyperlink r:id="rId81" w:history="1">
        <w:r w:rsidRPr="00E56609">
          <w:rPr>
            <w:rStyle w:val="Hyperlink"/>
            <w:sz w:val="24"/>
            <w:szCs w:val="24"/>
          </w:rPr>
          <w:t>https://doi.org/10.3389/fchem.2016.00031</w:t>
        </w:r>
      </w:hyperlink>
      <w:r>
        <w:rPr>
          <w:color w:val="000000"/>
          <w:sz w:val="24"/>
          <w:szCs w:val="24"/>
        </w:rPr>
        <w:t xml:space="preserve"> </w:t>
      </w:r>
    </w:p>
    <w:p w14:paraId="0D038621" w14:textId="6FFC58C3" w:rsidR="0059665B" w:rsidRDefault="00065AD9">
      <w:pPr>
        <w:pBdr>
          <w:top w:val="nil"/>
          <w:left w:val="nil"/>
          <w:bottom w:val="nil"/>
          <w:right w:val="nil"/>
          <w:between w:val="nil"/>
        </w:pBdr>
        <w:spacing w:before="19" w:line="261" w:lineRule="auto"/>
        <w:ind w:left="165" w:right="1167"/>
        <w:rPr>
          <w:color w:val="000000"/>
          <w:sz w:val="24"/>
          <w:szCs w:val="24"/>
        </w:rPr>
      </w:pPr>
      <w:proofErr w:type="spellStart"/>
      <w:r w:rsidRPr="00065AD9">
        <w:rPr>
          <w:color w:val="000000"/>
          <w:sz w:val="24"/>
          <w:szCs w:val="24"/>
        </w:rPr>
        <w:t>Raspopov</w:t>
      </w:r>
      <w:proofErr w:type="spellEnd"/>
      <w:r w:rsidRPr="00065AD9">
        <w:rPr>
          <w:color w:val="000000"/>
          <w:sz w:val="24"/>
          <w:szCs w:val="24"/>
        </w:rPr>
        <w:t xml:space="preserve">, R. V., </w:t>
      </w:r>
      <w:proofErr w:type="spellStart"/>
      <w:r w:rsidRPr="00065AD9">
        <w:rPr>
          <w:color w:val="000000"/>
          <w:sz w:val="24"/>
          <w:szCs w:val="24"/>
        </w:rPr>
        <w:t>Trushina</w:t>
      </w:r>
      <w:proofErr w:type="spellEnd"/>
      <w:r w:rsidRPr="00065AD9">
        <w:rPr>
          <w:color w:val="000000"/>
          <w:sz w:val="24"/>
          <w:szCs w:val="24"/>
        </w:rPr>
        <w:t xml:space="preserve">, E. N., </w:t>
      </w:r>
      <w:proofErr w:type="spellStart"/>
      <w:r w:rsidRPr="00065AD9">
        <w:rPr>
          <w:color w:val="000000"/>
          <w:sz w:val="24"/>
          <w:szCs w:val="24"/>
        </w:rPr>
        <w:t>Gmoshinskiĭ</w:t>
      </w:r>
      <w:proofErr w:type="spellEnd"/>
      <w:r w:rsidRPr="00065AD9">
        <w:rPr>
          <w:color w:val="000000"/>
          <w:sz w:val="24"/>
          <w:szCs w:val="24"/>
        </w:rPr>
        <w:t xml:space="preserve">, I. V., &amp; </w:t>
      </w:r>
      <w:proofErr w:type="spellStart"/>
      <w:r w:rsidRPr="00065AD9">
        <w:rPr>
          <w:color w:val="000000"/>
          <w:sz w:val="24"/>
          <w:szCs w:val="24"/>
        </w:rPr>
        <w:t>Khotimchenko</w:t>
      </w:r>
      <w:proofErr w:type="spellEnd"/>
      <w:r w:rsidRPr="00065AD9">
        <w:rPr>
          <w:color w:val="000000"/>
          <w:sz w:val="24"/>
          <w:szCs w:val="24"/>
        </w:rPr>
        <w:t xml:space="preserve">, S. A. (2011). Bioavailability of nanoparticles of ferric oxide when used in nutrition. Experimental results in rats. </w:t>
      </w:r>
      <w:proofErr w:type="spellStart"/>
      <w:r w:rsidRPr="00065AD9">
        <w:rPr>
          <w:color w:val="000000"/>
          <w:sz w:val="24"/>
          <w:szCs w:val="24"/>
        </w:rPr>
        <w:t>Voprosy</w:t>
      </w:r>
      <w:proofErr w:type="spellEnd"/>
      <w:r w:rsidRPr="00065AD9">
        <w:rPr>
          <w:color w:val="000000"/>
          <w:sz w:val="24"/>
          <w:szCs w:val="24"/>
        </w:rPr>
        <w:t xml:space="preserve"> </w:t>
      </w:r>
      <w:proofErr w:type="spellStart"/>
      <w:r w:rsidRPr="00065AD9">
        <w:rPr>
          <w:color w:val="000000"/>
          <w:sz w:val="24"/>
          <w:szCs w:val="24"/>
        </w:rPr>
        <w:t>Pitaniia</w:t>
      </w:r>
      <w:proofErr w:type="spellEnd"/>
      <w:r w:rsidRPr="00065AD9">
        <w:rPr>
          <w:color w:val="000000"/>
          <w:sz w:val="24"/>
          <w:szCs w:val="24"/>
        </w:rPr>
        <w:t xml:space="preserve">, 80(3), 25–30. </w:t>
      </w:r>
      <w:hyperlink r:id="rId82" w:history="1">
        <w:r w:rsidRPr="00E56609">
          <w:rPr>
            <w:rStyle w:val="Hyperlink"/>
            <w:sz w:val="24"/>
            <w:szCs w:val="24"/>
          </w:rPr>
          <w:t>https://pubmed.ncbi.nlm.nih.gov/21842750/</w:t>
        </w:r>
      </w:hyperlink>
      <w:r>
        <w:rPr>
          <w:color w:val="000000"/>
          <w:sz w:val="24"/>
          <w:szCs w:val="24"/>
        </w:rPr>
        <w:t xml:space="preserve"> </w:t>
      </w:r>
    </w:p>
    <w:p w14:paraId="3D4468F0" w14:textId="7953109B" w:rsidR="000F769C" w:rsidRDefault="001D71EE">
      <w:pPr>
        <w:pBdr>
          <w:top w:val="nil"/>
          <w:left w:val="nil"/>
          <w:bottom w:val="nil"/>
          <w:right w:val="nil"/>
          <w:between w:val="nil"/>
        </w:pBdr>
        <w:spacing w:before="19" w:line="261" w:lineRule="auto"/>
        <w:ind w:left="165" w:right="1167"/>
        <w:rPr>
          <w:color w:val="000000"/>
          <w:sz w:val="24"/>
          <w:szCs w:val="24"/>
        </w:rPr>
      </w:pPr>
      <w:r w:rsidRPr="001D71EE">
        <w:rPr>
          <w:color w:val="000000"/>
          <w:sz w:val="24"/>
          <w:szCs w:val="24"/>
        </w:rPr>
        <w:t xml:space="preserve">Rezaei, A., </w:t>
      </w:r>
      <w:proofErr w:type="spellStart"/>
      <w:r w:rsidRPr="001D71EE">
        <w:rPr>
          <w:color w:val="000000"/>
          <w:sz w:val="24"/>
          <w:szCs w:val="24"/>
        </w:rPr>
        <w:t>Daeihamed</w:t>
      </w:r>
      <w:proofErr w:type="spellEnd"/>
      <w:r w:rsidRPr="001D71EE">
        <w:rPr>
          <w:color w:val="000000"/>
          <w:sz w:val="24"/>
          <w:szCs w:val="24"/>
        </w:rPr>
        <w:t xml:space="preserve">, M., </w:t>
      </w:r>
      <w:proofErr w:type="spellStart"/>
      <w:r w:rsidRPr="001D71EE">
        <w:rPr>
          <w:color w:val="000000"/>
          <w:sz w:val="24"/>
          <w:szCs w:val="24"/>
        </w:rPr>
        <w:t>Capanoglu</w:t>
      </w:r>
      <w:proofErr w:type="spellEnd"/>
      <w:r w:rsidRPr="001D71EE">
        <w:rPr>
          <w:color w:val="000000"/>
          <w:sz w:val="24"/>
          <w:szCs w:val="24"/>
        </w:rPr>
        <w:t>, E., Tomas, M., Akbari-</w:t>
      </w:r>
      <w:proofErr w:type="spellStart"/>
      <w:r w:rsidRPr="001D71EE">
        <w:rPr>
          <w:color w:val="000000"/>
          <w:sz w:val="24"/>
          <w:szCs w:val="24"/>
        </w:rPr>
        <w:t>Alavijeh</w:t>
      </w:r>
      <w:proofErr w:type="spellEnd"/>
      <w:r w:rsidRPr="001D71EE">
        <w:rPr>
          <w:color w:val="000000"/>
          <w:sz w:val="24"/>
          <w:szCs w:val="24"/>
        </w:rPr>
        <w:t xml:space="preserve">, S., </w:t>
      </w:r>
      <w:proofErr w:type="spellStart"/>
      <w:r w:rsidRPr="001D71EE">
        <w:rPr>
          <w:color w:val="000000"/>
          <w:sz w:val="24"/>
          <w:szCs w:val="24"/>
        </w:rPr>
        <w:t>Shaddel</w:t>
      </w:r>
      <w:proofErr w:type="spellEnd"/>
      <w:r w:rsidRPr="001D71EE">
        <w:rPr>
          <w:color w:val="000000"/>
          <w:sz w:val="24"/>
          <w:szCs w:val="24"/>
        </w:rPr>
        <w:t xml:space="preserve">, R., </w:t>
      </w:r>
      <w:proofErr w:type="spellStart"/>
      <w:r w:rsidRPr="001D71EE">
        <w:rPr>
          <w:color w:val="000000"/>
          <w:sz w:val="24"/>
          <w:szCs w:val="24"/>
        </w:rPr>
        <w:t>Khoshnoudi</w:t>
      </w:r>
      <w:proofErr w:type="spellEnd"/>
      <w:r w:rsidRPr="001D71EE">
        <w:rPr>
          <w:color w:val="000000"/>
          <w:sz w:val="24"/>
          <w:szCs w:val="24"/>
        </w:rPr>
        <w:t xml:space="preserve">-Nia, S., </w:t>
      </w:r>
      <w:proofErr w:type="spellStart"/>
      <w:r w:rsidRPr="001D71EE">
        <w:rPr>
          <w:color w:val="000000"/>
          <w:sz w:val="24"/>
          <w:szCs w:val="24"/>
        </w:rPr>
        <w:t>Boostani</w:t>
      </w:r>
      <w:proofErr w:type="spellEnd"/>
      <w:r w:rsidRPr="001D71EE">
        <w:rPr>
          <w:color w:val="000000"/>
          <w:sz w:val="24"/>
          <w:szCs w:val="24"/>
        </w:rPr>
        <w:t xml:space="preserve">, S., </w:t>
      </w:r>
      <w:proofErr w:type="spellStart"/>
      <w:r w:rsidRPr="001D71EE">
        <w:rPr>
          <w:color w:val="000000"/>
          <w:sz w:val="24"/>
          <w:szCs w:val="24"/>
        </w:rPr>
        <w:t>Rostamabadi</w:t>
      </w:r>
      <w:proofErr w:type="spellEnd"/>
      <w:r w:rsidRPr="001D71EE">
        <w:rPr>
          <w:color w:val="000000"/>
          <w:sz w:val="24"/>
          <w:szCs w:val="24"/>
        </w:rPr>
        <w:t xml:space="preserve">, H., </w:t>
      </w:r>
      <w:proofErr w:type="spellStart"/>
      <w:r w:rsidRPr="001D71EE">
        <w:rPr>
          <w:color w:val="000000"/>
          <w:sz w:val="24"/>
          <w:szCs w:val="24"/>
        </w:rPr>
        <w:t>Falsafi</w:t>
      </w:r>
      <w:proofErr w:type="spellEnd"/>
      <w:r w:rsidRPr="001D71EE">
        <w:rPr>
          <w:color w:val="000000"/>
          <w:sz w:val="24"/>
          <w:szCs w:val="24"/>
        </w:rPr>
        <w:t xml:space="preserve">, S. R., &amp; Jafari, S. M. (2021). Possible health risks associated with nanostructures in food. In *Safety and Regulatory Issues of Nano-Encapsulated Food Ingredients* (Chapter 2). Elsevier Inc. </w:t>
      </w:r>
      <w:hyperlink r:id="rId83" w:history="1">
        <w:r w:rsidRPr="00E56609">
          <w:rPr>
            <w:rStyle w:val="Hyperlink"/>
            <w:sz w:val="24"/>
            <w:szCs w:val="24"/>
          </w:rPr>
          <w:t>https://doi.org/10.1016/B978-0-12-815725-1.00002-1</w:t>
        </w:r>
      </w:hyperlink>
      <w:r>
        <w:rPr>
          <w:color w:val="000000"/>
          <w:sz w:val="24"/>
          <w:szCs w:val="24"/>
        </w:rPr>
        <w:t xml:space="preserve"> </w:t>
      </w:r>
      <w:r w:rsidR="00D22EC0">
        <w:rPr>
          <w:color w:val="000000"/>
          <w:sz w:val="24"/>
          <w:szCs w:val="24"/>
        </w:rPr>
        <w:t xml:space="preserve">  </w:t>
      </w:r>
    </w:p>
    <w:p w14:paraId="286D53DC" w14:textId="77777777" w:rsidR="00D22EC0" w:rsidRDefault="00D22EC0">
      <w:pPr>
        <w:pBdr>
          <w:top w:val="nil"/>
          <w:left w:val="nil"/>
          <w:bottom w:val="nil"/>
          <w:right w:val="nil"/>
          <w:between w:val="nil"/>
        </w:pBdr>
        <w:spacing w:before="19" w:line="261" w:lineRule="auto"/>
        <w:ind w:left="165" w:right="1167"/>
        <w:rPr>
          <w:color w:val="000000"/>
          <w:sz w:val="24"/>
          <w:szCs w:val="24"/>
        </w:rPr>
      </w:pPr>
    </w:p>
    <w:p w14:paraId="03D35A4A" w14:textId="1F95E94D" w:rsidR="002C4E8F" w:rsidRDefault="00CE33E3">
      <w:pPr>
        <w:pBdr>
          <w:top w:val="nil"/>
          <w:left w:val="nil"/>
          <w:bottom w:val="nil"/>
          <w:right w:val="nil"/>
          <w:between w:val="nil"/>
        </w:pBdr>
        <w:spacing w:before="19" w:line="261" w:lineRule="auto"/>
        <w:ind w:left="165" w:right="1167"/>
        <w:rPr>
          <w:color w:val="000000"/>
          <w:sz w:val="24"/>
          <w:szCs w:val="24"/>
        </w:rPr>
      </w:pPr>
      <w:r w:rsidRPr="00CE33E3">
        <w:rPr>
          <w:color w:val="000000"/>
          <w:sz w:val="24"/>
          <w:szCs w:val="24"/>
        </w:rPr>
        <w:t xml:space="preserve">Romano, R. C., </w:t>
      </w:r>
      <w:proofErr w:type="spellStart"/>
      <w:r w:rsidRPr="00CE33E3">
        <w:rPr>
          <w:color w:val="000000"/>
          <w:sz w:val="24"/>
          <w:szCs w:val="24"/>
        </w:rPr>
        <w:t>Restuccia</w:t>
      </w:r>
      <w:proofErr w:type="spellEnd"/>
      <w:r w:rsidRPr="00CE33E3">
        <w:rPr>
          <w:color w:val="000000"/>
          <w:sz w:val="24"/>
          <w:szCs w:val="24"/>
        </w:rPr>
        <w:t xml:space="preserve">, C., </w:t>
      </w:r>
      <w:proofErr w:type="spellStart"/>
      <w:r w:rsidRPr="00CE33E3">
        <w:rPr>
          <w:color w:val="000000"/>
          <w:sz w:val="24"/>
          <w:szCs w:val="24"/>
        </w:rPr>
        <w:t>Rutigliano</w:t>
      </w:r>
      <w:proofErr w:type="spellEnd"/>
      <w:r w:rsidRPr="00CE33E3">
        <w:rPr>
          <w:color w:val="000000"/>
          <w:sz w:val="24"/>
          <w:szCs w:val="24"/>
        </w:rPr>
        <w:t xml:space="preserve">, C. A. C., </w:t>
      </w:r>
      <w:proofErr w:type="spellStart"/>
      <w:r w:rsidRPr="00CE33E3">
        <w:rPr>
          <w:color w:val="000000"/>
          <w:sz w:val="24"/>
          <w:szCs w:val="24"/>
        </w:rPr>
        <w:t>Spartà</w:t>
      </w:r>
      <w:proofErr w:type="spellEnd"/>
      <w:r w:rsidRPr="00CE33E3">
        <w:rPr>
          <w:color w:val="000000"/>
          <w:sz w:val="24"/>
          <w:szCs w:val="24"/>
        </w:rPr>
        <w:t xml:space="preserve">, S., </w:t>
      </w:r>
      <w:proofErr w:type="spellStart"/>
      <w:r w:rsidRPr="00CE33E3">
        <w:rPr>
          <w:color w:val="000000"/>
          <w:sz w:val="24"/>
          <w:szCs w:val="24"/>
        </w:rPr>
        <w:t>Parafati</w:t>
      </w:r>
      <w:proofErr w:type="spellEnd"/>
      <w:r w:rsidRPr="00CE33E3">
        <w:rPr>
          <w:color w:val="000000"/>
          <w:sz w:val="24"/>
          <w:szCs w:val="24"/>
        </w:rPr>
        <w:t xml:space="preserve">, L., </w:t>
      </w:r>
      <w:proofErr w:type="spellStart"/>
      <w:r w:rsidRPr="00CE33E3">
        <w:rPr>
          <w:color w:val="000000"/>
          <w:sz w:val="24"/>
          <w:szCs w:val="24"/>
        </w:rPr>
        <w:t>Barbagallo</w:t>
      </w:r>
      <w:proofErr w:type="spellEnd"/>
      <w:r w:rsidRPr="00CE33E3">
        <w:rPr>
          <w:color w:val="000000"/>
          <w:sz w:val="24"/>
          <w:szCs w:val="24"/>
        </w:rPr>
        <w:t xml:space="preserve">, R. N., &amp; </w:t>
      </w:r>
      <w:proofErr w:type="spellStart"/>
      <w:r w:rsidRPr="00CE33E3">
        <w:rPr>
          <w:color w:val="000000"/>
          <w:sz w:val="24"/>
          <w:szCs w:val="24"/>
        </w:rPr>
        <w:t>Muratore</w:t>
      </w:r>
      <w:proofErr w:type="spellEnd"/>
      <w:r w:rsidRPr="00CE33E3">
        <w:rPr>
          <w:color w:val="000000"/>
          <w:sz w:val="24"/>
          <w:szCs w:val="24"/>
        </w:rPr>
        <w:t xml:space="preserve">, G. (2024). Effect of UV-C Treatment on Shelf Life of Soft Wheat Bread (Bun). *Foods*, *13*(6), 949. </w:t>
      </w:r>
      <w:hyperlink r:id="rId84" w:history="1">
        <w:r w:rsidRPr="00E56609">
          <w:rPr>
            <w:rStyle w:val="Hyperlink"/>
            <w:sz w:val="24"/>
            <w:szCs w:val="24"/>
          </w:rPr>
          <w:t>https://doi.org/10.3390/foods13060949</w:t>
        </w:r>
      </w:hyperlink>
      <w:r>
        <w:rPr>
          <w:color w:val="000000"/>
          <w:sz w:val="24"/>
          <w:szCs w:val="24"/>
        </w:rPr>
        <w:t xml:space="preserve"> </w:t>
      </w:r>
    </w:p>
    <w:p w14:paraId="119A7E87" w14:textId="77777777" w:rsidR="00B26115" w:rsidRDefault="00B26115">
      <w:pPr>
        <w:pBdr>
          <w:top w:val="nil"/>
          <w:left w:val="nil"/>
          <w:bottom w:val="nil"/>
          <w:right w:val="nil"/>
          <w:between w:val="nil"/>
        </w:pBdr>
        <w:spacing w:before="19" w:line="261" w:lineRule="auto"/>
        <w:ind w:left="165" w:right="1167"/>
        <w:rPr>
          <w:color w:val="000000"/>
          <w:sz w:val="24"/>
          <w:szCs w:val="24"/>
        </w:rPr>
      </w:pPr>
    </w:p>
    <w:p w14:paraId="3E6A70B8" w14:textId="46F1654F" w:rsidR="00B26115" w:rsidRDefault="00C734A6">
      <w:pPr>
        <w:pBdr>
          <w:top w:val="nil"/>
          <w:left w:val="nil"/>
          <w:bottom w:val="nil"/>
          <w:right w:val="nil"/>
          <w:between w:val="nil"/>
        </w:pBdr>
        <w:spacing w:before="19" w:line="261" w:lineRule="auto"/>
        <w:ind w:left="165" w:right="1167"/>
        <w:rPr>
          <w:color w:val="000000"/>
          <w:sz w:val="24"/>
          <w:szCs w:val="24"/>
        </w:rPr>
      </w:pPr>
      <w:proofErr w:type="spellStart"/>
      <w:r w:rsidRPr="00C734A6">
        <w:rPr>
          <w:color w:val="000000"/>
          <w:sz w:val="24"/>
          <w:szCs w:val="24"/>
        </w:rPr>
        <w:t>Salehirozveh</w:t>
      </w:r>
      <w:proofErr w:type="spellEnd"/>
      <w:r w:rsidRPr="00C734A6">
        <w:rPr>
          <w:color w:val="000000"/>
          <w:sz w:val="24"/>
          <w:szCs w:val="24"/>
        </w:rPr>
        <w:t xml:space="preserve">, M., </w:t>
      </w:r>
      <w:proofErr w:type="spellStart"/>
      <w:r w:rsidRPr="00C734A6">
        <w:rPr>
          <w:color w:val="000000"/>
          <w:sz w:val="24"/>
          <w:szCs w:val="24"/>
        </w:rPr>
        <w:t>Dehghani</w:t>
      </w:r>
      <w:proofErr w:type="spellEnd"/>
      <w:r w:rsidRPr="00C734A6">
        <w:rPr>
          <w:color w:val="000000"/>
          <w:sz w:val="24"/>
          <w:szCs w:val="24"/>
        </w:rPr>
        <w:t xml:space="preserve">, P., &amp; </w:t>
      </w:r>
      <w:proofErr w:type="spellStart"/>
      <w:r w:rsidRPr="00C734A6">
        <w:rPr>
          <w:color w:val="000000"/>
          <w:sz w:val="24"/>
          <w:szCs w:val="24"/>
        </w:rPr>
        <w:t>Mijakovic</w:t>
      </w:r>
      <w:proofErr w:type="spellEnd"/>
      <w:r w:rsidRPr="00C734A6">
        <w:rPr>
          <w:color w:val="000000"/>
          <w:sz w:val="24"/>
          <w:szCs w:val="24"/>
        </w:rPr>
        <w:t xml:space="preserve">, I. (2024). Synthesis, Functionalization, and Biomedical Applications of Iron Oxide Nanoparticles (IONPs). Journal of Functional Biomaterials, 15(11), 340. </w:t>
      </w:r>
      <w:hyperlink r:id="rId85" w:history="1">
        <w:r w:rsidRPr="00E56609">
          <w:rPr>
            <w:rStyle w:val="Hyperlink"/>
            <w:sz w:val="24"/>
            <w:szCs w:val="24"/>
          </w:rPr>
          <w:t>https://doi.org/10.3390/jfb15110340</w:t>
        </w:r>
      </w:hyperlink>
      <w:r>
        <w:rPr>
          <w:color w:val="000000"/>
          <w:sz w:val="24"/>
          <w:szCs w:val="24"/>
        </w:rPr>
        <w:t xml:space="preserve"> </w:t>
      </w:r>
    </w:p>
    <w:p w14:paraId="4FA0F2CF" w14:textId="77777777" w:rsidR="00FB7A7B" w:rsidRDefault="00FB7A7B">
      <w:pPr>
        <w:pBdr>
          <w:top w:val="nil"/>
          <w:left w:val="nil"/>
          <w:bottom w:val="nil"/>
          <w:right w:val="nil"/>
          <w:between w:val="nil"/>
        </w:pBdr>
        <w:spacing w:before="19" w:line="261" w:lineRule="auto"/>
        <w:ind w:left="165" w:right="1167"/>
        <w:rPr>
          <w:color w:val="000000"/>
          <w:sz w:val="24"/>
          <w:szCs w:val="24"/>
        </w:rPr>
      </w:pPr>
    </w:p>
    <w:p w14:paraId="6D932EB7" w14:textId="17DC8F7D" w:rsidR="00641C0C" w:rsidRDefault="003A5A44">
      <w:pPr>
        <w:pBdr>
          <w:top w:val="nil"/>
          <w:left w:val="nil"/>
          <w:bottom w:val="nil"/>
          <w:right w:val="nil"/>
          <w:between w:val="nil"/>
        </w:pBdr>
        <w:spacing w:before="19" w:line="261" w:lineRule="auto"/>
        <w:ind w:left="165" w:right="1167"/>
        <w:rPr>
          <w:color w:val="000000"/>
          <w:sz w:val="24"/>
          <w:szCs w:val="24"/>
        </w:rPr>
      </w:pPr>
      <w:r w:rsidRPr="003A5A44">
        <w:rPr>
          <w:color w:val="000000"/>
          <w:sz w:val="24"/>
          <w:szCs w:val="24"/>
        </w:rPr>
        <w:t xml:space="preserve">Serov, D. A., </w:t>
      </w:r>
      <w:proofErr w:type="spellStart"/>
      <w:r w:rsidRPr="003A5A44">
        <w:rPr>
          <w:color w:val="000000"/>
          <w:sz w:val="24"/>
          <w:szCs w:val="24"/>
        </w:rPr>
        <w:t>Gritsaeva</w:t>
      </w:r>
      <w:proofErr w:type="spellEnd"/>
      <w:r w:rsidRPr="003A5A44">
        <w:rPr>
          <w:color w:val="000000"/>
          <w:sz w:val="24"/>
          <w:szCs w:val="24"/>
        </w:rPr>
        <w:t xml:space="preserve">, A. V., </w:t>
      </w:r>
      <w:proofErr w:type="spellStart"/>
      <w:r w:rsidRPr="003A5A44">
        <w:rPr>
          <w:color w:val="000000"/>
          <w:sz w:val="24"/>
          <w:szCs w:val="24"/>
        </w:rPr>
        <w:t>Yanbaev</w:t>
      </w:r>
      <w:proofErr w:type="spellEnd"/>
      <w:r w:rsidRPr="003A5A44">
        <w:rPr>
          <w:color w:val="000000"/>
          <w:sz w:val="24"/>
          <w:szCs w:val="24"/>
        </w:rPr>
        <w:t xml:space="preserve">, F. M., </w:t>
      </w:r>
      <w:proofErr w:type="spellStart"/>
      <w:r w:rsidRPr="003A5A44">
        <w:rPr>
          <w:color w:val="000000"/>
          <w:sz w:val="24"/>
          <w:szCs w:val="24"/>
        </w:rPr>
        <w:t>Simakin</w:t>
      </w:r>
      <w:proofErr w:type="spellEnd"/>
      <w:r w:rsidRPr="003A5A44">
        <w:rPr>
          <w:color w:val="000000"/>
          <w:sz w:val="24"/>
          <w:szCs w:val="24"/>
        </w:rPr>
        <w:t xml:space="preserve">, A. V., &amp; Gudkov, S. V. (2024). Review of Antimicrobial Properties of Titanium Dioxide Nanoparticles. International Journal of Molecular Sciences, 25(19), 10519. </w:t>
      </w:r>
      <w:hyperlink r:id="rId86" w:history="1">
        <w:r w:rsidRPr="00E56609">
          <w:rPr>
            <w:rStyle w:val="Hyperlink"/>
            <w:sz w:val="24"/>
            <w:szCs w:val="24"/>
          </w:rPr>
          <w:t>https://doi.org/10.3390/ijms251910519</w:t>
        </w:r>
      </w:hyperlink>
      <w:r>
        <w:rPr>
          <w:color w:val="000000"/>
          <w:sz w:val="24"/>
          <w:szCs w:val="24"/>
        </w:rPr>
        <w:t xml:space="preserve"> </w:t>
      </w:r>
    </w:p>
    <w:p w14:paraId="105CEBEA" w14:textId="77777777" w:rsidR="00FB7A7B" w:rsidRDefault="00FB7A7B">
      <w:pPr>
        <w:pBdr>
          <w:top w:val="nil"/>
          <w:left w:val="nil"/>
          <w:bottom w:val="nil"/>
          <w:right w:val="nil"/>
          <w:between w:val="nil"/>
        </w:pBdr>
        <w:spacing w:before="19" w:line="261" w:lineRule="auto"/>
        <w:ind w:left="165" w:right="1167"/>
        <w:rPr>
          <w:color w:val="000000"/>
          <w:sz w:val="24"/>
          <w:szCs w:val="24"/>
        </w:rPr>
      </w:pPr>
    </w:p>
    <w:p w14:paraId="7A8BDF9B" w14:textId="24EB4227" w:rsidR="00641C0C" w:rsidRDefault="003F4F32">
      <w:pPr>
        <w:pBdr>
          <w:top w:val="nil"/>
          <w:left w:val="nil"/>
          <w:bottom w:val="nil"/>
          <w:right w:val="nil"/>
          <w:between w:val="nil"/>
        </w:pBdr>
        <w:spacing w:before="19" w:line="261" w:lineRule="auto"/>
        <w:ind w:left="165" w:right="1167"/>
        <w:rPr>
          <w:color w:val="000000"/>
          <w:sz w:val="24"/>
          <w:szCs w:val="24"/>
        </w:rPr>
      </w:pPr>
      <w:r w:rsidRPr="003F4F32">
        <w:rPr>
          <w:color w:val="000000"/>
          <w:sz w:val="24"/>
          <w:szCs w:val="24"/>
        </w:rPr>
        <w:t xml:space="preserve">Shafiq, M., Anjum, S., </w:t>
      </w:r>
      <w:proofErr w:type="spellStart"/>
      <w:r w:rsidRPr="003F4F32">
        <w:rPr>
          <w:color w:val="000000"/>
          <w:sz w:val="24"/>
          <w:szCs w:val="24"/>
        </w:rPr>
        <w:t>Hano</w:t>
      </w:r>
      <w:proofErr w:type="spellEnd"/>
      <w:r w:rsidRPr="003F4F32">
        <w:rPr>
          <w:color w:val="000000"/>
          <w:sz w:val="24"/>
          <w:szCs w:val="24"/>
        </w:rPr>
        <w:t xml:space="preserve">, C., Anjum, I., &amp; Abbasi, B. H. (2020). An Overview of the Applications of Nanomaterials and Nanodevices in the Food Industry. Foods, 9(2), 148. </w:t>
      </w:r>
      <w:hyperlink r:id="rId87" w:history="1">
        <w:r w:rsidRPr="00E56609">
          <w:rPr>
            <w:rStyle w:val="Hyperlink"/>
            <w:sz w:val="24"/>
            <w:szCs w:val="24"/>
          </w:rPr>
          <w:t>https://doi.org/10.3390/foods9020148</w:t>
        </w:r>
      </w:hyperlink>
      <w:r>
        <w:rPr>
          <w:color w:val="000000"/>
          <w:sz w:val="24"/>
          <w:szCs w:val="24"/>
        </w:rPr>
        <w:t xml:space="preserve"> </w:t>
      </w:r>
    </w:p>
    <w:p w14:paraId="2E21C9F3" w14:textId="77777777" w:rsidR="00641C0C" w:rsidRDefault="00641C0C">
      <w:pPr>
        <w:pBdr>
          <w:top w:val="nil"/>
          <w:left w:val="nil"/>
          <w:bottom w:val="nil"/>
          <w:right w:val="nil"/>
          <w:between w:val="nil"/>
        </w:pBdr>
        <w:spacing w:before="19" w:line="261" w:lineRule="auto"/>
        <w:ind w:left="165" w:right="1167"/>
        <w:rPr>
          <w:color w:val="000000"/>
          <w:sz w:val="24"/>
          <w:szCs w:val="24"/>
        </w:rPr>
      </w:pPr>
    </w:p>
    <w:p w14:paraId="4A0814C0" w14:textId="7F014947" w:rsidR="00366E1B" w:rsidRDefault="008C4000">
      <w:pPr>
        <w:pBdr>
          <w:top w:val="nil"/>
          <w:left w:val="nil"/>
          <w:bottom w:val="nil"/>
          <w:right w:val="nil"/>
          <w:between w:val="nil"/>
        </w:pBdr>
        <w:spacing w:before="19" w:line="261" w:lineRule="auto"/>
        <w:ind w:left="165" w:right="1167"/>
        <w:rPr>
          <w:color w:val="000000"/>
          <w:sz w:val="24"/>
          <w:szCs w:val="24"/>
        </w:rPr>
      </w:pPr>
      <w:r w:rsidRPr="008C4000">
        <w:rPr>
          <w:color w:val="000000"/>
          <w:sz w:val="24"/>
          <w:szCs w:val="24"/>
        </w:rPr>
        <w:t xml:space="preserve">Shin, G. H., Kim, J. T., &amp; Park, H. J. (2015). Recent developments in </w:t>
      </w:r>
      <w:proofErr w:type="spellStart"/>
      <w:r w:rsidRPr="008C4000">
        <w:rPr>
          <w:color w:val="000000"/>
          <w:sz w:val="24"/>
          <w:szCs w:val="24"/>
        </w:rPr>
        <w:t>nanoformulations</w:t>
      </w:r>
      <w:proofErr w:type="spellEnd"/>
      <w:r w:rsidRPr="008C4000">
        <w:rPr>
          <w:color w:val="000000"/>
          <w:sz w:val="24"/>
          <w:szCs w:val="24"/>
        </w:rPr>
        <w:t xml:space="preserve"> of lipophilic functional foods. Trends in Food Science &amp; Technology, 46(1), 144-157. </w:t>
      </w:r>
      <w:hyperlink r:id="rId88" w:history="1">
        <w:r w:rsidRPr="00E56609">
          <w:rPr>
            <w:rStyle w:val="Hyperlink"/>
            <w:sz w:val="24"/>
            <w:szCs w:val="24"/>
          </w:rPr>
          <w:t>https://doi.org/10.1016/j.tifs.2015.07.005</w:t>
        </w:r>
      </w:hyperlink>
      <w:r>
        <w:rPr>
          <w:color w:val="000000"/>
          <w:sz w:val="24"/>
          <w:szCs w:val="24"/>
        </w:rPr>
        <w:t xml:space="preserve"> </w:t>
      </w:r>
    </w:p>
    <w:p w14:paraId="5B3D46CD" w14:textId="77777777" w:rsidR="0059665B" w:rsidRDefault="00040B3E">
      <w:pPr>
        <w:spacing w:before="154" w:line="261" w:lineRule="auto"/>
        <w:ind w:left="165" w:right="1167"/>
        <w:rPr>
          <w:sz w:val="24"/>
          <w:szCs w:val="24"/>
        </w:rPr>
      </w:pPr>
      <w:r>
        <w:rPr>
          <w:sz w:val="24"/>
          <w:szCs w:val="24"/>
        </w:rPr>
        <w:t xml:space="preserve">Shin, G. H., Kim, J. T., &amp; Park, H. J. (2015). Recent developments in </w:t>
      </w:r>
      <w:proofErr w:type="spellStart"/>
      <w:r>
        <w:rPr>
          <w:sz w:val="24"/>
          <w:szCs w:val="24"/>
        </w:rPr>
        <w:t>nanoformulations</w:t>
      </w:r>
      <w:proofErr w:type="spellEnd"/>
      <w:r>
        <w:rPr>
          <w:sz w:val="24"/>
          <w:szCs w:val="24"/>
        </w:rPr>
        <w:t xml:space="preserve"> of lipophilic functional foods. </w:t>
      </w:r>
      <w:r>
        <w:rPr>
          <w:i/>
          <w:sz w:val="24"/>
          <w:szCs w:val="24"/>
        </w:rPr>
        <w:t>Trends in Food Science &amp; Technology</w:t>
      </w:r>
      <w:r>
        <w:rPr>
          <w:sz w:val="24"/>
          <w:szCs w:val="24"/>
        </w:rPr>
        <w:t xml:space="preserve">, </w:t>
      </w:r>
      <w:r>
        <w:rPr>
          <w:i/>
          <w:sz w:val="24"/>
          <w:szCs w:val="24"/>
        </w:rPr>
        <w:t>46</w:t>
      </w:r>
      <w:r>
        <w:rPr>
          <w:sz w:val="24"/>
          <w:szCs w:val="24"/>
        </w:rPr>
        <w:t>(1), 144–157.</w:t>
      </w:r>
    </w:p>
    <w:p w14:paraId="58D203C2" w14:textId="77777777" w:rsidR="0059665B" w:rsidRDefault="00040B3E">
      <w:pPr>
        <w:pBdr>
          <w:top w:val="nil"/>
          <w:left w:val="nil"/>
          <w:bottom w:val="nil"/>
          <w:right w:val="nil"/>
          <w:between w:val="nil"/>
        </w:pBdr>
        <w:spacing w:before="159" w:line="259" w:lineRule="auto"/>
        <w:ind w:left="165" w:right="1167"/>
        <w:rPr>
          <w:color w:val="000000"/>
          <w:sz w:val="24"/>
          <w:szCs w:val="24"/>
        </w:rPr>
      </w:pPr>
      <w:r>
        <w:rPr>
          <w:color w:val="000000"/>
          <w:sz w:val="24"/>
          <w:szCs w:val="24"/>
        </w:rPr>
        <w:t xml:space="preserve">Sirelkhatim, A., Mahmud, S., </w:t>
      </w:r>
      <w:proofErr w:type="spellStart"/>
      <w:r>
        <w:rPr>
          <w:color w:val="000000"/>
          <w:sz w:val="24"/>
          <w:szCs w:val="24"/>
        </w:rPr>
        <w:t>Seeni</w:t>
      </w:r>
      <w:proofErr w:type="spellEnd"/>
      <w:r>
        <w:rPr>
          <w:color w:val="000000"/>
          <w:sz w:val="24"/>
          <w:szCs w:val="24"/>
        </w:rPr>
        <w:t xml:space="preserve">, A., Kaus, N. H. M., Ann, L. C., </w:t>
      </w:r>
      <w:proofErr w:type="spellStart"/>
      <w:r>
        <w:rPr>
          <w:color w:val="000000"/>
          <w:sz w:val="24"/>
          <w:szCs w:val="24"/>
        </w:rPr>
        <w:t>Bakhori</w:t>
      </w:r>
      <w:proofErr w:type="spellEnd"/>
      <w:r>
        <w:rPr>
          <w:color w:val="000000"/>
          <w:sz w:val="24"/>
          <w:szCs w:val="24"/>
        </w:rPr>
        <w:t xml:space="preserve">, S. K. M., Hasan, H., &amp; Mohamad, D. (2015). Review on zinc oxide nanoparticles: antibacterial activity and toxicity mechanism. </w:t>
      </w:r>
      <w:r>
        <w:rPr>
          <w:i/>
          <w:color w:val="000000"/>
          <w:sz w:val="24"/>
          <w:szCs w:val="24"/>
        </w:rPr>
        <w:t>Nano-Micro Letters</w:t>
      </w:r>
      <w:r>
        <w:rPr>
          <w:color w:val="000000"/>
          <w:sz w:val="24"/>
          <w:szCs w:val="24"/>
        </w:rPr>
        <w:t xml:space="preserve">, </w:t>
      </w:r>
      <w:r>
        <w:rPr>
          <w:i/>
          <w:color w:val="000000"/>
          <w:sz w:val="24"/>
          <w:szCs w:val="24"/>
        </w:rPr>
        <w:t>7</w:t>
      </w:r>
      <w:r>
        <w:rPr>
          <w:color w:val="000000"/>
          <w:sz w:val="24"/>
          <w:szCs w:val="24"/>
        </w:rPr>
        <w:t>(3), 219–242.</w:t>
      </w:r>
    </w:p>
    <w:p w14:paraId="7F24615A" w14:textId="7D5DDDDE" w:rsidR="00951DA0" w:rsidRDefault="00951DA0">
      <w:pPr>
        <w:pBdr>
          <w:top w:val="nil"/>
          <w:left w:val="nil"/>
          <w:bottom w:val="nil"/>
          <w:right w:val="nil"/>
          <w:between w:val="nil"/>
        </w:pBdr>
        <w:spacing w:before="159" w:line="259" w:lineRule="auto"/>
        <w:ind w:left="165" w:right="1167"/>
        <w:rPr>
          <w:color w:val="000000"/>
          <w:sz w:val="24"/>
          <w:szCs w:val="24"/>
        </w:rPr>
      </w:pPr>
      <w:r w:rsidRPr="00951DA0">
        <w:rPr>
          <w:color w:val="000000"/>
          <w:sz w:val="24"/>
          <w:szCs w:val="24"/>
        </w:rPr>
        <w:t xml:space="preserve">Carnovale C, Guarnieri D, Di Cristo L, De Angelis I, Veronesi G, </w:t>
      </w:r>
      <w:proofErr w:type="spellStart"/>
      <w:r w:rsidRPr="00951DA0">
        <w:rPr>
          <w:color w:val="000000"/>
          <w:sz w:val="24"/>
          <w:szCs w:val="24"/>
        </w:rPr>
        <w:t>Scarpellini</w:t>
      </w:r>
      <w:proofErr w:type="spellEnd"/>
      <w:r w:rsidRPr="00951DA0">
        <w:rPr>
          <w:color w:val="000000"/>
          <w:sz w:val="24"/>
          <w:szCs w:val="24"/>
        </w:rPr>
        <w:t xml:space="preserve"> A, </w:t>
      </w:r>
      <w:proofErr w:type="spellStart"/>
      <w:r w:rsidRPr="00951DA0">
        <w:rPr>
          <w:color w:val="000000"/>
          <w:sz w:val="24"/>
          <w:szCs w:val="24"/>
        </w:rPr>
        <w:t>Malvindi</w:t>
      </w:r>
      <w:proofErr w:type="spellEnd"/>
      <w:r w:rsidRPr="00951DA0">
        <w:rPr>
          <w:color w:val="000000"/>
          <w:sz w:val="24"/>
          <w:szCs w:val="24"/>
        </w:rPr>
        <w:t xml:space="preserve"> MA, Barone F, Pompa PP, Sabella S. Biotransformation of Silver Nanoparticles into Oro-Gastrointestinal Tract by Integrated In Vitro Testing Assay: Generation of Exposure-Dependent Physical Descriptors for Nanomaterial Grouping. Nanomaterials. 2021; 11(6):1587. </w:t>
      </w:r>
      <w:hyperlink r:id="rId89" w:history="1">
        <w:r w:rsidRPr="0081309B">
          <w:rPr>
            <w:rStyle w:val="Hyperlink"/>
            <w:sz w:val="24"/>
            <w:szCs w:val="24"/>
          </w:rPr>
          <w:t>https://doi.org/10.3390/nano11061587</w:t>
        </w:r>
      </w:hyperlink>
      <w:r>
        <w:rPr>
          <w:color w:val="000000"/>
          <w:sz w:val="24"/>
          <w:szCs w:val="24"/>
        </w:rPr>
        <w:t xml:space="preserve"> </w:t>
      </w:r>
    </w:p>
    <w:p w14:paraId="3948E2A8" w14:textId="3B09F507" w:rsidR="0059665B" w:rsidRDefault="00362B36">
      <w:pPr>
        <w:pBdr>
          <w:top w:val="nil"/>
          <w:left w:val="nil"/>
          <w:bottom w:val="nil"/>
          <w:right w:val="nil"/>
          <w:between w:val="nil"/>
        </w:pBdr>
        <w:spacing w:line="269" w:lineRule="auto"/>
        <w:ind w:left="165"/>
        <w:rPr>
          <w:color w:val="000000"/>
          <w:sz w:val="24"/>
          <w:szCs w:val="24"/>
        </w:rPr>
      </w:pPr>
      <w:proofErr w:type="spellStart"/>
      <w:r w:rsidRPr="00362B36">
        <w:rPr>
          <w:color w:val="000000"/>
          <w:sz w:val="24"/>
          <w:szCs w:val="24"/>
        </w:rPr>
        <w:t>Vinardell</w:t>
      </w:r>
      <w:proofErr w:type="spellEnd"/>
      <w:r w:rsidRPr="00362B36">
        <w:rPr>
          <w:color w:val="000000"/>
          <w:sz w:val="24"/>
          <w:szCs w:val="24"/>
        </w:rPr>
        <w:t xml:space="preserve">, M. P. (2025). Recent Advances in the Evaluation of the Toxicological and Ecotoxicological Risks of Polymer, Zinc Oxide, Titanium Dioxide and Graphene Oxide Nanoparticles. Nanomaterials. </w:t>
      </w:r>
      <w:hyperlink r:id="rId90" w:history="1">
        <w:r w:rsidRPr="00E56609">
          <w:rPr>
            <w:rStyle w:val="Hyperlink"/>
            <w:sz w:val="24"/>
            <w:szCs w:val="24"/>
          </w:rPr>
          <w:t>https://doi.org/10.3390/nano15020097</w:t>
        </w:r>
      </w:hyperlink>
      <w:r>
        <w:rPr>
          <w:color w:val="000000"/>
          <w:sz w:val="24"/>
          <w:szCs w:val="24"/>
        </w:rPr>
        <w:t xml:space="preserve"> </w:t>
      </w:r>
    </w:p>
    <w:p w14:paraId="15529BAE" w14:textId="77777777" w:rsidR="00215DEE" w:rsidRDefault="00215DEE">
      <w:pPr>
        <w:pBdr>
          <w:top w:val="nil"/>
          <w:left w:val="nil"/>
          <w:bottom w:val="nil"/>
          <w:right w:val="nil"/>
          <w:between w:val="nil"/>
        </w:pBdr>
        <w:spacing w:line="269" w:lineRule="auto"/>
        <w:ind w:left="165"/>
        <w:rPr>
          <w:color w:val="000000"/>
          <w:sz w:val="24"/>
          <w:szCs w:val="24"/>
        </w:rPr>
      </w:pPr>
    </w:p>
    <w:p w14:paraId="02404E7E" w14:textId="1B3425D2" w:rsidR="00215DEE" w:rsidRDefault="00581317">
      <w:pPr>
        <w:pBdr>
          <w:top w:val="nil"/>
          <w:left w:val="nil"/>
          <w:bottom w:val="nil"/>
          <w:right w:val="nil"/>
          <w:between w:val="nil"/>
        </w:pBdr>
        <w:spacing w:line="269" w:lineRule="auto"/>
        <w:ind w:left="165"/>
        <w:rPr>
          <w:color w:val="000000"/>
          <w:sz w:val="24"/>
          <w:szCs w:val="24"/>
        </w:rPr>
      </w:pPr>
      <w:r w:rsidRPr="00581317">
        <w:rPr>
          <w:color w:val="000000"/>
          <w:sz w:val="24"/>
          <w:szCs w:val="24"/>
        </w:rPr>
        <w:t xml:space="preserve">Shakeel, N., </w:t>
      </w:r>
      <w:proofErr w:type="spellStart"/>
      <w:r w:rsidRPr="00581317">
        <w:rPr>
          <w:color w:val="000000"/>
          <w:sz w:val="24"/>
          <w:szCs w:val="24"/>
        </w:rPr>
        <w:t>Piwoński</w:t>
      </w:r>
      <w:proofErr w:type="spellEnd"/>
      <w:r w:rsidRPr="00581317">
        <w:rPr>
          <w:color w:val="000000"/>
          <w:sz w:val="24"/>
          <w:szCs w:val="24"/>
        </w:rPr>
        <w:t xml:space="preserve">, I., Iqbal, P., &amp; </w:t>
      </w:r>
      <w:proofErr w:type="spellStart"/>
      <w:r w:rsidRPr="00581317">
        <w:rPr>
          <w:color w:val="000000"/>
          <w:sz w:val="24"/>
          <w:szCs w:val="24"/>
        </w:rPr>
        <w:t>Kisielewska</w:t>
      </w:r>
      <w:proofErr w:type="spellEnd"/>
      <w:r w:rsidRPr="00581317">
        <w:rPr>
          <w:color w:val="000000"/>
          <w:sz w:val="24"/>
          <w:szCs w:val="24"/>
        </w:rPr>
        <w:t xml:space="preserve">, A. (2025). Green Synthesis of Titanium Dioxide Nanoparticles: Physicochemical Characterization and Applications: A Review. International Journal of Molecular Sciences, 26(12), 5454. </w:t>
      </w:r>
      <w:hyperlink r:id="rId91" w:history="1">
        <w:r w:rsidRPr="00E56609">
          <w:rPr>
            <w:rStyle w:val="Hyperlink"/>
            <w:sz w:val="24"/>
            <w:szCs w:val="24"/>
          </w:rPr>
          <w:t>https://doi.org/10.3390/ijms26125454</w:t>
        </w:r>
      </w:hyperlink>
      <w:r>
        <w:rPr>
          <w:color w:val="000000"/>
          <w:sz w:val="24"/>
          <w:szCs w:val="24"/>
        </w:rPr>
        <w:t xml:space="preserve"> </w:t>
      </w:r>
    </w:p>
    <w:p w14:paraId="04CD72FD" w14:textId="51FE5C14" w:rsidR="0059665B" w:rsidRDefault="004D60A5">
      <w:pPr>
        <w:spacing w:line="270" w:lineRule="auto"/>
        <w:ind w:left="165"/>
        <w:rPr>
          <w:sz w:val="24"/>
          <w:szCs w:val="24"/>
        </w:rPr>
      </w:pPr>
      <w:r w:rsidRPr="004D60A5">
        <w:rPr>
          <w:color w:val="000000"/>
          <w:sz w:val="24"/>
          <w:szCs w:val="24"/>
        </w:rPr>
        <w:t xml:space="preserve">Song, Z., Chen, N., Liu, J., Tang, H., Deng, X., Xi, W., Han, K., Cao, A., Liu, Y., &amp; Wang, H. (2015). Biological effect of food additive titanium dioxide nanoparticles on intestine: an in vitro study. Journal of Applied Toxicology, 35(10), 1169–1178. </w:t>
      </w:r>
      <w:hyperlink r:id="rId92" w:history="1">
        <w:r w:rsidRPr="00E56609">
          <w:rPr>
            <w:rStyle w:val="Hyperlink"/>
            <w:sz w:val="24"/>
            <w:szCs w:val="24"/>
          </w:rPr>
          <w:t>https://doi.org/10.1002/jat.3171</w:t>
        </w:r>
      </w:hyperlink>
      <w:r>
        <w:rPr>
          <w:color w:val="000000"/>
          <w:sz w:val="24"/>
          <w:szCs w:val="24"/>
        </w:rPr>
        <w:t xml:space="preserve"> </w:t>
      </w:r>
    </w:p>
    <w:p w14:paraId="7FE09729" w14:textId="7C29FE86" w:rsidR="0059665B" w:rsidRDefault="009A2BBB">
      <w:pPr>
        <w:spacing w:before="19"/>
        <w:ind w:left="165"/>
        <w:rPr>
          <w:sz w:val="24"/>
          <w:szCs w:val="24"/>
        </w:rPr>
      </w:pPr>
      <w:proofErr w:type="spellStart"/>
      <w:r w:rsidRPr="009A2BBB">
        <w:rPr>
          <w:color w:val="000000"/>
          <w:sz w:val="24"/>
          <w:szCs w:val="24"/>
        </w:rPr>
        <w:t>Sozer</w:t>
      </w:r>
      <w:proofErr w:type="spellEnd"/>
      <w:r w:rsidRPr="009A2BBB">
        <w:rPr>
          <w:color w:val="000000"/>
          <w:sz w:val="24"/>
          <w:szCs w:val="24"/>
        </w:rPr>
        <w:t xml:space="preserve">, N., &amp; </w:t>
      </w:r>
      <w:proofErr w:type="spellStart"/>
      <w:r w:rsidRPr="009A2BBB">
        <w:rPr>
          <w:color w:val="000000"/>
          <w:sz w:val="24"/>
          <w:szCs w:val="24"/>
        </w:rPr>
        <w:t>Kokini</w:t>
      </w:r>
      <w:proofErr w:type="spellEnd"/>
      <w:r w:rsidRPr="009A2BBB">
        <w:rPr>
          <w:color w:val="000000"/>
          <w:sz w:val="24"/>
          <w:szCs w:val="24"/>
        </w:rPr>
        <w:t xml:space="preserve">, J. L. (2009). Nanotechnology and its applications in the food sector. Trends in Biotechnology, 27(2), 82–89. </w:t>
      </w:r>
      <w:hyperlink r:id="rId93" w:history="1">
        <w:r w:rsidRPr="00E56609">
          <w:rPr>
            <w:rStyle w:val="Hyperlink"/>
            <w:sz w:val="24"/>
            <w:szCs w:val="24"/>
          </w:rPr>
          <w:t>https://doi.org/10.1016/j.tibtech.2008.10.010</w:t>
        </w:r>
      </w:hyperlink>
      <w:r>
        <w:rPr>
          <w:color w:val="000000"/>
          <w:sz w:val="24"/>
          <w:szCs w:val="24"/>
        </w:rPr>
        <w:t xml:space="preserve"> </w:t>
      </w:r>
    </w:p>
    <w:p w14:paraId="4FA99BCC" w14:textId="2EA1C58C" w:rsidR="0059665B" w:rsidRDefault="00CA2E48">
      <w:pPr>
        <w:pBdr>
          <w:top w:val="nil"/>
          <w:left w:val="nil"/>
          <w:bottom w:val="nil"/>
          <w:right w:val="nil"/>
          <w:between w:val="nil"/>
        </w:pBdr>
        <w:spacing w:before="184" w:line="259" w:lineRule="auto"/>
        <w:ind w:left="165" w:right="1901"/>
        <w:jc w:val="both"/>
        <w:rPr>
          <w:color w:val="000000"/>
          <w:sz w:val="24"/>
          <w:szCs w:val="24"/>
        </w:rPr>
      </w:pPr>
      <w:proofErr w:type="spellStart"/>
      <w:r w:rsidRPr="00CA2E48">
        <w:rPr>
          <w:color w:val="000000"/>
          <w:sz w:val="24"/>
          <w:szCs w:val="24"/>
        </w:rPr>
        <w:t>Szakal</w:t>
      </w:r>
      <w:proofErr w:type="spellEnd"/>
      <w:r w:rsidRPr="00CA2E48">
        <w:rPr>
          <w:color w:val="000000"/>
          <w:sz w:val="24"/>
          <w:szCs w:val="24"/>
        </w:rPr>
        <w:t xml:space="preserve">, C. W., Roberts, S. M., </w:t>
      </w:r>
      <w:proofErr w:type="spellStart"/>
      <w:r w:rsidRPr="00CA2E48">
        <w:rPr>
          <w:color w:val="000000"/>
          <w:sz w:val="24"/>
          <w:szCs w:val="24"/>
        </w:rPr>
        <w:t>Westerhoff</w:t>
      </w:r>
      <w:proofErr w:type="spellEnd"/>
      <w:r w:rsidRPr="00CA2E48">
        <w:rPr>
          <w:color w:val="000000"/>
          <w:sz w:val="24"/>
          <w:szCs w:val="24"/>
        </w:rPr>
        <w:t xml:space="preserve">, P., </w:t>
      </w:r>
      <w:proofErr w:type="spellStart"/>
      <w:r w:rsidRPr="00CA2E48">
        <w:rPr>
          <w:color w:val="000000"/>
          <w:sz w:val="24"/>
          <w:szCs w:val="24"/>
        </w:rPr>
        <w:t>Bartholomaeus</w:t>
      </w:r>
      <w:proofErr w:type="spellEnd"/>
      <w:r w:rsidRPr="00CA2E48">
        <w:rPr>
          <w:color w:val="000000"/>
          <w:sz w:val="24"/>
          <w:szCs w:val="24"/>
        </w:rPr>
        <w:t xml:space="preserve">, A., Buck, N., </w:t>
      </w:r>
      <w:proofErr w:type="spellStart"/>
      <w:r w:rsidRPr="00CA2E48">
        <w:rPr>
          <w:color w:val="000000"/>
          <w:sz w:val="24"/>
          <w:szCs w:val="24"/>
        </w:rPr>
        <w:t>Illuminato</w:t>
      </w:r>
      <w:proofErr w:type="spellEnd"/>
      <w:r w:rsidRPr="00CA2E48">
        <w:rPr>
          <w:color w:val="000000"/>
          <w:sz w:val="24"/>
          <w:szCs w:val="24"/>
        </w:rPr>
        <w:t xml:space="preserve">, I., Canady, R., &amp; Rogers, M. (2014). Measurement of nanomaterials in foods: Integrative consideration of challenges and future prospects. ACS Nano. </w:t>
      </w:r>
      <w:hyperlink r:id="rId94" w:history="1">
        <w:r w:rsidRPr="00E56609">
          <w:rPr>
            <w:rStyle w:val="Hyperlink"/>
            <w:sz w:val="24"/>
            <w:szCs w:val="24"/>
          </w:rPr>
          <w:t>https://doi.org/10.1021/nn501108g</w:t>
        </w:r>
      </w:hyperlink>
      <w:r>
        <w:rPr>
          <w:color w:val="000000"/>
          <w:sz w:val="24"/>
          <w:szCs w:val="24"/>
        </w:rPr>
        <w:t xml:space="preserve"> </w:t>
      </w:r>
    </w:p>
    <w:p w14:paraId="68582DB6" w14:textId="6D71E0B4" w:rsidR="0059665B" w:rsidRDefault="00E76F14">
      <w:pPr>
        <w:spacing w:before="19" w:line="261" w:lineRule="auto"/>
        <w:ind w:left="165" w:right="1167"/>
        <w:rPr>
          <w:sz w:val="24"/>
          <w:szCs w:val="24"/>
        </w:rPr>
      </w:pPr>
      <w:r w:rsidRPr="00E76F14">
        <w:rPr>
          <w:color w:val="000000"/>
          <w:sz w:val="24"/>
          <w:szCs w:val="24"/>
        </w:rPr>
        <w:t xml:space="preserve">Tada-Oikawa, S., Ichihara, G., </w:t>
      </w:r>
      <w:proofErr w:type="spellStart"/>
      <w:r w:rsidRPr="00E76F14">
        <w:rPr>
          <w:color w:val="000000"/>
          <w:sz w:val="24"/>
          <w:szCs w:val="24"/>
        </w:rPr>
        <w:t>Fukatsu</w:t>
      </w:r>
      <w:proofErr w:type="spellEnd"/>
      <w:r w:rsidRPr="00E76F14">
        <w:rPr>
          <w:color w:val="000000"/>
          <w:sz w:val="24"/>
          <w:szCs w:val="24"/>
        </w:rPr>
        <w:t xml:space="preserve">, H., </w:t>
      </w:r>
      <w:proofErr w:type="spellStart"/>
      <w:r w:rsidRPr="00E76F14">
        <w:rPr>
          <w:color w:val="000000"/>
          <w:sz w:val="24"/>
          <w:szCs w:val="24"/>
        </w:rPr>
        <w:t>Shimanuki</w:t>
      </w:r>
      <w:proofErr w:type="spellEnd"/>
      <w:r w:rsidRPr="00E76F14">
        <w:rPr>
          <w:color w:val="000000"/>
          <w:sz w:val="24"/>
          <w:szCs w:val="24"/>
        </w:rPr>
        <w:t xml:space="preserve">, Y., Tanaka, N., Watanabe, E., Suzuki, Y., Murakami, M., </w:t>
      </w:r>
      <w:proofErr w:type="spellStart"/>
      <w:r w:rsidRPr="00E76F14">
        <w:rPr>
          <w:color w:val="000000"/>
          <w:sz w:val="24"/>
          <w:szCs w:val="24"/>
        </w:rPr>
        <w:t>Izuoka</w:t>
      </w:r>
      <w:proofErr w:type="spellEnd"/>
      <w:r w:rsidRPr="00E76F14">
        <w:rPr>
          <w:color w:val="000000"/>
          <w:sz w:val="24"/>
          <w:szCs w:val="24"/>
        </w:rPr>
        <w:t xml:space="preserve">, K., Chang, J., Wu, W., Yamada, Y., &amp; Ichihara, S. (2016). Titanium dioxide particle type and concentration influence the inflammatory response in Caco-2 cells. International Journal of Molecular Sciences. </w:t>
      </w:r>
      <w:hyperlink r:id="rId95" w:history="1">
        <w:r w:rsidRPr="00E56609">
          <w:rPr>
            <w:rStyle w:val="Hyperlink"/>
            <w:sz w:val="24"/>
            <w:szCs w:val="24"/>
          </w:rPr>
          <w:t>https://doi.org/10.3390/ijms17040576</w:t>
        </w:r>
      </w:hyperlink>
      <w:r>
        <w:rPr>
          <w:color w:val="000000"/>
          <w:sz w:val="24"/>
          <w:szCs w:val="24"/>
        </w:rPr>
        <w:t xml:space="preserve"> </w:t>
      </w:r>
    </w:p>
    <w:p w14:paraId="19DE8BEA" w14:textId="10199EE0" w:rsidR="0059665B" w:rsidRDefault="006238C3">
      <w:pPr>
        <w:spacing w:before="154" w:line="261" w:lineRule="auto"/>
        <w:ind w:left="165" w:right="1167"/>
        <w:rPr>
          <w:sz w:val="24"/>
          <w:szCs w:val="24"/>
        </w:rPr>
      </w:pPr>
      <w:proofErr w:type="spellStart"/>
      <w:r w:rsidRPr="006238C3">
        <w:rPr>
          <w:sz w:val="24"/>
          <w:szCs w:val="24"/>
        </w:rPr>
        <w:t>Vandebriel</w:t>
      </w:r>
      <w:proofErr w:type="spellEnd"/>
      <w:r w:rsidRPr="006238C3">
        <w:rPr>
          <w:sz w:val="24"/>
          <w:szCs w:val="24"/>
        </w:rPr>
        <w:t xml:space="preserve">, R. J., &amp; De Jong, W. H. (2012). A review of mammalian toxicity of </w:t>
      </w:r>
      <w:proofErr w:type="spellStart"/>
      <w:r w:rsidRPr="006238C3">
        <w:rPr>
          <w:sz w:val="24"/>
          <w:szCs w:val="24"/>
        </w:rPr>
        <w:t>ZnO</w:t>
      </w:r>
      <w:proofErr w:type="spellEnd"/>
      <w:r w:rsidRPr="006238C3">
        <w:rPr>
          <w:sz w:val="24"/>
          <w:szCs w:val="24"/>
        </w:rPr>
        <w:t xml:space="preserve"> nanoparticles. Nanotechnology, Science and Applications, 61–71. </w:t>
      </w:r>
      <w:hyperlink r:id="rId96" w:history="1">
        <w:r w:rsidRPr="00E56609">
          <w:rPr>
            <w:rStyle w:val="Hyperlink"/>
            <w:sz w:val="24"/>
            <w:szCs w:val="24"/>
          </w:rPr>
          <w:t>https://doi.org/10.2147/NSA.S23932</w:t>
        </w:r>
      </w:hyperlink>
      <w:r>
        <w:rPr>
          <w:sz w:val="24"/>
          <w:szCs w:val="24"/>
        </w:rPr>
        <w:t xml:space="preserve"> </w:t>
      </w:r>
    </w:p>
    <w:p w14:paraId="67C3502B" w14:textId="71F82F75" w:rsidR="00BF04C0" w:rsidRDefault="00B314C3" w:rsidP="00BF04C0">
      <w:pPr>
        <w:spacing w:before="154" w:line="261" w:lineRule="auto"/>
        <w:ind w:left="165" w:right="1167"/>
        <w:rPr>
          <w:sz w:val="24"/>
          <w:szCs w:val="24"/>
        </w:rPr>
      </w:pPr>
      <w:proofErr w:type="spellStart"/>
      <w:r w:rsidRPr="00B314C3">
        <w:rPr>
          <w:sz w:val="24"/>
          <w:szCs w:val="24"/>
        </w:rPr>
        <w:t>Vinardell</w:t>
      </w:r>
      <w:proofErr w:type="spellEnd"/>
      <w:r w:rsidRPr="00B314C3">
        <w:rPr>
          <w:sz w:val="24"/>
          <w:szCs w:val="24"/>
        </w:rPr>
        <w:t xml:space="preserve">, M. P. (2025). Recent Advances in the Evaluation of the Toxicological and Ecotoxicological Risks of Polymer, Zinc Oxide, Titanium Dioxide and Graphene Oxide Nanoparticles. Nanomaterials. </w:t>
      </w:r>
      <w:hyperlink r:id="rId97" w:history="1">
        <w:r w:rsidRPr="00E56609">
          <w:rPr>
            <w:rStyle w:val="Hyperlink"/>
            <w:sz w:val="24"/>
            <w:szCs w:val="24"/>
          </w:rPr>
          <w:t>https://doi.org/10.3390/nano15020097</w:t>
        </w:r>
      </w:hyperlink>
      <w:r>
        <w:rPr>
          <w:sz w:val="24"/>
          <w:szCs w:val="24"/>
        </w:rPr>
        <w:t xml:space="preserve"> </w:t>
      </w:r>
    </w:p>
    <w:p w14:paraId="68300C93" w14:textId="3A10125B" w:rsidR="0059665B" w:rsidRDefault="00987B0D">
      <w:pPr>
        <w:pBdr>
          <w:top w:val="nil"/>
          <w:left w:val="nil"/>
          <w:bottom w:val="nil"/>
          <w:right w:val="nil"/>
          <w:between w:val="nil"/>
        </w:pBdr>
        <w:spacing w:before="24" w:line="261" w:lineRule="auto"/>
        <w:ind w:left="165" w:right="1167"/>
        <w:rPr>
          <w:color w:val="000000"/>
          <w:sz w:val="24"/>
          <w:szCs w:val="24"/>
        </w:rPr>
      </w:pPr>
      <w:r w:rsidRPr="00987B0D">
        <w:rPr>
          <w:color w:val="000000"/>
          <w:sz w:val="24"/>
          <w:szCs w:val="24"/>
        </w:rPr>
        <w:t xml:space="preserve">Wang, J., Zhou, G., Chen, C., Yu, H., Wang, T., Ma, Y., Jia, G., Gao, Y., Li, B., Sun, J., Li, Y., Jiao, F., Zhao, Y., &amp; Chai, Z. (2007). Acute toxicity and biodistribution of different sized titanium dioxide particles in mice after oral administration. Toxicology Letters, 168(2), 176–185. </w:t>
      </w:r>
      <w:hyperlink r:id="rId98" w:history="1">
        <w:r w:rsidRPr="00E56609">
          <w:rPr>
            <w:rStyle w:val="Hyperlink"/>
            <w:sz w:val="24"/>
            <w:szCs w:val="24"/>
          </w:rPr>
          <w:t>https://doi.org/10.1016/j.toxlet.2006.12.001</w:t>
        </w:r>
      </w:hyperlink>
      <w:r>
        <w:rPr>
          <w:color w:val="000000"/>
          <w:sz w:val="24"/>
          <w:szCs w:val="24"/>
        </w:rPr>
        <w:t xml:space="preserve"> </w:t>
      </w:r>
    </w:p>
    <w:p w14:paraId="5FB47A12" w14:textId="2DCB4276" w:rsidR="0059665B" w:rsidRDefault="0022625E">
      <w:pPr>
        <w:pBdr>
          <w:top w:val="nil"/>
          <w:left w:val="nil"/>
          <w:bottom w:val="nil"/>
          <w:right w:val="nil"/>
          <w:between w:val="nil"/>
        </w:pBdr>
        <w:spacing w:line="269" w:lineRule="auto"/>
        <w:ind w:left="165"/>
        <w:rPr>
          <w:color w:val="000000"/>
          <w:sz w:val="24"/>
          <w:szCs w:val="24"/>
        </w:rPr>
      </w:pPr>
      <w:r w:rsidRPr="0022625E">
        <w:rPr>
          <w:color w:val="000000"/>
          <w:sz w:val="24"/>
          <w:szCs w:val="24"/>
        </w:rPr>
        <w:t xml:space="preserve">Wang, Y., Chen, Z., Ba, T., Pu, J., Chen, T., Song, Y., Gu, Y., Qian, Q., Xu, Y., Xiang, K., Wang, H., &amp; Jia, G. (2013). Susceptibility of young and adult rats to the oral toxicity of titanium dioxide nanoparticles. Small, 9(9-10), 1742–1752. </w:t>
      </w:r>
      <w:hyperlink r:id="rId99" w:history="1">
        <w:r w:rsidRPr="00E56609">
          <w:rPr>
            <w:rStyle w:val="Hyperlink"/>
            <w:sz w:val="24"/>
            <w:szCs w:val="24"/>
          </w:rPr>
          <w:t>https://doi.org/10.1002/smll.201201185</w:t>
        </w:r>
      </w:hyperlink>
      <w:r>
        <w:rPr>
          <w:color w:val="000000"/>
          <w:sz w:val="24"/>
          <w:szCs w:val="24"/>
        </w:rPr>
        <w:t xml:space="preserve"> </w:t>
      </w:r>
    </w:p>
    <w:p w14:paraId="06819A0D" w14:textId="19805BB5" w:rsidR="0059665B" w:rsidRDefault="00972197">
      <w:pPr>
        <w:spacing w:before="24"/>
        <w:ind w:left="165"/>
        <w:rPr>
          <w:sz w:val="24"/>
          <w:szCs w:val="24"/>
        </w:rPr>
      </w:pPr>
      <w:r w:rsidRPr="00972197">
        <w:rPr>
          <w:color w:val="000000"/>
          <w:sz w:val="24"/>
          <w:szCs w:val="24"/>
        </w:rPr>
        <w:lastRenderedPageBreak/>
        <w:t xml:space="preserve">Wang, Y., Yuan, L., Yao, C., Ding, L., Li, C., Fang, J., Sui, K., Liu, Y., &amp; Wu, M. (2014). A combined toxicity study of zinc oxide nanoparticles and vitamin C in food additives. Nanoscale, 6(24), 15333–15342. </w:t>
      </w:r>
      <w:hyperlink r:id="rId100" w:history="1">
        <w:r w:rsidRPr="00E56609">
          <w:rPr>
            <w:rStyle w:val="Hyperlink"/>
            <w:sz w:val="24"/>
            <w:szCs w:val="24"/>
          </w:rPr>
          <w:t>https://doi.org/10.1039/C4NR05480F</w:t>
        </w:r>
      </w:hyperlink>
      <w:r>
        <w:rPr>
          <w:color w:val="000000"/>
          <w:sz w:val="24"/>
          <w:szCs w:val="24"/>
        </w:rPr>
        <w:t xml:space="preserve"> </w:t>
      </w:r>
    </w:p>
    <w:p w14:paraId="4F10F095" w14:textId="7C067307" w:rsidR="0059665B" w:rsidRDefault="006B5A47">
      <w:pPr>
        <w:spacing w:line="274" w:lineRule="auto"/>
        <w:ind w:left="165"/>
        <w:rPr>
          <w:sz w:val="24"/>
          <w:szCs w:val="24"/>
        </w:rPr>
      </w:pPr>
      <w:proofErr w:type="spellStart"/>
      <w:r w:rsidRPr="006B5A47">
        <w:rPr>
          <w:color w:val="000000"/>
          <w:sz w:val="24"/>
          <w:szCs w:val="24"/>
        </w:rPr>
        <w:t>Warheit</w:t>
      </w:r>
      <w:proofErr w:type="spellEnd"/>
      <w:r w:rsidRPr="006B5A47">
        <w:rPr>
          <w:color w:val="000000"/>
          <w:sz w:val="24"/>
          <w:szCs w:val="24"/>
        </w:rPr>
        <w:t xml:space="preserve">, D. B., Brown, S. C., &amp; Donner, E. M. (2015). Acute and </w:t>
      </w:r>
      <w:proofErr w:type="spellStart"/>
      <w:r w:rsidRPr="006B5A47">
        <w:rPr>
          <w:color w:val="000000"/>
          <w:sz w:val="24"/>
          <w:szCs w:val="24"/>
        </w:rPr>
        <w:t>subchronic</w:t>
      </w:r>
      <w:proofErr w:type="spellEnd"/>
      <w:r w:rsidRPr="006B5A47">
        <w:rPr>
          <w:color w:val="000000"/>
          <w:sz w:val="24"/>
          <w:szCs w:val="24"/>
        </w:rPr>
        <w:t xml:space="preserve"> oral toxicity studies in rats with nanoscale and pigment grade titanium dioxide particles. Food and Chemical Toxicology, 84, 208–224. </w:t>
      </w:r>
      <w:hyperlink r:id="rId101" w:history="1">
        <w:r w:rsidRPr="00E56609">
          <w:rPr>
            <w:rStyle w:val="Hyperlink"/>
            <w:sz w:val="24"/>
            <w:szCs w:val="24"/>
          </w:rPr>
          <w:t>https://doi.org/10.1016/j.fct.2015.08.026</w:t>
        </w:r>
      </w:hyperlink>
      <w:r>
        <w:rPr>
          <w:color w:val="000000"/>
          <w:sz w:val="24"/>
          <w:szCs w:val="24"/>
        </w:rPr>
        <w:t xml:space="preserve"> </w:t>
      </w:r>
    </w:p>
    <w:p w14:paraId="57EA6CE1" w14:textId="55C7A367" w:rsidR="0059665B" w:rsidRDefault="007C28A0">
      <w:pPr>
        <w:pBdr>
          <w:top w:val="nil"/>
          <w:left w:val="nil"/>
          <w:bottom w:val="nil"/>
          <w:right w:val="nil"/>
          <w:between w:val="nil"/>
        </w:pBdr>
        <w:spacing w:before="179" w:line="259" w:lineRule="auto"/>
        <w:ind w:left="165" w:right="1167"/>
        <w:rPr>
          <w:color w:val="000000"/>
          <w:sz w:val="24"/>
          <w:szCs w:val="24"/>
        </w:rPr>
      </w:pPr>
      <w:r w:rsidRPr="007C28A0">
        <w:rPr>
          <w:color w:val="000000"/>
          <w:sz w:val="24"/>
          <w:szCs w:val="24"/>
        </w:rPr>
        <w:t xml:space="preserve">Weir, A., </w:t>
      </w:r>
      <w:proofErr w:type="spellStart"/>
      <w:r w:rsidRPr="007C28A0">
        <w:rPr>
          <w:color w:val="000000"/>
          <w:sz w:val="24"/>
          <w:szCs w:val="24"/>
        </w:rPr>
        <w:t>Westerhoff</w:t>
      </w:r>
      <w:proofErr w:type="spellEnd"/>
      <w:r w:rsidRPr="007C28A0">
        <w:rPr>
          <w:color w:val="000000"/>
          <w:sz w:val="24"/>
          <w:szCs w:val="24"/>
        </w:rPr>
        <w:t xml:space="preserve">, P., </w:t>
      </w:r>
      <w:proofErr w:type="spellStart"/>
      <w:r w:rsidRPr="007C28A0">
        <w:rPr>
          <w:color w:val="000000"/>
          <w:sz w:val="24"/>
          <w:szCs w:val="24"/>
        </w:rPr>
        <w:t>Fabricius</w:t>
      </w:r>
      <w:proofErr w:type="spellEnd"/>
      <w:r w:rsidRPr="007C28A0">
        <w:rPr>
          <w:color w:val="000000"/>
          <w:sz w:val="24"/>
          <w:szCs w:val="24"/>
        </w:rPr>
        <w:t xml:space="preserve">, L., </w:t>
      </w:r>
      <w:proofErr w:type="spellStart"/>
      <w:r w:rsidRPr="007C28A0">
        <w:rPr>
          <w:color w:val="000000"/>
          <w:sz w:val="24"/>
          <w:szCs w:val="24"/>
        </w:rPr>
        <w:t>Hristovski</w:t>
      </w:r>
      <w:proofErr w:type="spellEnd"/>
      <w:r w:rsidRPr="007C28A0">
        <w:rPr>
          <w:color w:val="000000"/>
          <w:sz w:val="24"/>
          <w:szCs w:val="24"/>
        </w:rPr>
        <w:t xml:space="preserve">, K., &amp; von Goetz, N. (2012). Titanium Dioxide Nanoparticles in Food and Personal Care Products. Environmental Science &amp; Technology, 46(4), 2242–2250. </w:t>
      </w:r>
      <w:hyperlink r:id="rId102" w:history="1">
        <w:r w:rsidRPr="00E56609">
          <w:rPr>
            <w:rStyle w:val="Hyperlink"/>
            <w:sz w:val="24"/>
            <w:szCs w:val="24"/>
          </w:rPr>
          <w:t>https://doi.org/10.1021/es204168d</w:t>
        </w:r>
      </w:hyperlink>
      <w:r>
        <w:rPr>
          <w:color w:val="000000"/>
          <w:sz w:val="24"/>
          <w:szCs w:val="24"/>
        </w:rPr>
        <w:t xml:space="preserve"> </w:t>
      </w:r>
    </w:p>
    <w:p w14:paraId="0842EB2D" w14:textId="3D279BB4" w:rsidR="002451FB" w:rsidRDefault="00322F64">
      <w:pPr>
        <w:pBdr>
          <w:top w:val="nil"/>
          <w:left w:val="nil"/>
          <w:bottom w:val="nil"/>
          <w:right w:val="nil"/>
          <w:between w:val="nil"/>
        </w:pBdr>
        <w:spacing w:before="179" w:line="259" w:lineRule="auto"/>
        <w:ind w:left="165" w:right="1167"/>
        <w:rPr>
          <w:color w:val="000000"/>
          <w:sz w:val="24"/>
          <w:szCs w:val="24"/>
        </w:rPr>
      </w:pPr>
      <w:r w:rsidRPr="00322F64">
        <w:rPr>
          <w:color w:val="000000"/>
          <w:sz w:val="24"/>
          <w:szCs w:val="24"/>
        </w:rPr>
        <w:t xml:space="preserve">Xiang, S., Chen, M., Liu, J., &amp; Wang, J. (2025). Exposure to </w:t>
      </w:r>
      <w:proofErr w:type="spellStart"/>
      <w:r w:rsidRPr="00322F64">
        <w:rPr>
          <w:color w:val="000000"/>
          <w:sz w:val="24"/>
          <w:szCs w:val="24"/>
        </w:rPr>
        <w:t>Nanoplastics</w:t>
      </w:r>
      <w:proofErr w:type="spellEnd"/>
      <w:r w:rsidRPr="00322F64">
        <w:rPr>
          <w:color w:val="000000"/>
          <w:sz w:val="24"/>
          <w:szCs w:val="24"/>
        </w:rPr>
        <w:t xml:space="preserve"> and Co-Contaminants in Foods and Environment: Threats to Human Health. Foods, 14(19), 3349. </w:t>
      </w:r>
      <w:hyperlink r:id="rId103" w:history="1">
        <w:r w:rsidRPr="00E56609">
          <w:rPr>
            <w:rStyle w:val="Hyperlink"/>
            <w:sz w:val="24"/>
            <w:szCs w:val="24"/>
          </w:rPr>
          <w:t>https://doi.org/10.3390/foods14193349</w:t>
        </w:r>
      </w:hyperlink>
      <w:r>
        <w:rPr>
          <w:color w:val="000000"/>
          <w:sz w:val="24"/>
          <w:szCs w:val="24"/>
        </w:rPr>
        <w:t xml:space="preserve"> </w:t>
      </w:r>
    </w:p>
    <w:p w14:paraId="575FCB07" w14:textId="5F4BF5EB" w:rsidR="0059665B" w:rsidRDefault="00692D28">
      <w:pPr>
        <w:pBdr>
          <w:top w:val="nil"/>
          <w:left w:val="nil"/>
          <w:bottom w:val="nil"/>
          <w:right w:val="nil"/>
          <w:between w:val="nil"/>
        </w:pBdr>
        <w:spacing w:before="161" w:line="259" w:lineRule="auto"/>
        <w:ind w:left="165" w:right="1167"/>
        <w:rPr>
          <w:color w:val="000000"/>
          <w:sz w:val="24"/>
          <w:szCs w:val="24"/>
        </w:rPr>
      </w:pPr>
      <w:r w:rsidRPr="00692D28">
        <w:rPr>
          <w:color w:val="000000"/>
          <w:sz w:val="24"/>
          <w:szCs w:val="24"/>
        </w:rPr>
        <w:t xml:space="preserve">Yada, R. Y., Buck, N., Canady, R., </w:t>
      </w:r>
      <w:proofErr w:type="spellStart"/>
      <w:r w:rsidRPr="00692D28">
        <w:rPr>
          <w:color w:val="000000"/>
          <w:sz w:val="24"/>
          <w:szCs w:val="24"/>
        </w:rPr>
        <w:t>DeMerlis</w:t>
      </w:r>
      <w:proofErr w:type="spellEnd"/>
      <w:r w:rsidRPr="00692D28">
        <w:rPr>
          <w:color w:val="000000"/>
          <w:sz w:val="24"/>
          <w:szCs w:val="24"/>
        </w:rPr>
        <w:t xml:space="preserve">, C., Duncan, T., </w:t>
      </w:r>
      <w:proofErr w:type="spellStart"/>
      <w:r w:rsidRPr="00692D28">
        <w:rPr>
          <w:color w:val="000000"/>
          <w:sz w:val="24"/>
          <w:szCs w:val="24"/>
        </w:rPr>
        <w:t>Janer</w:t>
      </w:r>
      <w:proofErr w:type="spellEnd"/>
      <w:r w:rsidRPr="00692D28">
        <w:rPr>
          <w:color w:val="000000"/>
          <w:sz w:val="24"/>
          <w:szCs w:val="24"/>
        </w:rPr>
        <w:t xml:space="preserve">, G., </w:t>
      </w:r>
      <w:proofErr w:type="spellStart"/>
      <w:r w:rsidRPr="00692D28">
        <w:rPr>
          <w:color w:val="000000"/>
          <w:sz w:val="24"/>
          <w:szCs w:val="24"/>
        </w:rPr>
        <w:t>Juneja</w:t>
      </w:r>
      <w:proofErr w:type="spellEnd"/>
      <w:r w:rsidRPr="00692D28">
        <w:rPr>
          <w:color w:val="000000"/>
          <w:sz w:val="24"/>
          <w:szCs w:val="24"/>
        </w:rPr>
        <w:t xml:space="preserve">, L., Lin, M., McClements, D. J., Noonan, G., Oxley, J., </w:t>
      </w:r>
      <w:proofErr w:type="spellStart"/>
      <w:r w:rsidRPr="00692D28">
        <w:rPr>
          <w:color w:val="000000"/>
          <w:sz w:val="24"/>
          <w:szCs w:val="24"/>
        </w:rPr>
        <w:t>Sabliov</w:t>
      </w:r>
      <w:proofErr w:type="spellEnd"/>
      <w:r w:rsidRPr="00692D28">
        <w:rPr>
          <w:color w:val="000000"/>
          <w:sz w:val="24"/>
          <w:szCs w:val="24"/>
        </w:rPr>
        <w:t xml:space="preserve">, C., </w:t>
      </w:r>
      <w:proofErr w:type="spellStart"/>
      <w:r w:rsidRPr="00692D28">
        <w:rPr>
          <w:color w:val="000000"/>
          <w:sz w:val="24"/>
          <w:szCs w:val="24"/>
        </w:rPr>
        <w:t>Tsytsikova</w:t>
      </w:r>
      <w:proofErr w:type="spellEnd"/>
      <w:r w:rsidRPr="00692D28">
        <w:rPr>
          <w:color w:val="000000"/>
          <w:sz w:val="24"/>
          <w:szCs w:val="24"/>
        </w:rPr>
        <w:t xml:space="preserve">, L., Vázquez‐Campos, S., </w:t>
      </w:r>
      <w:proofErr w:type="spellStart"/>
      <w:r w:rsidRPr="00692D28">
        <w:rPr>
          <w:color w:val="000000"/>
          <w:sz w:val="24"/>
          <w:szCs w:val="24"/>
        </w:rPr>
        <w:t>Yourick</w:t>
      </w:r>
      <w:proofErr w:type="spellEnd"/>
      <w:r w:rsidRPr="00692D28">
        <w:rPr>
          <w:color w:val="000000"/>
          <w:sz w:val="24"/>
          <w:szCs w:val="24"/>
        </w:rPr>
        <w:t xml:space="preserve">, J., Zhong, Q., &amp; Thurmond, S. (2014). Engineered nanoscale food ingredients: Evaluation of current knowledge on material characteristics relevant to uptake from the gastrointestinal tract. Comprehensive Reviews in Food Science and Food Safety, 13(4), 730–744. </w:t>
      </w:r>
      <w:hyperlink r:id="rId104" w:history="1">
        <w:r w:rsidRPr="00E56609">
          <w:rPr>
            <w:rStyle w:val="Hyperlink"/>
            <w:sz w:val="24"/>
            <w:szCs w:val="24"/>
          </w:rPr>
          <w:t>https://doi.org/10.1111/1541-4337.12076</w:t>
        </w:r>
      </w:hyperlink>
      <w:r>
        <w:rPr>
          <w:color w:val="000000"/>
          <w:sz w:val="24"/>
          <w:szCs w:val="24"/>
        </w:rPr>
        <w:t xml:space="preserve"> </w:t>
      </w:r>
    </w:p>
    <w:p w14:paraId="54813899" w14:textId="015A5903" w:rsidR="0059665B" w:rsidRDefault="0074469F">
      <w:pPr>
        <w:spacing w:before="19"/>
        <w:ind w:left="165"/>
        <w:rPr>
          <w:sz w:val="24"/>
          <w:szCs w:val="24"/>
        </w:rPr>
      </w:pPr>
      <w:r w:rsidRPr="0074469F">
        <w:rPr>
          <w:color w:val="000000"/>
          <w:sz w:val="24"/>
          <w:szCs w:val="24"/>
        </w:rPr>
        <w:t xml:space="preserve">Yang, Y., </w:t>
      </w:r>
      <w:proofErr w:type="spellStart"/>
      <w:r w:rsidRPr="0074469F">
        <w:rPr>
          <w:color w:val="000000"/>
          <w:sz w:val="24"/>
          <w:szCs w:val="24"/>
        </w:rPr>
        <w:t>Doudrick</w:t>
      </w:r>
      <w:proofErr w:type="spellEnd"/>
      <w:r w:rsidRPr="0074469F">
        <w:rPr>
          <w:color w:val="000000"/>
          <w:sz w:val="24"/>
          <w:szCs w:val="24"/>
        </w:rPr>
        <w:t xml:space="preserve">, K., Bi, X., </w:t>
      </w:r>
      <w:proofErr w:type="spellStart"/>
      <w:r w:rsidRPr="0074469F">
        <w:rPr>
          <w:color w:val="000000"/>
          <w:sz w:val="24"/>
          <w:szCs w:val="24"/>
        </w:rPr>
        <w:t>Hristovski</w:t>
      </w:r>
      <w:proofErr w:type="spellEnd"/>
      <w:r w:rsidRPr="0074469F">
        <w:rPr>
          <w:color w:val="000000"/>
          <w:sz w:val="24"/>
          <w:szCs w:val="24"/>
        </w:rPr>
        <w:t xml:space="preserve">, K., </w:t>
      </w:r>
      <w:proofErr w:type="spellStart"/>
      <w:r w:rsidRPr="0074469F">
        <w:rPr>
          <w:color w:val="000000"/>
          <w:sz w:val="24"/>
          <w:szCs w:val="24"/>
        </w:rPr>
        <w:t>Herckes</w:t>
      </w:r>
      <w:proofErr w:type="spellEnd"/>
      <w:r w:rsidRPr="0074469F">
        <w:rPr>
          <w:color w:val="000000"/>
          <w:sz w:val="24"/>
          <w:szCs w:val="24"/>
        </w:rPr>
        <w:t xml:space="preserve">, P., </w:t>
      </w:r>
      <w:proofErr w:type="spellStart"/>
      <w:r w:rsidRPr="0074469F">
        <w:rPr>
          <w:color w:val="000000"/>
          <w:sz w:val="24"/>
          <w:szCs w:val="24"/>
        </w:rPr>
        <w:t>Westerhoff</w:t>
      </w:r>
      <w:proofErr w:type="spellEnd"/>
      <w:r w:rsidRPr="0074469F">
        <w:rPr>
          <w:color w:val="000000"/>
          <w:sz w:val="24"/>
          <w:szCs w:val="24"/>
        </w:rPr>
        <w:t xml:space="preserve">, P., &amp; </w:t>
      </w:r>
      <w:proofErr w:type="spellStart"/>
      <w:r w:rsidRPr="0074469F">
        <w:rPr>
          <w:color w:val="000000"/>
          <w:sz w:val="24"/>
          <w:szCs w:val="24"/>
        </w:rPr>
        <w:t>Kaegi</w:t>
      </w:r>
      <w:proofErr w:type="spellEnd"/>
      <w:r w:rsidRPr="0074469F">
        <w:rPr>
          <w:color w:val="000000"/>
          <w:sz w:val="24"/>
          <w:szCs w:val="24"/>
        </w:rPr>
        <w:t xml:space="preserve">, R. (2014). Characterization of food-grade titanium dioxide: The presence of nanosized particles. Environmental Science &amp; Technology, 48(11), 6391–6400. </w:t>
      </w:r>
      <w:hyperlink r:id="rId105" w:history="1">
        <w:r w:rsidRPr="00E56609">
          <w:rPr>
            <w:rStyle w:val="Hyperlink"/>
            <w:sz w:val="24"/>
            <w:szCs w:val="24"/>
          </w:rPr>
          <w:t>https://doi.org/10.1021/es500436x</w:t>
        </w:r>
      </w:hyperlink>
      <w:r>
        <w:rPr>
          <w:color w:val="000000"/>
          <w:sz w:val="24"/>
          <w:szCs w:val="24"/>
        </w:rPr>
        <w:t xml:space="preserve"> </w:t>
      </w:r>
    </w:p>
    <w:p w14:paraId="4D091433" w14:textId="6603C222" w:rsidR="0059665B" w:rsidRDefault="008D1ED0" w:rsidP="00784906">
      <w:pPr>
        <w:pBdr>
          <w:top w:val="nil"/>
          <w:left w:val="nil"/>
          <w:bottom w:val="nil"/>
          <w:right w:val="nil"/>
          <w:between w:val="nil"/>
        </w:pBdr>
        <w:spacing w:before="184"/>
        <w:ind w:left="165"/>
        <w:rPr>
          <w:sz w:val="24"/>
          <w:szCs w:val="24"/>
        </w:rPr>
      </w:pPr>
      <w:r w:rsidRPr="008D1ED0">
        <w:rPr>
          <w:color w:val="000000"/>
          <w:sz w:val="24"/>
          <w:szCs w:val="24"/>
        </w:rPr>
        <w:t xml:space="preserve">Yao, M., McClements, D. J., &amp; Xiao, H. (2015). Improving oral bioavailability of nutraceuticals by engineered nanoparticle-based delivery systems. Current Opinion in Food Science, 2, 14–19. </w:t>
      </w:r>
      <w:hyperlink r:id="rId106" w:history="1">
        <w:r w:rsidRPr="00E56609">
          <w:rPr>
            <w:rStyle w:val="Hyperlink"/>
            <w:sz w:val="24"/>
            <w:szCs w:val="24"/>
          </w:rPr>
          <w:t>https://doi.org/10.1016/j.cofs.2014.12.005</w:t>
        </w:r>
      </w:hyperlink>
      <w:r>
        <w:rPr>
          <w:color w:val="000000"/>
          <w:sz w:val="24"/>
          <w:szCs w:val="24"/>
        </w:rPr>
        <w:t xml:space="preserve"> </w:t>
      </w:r>
    </w:p>
    <w:p w14:paraId="6873C407" w14:textId="27876AD4" w:rsidR="00240A5B" w:rsidRPr="00240A5B" w:rsidRDefault="00771698" w:rsidP="00240A5B">
      <w:pPr>
        <w:pBdr>
          <w:top w:val="nil"/>
          <w:left w:val="nil"/>
          <w:bottom w:val="nil"/>
          <w:right w:val="nil"/>
          <w:between w:val="nil"/>
        </w:pBdr>
        <w:spacing w:before="5"/>
        <w:ind w:left="165"/>
        <w:rPr>
          <w:color w:val="000000"/>
          <w:sz w:val="24"/>
          <w:szCs w:val="24"/>
        </w:rPr>
      </w:pPr>
      <w:r w:rsidRPr="00771698">
        <w:rPr>
          <w:color w:val="000000"/>
          <w:sz w:val="24"/>
          <w:szCs w:val="24"/>
        </w:rPr>
        <w:t xml:space="preserve">Yang, W., Wang, K., Evan, M. M., DeAngelis, P. L., &amp; Wilhelm, S. (2021). Nanoparticle Toxicology. Annual Review of Pharmacology and Toxicology, 61, 269-289. </w:t>
      </w:r>
      <w:hyperlink r:id="rId107" w:history="1">
        <w:r w:rsidRPr="00E56609">
          <w:rPr>
            <w:rStyle w:val="Hyperlink"/>
            <w:sz w:val="24"/>
            <w:szCs w:val="24"/>
          </w:rPr>
          <w:t>https://doi.org/10.1146/annurev-pharmtox-032320-110338</w:t>
        </w:r>
      </w:hyperlink>
      <w:r>
        <w:rPr>
          <w:color w:val="000000"/>
          <w:sz w:val="24"/>
          <w:szCs w:val="24"/>
        </w:rPr>
        <w:t xml:space="preserve"> </w:t>
      </w:r>
      <w:r w:rsidR="005F0954">
        <w:rPr>
          <w:color w:val="000000"/>
          <w:sz w:val="24"/>
          <w:szCs w:val="24"/>
        </w:rPr>
        <w:t xml:space="preserve"> </w:t>
      </w:r>
    </w:p>
    <w:p w14:paraId="73C042AF" w14:textId="77777777" w:rsidR="00240A5B" w:rsidRDefault="00240A5B">
      <w:pPr>
        <w:pBdr>
          <w:top w:val="nil"/>
          <w:left w:val="nil"/>
          <w:bottom w:val="nil"/>
          <w:right w:val="nil"/>
          <w:between w:val="nil"/>
        </w:pBdr>
        <w:spacing w:before="5"/>
        <w:ind w:left="165"/>
        <w:rPr>
          <w:color w:val="000000"/>
          <w:sz w:val="24"/>
          <w:szCs w:val="24"/>
        </w:rPr>
      </w:pPr>
    </w:p>
    <w:p w14:paraId="05CBFB6B" w14:textId="3DA15914" w:rsidR="00CF6BA7" w:rsidRDefault="00DA4811">
      <w:pPr>
        <w:pBdr>
          <w:top w:val="nil"/>
          <w:left w:val="nil"/>
          <w:bottom w:val="nil"/>
          <w:right w:val="nil"/>
          <w:between w:val="nil"/>
        </w:pBdr>
        <w:spacing w:before="5"/>
        <w:ind w:left="165"/>
        <w:rPr>
          <w:color w:val="000000"/>
          <w:sz w:val="24"/>
          <w:szCs w:val="24"/>
        </w:rPr>
      </w:pPr>
      <w:proofErr w:type="spellStart"/>
      <w:r w:rsidRPr="00DA4811">
        <w:rPr>
          <w:color w:val="000000"/>
          <w:sz w:val="24"/>
          <w:szCs w:val="24"/>
        </w:rPr>
        <w:t>Ziental</w:t>
      </w:r>
      <w:proofErr w:type="spellEnd"/>
      <w:r w:rsidRPr="00DA4811">
        <w:rPr>
          <w:color w:val="000000"/>
          <w:sz w:val="24"/>
          <w:szCs w:val="24"/>
        </w:rPr>
        <w:t xml:space="preserve">, D., </w:t>
      </w:r>
      <w:proofErr w:type="spellStart"/>
      <w:r w:rsidRPr="00DA4811">
        <w:rPr>
          <w:color w:val="000000"/>
          <w:sz w:val="24"/>
          <w:szCs w:val="24"/>
        </w:rPr>
        <w:t>Czarczynska-Goslinska</w:t>
      </w:r>
      <w:proofErr w:type="spellEnd"/>
      <w:r w:rsidRPr="00DA4811">
        <w:rPr>
          <w:color w:val="000000"/>
          <w:sz w:val="24"/>
          <w:szCs w:val="24"/>
        </w:rPr>
        <w:t xml:space="preserve">, B., </w:t>
      </w:r>
      <w:proofErr w:type="spellStart"/>
      <w:r w:rsidRPr="00DA4811">
        <w:rPr>
          <w:color w:val="000000"/>
          <w:sz w:val="24"/>
          <w:szCs w:val="24"/>
        </w:rPr>
        <w:t>Mlynarczyk</w:t>
      </w:r>
      <w:proofErr w:type="spellEnd"/>
      <w:r w:rsidRPr="00DA4811">
        <w:rPr>
          <w:color w:val="000000"/>
          <w:sz w:val="24"/>
          <w:szCs w:val="24"/>
        </w:rPr>
        <w:t xml:space="preserve">, D. T., </w:t>
      </w:r>
      <w:proofErr w:type="spellStart"/>
      <w:r w:rsidRPr="00DA4811">
        <w:rPr>
          <w:color w:val="000000"/>
          <w:sz w:val="24"/>
          <w:szCs w:val="24"/>
        </w:rPr>
        <w:t>Glowacka-Sobotta</w:t>
      </w:r>
      <w:proofErr w:type="spellEnd"/>
      <w:r w:rsidRPr="00DA4811">
        <w:rPr>
          <w:color w:val="000000"/>
          <w:sz w:val="24"/>
          <w:szCs w:val="24"/>
        </w:rPr>
        <w:t xml:space="preserve">, A., </w:t>
      </w:r>
      <w:proofErr w:type="spellStart"/>
      <w:r w:rsidRPr="00DA4811">
        <w:rPr>
          <w:color w:val="000000"/>
          <w:sz w:val="24"/>
          <w:szCs w:val="24"/>
        </w:rPr>
        <w:t>Stanisz</w:t>
      </w:r>
      <w:proofErr w:type="spellEnd"/>
      <w:r w:rsidRPr="00DA4811">
        <w:rPr>
          <w:color w:val="000000"/>
          <w:sz w:val="24"/>
          <w:szCs w:val="24"/>
        </w:rPr>
        <w:t xml:space="preserve">, B., </w:t>
      </w:r>
      <w:proofErr w:type="spellStart"/>
      <w:r w:rsidRPr="00DA4811">
        <w:rPr>
          <w:color w:val="000000"/>
          <w:sz w:val="24"/>
          <w:szCs w:val="24"/>
        </w:rPr>
        <w:t>Goslinski</w:t>
      </w:r>
      <w:proofErr w:type="spellEnd"/>
      <w:r w:rsidRPr="00DA4811">
        <w:rPr>
          <w:color w:val="000000"/>
          <w:sz w:val="24"/>
          <w:szCs w:val="24"/>
        </w:rPr>
        <w:t xml:space="preserve">, T., &amp; </w:t>
      </w:r>
      <w:proofErr w:type="spellStart"/>
      <w:r w:rsidRPr="00DA4811">
        <w:rPr>
          <w:color w:val="000000"/>
          <w:sz w:val="24"/>
          <w:szCs w:val="24"/>
        </w:rPr>
        <w:t>Sobotta</w:t>
      </w:r>
      <w:proofErr w:type="spellEnd"/>
      <w:r w:rsidRPr="00DA4811">
        <w:rPr>
          <w:color w:val="000000"/>
          <w:sz w:val="24"/>
          <w:szCs w:val="24"/>
        </w:rPr>
        <w:t xml:space="preserve">, L. (2020). Titanium Dioxide Nanoparticles: Prospects and Applications in Medicine. Nanomaterials, 10(2), 387. </w:t>
      </w:r>
      <w:hyperlink r:id="rId108" w:history="1">
        <w:r w:rsidRPr="00E56609">
          <w:rPr>
            <w:rStyle w:val="Hyperlink"/>
            <w:sz w:val="24"/>
            <w:szCs w:val="24"/>
          </w:rPr>
          <w:t>https://doi.org/10.3390/nano10020387</w:t>
        </w:r>
      </w:hyperlink>
      <w:r>
        <w:rPr>
          <w:color w:val="000000"/>
          <w:sz w:val="24"/>
          <w:szCs w:val="24"/>
        </w:rPr>
        <w:t xml:space="preserve"> </w:t>
      </w:r>
    </w:p>
    <w:p w14:paraId="20F27DA3" w14:textId="77777777" w:rsidR="002451FB" w:rsidRDefault="002451FB">
      <w:pPr>
        <w:pBdr>
          <w:top w:val="nil"/>
          <w:left w:val="nil"/>
          <w:bottom w:val="nil"/>
          <w:right w:val="nil"/>
          <w:between w:val="nil"/>
        </w:pBdr>
        <w:spacing w:before="5"/>
        <w:ind w:left="165"/>
        <w:rPr>
          <w:color w:val="000000"/>
          <w:sz w:val="24"/>
          <w:szCs w:val="24"/>
        </w:rPr>
      </w:pPr>
    </w:p>
    <w:p w14:paraId="34E3FFFE" w14:textId="336AB0B4" w:rsidR="002451FB" w:rsidRDefault="00040B3E">
      <w:pPr>
        <w:pBdr>
          <w:top w:val="nil"/>
          <w:left w:val="nil"/>
          <w:bottom w:val="nil"/>
          <w:right w:val="nil"/>
          <w:between w:val="nil"/>
        </w:pBdr>
        <w:spacing w:before="5"/>
        <w:ind w:left="165"/>
        <w:rPr>
          <w:color w:val="000000"/>
          <w:sz w:val="24"/>
          <w:szCs w:val="24"/>
        </w:rPr>
      </w:pPr>
      <w:r w:rsidRPr="00040B3E">
        <w:rPr>
          <w:color w:val="000000"/>
          <w:sz w:val="24"/>
          <w:szCs w:val="24"/>
        </w:rPr>
        <w:t xml:space="preserve">Zhou, H., &amp; McClements, D. J. (2022). Recent Advances in the Gastrointestinal Fate of Organic and Inorganic Nanoparticles in Foods. Nanomaterials. </w:t>
      </w:r>
      <w:hyperlink r:id="rId109" w:history="1">
        <w:r w:rsidRPr="00E56609">
          <w:rPr>
            <w:rStyle w:val="Hyperlink"/>
            <w:sz w:val="24"/>
            <w:szCs w:val="24"/>
          </w:rPr>
          <w:t>https://doi.org/10.3390/nano12071099</w:t>
        </w:r>
      </w:hyperlink>
      <w:r>
        <w:rPr>
          <w:color w:val="000000"/>
          <w:sz w:val="24"/>
          <w:szCs w:val="24"/>
        </w:rPr>
        <w:t xml:space="preserve"> </w:t>
      </w:r>
    </w:p>
    <w:sectPr w:rsidR="002451FB" w:rsidSect="00784906">
      <w:pgSz w:w="11910" w:h="16840"/>
      <w:pgMar w:top="1380" w:right="283" w:bottom="280" w:left="1275"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1118F" w14:textId="77777777" w:rsidR="00AE080B" w:rsidRDefault="00AE080B" w:rsidP="00F60CFF">
      <w:r>
        <w:separator/>
      </w:r>
    </w:p>
  </w:endnote>
  <w:endnote w:type="continuationSeparator" w:id="0">
    <w:p w14:paraId="02389C98" w14:textId="77777777" w:rsidR="00AE080B" w:rsidRDefault="00AE080B" w:rsidP="00F60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08DC58D-3A6D-401A-AA55-1BD68F89B7D4}"/>
    <w:embedItalic r:id="rId2" w:fontKey="{FCDE59DC-01C3-46AD-9312-C2E2370D6534}"/>
  </w:font>
  <w:font w:name="Symbol">
    <w:panose1 w:val="05050102010706020507"/>
    <w:charset w:val="02"/>
    <w:family w:val="roman"/>
    <w:pitch w:val="variable"/>
    <w:sig w:usb0="00000000" w:usb1="10000000" w:usb2="00000000" w:usb3="00000000" w:csb0="80000000" w:csb1="00000000"/>
  </w:font>
  <w:font w:name="Inte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A1E47646-2A8A-4919-966F-621144CA900C}"/>
  </w:font>
  <w:font w:name="Cambria">
    <w:panose1 w:val="02040503050406030204"/>
    <w:charset w:val="00"/>
    <w:family w:val="roman"/>
    <w:pitch w:val="variable"/>
    <w:sig w:usb0="E00006FF" w:usb1="420024FF" w:usb2="02000000" w:usb3="00000000" w:csb0="0000019F" w:csb1="00000000"/>
    <w:embedRegular r:id="rId4" w:fontKey="{A8813173-5865-4552-A871-529D713B12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65E1" w14:textId="77777777" w:rsidR="00F60CFF" w:rsidRDefault="00F60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B4E3C" w14:textId="77777777" w:rsidR="00F60CFF" w:rsidRDefault="00F60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E2FA7" w14:textId="77777777" w:rsidR="00F60CFF" w:rsidRDefault="00F60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F3C0A" w14:textId="77777777" w:rsidR="00AE080B" w:rsidRDefault="00AE080B" w:rsidP="00F60CFF">
      <w:r>
        <w:separator/>
      </w:r>
    </w:p>
  </w:footnote>
  <w:footnote w:type="continuationSeparator" w:id="0">
    <w:p w14:paraId="267C9762" w14:textId="77777777" w:rsidR="00AE080B" w:rsidRDefault="00AE080B" w:rsidP="00F60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440B" w14:textId="0E062347" w:rsidR="00F60CFF" w:rsidRDefault="00F60CFF">
    <w:pPr>
      <w:pStyle w:val="Header"/>
    </w:pPr>
    <w:r>
      <w:rPr>
        <w:noProof/>
      </w:rPr>
      <w:pict w14:anchorId="7CD83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240188" o:spid="_x0000_s2050" type="#_x0000_t136" style="position:absolute;margin-left:0;margin-top:0;width:655.7pt;height:7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05E3" w14:textId="2526FA43" w:rsidR="00F60CFF" w:rsidRDefault="00F60CFF">
    <w:pPr>
      <w:pStyle w:val="Header"/>
    </w:pPr>
    <w:r>
      <w:rPr>
        <w:noProof/>
      </w:rPr>
      <w:pict w14:anchorId="39344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240189" o:spid="_x0000_s2051" type="#_x0000_t136" style="position:absolute;margin-left:0;margin-top:0;width:655.7pt;height:7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8747" w14:textId="62ED823F" w:rsidR="00F60CFF" w:rsidRDefault="00F60CFF">
    <w:pPr>
      <w:pStyle w:val="Header"/>
    </w:pPr>
    <w:r>
      <w:rPr>
        <w:noProof/>
      </w:rPr>
      <w:pict w14:anchorId="0487A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240187" o:spid="_x0000_s2049" type="#_x0000_t136" style="position:absolute;margin-left:0;margin-top:0;width:655.7pt;height:7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65B"/>
    <w:rsid w:val="0002028E"/>
    <w:rsid w:val="000246D8"/>
    <w:rsid w:val="00027503"/>
    <w:rsid w:val="00040B3E"/>
    <w:rsid w:val="000510D6"/>
    <w:rsid w:val="00054A19"/>
    <w:rsid w:val="00065AD9"/>
    <w:rsid w:val="00086954"/>
    <w:rsid w:val="000A1869"/>
    <w:rsid w:val="000B2DFB"/>
    <w:rsid w:val="000B53FB"/>
    <w:rsid w:val="000C5A98"/>
    <w:rsid w:val="000E0906"/>
    <w:rsid w:val="000F769C"/>
    <w:rsid w:val="00146026"/>
    <w:rsid w:val="00171FD8"/>
    <w:rsid w:val="001829C3"/>
    <w:rsid w:val="001C097B"/>
    <w:rsid w:val="001C604A"/>
    <w:rsid w:val="001D08C2"/>
    <w:rsid w:val="001D71EE"/>
    <w:rsid w:val="001E1ECB"/>
    <w:rsid w:val="001E7201"/>
    <w:rsid w:val="00210139"/>
    <w:rsid w:val="00215DEE"/>
    <w:rsid w:val="0022625E"/>
    <w:rsid w:val="00240A5B"/>
    <w:rsid w:val="00244D82"/>
    <w:rsid w:val="002451FB"/>
    <w:rsid w:val="00264183"/>
    <w:rsid w:val="00266A34"/>
    <w:rsid w:val="00275CE3"/>
    <w:rsid w:val="0028603D"/>
    <w:rsid w:val="002C4E8F"/>
    <w:rsid w:val="002D3F39"/>
    <w:rsid w:val="002F2BD1"/>
    <w:rsid w:val="00307DD8"/>
    <w:rsid w:val="00322F64"/>
    <w:rsid w:val="00362B36"/>
    <w:rsid w:val="00366E1B"/>
    <w:rsid w:val="00370D4F"/>
    <w:rsid w:val="00381BFC"/>
    <w:rsid w:val="003A5A44"/>
    <w:rsid w:val="003C67B4"/>
    <w:rsid w:val="003C7C39"/>
    <w:rsid w:val="003F4F32"/>
    <w:rsid w:val="004554B6"/>
    <w:rsid w:val="0046410E"/>
    <w:rsid w:val="004823A5"/>
    <w:rsid w:val="00492D92"/>
    <w:rsid w:val="004A4B90"/>
    <w:rsid w:val="004D60A5"/>
    <w:rsid w:val="004F7100"/>
    <w:rsid w:val="0050773E"/>
    <w:rsid w:val="00550BD4"/>
    <w:rsid w:val="00551C03"/>
    <w:rsid w:val="0056156C"/>
    <w:rsid w:val="005644E3"/>
    <w:rsid w:val="00581317"/>
    <w:rsid w:val="0059665B"/>
    <w:rsid w:val="005D189A"/>
    <w:rsid w:val="005F0954"/>
    <w:rsid w:val="005F6FA9"/>
    <w:rsid w:val="006238C3"/>
    <w:rsid w:val="00641C0C"/>
    <w:rsid w:val="00677B8E"/>
    <w:rsid w:val="0069160F"/>
    <w:rsid w:val="00692D28"/>
    <w:rsid w:val="00694B40"/>
    <w:rsid w:val="006B5A47"/>
    <w:rsid w:val="006F0BFA"/>
    <w:rsid w:val="0070499E"/>
    <w:rsid w:val="00705196"/>
    <w:rsid w:val="00733D54"/>
    <w:rsid w:val="0074469F"/>
    <w:rsid w:val="007701B6"/>
    <w:rsid w:val="00771698"/>
    <w:rsid w:val="00784906"/>
    <w:rsid w:val="007C28A0"/>
    <w:rsid w:val="00813159"/>
    <w:rsid w:val="008675BD"/>
    <w:rsid w:val="00890902"/>
    <w:rsid w:val="00896F53"/>
    <w:rsid w:val="008C3225"/>
    <w:rsid w:val="008C4000"/>
    <w:rsid w:val="008D1ED0"/>
    <w:rsid w:val="009028E1"/>
    <w:rsid w:val="00902A3C"/>
    <w:rsid w:val="009346DC"/>
    <w:rsid w:val="00934F5B"/>
    <w:rsid w:val="00951DA0"/>
    <w:rsid w:val="00972197"/>
    <w:rsid w:val="00987B0D"/>
    <w:rsid w:val="009A0982"/>
    <w:rsid w:val="009A2BBB"/>
    <w:rsid w:val="00A46A8E"/>
    <w:rsid w:val="00A73DE2"/>
    <w:rsid w:val="00AE080B"/>
    <w:rsid w:val="00AF198A"/>
    <w:rsid w:val="00B12536"/>
    <w:rsid w:val="00B14FB7"/>
    <w:rsid w:val="00B17250"/>
    <w:rsid w:val="00B26115"/>
    <w:rsid w:val="00B314C3"/>
    <w:rsid w:val="00B3610F"/>
    <w:rsid w:val="00B4363E"/>
    <w:rsid w:val="00B453E3"/>
    <w:rsid w:val="00B475DF"/>
    <w:rsid w:val="00B6032C"/>
    <w:rsid w:val="00B77767"/>
    <w:rsid w:val="00BB044B"/>
    <w:rsid w:val="00BB0D57"/>
    <w:rsid w:val="00BB3629"/>
    <w:rsid w:val="00BB4311"/>
    <w:rsid w:val="00BB6904"/>
    <w:rsid w:val="00BD5066"/>
    <w:rsid w:val="00BF04C0"/>
    <w:rsid w:val="00C176A9"/>
    <w:rsid w:val="00C3336D"/>
    <w:rsid w:val="00C40E86"/>
    <w:rsid w:val="00C734A6"/>
    <w:rsid w:val="00CA2E48"/>
    <w:rsid w:val="00CC2F61"/>
    <w:rsid w:val="00CE33E3"/>
    <w:rsid w:val="00CF6BA7"/>
    <w:rsid w:val="00D22EC0"/>
    <w:rsid w:val="00D330BF"/>
    <w:rsid w:val="00D34307"/>
    <w:rsid w:val="00D86878"/>
    <w:rsid w:val="00D94C3F"/>
    <w:rsid w:val="00DA4811"/>
    <w:rsid w:val="00DA7073"/>
    <w:rsid w:val="00DB5AE7"/>
    <w:rsid w:val="00DC6D38"/>
    <w:rsid w:val="00DD1F1E"/>
    <w:rsid w:val="00DF00FD"/>
    <w:rsid w:val="00DF50AD"/>
    <w:rsid w:val="00DF5870"/>
    <w:rsid w:val="00E17991"/>
    <w:rsid w:val="00E76F14"/>
    <w:rsid w:val="00E96DAB"/>
    <w:rsid w:val="00EC387E"/>
    <w:rsid w:val="00EC3B1F"/>
    <w:rsid w:val="00F05757"/>
    <w:rsid w:val="00F22A5B"/>
    <w:rsid w:val="00F413BF"/>
    <w:rsid w:val="00F41A4C"/>
    <w:rsid w:val="00F567CA"/>
    <w:rsid w:val="00F60CFF"/>
    <w:rsid w:val="00FB7A7B"/>
    <w:rsid w:val="00FC2C87"/>
    <w:rsid w:val="00FE44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414D32"/>
  <w15:docId w15:val="{75AD4D57-2FA1-4225-B6D0-60F69208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59"/>
      <w:ind w:left="165"/>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2"/>
      <w:ind w:right="992"/>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8C3225"/>
    <w:rPr>
      <w:color w:val="0000FF" w:themeColor="hyperlink"/>
      <w:u w:val="single"/>
    </w:rPr>
  </w:style>
  <w:style w:type="character" w:styleId="UnresolvedMention">
    <w:name w:val="Unresolved Mention"/>
    <w:basedOn w:val="DefaultParagraphFont"/>
    <w:uiPriority w:val="99"/>
    <w:semiHidden/>
    <w:unhideWhenUsed/>
    <w:rsid w:val="008C3225"/>
    <w:rPr>
      <w:color w:val="605E5C"/>
      <w:shd w:val="clear" w:color="auto" w:fill="E1DFDD"/>
    </w:rPr>
  </w:style>
  <w:style w:type="character" w:styleId="Emphasis">
    <w:name w:val="Emphasis"/>
    <w:basedOn w:val="DefaultParagraphFont"/>
    <w:uiPriority w:val="20"/>
    <w:qFormat/>
    <w:rsid w:val="00FC2C87"/>
    <w:rPr>
      <w:i/>
      <w:iCs/>
    </w:rPr>
  </w:style>
  <w:style w:type="character" w:customStyle="1" w:styleId="fal6plv">
    <w:name w:val="fal6plv"/>
    <w:basedOn w:val="DefaultParagraphFont"/>
    <w:rsid w:val="00AF198A"/>
  </w:style>
  <w:style w:type="paragraph" w:styleId="NoSpacing">
    <w:name w:val="No Spacing"/>
    <w:uiPriority w:val="1"/>
    <w:qFormat/>
    <w:rsid w:val="00EC3B1F"/>
  </w:style>
  <w:style w:type="paragraph" w:styleId="Header">
    <w:name w:val="header"/>
    <w:basedOn w:val="Normal"/>
    <w:link w:val="HeaderChar"/>
    <w:uiPriority w:val="99"/>
    <w:unhideWhenUsed/>
    <w:rsid w:val="00F60CFF"/>
    <w:pPr>
      <w:tabs>
        <w:tab w:val="center" w:pos="4680"/>
        <w:tab w:val="right" w:pos="9360"/>
      </w:tabs>
    </w:pPr>
  </w:style>
  <w:style w:type="character" w:customStyle="1" w:styleId="HeaderChar">
    <w:name w:val="Header Char"/>
    <w:basedOn w:val="DefaultParagraphFont"/>
    <w:link w:val="Header"/>
    <w:uiPriority w:val="99"/>
    <w:rsid w:val="00F60CFF"/>
  </w:style>
  <w:style w:type="paragraph" w:styleId="Footer">
    <w:name w:val="footer"/>
    <w:basedOn w:val="Normal"/>
    <w:link w:val="FooterChar"/>
    <w:uiPriority w:val="99"/>
    <w:unhideWhenUsed/>
    <w:rsid w:val="00F60CFF"/>
    <w:pPr>
      <w:tabs>
        <w:tab w:val="center" w:pos="4680"/>
        <w:tab w:val="right" w:pos="9360"/>
      </w:tabs>
    </w:pPr>
  </w:style>
  <w:style w:type="character" w:customStyle="1" w:styleId="FooterChar">
    <w:name w:val="Footer Char"/>
    <w:basedOn w:val="DefaultParagraphFont"/>
    <w:link w:val="Footer"/>
    <w:uiPriority w:val="99"/>
    <w:rsid w:val="00F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bs.apcsb.2014.11.004" TargetMode="External"/><Relationship Id="rId21" Type="http://schemas.openxmlformats.org/officeDocument/2006/relationships/hyperlink" Target="https://doi.org/10.1016/j.heliyon.2022.e11795" TargetMode="External"/><Relationship Id="rId42" Type="http://schemas.openxmlformats.org/officeDocument/2006/relationships/hyperlink" Target="https://doi.org/10.3390/biom12101337" TargetMode="External"/><Relationship Id="rId47" Type="http://schemas.openxmlformats.org/officeDocument/2006/relationships/hyperlink" Target="https://doi.org/10.1080/17518253.2020.1802517" TargetMode="External"/><Relationship Id="rId63" Type="http://schemas.openxmlformats.org/officeDocument/2006/relationships/hyperlink" Target="https://doi.org/10.9734/ejnfs/2025/v17i51708" TargetMode="External"/><Relationship Id="rId68" Type="http://schemas.openxmlformats.org/officeDocument/2006/relationships/hyperlink" Target="https://doi.org/10.1017/S1751731111001935" TargetMode="External"/><Relationship Id="rId84" Type="http://schemas.openxmlformats.org/officeDocument/2006/relationships/hyperlink" Target="https://doi.org/10.3390/foods13060949" TargetMode="External"/><Relationship Id="rId89" Type="http://schemas.openxmlformats.org/officeDocument/2006/relationships/hyperlink" Target="https://doi.org/10.3390/nano11061587" TargetMode="External"/><Relationship Id="rId16" Type="http://schemas.openxmlformats.org/officeDocument/2006/relationships/hyperlink" Target="https://doi.org/10.3390/coatings11050509" TargetMode="External"/><Relationship Id="rId107" Type="http://schemas.openxmlformats.org/officeDocument/2006/relationships/hyperlink" Target="https://doi.org/10.1146/annurev-pharmtox-032320-110338" TargetMode="External"/><Relationship Id="rId11" Type="http://schemas.openxmlformats.org/officeDocument/2006/relationships/footer" Target="footer3.xml"/><Relationship Id="rId32" Type="http://schemas.openxmlformats.org/officeDocument/2006/relationships/hyperlink" Target="https://doi.org/10.3390/molecules29153482" TargetMode="External"/><Relationship Id="rId37" Type="http://schemas.openxmlformats.org/officeDocument/2006/relationships/hyperlink" Target="https://doi.org/10.1016/j.fct.2014.12.019" TargetMode="External"/><Relationship Id="rId53" Type="http://schemas.openxmlformats.org/officeDocument/2006/relationships/hyperlink" Target="https://doi.org/10.3390/ijms26020765" TargetMode="External"/><Relationship Id="rId58" Type="http://schemas.openxmlformats.org/officeDocument/2006/relationships/hyperlink" Target="https://doi.org/10.3945/an.114.006999" TargetMode="External"/><Relationship Id="rId74" Type="http://schemas.openxmlformats.org/officeDocument/2006/relationships/hyperlink" Target="https://doi.org/10.1016/j.taap.2015.12.017" TargetMode="External"/><Relationship Id="rId79" Type="http://schemas.openxmlformats.org/officeDocument/2006/relationships/hyperlink" Target="https://doi.org/10.3390/foods13020208" TargetMode="External"/><Relationship Id="rId102" Type="http://schemas.openxmlformats.org/officeDocument/2006/relationships/hyperlink" Target="https://doi.org/10.1021/es204168d" TargetMode="External"/><Relationship Id="rId5" Type="http://schemas.openxmlformats.org/officeDocument/2006/relationships/endnotes" Target="endnotes.xml"/><Relationship Id="rId90" Type="http://schemas.openxmlformats.org/officeDocument/2006/relationships/hyperlink" Target="https://doi.org/10.3390/nano15020097" TargetMode="External"/><Relationship Id="rId95" Type="http://schemas.openxmlformats.org/officeDocument/2006/relationships/hyperlink" Target="https://doi.org/10.3390/ijms17040576" TargetMode="External"/><Relationship Id="rId22" Type="http://schemas.openxmlformats.org/officeDocument/2006/relationships/hyperlink" Target="https://doi.org/10.1007/s10529-008-9786-2" TargetMode="External"/><Relationship Id="rId27" Type="http://schemas.openxmlformats.org/officeDocument/2006/relationships/hyperlink" Target="https://doi.org/10.3390/foods10102438" TargetMode="External"/><Relationship Id="rId43" Type="http://schemas.openxmlformats.org/officeDocument/2006/relationships/hyperlink" Target="https://doi.org/10.1111/j.1541-4337.2010.00118.x" TargetMode="External"/><Relationship Id="rId48" Type="http://schemas.openxmlformats.org/officeDocument/2006/relationships/hyperlink" Target="https://doi.org/10.3390/nano11092164" TargetMode="External"/><Relationship Id="rId64" Type="http://schemas.openxmlformats.org/officeDocument/2006/relationships/hyperlink" Target="https://doi.org/10.3390/foods14152657" TargetMode="External"/><Relationship Id="rId69" Type="http://schemas.openxmlformats.org/officeDocument/2006/relationships/hyperlink" Target="https://doi.org/10.3390/ijms26209842" TargetMode="External"/><Relationship Id="rId80" Type="http://schemas.openxmlformats.org/officeDocument/2006/relationships/hyperlink" Target="https://doi.org/10.3390/nano11092354" TargetMode="External"/><Relationship Id="rId85" Type="http://schemas.openxmlformats.org/officeDocument/2006/relationships/hyperlink" Target="https://doi.org/10.3390/jfb15110340" TargetMode="External"/><Relationship Id="rId12" Type="http://schemas.openxmlformats.org/officeDocument/2006/relationships/hyperlink" Target="https://doi.org/10.1038/s41598-025-92864-2" TargetMode="External"/><Relationship Id="rId17" Type="http://schemas.openxmlformats.org/officeDocument/2006/relationships/hyperlink" Target="https://doi.org/10.3390/nano12081333" TargetMode="External"/><Relationship Id="rId33" Type="http://schemas.openxmlformats.org/officeDocument/2006/relationships/hyperlink" Target="https://doi.org/10.1155/2021/9954443" TargetMode="External"/><Relationship Id="rId38" Type="http://schemas.openxmlformats.org/officeDocument/2006/relationships/hyperlink" Target="https://doi.org/10.3390/ijms22041942" TargetMode="External"/><Relationship Id="rId59" Type="http://schemas.openxmlformats.org/officeDocument/2006/relationships/hyperlink" Target="https://doi.org/10.1080/10408398.2011.559558" TargetMode="External"/><Relationship Id="rId103" Type="http://schemas.openxmlformats.org/officeDocument/2006/relationships/hyperlink" Target="https://doi.org/10.3390/foods14193349" TargetMode="External"/><Relationship Id="rId108" Type="http://schemas.openxmlformats.org/officeDocument/2006/relationships/hyperlink" Target="https://doi.org/10.3390/nano10020387" TargetMode="External"/><Relationship Id="rId54" Type="http://schemas.openxmlformats.org/officeDocument/2006/relationships/hyperlink" Target="https://doi.org/10.1016/j.cocis.2009.11.002" TargetMode="External"/><Relationship Id="rId70" Type="http://schemas.openxmlformats.org/officeDocument/2006/relationships/hyperlink" Target="https://doi.org/10.3390/ma15165700" TargetMode="External"/><Relationship Id="rId75" Type="http://schemas.openxmlformats.org/officeDocument/2006/relationships/hyperlink" Target="https://doi.org/10.1016/j.foodhyd.2013.07.009" TargetMode="External"/><Relationship Id="rId91" Type="http://schemas.openxmlformats.org/officeDocument/2006/relationships/hyperlink" Target="https://doi.org/10.3390/ijms26125454" TargetMode="External"/><Relationship Id="rId96" Type="http://schemas.openxmlformats.org/officeDocument/2006/relationships/hyperlink" Target="https://doi.org/10.2147/NSA.S23932"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iris.who.int/handle/10665/43592" TargetMode="External"/><Relationship Id="rId23" Type="http://schemas.openxmlformats.org/officeDocument/2006/relationships/hyperlink" Target="https://doi.org/10.1080/02652030701744538" TargetMode="External"/><Relationship Id="rId28" Type="http://schemas.openxmlformats.org/officeDocument/2006/relationships/hyperlink" Target="https://doi.org/10.1016/j.fct.2013.08.014" TargetMode="External"/><Relationship Id="rId36" Type="http://schemas.openxmlformats.org/officeDocument/2006/relationships/hyperlink" Target="https://doi.org/10.3390/nano15030202" TargetMode="External"/><Relationship Id="rId49" Type="http://schemas.openxmlformats.org/officeDocument/2006/relationships/hyperlink" Target="https://doi.org/10.1088/0957-4484/27/11/112001" TargetMode="External"/><Relationship Id="rId57" Type="http://schemas.openxmlformats.org/officeDocument/2006/relationships/hyperlink" Target="https://doi.org/10.1016/j.plipres.2013.04.008" TargetMode="External"/><Relationship Id="rId106" Type="http://schemas.openxmlformats.org/officeDocument/2006/relationships/hyperlink" Target="https://doi.org/10.1016/j.cofs.2014.12.005" TargetMode="External"/><Relationship Id="rId10" Type="http://schemas.openxmlformats.org/officeDocument/2006/relationships/header" Target="header3.xml"/><Relationship Id="rId31" Type="http://schemas.openxmlformats.org/officeDocument/2006/relationships/hyperlink" Target="https://doi.org/10.3390/ecologies4010011" TargetMode="External"/><Relationship Id="rId44" Type="http://schemas.openxmlformats.org/officeDocument/2006/relationships/hyperlink" Target="https://doi.org/10.1002/ieam.1571" TargetMode="External"/><Relationship Id="rId52" Type="http://schemas.openxmlformats.org/officeDocument/2006/relationships/hyperlink" Target="https://doi.org/10.1021/bm901428y" TargetMode="External"/><Relationship Id="rId60" Type="http://schemas.openxmlformats.org/officeDocument/2006/relationships/hyperlink" Target="https://doi.org/10.1039/c1fo10193e" TargetMode="External"/><Relationship Id="rId65" Type="http://schemas.openxmlformats.org/officeDocument/2006/relationships/hyperlink" Target="https://doi.org/10.1515/ntrev-2012-0050" TargetMode="External"/><Relationship Id="rId73" Type="http://schemas.openxmlformats.org/officeDocument/2006/relationships/hyperlink" Target="https://doi.org/10.3390/pharmaceutics17050655" TargetMode="External"/><Relationship Id="rId78" Type="http://schemas.openxmlformats.org/officeDocument/2006/relationships/hyperlink" Target="https://doi.org/10.1007/s10311-014-0490-2" TargetMode="External"/><Relationship Id="rId81" Type="http://schemas.openxmlformats.org/officeDocument/2006/relationships/hyperlink" Target="https://doi.org/10.3389/fchem.2016.00031" TargetMode="External"/><Relationship Id="rId86" Type="http://schemas.openxmlformats.org/officeDocument/2006/relationships/hyperlink" Target="https://doi.org/10.3390/ijms251910519" TargetMode="External"/><Relationship Id="rId94" Type="http://schemas.openxmlformats.org/officeDocument/2006/relationships/hyperlink" Target="https://doi.org/10.1021/nn501108g" TargetMode="External"/><Relationship Id="rId99" Type="http://schemas.openxmlformats.org/officeDocument/2006/relationships/hyperlink" Target="https://doi.org/10.1002/smll.201201185" TargetMode="External"/><Relationship Id="rId101" Type="http://schemas.openxmlformats.org/officeDocument/2006/relationships/hyperlink" Target="https://doi.org/10.1016/j.fct.2015.08.026" TargetMode="Externa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hyperlink" Target="https://doi.org/10.1007/s44475-025-00003-2" TargetMode="External"/><Relationship Id="rId18" Type="http://schemas.openxmlformats.org/officeDocument/2006/relationships/hyperlink" Target="https://doi.org/10.3390/nano12071196" TargetMode="External"/><Relationship Id="rId39" Type="http://schemas.openxmlformats.org/officeDocument/2006/relationships/hyperlink" Target="https://doi.org/10.1039/c5sm02958a" TargetMode="External"/><Relationship Id="rId109" Type="http://schemas.openxmlformats.org/officeDocument/2006/relationships/hyperlink" Target="https://doi.org/10.3390/nano12071099" TargetMode="External"/><Relationship Id="rId34" Type="http://schemas.openxmlformats.org/officeDocument/2006/relationships/hyperlink" Target="https://doi.org/10.3390/ijms21072375" TargetMode="External"/><Relationship Id="rId50" Type="http://schemas.openxmlformats.org/officeDocument/2006/relationships/hyperlink" Target="https://doi.org/10.3390/nano13101682" TargetMode="External"/><Relationship Id="rId55" Type="http://schemas.openxmlformats.org/officeDocument/2006/relationships/hyperlink" Target="https://doi.org/10.1016/j.cofs.2015.06.010" TargetMode="External"/><Relationship Id="rId76" Type="http://schemas.openxmlformats.org/officeDocument/2006/relationships/hyperlink" Target="https://doi.org/10.3390/nano12213873" TargetMode="External"/><Relationship Id="rId97" Type="http://schemas.openxmlformats.org/officeDocument/2006/relationships/hyperlink" Target="https://doi.org/10.3390/nano15020097" TargetMode="External"/><Relationship Id="rId104" Type="http://schemas.openxmlformats.org/officeDocument/2006/relationships/hyperlink" Target="https://doi.org/10.1111/1541-4337.12076" TargetMode="External"/><Relationship Id="rId7" Type="http://schemas.openxmlformats.org/officeDocument/2006/relationships/header" Target="header2.xml"/><Relationship Id="rId71" Type="http://schemas.openxmlformats.org/officeDocument/2006/relationships/hyperlink" Target="https://doi.org/10.1177/0748233711420473" TargetMode="External"/><Relationship Id="rId92" Type="http://schemas.openxmlformats.org/officeDocument/2006/relationships/hyperlink" Target="https://doi.org/10.1002/jat.3171" TargetMode="External"/><Relationship Id="rId2" Type="http://schemas.openxmlformats.org/officeDocument/2006/relationships/settings" Target="settings.xml"/><Relationship Id="rId29" Type="http://schemas.openxmlformats.org/officeDocument/2006/relationships/hyperlink" Target="https://doi.org/10.3390/cimb44070202" TargetMode="External"/><Relationship Id="rId24" Type="http://schemas.openxmlformats.org/officeDocument/2006/relationships/hyperlink" Target="https://doi.org/10.1186/1743-8977-10-9" TargetMode="External"/><Relationship Id="rId40" Type="http://schemas.openxmlformats.org/officeDocument/2006/relationships/hyperlink" Target="https://doi.org/10.1016/j.tibtech.2012.06.004" TargetMode="External"/><Relationship Id="rId45" Type="http://schemas.openxmlformats.org/officeDocument/2006/relationships/hyperlink" Target="https://doi.org/10.1016/j.tifs.2014.08.006" TargetMode="External"/><Relationship Id="rId66" Type="http://schemas.openxmlformats.org/officeDocument/2006/relationships/hyperlink" Target="https://doi.org/10.1080/17518253.2018.1538430" TargetMode="External"/><Relationship Id="rId87" Type="http://schemas.openxmlformats.org/officeDocument/2006/relationships/hyperlink" Target="https://doi.org/10.3390/foods9020148" TargetMode="External"/><Relationship Id="rId110" Type="http://schemas.openxmlformats.org/officeDocument/2006/relationships/fontTable" Target="fontTable.xml"/><Relationship Id="rId61" Type="http://schemas.openxmlformats.org/officeDocument/2006/relationships/hyperlink" Target="https://doi.org/10.1038/s41538-017-0005-1" TargetMode="External"/><Relationship Id="rId82" Type="http://schemas.openxmlformats.org/officeDocument/2006/relationships/hyperlink" Target="https://pubmed.ncbi.nlm.nih.gov/21842750/" TargetMode="External"/><Relationship Id="rId19" Type="http://schemas.openxmlformats.org/officeDocument/2006/relationships/hyperlink" Target="https://doi.org/10.3390/nano15191519" TargetMode="External"/><Relationship Id="rId14" Type="http://schemas.openxmlformats.org/officeDocument/2006/relationships/hyperlink" Target="https://doi.org/10.3390/foods14061013" TargetMode="External"/><Relationship Id="rId30" Type="http://schemas.openxmlformats.org/officeDocument/2006/relationships/hyperlink" Target="https://doi.org/10.3390/ijms23147597" TargetMode="External"/><Relationship Id="rId35" Type="http://schemas.openxmlformats.org/officeDocument/2006/relationships/hyperlink" Target="https://doi.org/10.3945/jn.111.142257" TargetMode="External"/><Relationship Id="rId56" Type="http://schemas.openxmlformats.org/officeDocument/2006/relationships/hyperlink" Target="https://doi.org/10.1007/s11051-015-3313-x" TargetMode="External"/><Relationship Id="rId77" Type="http://schemas.openxmlformats.org/officeDocument/2006/relationships/hyperlink" Target="https://doi.org/10.1016/j.scitotenv.2016.02.141" TargetMode="External"/><Relationship Id="rId100" Type="http://schemas.openxmlformats.org/officeDocument/2006/relationships/hyperlink" Target="https://doi.org/10.1039/C4NR05480F" TargetMode="External"/><Relationship Id="rId105" Type="http://schemas.openxmlformats.org/officeDocument/2006/relationships/hyperlink" Target="https://doi.org/10.1021/es500436x" TargetMode="External"/><Relationship Id="rId8" Type="http://schemas.openxmlformats.org/officeDocument/2006/relationships/footer" Target="footer1.xml"/><Relationship Id="rId51" Type="http://schemas.openxmlformats.org/officeDocument/2006/relationships/hyperlink" Target="https://doi.org/10.3390/ijms26125816" TargetMode="External"/><Relationship Id="rId72" Type="http://schemas.openxmlformats.org/officeDocument/2006/relationships/hyperlink" Target="https://doi.org/10.3390/ijms161024417" TargetMode="External"/><Relationship Id="rId93" Type="http://schemas.openxmlformats.org/officeDocument/2006/relationships/hyperlink" Target="https://doi.org/10.1016/j.tibtech.2008.10.010" TargetMode="External"/><Relationship Id="rId98" Type="http://schemas.openxmlformats.org/officeDocument/2006/relationships/hyperlink" Target="https://doi.org/10.1016/j.toxlet.2006.12.001" TargetMode="External"/><Relationship Id="rId3" Type="http://schemas.openxmlformats.org/officeDocument/2006/relationships/webSettings" Target="webSettings.xml"/><Relationship Id="rId25" Type="http://schemas.openxmlformats.org/officeDocument/2006/relationships/hyperlink" Target="https://doi.org/10.3390/polym14030521" TargetMode="External"/><Relationship Id="rId46" Type="http://schemas.openxmlformats.org/officeDocument/2006/relationships/hyperlink" Target="https://doi.org/10.3390/toxics9120336" TargetMode="External"/><Relationship Id="rId67" Type="http://schemas.openxmlformats.org/officeDocument/2006/relationships/hyperlink" Target="https://doi.org/10.9734/jsrr/2021/v27i730407" TargetMode="External"/><Relationship Id="rId20" Type="http://schemas.openxmlformats.org/officeDocument/2006/relationships/hyperlink" Target="https://doi.org/10.1002/wnan.1333" TargetMode="External"/><Relationship Id="rId41" Type="http://schemas.openxmlformats.org/officeDocument/2006/relationships/hyperlink" Target="https://doi.org/10.3390/nu17152443" TargetMode="External"/><Relationship Id="rId62" Type="http://schemas.openxmlformats.org/officeDocument/2006/relationships/hyperlink" Target="https://doi.org/10.3390/nano14070638" TargetMode="External"/><Relationship Id="rId83" Type="http://schemas.openxmlformats.org/officeDocument/2006/relationships/hyperlink" Target="https://doi.org/10.1016/B978-0-12-815725-1.00002-1" TargetMode="External"/><Relationship Id="rId88" Type="http://schemas.openxmlformats.org/officeDocument/2006/relationships/hyperlink" Target="https://doi.org/10.1016/j.tifs.2015.07.005"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19</Pages>
  <Words>9721</Words>
  <Characters>55410</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bidyutalata mishra</dc:creator>
  <cp:lastModifiedBy>SDI 1084</cp:lastModifiedBy>
  <cp:revision>116</cp:revision>
  <dcterms:created xsi:type="dcterms:W3CDTF">2025-12-13T06:53:00Z</dcterms:created>
  <dcterms:modified xsi:type="dcterms:W3CDTF">2026-01-06T10:36:00Z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9e659b57-49a9-446b-8ae0-ac7eef83a964</vt:lpwstr>
  </property>
</Properties>
</file>