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4A39A" w14:textId="4B868F8C" w:rsidR="003929CC" w:rsidRPr="007D3DE9" w:rsidRDefault="00AC0D96" w:rsidP="007D3DE9">
      <w:pPr>
        <w:spacing w:line="360" w:lineRule="auto"/>
        <w:rPr>
          <w:rFonts w:ascii="Times New Roman" w:hAnsi="Times New Roman" w:cs="Times New Roman"/>
          <w:b/>
          <w:sz w:val="24"/>
          <w:szCs w:val="24"/>
        </w:rPr>
      </w:pPr>
      <w:r w:rsidRPr="007D3DE9">
        <w:rPr>
          <w:rFonts w:ascii="Times New Roman" w:hAnsi="Times New Roman" w:cs="Times New Roman"/>
          <w:b/>
          <w:sz w:val="24"/>
          <w:szCs w:val="24"/>
        </w:rPr>
        <w:t>CHARACTERIZATION OF LAND SECURITY PRACTICES AND OBSTACLES THAT LIMIT WOMEN'S SECURE ACCESS TO LAND IN THE COMMUNE OF KPOMASSE</w:t>
      </w:r>
    </w:p>
    <w:p w14:paraId="005401C5" w14:textId="77777777" w:rsidR="00EA5A21" w:rsidRDefault="00EA5A21" w:rsidP="007D3DE9">
      <w:pPr>
        <w:spacing w:line="360" w:lineRule="auto"/>
        <w:rPr>
          <w:rFonts w:ascii="Times New Roman" w:hAnsi="Times New Roman" w:cs="Times New Roman"/>
          <w:b/>
          <w:sz w:val="24"/>
          <w:szCs w:val="24"/>
        </w:rPr>
      </w:pPr>
    </w:p>
    <w:p w14:paraId="7AC0DE0A" w14:textId="0F02FA96" w:rsidR="00677C3E" w:rsidRPr="007D3DE9" w:rsidRDefault="00677C3E" w:rsidP="007D3DE9">
      <w:pPr>
        <w:spacing w:line="360" w:lineRule="auto"/>
        <w:rPr>
          <w:rFonts w:ascii="Times New Roman" w:hAnsi="Times New Roman" w:cs="Times New Roman"/>
          <w:b/>
          <w:sz w:val="24"/>
          <w:szCs w:val="24"/>
        </w:rPr>
      </w:pPr>
      <w:r w:rsidRPr="007D3DE9">
        <w:rPr>
          <w:rFonts w:ascii="Times New Roman" w:hAnsi="Times New Roman" w:cs="Times New Roman"/>
          <w:b/>
          <w:sz w:val="24"/>
          <w:szCs w:val="24"/>
        </w:rPr>
        <w:t>Abstract</w:t>
      </w:r>
    </w:p>
    <w:p w14:paraId="54132336" w14:textId="77777777" w:rsidR="00677C3E" w:rsidRPr="007D3DE9" w:rsidRDefault="004E4534"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In Africa, the realities of land access and management, the patriarchal system that dominates social organization in the continent, has long had a real impact on women's access to land. This study aims to characterize land security practices and obstacles that limit women's secure access to land in the commune of </w:t>
      </w:r>
      <w:proofErr w:type="spell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The methodological approach adopted is based on documentary research, field surveys, data processing and analysis of results. The tables and graphs are produced using Excel 2016 software, for the representation of quantitative data. The SWOT and MACTOR models are respectively the model and analysis method used in this research.</w:t>
      </w:r>
    </w:p>
    <w:p w14:paraId="7D3AB8F0" w14:textId="0D5427A3" w:rsidR="004E4534" w:rsidRPr="007D3DE9" w:rsidRDefault="004E4534"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The results of the field survey show three ways for women to access land in the commune of </w:t>
      </w:r>
      <w:proofErr w:type="spell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inheritance (12 %), purchase (16 %) and loans and rentals (63 %). The main obstacles related to land inheritance are patriarchal norms (15 %), land resumption by in-laws (05%) and high administrative costs for registering plots. As for access by purchase, women encounter more obstacles related to administrative procedures. Purchasing land, although offering potential for securing land through formal titles, remains precarious for women. For land rentals and loans, women rely more on verbal contracts than men (73 %) and have fewer written contracts (8 %) than men (27 %), which increases their land vulnerability compared to men. Social and cultural norms and economic and institutional barriers limit women's access to secure land in the commune of </w:t>
      </w:r>
      <w:proofErr w:type="spell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w:t>
      </w:r>
    </w:p>
    <w:p w14:paraId="4A6E72B9" w14:textId="5BEFC241" w:rsidR="006F6E28" w:rsidRPr="006F6E28" w:rsidRDefault="004E4534" w:rsidP="006F6E28">
      <w:pPr>
        <w:pStyle w:val="HTMLPreformatted"/>
        <w:spacing w:line="540" w:lineRule="atLeast"/>
        <w:rPr>
          <w:rFonts w:ascii="Times New Roman" w:eastAsiaTheme="minorHAnsi" w:hAnsi="Times New Roman" w:cs="Times New Roman"/>
          <w:sz w:val="24"/>
          <w:szCs w:val="24"/>
          <w:lang w:val="en" w:eastAsia="en-US"/>
        </w:rPr>
      </w:pPr>
      <w:r w:rsidRPr="006F6E28">
        <w:rPr>
          <w:rFonts w:ascii="Times New Roman" w:eastAsiaTheme="minorHAnsi" w:hAnsi="Times New Roman" w:cs="Times New Roman"/>
          <w:b/>
          <w:sz w:val="24"/>
          <w:szCs w:val="24"/>
          <w:lang w:val="en" w:eastAsia="en-US"/>
        </w:rPr>
        <w:t>Keywords</w:t>
      </w:r>
      <w:r w:rsidRPr="006F6E28">
        <w:rPr>
          <w:rFonts w:ascii="Times New Roman" w:eastAsiaTheme="minorHAnsi" w:hAnsi="Times New Roman" w:cs="Times New Roman"/>
          <w:sz w:val="24"/>
          <w:szCs w:val="24"/>
          <w:lang w:val="en" w:eastAsia="en-US"/>
        </w:rPr>
        <w:t xml:space="preserve">: </w:t>
      </w:r>
      <w:r w:rsidR="006F6E28" w:rsidRPr="006F6E28">
        <w:rPr>
          <w:rFonts w:ascii="Times New Roman" w:eastAsiaTheme="minorHAnsi" w:hAnsi="Times New Roman" w:cs="Times New Roman"/>
          <w:sz w:val="24"/>
          <w:szCs w:val="24"/>
          <w:lang w:val="en" w:eastAsia="en-US"/>
        </w:rPr>
        <w:t>Land tenure security, Land tenure security practices, Patriarchal norms</w:t>
      </w:r>
      <w:r w:rsidR="006F6E28">
        <w:rPr>
          <w:rFonts w:ascii="Times New Roman" w:eastAsiaTheme="minorHAnsi" w:hAnsi="Times New Roman" w:cs="Times New Roman"/>
          <w:sz w:val="24"/>
          <w:szCs w:val="24"/>
          <w:lang w:val="en" w:eastAsia="en-US"/>
        </w:rPr>
        <w:t xml:space="preserve">, </w:t>
      </w:r>
      <w:r w:rsidR="006F6E28" w:rsidRPr="006F6E28">
        <w:rPr>
          <w:rFonts w:ascii="Times New Roman" w:eastAsiaTheme="minorHAnsi" w:hAnsi="Times New Roman" w:cs="Times New Roman"/>
          <w:sz w:val="24"/>
          <w:szCs w:val="24"/>
          <w:lang w:val="en" w:eastAsia="en-US"/>
        </w:rPr>
        <w:t xml:space="preserve">Secure access to land, </w:t>
      </w:r>
      <w:proofErr w:type="spellStart"/>
      <w:r w:rsidR="006F6E28">
        <w:rPr>
          <w:rFonts w:ascii="Times New Roman" w:eastAsiaTheme="minorHAnsi" w:hAnsi="Times New Roman" w:cs="Times New Roman"/>
          <w:sz w:val="24"/>
          <w:szCs w:val="24"/>
          <w:lang w:val="en" w:eastAsia="en-US"/>
        </w:rPr>
        <w:t>Kpomassè</w:t>
      </w:r>
      <w:proofErr w:type="spellEnd"/>
      <w:r w:rsidR="006F6E28">
        <w:rPr>
          <w:rFonts w:ascii="Times New Roman" w:eastAsiaTheme="minorHAnsi" w:hAnsi="Times New Roman" w:cs="Times New Roman"/>
          <w:sz w:val="24"/>
          <w:szCs w:val="24"/>
          <w:lang w:val="en" w:eastAsia="en-US"/>
        </w:rPr>
        <w:t xml:space="preserve"> Commune</w:t>
      </w:r>
      <w:r w:rsidR="006F6E28" w:rsidRPr="006F6E28">
        <w:rPr>
          <w:rFonts w:ascii="Times New Roman" w:eastAsiaTheme="minorHAnsi" w:hAnsi="Times New Roman" w:cs="Times New Roman"/>
          <w:sz w:val="24"/>
          <w:szCs w:val="24"/>
          <w:lang w:val="en" w:eastAsia="en-US"/>
        </w:rPr>
        <w:t>.</w:t>
      </w:r>
    </w:p>
    <w:p w14:paraId="50D5C5B9" w14:textId="5D060158" w:rsidR="003F552B" w:rsidRPr="007D3DE9" w:rsidRDefault="003F552B" w:rsidP="007D3DE9">
      <w:pPr>
        <w:spacing w:line="360" w:lineRule="auto"/>
        <w:rPr>
          <w:rFonts w:ascii="Times New Roman" w:hAnsi="Times New Roman" w:cs="Times New Roman"/>
          <w:b/>
          <w:sz w:val="24"/>
          <w:szCs w:val="24"/>
        </w:rPr>
      </w:pPr>
    </w:p>
    <w:p w14:paraId="340F31D5" w14:textId="77777777" w:rsidR="00FD5171" w:rsidRPr="007D3DE9" w:rsidRDefault="00582053" w:rsidP="007D3DE9">
      <w:pPr>
        <w:pStyle w:val="ListParagraph"/>
        <w:numPr>
          <w:ilvl w:val="0"/>
          <w:numId w:val="3"/>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Introduction</w:t>
      </w:r>
    </w:p>
    <w:p w14:paraId="67CF2EC6" w14:textId="46B51464" w:rsidR="006F6E28" w:rsidRPr="006F6E28" w:rsidRDefault="006F6E28" w:rsidP="006F6E28">
      <w:pPr>
        <w:spacing w:line="360" w:lineRule="auto"/>
        <w:jc w:val="both"/>
        <w:rPr>
          <w:rFonts w:ascii="Times New Roman" w:hAnsi="Times New Roman" w:cs="Times New Roman"/>
          <w:sz w:val="24"/>
          <w:szCs w:val="24"/>
        </w:rPr>
      </w:pPr>
      <w:r w:rsidRPr="006F6E28">
        <w:rPr>
          <w:rFonts w:ascii="Times New Roman" w:hAnsi="Times New Roman" w:cs="Times New Roman"/>
          <w:sz w:val="24"/>
          <w:szCs w:val="24"/>
        </w:rPr>
        <w:t xml:space="preserve">Land has always been a major issue in economic and social development. As such, it is a matter of concern </w:t>
      </w:r>
      <w:r w:rsidR="002C234E">
        <w:rPr>
          <w:rFonts w:ascii="Times New Roman" w:hAnsi="Times New Roman" w:cs="Times New Roman"/>
          <w:sz w:val="24"/>
          <w:szCs w:val="24"/>
        </w:rPr>
        <w:t xml:space="preserve">worldwide </w:t>
      </w:r>
      <w:proofErr w:type="gramStart"/>
      <w:r w:rsidR="002C234E">
        <w:rPr>
          <w:rFonts w:ascii="Times New Roman" w:hAnsi="Times New Roman" w:cs="Times New Roman"/>
          <w:sz w:val="24"/>
          <w:szCs w:val="24"/>
        </w:rPr>
        <w:t xml:space="preserve">( </w:t>
      </w:r>
      <w:proofErr w:type="spellStart"/>
      <w:r w:rsidR="002C234E">
        <w:rPr>
          <w:rFonts w:ascii="Times New Roman" w:hAnsi="Times New Roman" w:cs="Times New Roman"/>
          <w:sz w:val="24"/>
          <w:szCs w:val="24"/>
        </w:rPr>
        <w:t>Tchaou</w:t>
      </w:r>
      <w:proofErr w:type="spellEnd"/>
      <w:proofErr w:type="gramEnd"/>
      <w:r w:rsidR="002C234E">
        <w:rPr>
          <w:rFonts w:ascii="Times New Roman" w:hAnsi="Times New Roman" w:cs="Times New Roman"/>
          <w:sz w:val="24"/>
          <w:szCs w:val="24"/>
        </w:rPr>
        <w:t xml:space="preserve"> , 2014, p. 12-13</w:t>
      </w:r>
      <w:r w:rsidRPr="006F6E28">
        <w:rPr>
          <w:rFonts w:ascii="Times New Roman" w:hAnsi="Times New Roman" w:cs="Times New Roman"/>
          <w:sz w:val="24"/>
          <w:szCs w:val="24"/>
        </w:rPr>
        <w:t xml:space="preserve">) </w:t>
      </w:r>
      <w:r w:rsidRPr="006F6E28">
        <w:rPr>
          <w:rFonts w:ascii="Times New Roman" w:hAnsi="Times New Roman" w:cs="Times New Roman"/>
          <w:sz w:val="24"/>
          <w:szCs w:val="24"/>
          <w:vertAlign w:val="superscript"/>
        </w:rPr>
        <w:t xml:space="preserve">1. </w:t>
      </w:r>
      <w:r w:rsidRPr="006F6E28">
        <w:rPr>
          <w:rFonts w:ascii="Times New Roman" w:hAnsi="Times New Roman" w:cs="Times New Roman"/>
          <w:sz w:val="24"/>
          <w:szCs w:val="24"/>
        </w:rPr>
        <w:t xml:space="preserve">In Africa, the realities of access to and management of land, and the patriarchal system that dominates social organization on the </w:t>
      </w:r>
      <w:r w:rsidRPr="006F6E28">
        <w:rPr>
          <w:rFonts w:ascii="Times New Roman" w:hAnsi="Times New Roman" w:cs="Times New Roman"/>
          <w:sz w:val="24"/>
          <w:szCs w:val="24"/>
        </w:rPr>
        <w:lastRenderedPageBreak/>
        <w:t xml:space="preserve">continent, have long had a real impact on the land situation. Women, for social or customary reasons, have difficulty accessing land. Indeed, alongside biological, anatomical sex, there is a social gender, a social and cultural construction of stereotypes and feminine and masculine roles (Y. Nicolas, 2008, p. 27) </w:t>
      </w:r>
      <w:r w:rsidRPr="006F6E28">
        <w:rPr>
          <w:rFonts w:ascii="Times New Roman" w:hAnsi="Times New Roman" w:cs="Times New Roman"/>
          <w:sz w:val="24"/>
          <w:szCs w:val="24"/>
          <w:vertAlign w:val="superscript"/>
        </w:rPr>
        <w:t xml:space="preserve">2. </w:t>
      </w:r>
      <w:r w:rsidRPr="006F6E28">
        <w:rPr>
          <w:rFonts w:ascii="Times New Roman" w:hAnsi="Times New Roman" w:cs="Times New Roman"/>
          <w:sz w:val="24"/>
          <w:szCs w:val="24"/>
        </w:rPr>
        <w:t>Women are disadvantaged in several ways due to the patriarchal and masculine nature of the s</w:t>
      </w:r>
      <w:r w:rsidR="0058788B">
        <w:rPr>
          <w:rFonts w:ascii="Times New Roman" w:hAnsi="Times New Roman" w:cs="Times New Roman"/>
          <w:sz w:val="24"/>
          <w:szCs w:val="24"/>
        </w:rPr>
        <w:t xml:space="preserve">tate and politics (F. </w:t>
      </w:r>
      <w:proofErr w:type="gramStart"/>
      <w:r w:rsidR="0058788B">
        <w:rPr>
          <w:rFonts w:ascii="Times New Roman" w:hAnsi="Times New Roman" w:cs="Times New Roman"/>
          <w:sz w:val="24"/>
          <w:szCs w:val="24"/>
        </w:rPr>
        <w:t>Sow ,</w:t>
      </w:r>
      <w:proofErr w:type="gramEnd"/>
      <w:r w:rsidR="0058788B">
        <w:rPr>
          <w:rFonts w:ascii="Times New Roman" w:hAnsi="Times New Roman" w:cs="Times New Roman"/>
          <w:sz w:val="24"/>
          <w:szCs w:val="24"/>
        </w:rPr>
        <w:t xml:space="preserve"> 20</w:t>
      </w:r>
      <w:r w:rsidR="00340465">
        <w:rPr>
          <w:rFonts w:ascii="Times New Roman" w:hAnsi="Times New Roman" w:cs="Times New Roman"/>
          <w:sz w:val="24"/>
          <w:szCs w:val="24"/>
        </w:rPr>
        <w:t>0</w:t>
      </w:r>
      <w:r w:rsidR="0058788B">
        <w:rPr>
          <w:rFonts w:ascii="Times New Roman" w:hAnsi="Times New Roman" w:cs="Times New Roman"/>
          <w:sz w:val="24"/>
          <w:szCs w:val="24"/>
        </w:rPr>
        <w:t>8</w:t>
      </w:r>
      <w:r w:rsidR="00340465">
        <w:rPr>
          <w:rFonts w:ascii="Times New Roman" w:hAnsi="Times New Roman" w:cs="Times New Roman"/>
          <w:sz w:val="24"/>
          <w:szCs w:val="24"/>
        </w:rPr>
        <w:t>, p. 15</w:t>
      </w:r>
      <w:r w:rsidRPr="006F6E28">
        <w:rPr>
          <w:rFonts w:ascii="Times New Roman" w:hAnsi="Times New Roman" w:cs="Times New Roman"/>
          <w:sz w:val="24"/>
          <w:szCs w:val="24"/>
        </w:rPr>
        <w:t xml:space="preserve">) </w:t>
      </w:r>
      <w:r w:rsidRPr="006F6E28">
        <w:rPr>
          <w:rFonts w:ascii="Times New Roman" w:hAnsi="Times New Roman" w:cs="Times New Roman"/>
          <w:sz w:val="24"/>
          <w:szCs w:val="24"/>
          <w:vertAlign w:val="superscript"/>
        </w:rPr>
        <w:t xml:space="preserve">3 </w:t>
      </w:r>
      <w:r w:rsidRPr="006F6E28">
        <w:rPr>
          <w:rFonts w:ascii="Times New Roman" w:hAnsi="Times New Roman" w:cs="Times New Roman"/>
          <w:sz w:val="24"/>
          <w:szCs w:val="24"/>
        </w:rPr>
        <w:t xml:space="preserve">. Women have long occupied a position inferior to that of men in Africa, although it should be noted that in matrilineal communities, women were the sole source of inheritance and the legitimacy of all leadership </w:t>
      </w:r>
      <w:r w:rsidR="0058788B" w:rsidRPr="0058788B">
        <w:rPr>
          <w:rFonts w:ascii="Times New Roman" w:hAnsi="Times New Roman" w:cs="Times New Roman"/>
          <w:sz w:val="24"/>
          <w:szCs w:val="24"/>
        </w:rPr>
        <w:t xml:space="preserve">(S. S. M. Kanji, 1997, p. 14) </w:t>
      </w:r>
      <w:r w:rsidRPr="0058788B">
        <w:rPr>
          <w:rFonts w:ascii="Times New Roman" w:hAnsi="Times New Roman" w:cs="Times New Roman"/>
          <w:sz w:val="24"/>
          <w:szCs w:val="24"/>
          <w:vertAlign w:val="superscript"/>
        </w:rPr>
        <w:t>4</w:t>
      </w:r>
      <w:r w:rsidRPr="0058788B">
        <w:rPr>
          <w:rFonts w:ascii="Times New Roman" w:hAnsi="Times New Roman" w:cs="Times New Roman"/>
          <w:sz w:val="24"/>
          <w:szCs w:val="24"/>
        </w:rPr>
        <w:t>.</w:t>
      </w:r>
      <w:r w:rsidRPr="006F6E28">
        <w:rPr>
          <w:rFonts w:ascii="Times New Roman" w:hAnsi="Times New Roman" w:cs="Times New Roman"/>
          <w:sz w:val="24"/>
          <w:szCs w:val="24"/>
          <w:vertAlign w:val="superscript"/>
        </w:rPr>
        <w:t xml:space="preserve"> </w:t>
      </w:r>
      <w:r w:rsidRPr="006F6E28">
        <w:rPr>
          <w:rFonts w:ascii="Times New Roman" w:hAnsi="Times New Roman" w:cs="Times New Roman"/>
          <w:sz w:val="24"/>
          <w:szCs w:val="24"/>
        </w:rPr>
        <w:t xml:space="preserve">According to J. Nyerere (year to be specified), “in Africa, women toil their entire lives on land they do not own to produce what they do not control, and if their marriage ends in divorce or the death of their husband, they can be sent away empty-handed” (F. </w:t>
      </w:r>
      <w:proofErr w:type="spellStart"/>
      <w:r w:rsidRPr="006F6E28">
        <w:rPr>
          <w:rFonts w:ascii="Times New Roman" w:hAnsi="Times New Roman" w:cs="Times New Roman"/>
          <w:sz w:val="24"/>
          <w:szCs w:val="24"/>
        </w:rPr>
        <w:t>Diop</w:t>
      </w:r>
      <w:proofErr w:type="spellEnd"/>
      <w:r w:rsidRPr="006F6E28">
        <w:rPr>
          <w:rFonts w:ascii="Times New Roman" w:hAnsi="Times New Roman" w:cs="Times New Roman"/>
          <w:sz w:val="24"/>
          <w:szCs w:val="24"/>
        </w:rPr>
        <w:t xml:space="preserve"> and L. Touré, 2012, p. 345) </w:t>
      </w:r>
      <w:r w:rsidRPr="006F6E28">
        <w:rPr>
          <w:rFonts w:ascii="Times New Roman" w:hAnsi="Times New Roman" w:cs="Times New Roman"/>
          <w:sz w:val="24"/>
          <w:szCs w:val="24"/>
          <w:vertAlign w:val="superscript"/>
        </w:rPr>
        <w:t xml:space="preserve">5. </w:t>
      </w:r>
      <w:r w:rsidRPr="006F6E28">
        <w:rPr>
          <w:rFonts w:ascii="Times New Roman" w:hAnsi="Times New Roman" w:cs="Times New Roman"/>
          <w:sz w:val="24"/>
          <w:szCs w:val="24"/>
        </w:rPr>
        <w:t>This quote summarizes the problem of women’s access to and control of land and its contribution to development. In Benin, the vast majority of rural women work in the agricultural sector, but they have the least se</w:t>
      </w:r>
      <w:r w:rsidR="0058788B">
        <w:rPr>
          <w:rFonts w:ascii="Times New Roman" w:hAnsi="Times New Roman" w:cs="Times New Roman"/>
          <w:sz w:val="24"/>
          <w:szCs w:val="24"/>
        </w:rPr>
        <w:t xml:space="preserve">cure access to land (I. </w:t>
      </w:r>
      <w:proofErr w:type="spellStart"/>
      <w:r w:rsidR="0058788B">
        <w:rPr>
          <w:rFonts w:ascii="Times New Roman" w:hAnsi="Times New Roman" w:cs="Times New Roman"/>
          <w:sz w:val="24"/>
          <w:szCs w:val="24"/>
        </w:rPr>
        <w:t>Oumarou</w:t>
      </w:r>
      <w:proofErr w:type="spellEnd"/>
      <w:r w:rsidRPr="006F6E28">
        <w:rPr>
          <w:rFonts w:ascii="Times New Roman" w:hAnsi="Times New Roman" w:cs="Times New Roman"/>
          <w:sz w:val="24"/>
          <w:szCs w:val="24"/>
        </w:rPr>
        <w:t xml:space="preserve">, 2008, p. 10) </w:t>
      </w:r>
      <w:r w:rsidRPr="006F6E28">
        <w:rPr>
          <w:rFonts w:ascii="Times New Roman" w:hAnsi="Times New Roman" w:cs="Times New Roman"/>
          <w:sz w:val="24"/>
          <w:szCs w:val="24"/>
          <w:vertAlign w:val="superscript"/>
        </w:rPr>
        <w:t xml:space="preserve">6. </w:t>
      </w:r>
      <w:r w:rsidRPr="006F6E28">
        <w:rPr>
          <w:rFonts w:ascii="Times New Roman" w:hAnsi="Times New Roman" w:cs="Times New Roman"/>
          <w:sz w:val="24"/>
          <w:szCs w:val="24"/>
        </w:rPr>
        <w:t xml:space="preserve">Compared to men, women generally own smallholdings on which they exercise precarious rights because they are excluded from land inheritance rights and have few financial resources to acquire land where a land market exists </w:t>
      </w:r>
      <w:r w:rsidR="0058788B">
        <w:rPr>
          <w:rFonts w:ascii="Times New Roman" w:hAnsi="Times New Roman" w:cs="Times New Roman"/>
          <w:sz w:val="24"/>
          <w:szCs w:val="24"/>
        </w:rPr>
        <w:t>(</w:t>
      </w:r>
      <w:proofErr w:type="spellStart"/>
      <w:proofErr w:type="gramStart"/>
      <w:r w:rsidR="0058788B">
        <w:rPr>
          <w:rFonts w:ascii="Times New Roman" w:hAnsi="Times New Roman" w:cs="Times New Roman"/>
          <w:sz w:val="24"/>
          <w:szCs w:val="24"/>
        </w:rPr>
        <w:t>Tchaou</w:t>
      </w:r>
      <w:proofErr w:type="spellEnd"/>
      <w:r w:rsidR="0058788B">
        <w:rPr>
          <w:rFonts w:ascii="Times New Roman" w:hAnsi="Times New Roman" w:cs="Times New Roman"/>
          <w:sz w:val="24"/>
          <w:szCs w:val="24"/>
        </w:rPr>
        <w:t xml:space="preserve"> ,</w:t>
      </w:r>
      <w:proofErr w:type="gramEnd"/>
      <w:r w:rsidR="0058788B">
        <w:rPr>
          <w:rFonts w:ascii="Times New Roman" w:hAnsi="Times New Roman" w:cs="Times New Roman"/>
          <w:sz w:val="24"/>
          <w:szCs w:val="24"/>
        </w:rPr>
        <w:t xml:space="preserve"> 2014, p. 12-13</w:t>
      </w:r>
      <w:r w:rsidR="0058788B" w:rsidRPr="006F6E28">
        <w:rPr>
          <w:rFonts w:ascii="Times New Roman" w:hAnsi="Times New Roman" w:cs="Times New Roman"/>
          <w:sz w:val="24"/>
          <w:szCs w:val="24"/>
        </w:rPr>
        <w:t xml:space="preserve">) </w:t>
      </w:r>
      <w:r w:rsidRPr="006F6E28">
        <w:rPr>
          <w:rFonts w:ascii="Times New Roman" w:hAnsi="Times New Roman" w:cs="Times New Roman"/>
          <w:sz w:val="24"/>
          <w:szCs w:val="24"/>
          <w:vertAlign w:val="superscript"/>
        </w:rPr>
        <w:t xml:space="preserve">1. </w:t>
      </w:r>
      <w:r w:rsidRPr="006F6E28">
        <w:rPr>
          <w:rFonts w:ascii="Times New Roman" w:hAnsi="Times New Roman" w:cs="Times New Roman"/>
          <w:sz w:val="24"/>
          <w:szCs w:val="24"/>
        </w:rPr>
        <w:t xml:space="preserve">In 2013, according to the results of the modular survey on household living conditions, regardless of how plots were acquired, women had limited access to land. Indeed, 85% of landowners were men compared to only 14.9% women (INSAE, 2013, p. 16) </w:t>
      </w:r>
      <w:proofErr w:type="gramStart"/>
      <w:r w:rsidRPr="006F6E28">
        <w:rPr>
          <w:rFonts w:ascii="Times New Roman" w:hAnsi="Times New Roman" w:cs="Times New Roman"/>
          <w:sz w:val="24"/>
          <w:szCs w:val="24"/>
          <w:vertAlign w:val="superscript"/>
        </w:rPr>
        <w:t xml:space="preserve">7 </w:t>
      </w:r>
      <w:r w:rsidRPr="006F6E28">
        <w:rPr>
          <w:rFonts w:ascii="Times New Roman" w:hAnsi="Times New Roman" w:cs="Times New Roman"/>
          <w:sz w:val="24"/>
          <w:szCs w:val="24"/>
        </w:rPr>
        <w:t>.</w:t>
      </w:r>
      <w:proofErr w:type="gramEnd"/>
      <w:r w:rsidRPr="006F6E28">
        <w:rPr>
          <w:rFonts w:ascii="Times New Roman" w:hAnsi="Times New Roman" w:cs="Times New Roman"/>
          <w:sz w:val="24"/>
          <w:szCs w:val="24"/>
        </w:rPr>
        <w:t xml:space="preserve"> Access to land and the securing of land rights, for poor and rural populations in general and for women in particular, is essential for food security. Yet this role is still insufficiently taken into account and women have less access to and control over land, natural resources, means of production and financial resources (S. </w:t>
      </w:r>
      <w:proofErr w:type="spellStart"/>
      <w:r w:rsidRPr="006F6E28">
        <w:rPr>
          <w:rFonts w:ascii="Times New Roman" w:hAnsi="Times New Roman" w:cs="Times New Roman"/>
          <w:sz w:val="24"/>
          <w:szCs w:val="24"/>
        </w:rPr>
        <w:t>Charlier</w:t>
      </w:r>
      <w:proofErr w:type="spellEnd"/>
      <w:r w:rsidRPr="006F6E28">
        <w:rPr>
          <w:rFonts w:ascii="Times New Roman" w:hAnsi="Times New Roman" w:cs="Times New Roman"/>
          <w:sz w:val="24"/>
          <w:szCs w:val="24"/>
        </w:rPr>
        <w:t xml:space="preserve"> et al., 2016, p. 1) </w:t>
      </w:r>
      <w:proofErr w:type="gramStart"/>
      <w:r w:rsidRPr="006F6E28">
        <w:rPr>
          <w:rFonts w:ascii="Times New Roman" w:hAnsi="Times New Roman" w:cs="Times New Roman"/>
          <w:sz w:val="24"/>
          <w:szCs w:val="24"/>
          <w:vertAlign w:val="superscript"/>
        </w:rPr>
        <w:t xml:space="preserve">8 </w:t>
      </w:r>
      <w:r w:rsidRPr="006F6E28">
        <w:rPr>
          <w:rFonts w:ascii="Times New Roman" w:hAnsi="Times New Roman" w:cs="Times New Roman"/>
          <w:sz w:val="24"/>
          <w:szCs w:val="24"/>
        </w:rPr>
        <w:t>.</w:t>
      </w:r>
      <w:proofErr w:type="gramEnd"/>
    </w:p>
    <w:p w14:paraId="12423F85" w14:textId="77777777" w:rsidR="006F6E28" w:rsidRPr="006F6E28" w:rsidRDefault="006F6E28" w:rsidP="006F6E28">
      <w:pPr>
        <w:spacing w:line="360" w:lineRule="auto"/>
        <w:jc w:val="both"/>
        <w:rPr>
          <w:rFonts w:ascii="Times New Roman" w:hAnsi="Times New Roman" w:cs="Times New Roman"/>
          <w:sz w:val="24"/>
          <w:szCs w:val="24"/>
        </w:rPr>
      </w:pPr>
      <w:r w:rsidRPr="006F6E28">
        <w:rPr>
          <w:rFonts w:ascii="Times New Roman" w:hAnsi="Times New Roman" w:cs="Times New Roman"/>
          <w:sz w:val="24"/>
          <w:szCs w:val="24"/>
        </w:rPr>
        <w:t xml:space="preserve">It is within this general context that the study conducted in the Commune of </w:t>
      </w:r>
      <w:proofErr w:type="spellStart"/>
      <w:r w:rsidRPr="006F6E28">
        <w:rPr>
          <w:rFonts w:ascii="Times New Roman" w:hAnsi="Times New Roman" w:cs="Times New Roman"/>
          <w:sz w:val="24"/>
          <w:szCs w:val="24"/>
        </w:rPr>
        <w:t>Kpomassè</w:t>
      </w:r>
      <w:proofErr w:type="spellEnd"/>
      <w:r w:rsidRPr="006F6E28">
        <w:rPr>
          <w:rFonts w:ascii="Times New Roman" w:hAnsi="Times New Roman" w:cs="Times New Roman"/>
          <w:sz w:val="24"/>
          <w:szCs w:val="24"/>
        </w:rPr>
        <w:t xml:space="preserve"> is </w:t>
      </w:r>
      <w:proofErr w:type="gramStart"/>
      <w:r w:rsidRPr="006F6E28">
        <w:rPr>
          <w:rFonts w:ascii="Times New Roman" w:hAnsi="Times New Roman" w:cs="Times New Roman"/>
          <w:sz w:val="24"/>
          <w:szCs w:val="24"/>
        </w:rPr>
        <w:t>situated .</w:t>
      </w:r>
      <w:proofErr w:type="gramEnd"/>
      <w:r w:rsidRPr="006F6E28">
        <w:rPr>
          <w:rFonts w:ascii="Times New Roman" w:hAnsi="Times New Roman" w:cs="Times New Roman"/>
          <w:sz w:val="24"/>
          <w:szCs w:val="24"/>
        </w:rPr>
        <w:t xml:space="preserve"> This commune, like many localities in Benin, is confronted with the dynamics of land pressure and local practices regarding access to and securing land tenure. It is relevant to analyze, in this specific environment, how the mechanisms for securing land rights operate in practice and, above all, what specific obstacles limit women's secure access to land, despite legislative developments and development challenges.</w:t>
      </w:r>
    </w:p>
    <w:p w14:paraId="128B7FC6" w14:textId="77777777" w:rsidR="006F6E28" w:rsidRPr="006F6E28" w:rsidRDefault="006F6E28" w:rsidP="006F6E28">
      <w:pPr>
        <w:spacing w:line="360" w:lineRule="auto"/>
        <w:jc w:val="both"/>
        <w:rPr>
          <w:rFonts w:ascii="Times New Roman" w:hAnsi="Times New Roman" w:cs="Times New Roman"/>
          <w:sz w:val="24"/>
          <w:szCs w:val="24"/>
        </w:rPr>
      </w:pPr>
      <w:r w:rsidRPr="006F6E28">
        <w:rPr>
          <w:rFonts w:ascii="Times New Roman" w:hAnsi="Times New Roman" w:cs="Times New Roman"/>
          <w:sz w:val="24"/>
          <w:szCs w:val="24"/>
        </w:rPr>
        <w:t xml:space="preserve">The overall objective of this research is to characterize existing land tenure security practices in the Commune of </w:t>
      </w:r>
      <w:proofErr w:type="spellStart"/>
      <w:r w:rsidRPr="006F6E28">
        <w:rPr>
          <w:rFonts w:ascii="Times New Roman" w:hAnsi="Times New Roman" w:cs="Times New Roman"/>
          <w:sz w:val="24"/>
          <w:szCs w:val="24"/>
        </w:rPr>
        <w:t>Kpomassè</w:t>
      </w:r>
      <w:proofErr w:type="spellEnd"/>
      <w:r w:rsidRPr="006F6E28">
        <w:rPr>
          <w:rFonts w:ascii="Times New Roman" w:hAnsi="Times New Roman" w:cs="Times New Roman"/>
          <w:sz w:val="24"/>
          <w:szCs w:val="24"/>
        </w:rPr>
        <w:t xml:space="preserve"> and to identify the obstacles that limit women's secure access to land in this locality.</w:t>
      </w:r>
    </w:p>
    <w:p w14:paraId="2E0A6586" w14:textId="77777777" w:rsidR="006F6E28" w:rsidRDefault="006F6E28" w:rsidP="006F6E28">
      <w:pPr>
        <w:pStyle w:val="NormalWeb"/>
        <w:spacing w:line="360" w:lineRule="auto"/>
        <w:jc w:val="both"/>
        <w:rPr>
          <w:rFonts w:eastAsiaTheme="minorHAnsi"/>
          <w:lang w:eastAsia="en-US"/>
        </w:rPr>
      </w:pPr>
      <w:r w:rsidRPr="00857C06">
        <w:rPr>
          <w:rFonts w:eastAsiaTheme="minorHAnsi"/>
          <w:lang w:eastAsia="en-US"/>
        </w:rPr>
        <w:lastRenderedPageBreak/>
        <w:t>Given the importance of land tenure security for the development and empowerment of women in Benin, this research attempts to answer the following main question:</w:t>
      </w:r>
    </w:p>
    <w:p w14:paraId="1470F897" w14:textId="7C9CFFB3" w:rsidR="006F6E28" w:rsidRPr="006F6E28" w:rsidRDefault="006F6E28" w:rsidP="006F6E28">
      <w:pPr>
        <w:pStyle w:val="NormalWeb"/>
        <w:spacing w:line="360" w:lineRule="auto"/>
        <w:jc w:val="both"/>
        <w:rPr>
          <w:rFonts w:eastAsiaTheme="minorHAnsi"/>
          <w:lang w:eastAsia="en-US"/>
        </w:rPr>
      </w:pPr>
      <w:r w:rsidRPr="006F6E28">
        <w:rPr>
          <w:rFonts w:eastAsiaTheme="minorHAnsi"/>
          <w:lang w:eastAsia="en-US"/>
        </w:rPr>
        <w:t xml:space="preserve">What are the land tenure security practices and what are the major obstacles that, at the level of the Commune of </w:t>
      </w:r>
      <w:proofErr w:type="spellStart"/>
      <w:proofErr w:type="gramStart"/>
      <w:r w:rsidRPr="006F6E28">
        <w:rPr>
          <w:rFonts w:eastAsiaTheme="minorHAnsi"/>
          <w:lang w:eastAsia="en-US"/>
        </w:rPr>
        <w:t>Kpomassè</w:t>
      </w:r>
      <w:proofErr w:type="spellEnd"/>
      <w:r w:rsidRPr="006F6E28">
        <w:rPr>
          <w:rFonts w:eastAsiaTheme="minorHAnsi"/>
          <w:lang w:eastAsia="en-US"/>
        </w:rPr>
        <w:t xml:space="preserve"> ,</w:t>
      </w:r>
      <w:proofErr w:type="gramEnd"/>
      <w:r w:rsidRPr="006F6E28">
        <w:rPr>
          <w:rFonts w:eastAsiaTheme="minorHAnsi"/>
          <w:lang w:eastAsia="en-US"/>
        </w:rPr>
        <w:t xml:space="preserve"> limit women's secure access to land?</w:t>
      </w:r>
    </w:p>
    <w:p w14:paraId="4FBD69D6" w14:textId="2E0753D7" w:rsidR="00FD5171" w:rsidRPr="007D3DE9" w:rsidRDefault="00FD5171" w:rsidP="007D3DE9">
      <w:pPr>
        <w:pStyle w:val="ListParagraph"/>
        <w:numPr>
          <w:ilvl w:val="0"/>
          <w:numId w:val="3"/>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Study environment</w:t>
      </w:r>
    </w:p>
    <w:p w14:paraId="1E690603" w14:textId="6F6306A8" w:rsidR="00FD5171" w:rsidRPr="007D3DE9" w:rsidRDefault="00FD5171"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The commune of </w:t>
      </w:r>
      <w:proofErr w:type="spell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is located in the southwest of the </w:t>
      </w:r>
      <w:proofErr w:type="spellStart"/>
      <w:r w:rsidRPr="007D3DE9">
        <w:rPr>
          <w:rFonts w:ascii="Times New Roman" w:hAnsi="Times New Roman" w:cs="Times New Roman"/>
          <w:sz w:val="24"/>
          <w:szCs w:val="24"/>
        </w:rPr>
        <w:t>Atlantique</w:t>
      </w:r>
      <w:proofErr w:type="spellEnd"/>
      <w:r w:rsidRPr="007D3DE9">
        <w:rPr>
          <w:rFonts w:ascii="Times New Roman" w:hAnsi="Times New Roman" w:cs="Times New Roman"/>
          <w:sz w:val="24"/>
          <w:szCs w:val="24"/>
        </w:rPr>
        <w:t xml:space="preserve"> department, between 6°20'20'' and 6°37'59'' north latitude and between 1°56'32'' and 2°5'18'' east longitude. It is one of the five (5) communes of the Intercommunal Eco-Development Zone (ZIED). It is bordered to the north by the commune of </w:t>
      </w:r>
      <w:proofErr w:type="spellStart"/>
      <w:proofErr w:type="gramStart"/>
      <w:r w:rsidRPr="007D3DE9">
        <w:rPr>
          <w:rFonts w:ascii="Times New Roman" w:hAnsi="Times New Roman" w:cs="Times New Roman"/>
          <w:sz w:val="24"/>
          <w:szCs w:val="24"/>
        </w:rPr>
        <w:t>Allada</w:t>
      </w:r>
      <w:proofErr w:type="spellEnd"/>
      <w:r w:rsidRPr="007D3DE9">
        <w:rPr>
          <w:rFonts w:ascii="Times New Roman" w:hAnsi="Times New Roman" w:cs="Times New Roman"/>
          <w:sz w:val="24"/>
          <w:szCs w:val="24"/>
        </w:rPr>
        <w:t xml:space="preserve"> ,</w:t>
      </w:r>
      <w:proofErr w:type="gramEnd"/>
      <w:r w:rsidRPr="007D3DE9">
        <w:rPr>
          <w:rFonts w:ascii="Times New Roman" w:hAnsi="Times New Roman" w:cs="Times New Roman"/>
          <w:sz w:val="24"/>
          <w:szCs w:val="24"/>
        </w:rPr>
        <w:t xml:space="preserve"> to the south by the commune of </w:t>
      </w:r>
      <w:proofErr w:type="spellStart"/>
      <w:r w:rsidRPr="007D3DE9">
        <w:rPr>
          <w:rFonts w:ascii="Times New Roman" w:hAnsi="Times New Roman" w:cs="Times New Roman"/>
          <w:sz w:val="24"/>
          <w:szCs w:val="24"/>
        </w:rPr>
        <w:t>Ouidah</w:t>
      </w:r>
      <w:proofErr w:type="spellEnd"/>
      <w:r w:rsidRPr="007D3DE9">
        <w:rPr>
          <w:rFonts w:ascii="Times New Roman" w:hAnsi="Times New Roman" w:cs="Times New Roman"/>
          <w:sz w:val="24"/>
          <w:szCs w:val="24"/>
        </w:rPr>
        <w:t xml:space="preserve">, to the west by the communes of </w:t>
      </w:r>
      <w:proofErr w:type="spellStart"/>
      <w:r w:rsidRPr="007D3DE9">
        <w:rPr>
          <w:rFonts w:ascii="Times New Roman" w:hAnsi="Times New Roman" w:cs="Times New Roman"/>
          <w:sz w:val="24"/>
          <w:szCs w:val="24"/>
        </w:rPr>
        <w:t>Comè</w:t>
      </w:r>
      <w:proofErr w:type="spellEnd"/>
      <w:r w:rsidRPr="007D3DE9">
        <w:rPr>
          <w:rFonts w:ascii="Times New Roman" w:hAnsi="Times New Roman" w:cs="Times New Roman"/>
          <w:sz w:val="24"/>
          <w:szCs w:val="24"/>
        </w:rPr>
        <w:t xml:space="preserve"> and </w:t>
      </w:r>
      <w:proofErr w:type="spellStart"/>
      <w:r w:rsidRPr="007D3DE9">
        <w:rPr>
          <w:rFonts w:ascii="Times New Roman" w:hAnsi="Times New Roman" w:cs="Times New Roman"/>
          <w:sz w:val="24"/>
          <w:szCs w:val="24"/>
        </w:rPr>
        <w:t>Bopa</w:t>
      </w:r>
      <w:proofErr w:type="spellEnd"/>
      <w:r w:rsidRPr="007D3DE9">
        <w:rPr>
          <w:rFonts w:ascii="Times New Roman" w:hAnsi="Times New Roman" w:cs="Times New Roman"/>
          <w:sz w:val="24"/>
          <w:szCs w:val="24"/>
        </w:rPr>
        <w:t xml:space="preserve"> (with a natural boundary formed by Lake </w:t>
      </w:r>
      <w:proofErr w:type="spellStart"/>
      <w:r w:rsidRPr="007D3DE9">
        <w:rPr>
          <w:rFonts w:ascii="Times New Roman" w:hAnsi="Times New Roman" w:cs="Times New Roman"/>
          <w:sz w:val="24"/>
          <w:szCs w:val="24"/>
        </w:rPr>
        <w:t>Ahémé</w:t>
      </w:r>
      <w:proofErr w:type="spellEnd"/>
      <w:r w:rsidRPr="007D3DE9">
        <w:rPr>
          <w:rFonts w:ascii="Times New Roman" w:hAnsi="Times New Roman" w:cs="Times New Roman"/>
          <w:sz w:val="24"/>
          <w:szCs w:val="24"/>
        </w:rPr>
        <w:t xml:space="preserve"> and a tributary of the </w:t>
      </w:r>
      <w:proofErr w:type="spellStart"/>
      <w:r w:rsidRPr="007D3DE9">
        <w:rPr>
          <w:rFonts w:ascii="Times New Roman" w:hAnsi="Times New Roman" w:cs="Times New Roman"/>
          <w:sz w:val="24"/>
          <w:szCs w:val="24"/>
        </w:rPr>
        <w:t>Couffo</w:t>
      </w:r>
      <w:proofErr w:type="spellEnd"/>
      <w:r w:rsidRPr="007D3DE9">
        <w:rPr>
          <w:rFonts w:ascii="Times New Roman" w:hAnsi="Times New Roman" w:cs="Times New Roman"/>
          <w:sz w:val="24"/>
          <w:szCs w:val="24"/>
        </w:rPr>
        <w:t xml:space="preserve"> River ), and to the east by the commune of Tori. </w:t>
      </w:r>
      <w:proofErr w:type="spellStart"/>
      <w:r w:rsidRPr="007D3DE9">
        <w:rPr>
          <w:rFonts w:ascii="Times New Roman" w:hAnsi="Times New Roman" w:cs="Times New Roman"/>
          <w:sz w:val="24"/>
          <w:szCs w:val="24"/>
        </w:rPr>
        <w:t>Bossito</w:t>
      </w:r>
      <w:proofErr w:type="spellEnd"/>
      <w:r w:rsidRPr="007D3DE9">
        <w:rPr>
          <w:rFonts w:ascii="Times New Roman" w:hAnsi="Times New Roman" w:cs="Times New Roman"/>
          <w:sz w:val="24"/>
          <w:szCs w:val="24"/>
        </w:rPr>
        <w:t xml:space="preserve"> and </w:t>
      </w:r>
      <w:proofErr w:type="spellStart"/>
      <w:r w:rsidRPr="007D3DE9">
        <w:rPr>
          <w:rFonts w:ascii="Times New Roman" w:hAnsi="Times New Roman" w:cs="Times New Roman"/>
          <w:sz w:val="24"/>
          <w:szCs w:val="24"/>
        </w:rPr>
        <w:t>Ouidah</w:t>
      </w:r>
      <w:proofErr w:type="spellEnd"/>
      <w:r w:rsidRPr="007D3DE9">
        <w:rPr>
          <w:rFonts w:ascii="Times New Roman" w:hAnsi="Times New Roman" w:cs="Times New Roman"/>
          <w:sz w:val="24"/>
          <w:szCs w:val="24"/>
        </w:rPr>
        <w:t xml:space="preserve">. The figure shows the map of the geographical location of the commune of </w:t>
      </w:r>
      <w:proofErr w:type="spellStart"/>
      <w:proofErr w:type="gramStart"/>
      <w:r w:rsidR="00166812" w:rsidRPr="007D3DE9">
        <w:rPr>
          <w:rFonts w:ascii="Times New Roman" w:hAnsi="Times New Roman" w:cs="Times New Roman"/>
          <w:sz w:val="24"/>
          <w:szCs w:val="24"/>
        </w:rPr>
        <w:t>Kpomassè</w:t>
      </w:r>
      <w:proofErr w:type="spellEnd"/>
      <w:r w:rsidR="00166812" w:rsidRPr="007D3DE9">
        <w:rPr>
          <w:rFonts w:ascii="Times New Roman" w:hAnsi="Times New Roman" w:cs="Times New Roman"/>
          <w:sz w:val="24"/>
          <w:szCs w:val="24"/>
        </w:rPr>
        <w:t xml:space="preserve"> .</w:t>
      </w:r>
      <w:proofErr w:type="gramEnd"/>
    </w:p>
    <w:p w14:paraId="5DC3F0D1" w14:textId="77777777" w:rsidR="00166812" w:rsidRPr="007D3DE9" w:rsidRDefault="00166812" w:rsidP="007D3DE9">
      <w:pPr>
        <w:spacing w:line="360" w:lineRule="auto"/>
        <w:rPr>
          <w:rFonts w:ascii="Times New Roman" w:hAnsi="Times New Roman" w:cs="Times New Roman"/>
          <w:b/>
          <w:sz w:val="24"/>
          <w:szCs w:val="24"/>
        </w:rPr>
      </w:pPr>
      <w:r w:rsidRPr="007D3DE9">
        <w:rPr>
          <w:rFonts w:ascii="Times New Roman" w:eastAsia="Calibri" w:hAnsi="Times New Roman" w:cs="Times New Roman"/>
          <w:noProof/>
          <w:sz w:val="24"/>
          <w:szCs w:val="24"/>
          <w:lang w:val="fr-FR" w:eastAsia="fr-FR"/>
        </w:rPr>
        <w:drawing>
          <wp:anchor distT="0" distB="0" distL="114300" distR="114300" simplePos="0" relativeHeight="251658240" behindDoc="0" locked="0" layoutInCell="1" allowOverlap="1" wp14:anchorId="55EA003B" wp14:editId="36F3A79D">
            <wp:simplePos x="0" y="0"/>
            <wp:positionH relativeFrom="margin">
              <wp:align>center</wp:align>
            </wp:positionH>
            <wp:positionV relativeFrom="paragraph">
              <wp:posOffset>248920</wp:posOffset>
            </wp:positionV>
            <wp:extent cx="2762250" cy="3688080"/>
            <wp:effectExtent l="38100" t="38100" r="38100" b="45720"/>
            <wp:wrapTopAndBottom/>
            <wp:docPr id="67" name="Image 67" descr="C:\Users\DOSSOU YOVO\Downloads\Map-of-Kpomasse-district-in-southern-Ben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SSOU YOVO\Downloads\Map-of-Kpomasse-district-in-southern-Benin.pn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762250" cy="368808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7D3DE9">
        <w:rPr>
          <w:rFonts w:ascii="Times New Roman" w:hAnsi="Times New Roman" w:cs="Times New Roman"/>
          <w:b/>
          <w:sz w:val="24"/>
          <w:szCs w:val="24"/>
        </w:rPr>
        <w:t xml:space="preserve">Figure 1: Map of the geographical location of the commune of </w:t>
      </w:r>
      <w:proofErr w:type="spellStart"/>
      <w:r w:rsidRPr="007D3DE9">
        <w:rPr>
          <w:rFonts w:ascii="Times New Roman" w:hAnsi="Times New Roman" w:cs="Times New Roman"/>
          <w:b/>
          <w:sz w:val="24"/>
          <w:szCs w:val="24"/>
        </w:rPr>
        <w:t>Kpomassè</w:t>
      </w:r>
      <w:proofErr w:type="spellEnd"/>
    </w:p>
    <w:p w14:paraId="6597604B" w14:textId="21D0AE85" w:rsidR="00FD5171" w:rsidRPr="007D3DE9" w:rsidRDefault="004E4534" w:rsidP="007D3DE9">
      <w:pPr>
        <w:spacing w:line="360" w:lineRule="auto"/>
        <w:jc w:val="center"/>
        <w:rPr>
          <w:rFonts w:ascii="Times New Roman" w:hAnsi="Times New Roman" w:cs="Times New Roman"/>
          <w:b/>
          <w:sz w:val="24"/>
          <w:szCs w:val="24"/>
        </w:rPr>
      </w:pPr>
      <w:r w:rsidRPr="007D3DE9">
        <w:rPr>
          <w:rFonts w:ascii="Times New Roman" w:hAnsi="Times New Roman" w:cs="Times New Roman"/>
          <w:sz w:val="24"/>
          <w:szCs w:val="24"/>
        </w:rPr>
        <w:t>Source: IGN topographic map, 1992</w:t>
      </w:r>
    </w:p>
    <w:p w14:paraId="7B560BC3" w14:textId="77777777" w:rsidR="00FD5171" w:rsidRPr="007D3DE9" w:rsidRDefault="003B3F95" w:rsidP="007D3DE9">
      <w:pPr>
        <w:pStyle w:val="ListParagraph"/>
        <w:numPr>
          <w:ilvl w:val="1"/>
          <w:numId w:val="4"/>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Data and methods</w:t>
      </w:r>
    </w:p>
    <w:p w14:paraId="2F0E34F9" w14:textId="003EC8E5"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In this study, the methodological approach adopted is based on both quantitative and qualitative data. Specifically, the data used includes demographic (1990 to 2020), socio-economic, </w:t>
      </w:r>
      <w:r w:rsidRPr="007D3DE9">
        <w:rPr>
          <w:rFonts w:ascii="Times New Roman" w:hAnsi="Times New Roman" w:cs="Times New Roman"/>
          <w:sz w:val="24"/>
          <w:szCs w:val="24"/>
        </w:rPr>
        <w:lastRenderedPageBreak/>
        <w:t>agricultural, and legal/administrative data. To gather as much reliable data and information as possible, several techniques were employed, including direct observation. Focus groups of 6 to 10 people were also used to compare and supplement the information collected through questionnaires. The information gathered from the participants was processed using Word 2016 for text, Excel 2016 for tables and figures, and ArcView 3.2 for maps. The SWOT and MACTOR models were used for the analysis and interpretation of these results.</w:t>
      </w:r>
    </w:p>
    <w:p w14:paraId="4F12F51F" w14:textId="77777777" w:rsidR="003B3F95" w:rsidRPr="007D3DE9" w:rsidRDefault="003B3F95" w:rsidP="007D3DE9">
      <w:pPr>
        <w:pStyle w:val="ListParagraph"/>
        <w:numPr>
          <w:ilvl w:val="1"/>
          <w:numId w:val="4"/>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Determining the sample size</w:t>
      </w:r>
    </w:p>
    <w:p w14:paraId="255276BD" w14:textId="77777777"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The selection of individuals to participate in the survey was based on a purposive sampling method. The target population consisted primarily of farming households, the municipal land registry office, SCDA </w:t>
      </w:r>
      <w:proofErr w:type="spell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w:t>
      </w:r>
      <w:proofErr w:type="gramStart"/>
      <w:r w:rsidRPr="007D3DE9">
        <w:rPr>
          <w:rFonts w:ascii="Times New Roman" w:hAnsi="Times New Roman" w:cs="Times New Roman"/>
          <w:sz w:val="24"/>
          <w:szCs w:val="24"/>
        </w:rPr>
        <w:t>agents ,</w:t>
      </w:r>
      <w:proofErr w:type="gramEnd"/>
      <w:r w:rsidRPr="007D3DE9">
        <w:rPr>
          <w:rFonts w:ascii="Times New Roman" w:hAnsi="Times New Roman" w:cs="Times New Roman"/>
          <w:sz w:val="24"/>
          <w:szCs w:val="24"/>
        </w:rPr>
        <w:t xml:space="preserve"> women landowners, traditional chiefs, and village chiefs. Three criteria determined the selection of individuals to participate in the survey:</w:t>
      </w:r>
    </w:p>
    <w:p w14:paraId="67A1E748" w14:textId="77777777" w:rsidR="003B3F95" w:rsidRPr="007D3DE9" w:rsidRDefault="003B3F95" w:rsidP="007D3DE9">
      <w:pPr>
        <w:pStyle w:val="ListParagraph"/>
        <w:numPr>
          <w:ilvl w:val="0"/>
          <w:numId w:val="1"/>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be a farmer and have at least 5 years of experience;</w:t>
      </w:r>
    </w:p>
    <w:p w14:paraId="49329EF4" w14:textId="03ADA0C2" w:rsidR="003B3F95" w:rsidRPr="007D3DE9" w:rsidRDefault="003B3F95" w:rsidP="007D3DE9">
      <w:pPr>
        <w:pStyle w:val="ListParagraph"/>
        <w:numPr>
          <w:ilvl w:val="0"/>
          <w:numId w:val="1"/>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 xml:space="preserve"> to be an actor that deals with land issues;</w:t>
      </w:r>
    </w:p>
    <w:p w14:paraId="3608E2C3" w14:textId="77777777" w:rsidR="003B3F95" w:rsidRPr="007D3DE9" w:rsidRDefault="003B3F95" w:rsidP="007D3DE9">
      <w:pPr>
        <w:pStyle w:val="ListParagraph"/>
        <w:numPr>
          <w:ilvl w:val="0"/>
          <w:numId w:val="1"/>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to be a regular actor.</w:t>
      </w:r>
    </w:p>
    <w:p w14:paraId="0DF030CE" w14:textId="59BCFA91"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noProof/>
          <w:sz w:val="24"/>
          <w:szCs w:val="24"/>
          <w:lang w:val="fr-FR" w:eastAsia="fr-FR"/>
        </w:rPr>
        <w:drawing>
          <wp:anchor distT="0" distB="0" distL="114300" distR="114300" simplePos="0" relativeHeight="251668480" behindDoc="0" locked="0" layoutInCell="1" allowOverlap="1" wp14:anchorId="63A4BD52" wp14:editId="3CDE379F">
            <wp:simplePos x="0" y="0"/>
            <wp:positionH relativeFrom="column">
              <wp:posOffset>998855</wp:posOffset>
            </wp:positionH>
            <wp:positionV relativeFrom="paragraph">
              <wp:posOffset>565785</wp:posOffset>
            </wp:positionV>
            <wp:extent cx="2457450" cy="718185"/>
            <wp:effectExtent l="0" t="0" r="0" b="5715"/>
            <wp:wrapTopAndBottom/>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457450" cy="718185"/>
                    </a:xfrm>
                    <a:prstGeom prst="rect">
                      <a:avLst/>
                    </a:prstGeom>
                  </pic:spPr>
                </pic:pic>
              </a:graphicData>
            </a:graphic>
            <wp14:sizeRelH relativeFrom="margin">
              <wp14:pctWidth>0</wp14:pctWidth>
            </wp14:sizeRelH>
            <wp14:sizeRelV relativeFrom="margin">
              <wp14:pctHeight>0</wp14:pctHeight>
            </wp14:sizeRelV>
          </wp:anchor>
        </w:drawing>
      </w:r>
      <w:r w:rsidR="00F6748F" w:rsidRPr="00F6748F">
        <w:rPr>
          <w:rFonts w:ascii="Times New Roman" w:hAnsi="Times New Roman" w:cs="Times New Roman"/>
          <w:sz w:val="24"/>
          <w:szCs w:val="24"/>
        </w:rPr>
        <w:t xml:space="preserve">D. Schwartz's formula </w:t>
      </w:r>
      <w:r w:rsidR="00023A5F" w:rsidRPr="00023A5F">
        <w:rPr>
          <w:rFonts w:ascii="Times New Roman" w:hAnsi="Times New Roman" w:cs="Times New Roman"/>
          <w:sz w:val="24"/>
          <w:szCs w:val="24"/>
        </w:rPr>
        <w:t>(1995, p. 13)</w:t>
      </w:r>
      <w:r w:rsidR="00023A5F" w:rsidRPr="001C5B9E">
        <w:rPr>
          <w:rFonts w:ascii="Times New Roman" w:hAnsi="Times New Roman" w:cs="Times New Roman"/>
          <w:sz w:val="24"/>
          <w:szCs w:val="24"/>
          <w:vertAlign w:val="superscript"/>
        </w:rPr>
        <w:t xml:space="preserve"> </w:t>
      </w:r>
      <w:r w:rsidR="001C5B9E" w:rsidRPr="001C5B9E">
        <w:rPr>
          <w:rFonts w:ascii="Times New Roman" w:hAnsi="Times New Roman" w:cs="Times New Roman"/>
          <w:sz w:val="24"/>
          <w:szCs w:val="24"/>
          <w:vertAlign w:val="superscript"/>
        </w:rPr>
        <w:t xml:space="preserve">9 </w:t>
      </w:r>
      <w:r w:rsidR="00F6748F" w:rsidRPr="00F6748F">
        <w:rPr>
          <w:rFonts w:ascii="Times New Roman" w:hAnsi="Times New Roman" w:cs="Times New Roman"/>
          <w:sz w:val="24"/>
          <w:szCs w:val="24"/>
        </w:rPr>
        <w:t>was used to determine the sample size for each site.</w:t>
      </w:r>
    </w:p>
    <w:p w14:paraId="528CF9C5"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Ni = the sample size</w:t>
      </w:r>
    </w:p>
    <w:p w14:paraId="0556D77B" w14:textId="36FCE25C"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N = The target population size for the selected sites is 21,094 (sum of the population sizes per district)</w:t>
      </w:r>
    </w:p>
    <w:p w14:paraId="6F954626"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Z = confidence level 96, or 1.96</w:t>
      </w:r>
    </w:p>
    <w:p w14:paraId="4CB1100C"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P = estimated standard proportion 30, or 0.03</w:t>
      </w:r>
    </w:p>
    <w:p w14:paraId="3FC17A18" w14:textId="77777777" w:rsidR="003B3F95" w:rsidRPr="007D3DE9" w:rsidRDefault="003B3F95" w:rsidP="007D3DE9">
      <w:pPr>
        <w:pStyle w:val="ListParagraph"/>
        <w:numPr>
          <w:ilvl w:val="0"/>
          <w:numId w:val="2"/>
        </w:numPr>
        <w:spacing w:line="360" w:lineRule="auto"/>
        <w:jc w:val="both"/>
        <w:rPr>
          <w:rFonts w:ascii="Times New Roman" w:hAnsi="Times New Roman" w:cs="Times New Roman"/>
          <w:b/>
          <w:sz w:val="24"/>
          <w:szCs w:val="24"/>
        </w:rPr>
      </w:pPr>
      <w:r w:rsidRPr="007D3DE9">
        <w:rPr>
          <w:rFonts w:ascii="Times New Roman" w:hAnsi="Times New Roman" w:cs="Times New Roman"/>
          <w:sz w:val="24"/>
          <w:szCs w:val="24"/>
        </w:rPr>
        <w:t>E = maximum error tolerance is 5 or 0.05</w:t>
      </w:r>
    </w:p>
    <w:p w14:paraId="403F27AB" w14:textId="77777777" w:rsidR="00617EE8"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Applying this statistical formula gives the sample size</w:t>
      </w:r>
    </w:p>
    <w:p w14:paraId="7C75CD79" w14:textId="0A8F8DCA"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Ni = 327.</w:t>
      </w:r>
    </w:p>
    <w:p w14:paraId="70F34080" w14:textId="77777777" w:rsidR="00617EE8"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noProof/>
          <w:sz w:val="24"/>
          <w:szCs w:val="24"/>
          <w:lang w:val="fr-FR" w:eastAsia="fr-FR"/>
        </w:rPr>
        <w:drawing>
          <wp:anchor distT="0" distB="0" distL="114300" distR="114300" simplePos="0" relativeHeight="251669504" behindDoc="0" locked="0" layoutInCell="1" allowOverlap="1" wp14:anchorId="0FC6F23B" wp14:editId="2CDD055C">
            <wp:simplePos x="0" y="0"/>
            <wp:positionH relativeFrom="margin">
              <wp:align>left</wp:align>
            </wp:positionH>
            <wp:positionV relativeFrom="paragraph">
              <wp:posOffset>348615</wp:posOffset>
            </wp:positionV>
            <wp:extent cx="669290" cy="495935"/>
            <wp:effectExtent l="0" t="0" r="0" b="0"/>
            <wp:wrapTopAndBottom/>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9290" cy="495935"/>
                    </a:xfrm>
                    <a:prstGeom prst="rect">
                      <a:avLst/>
                    </a:prstGeom>
                  </pic:spPr>
                </pic:pic>
              </a:graphicData>
            </a:graphic>
            <wp14:sizeRelH relativeFrom="margin">
              <wp14:pctWidth>0</wp14:pctWidth>
            </wp14:sizeRelH>
            <wp14:sizeRelV relativeFrom="margin">
              <wp14:pctHeight>0</wp14:pctHeight>
            </wp14:sizeRelV>
          </wp:anchor>
        </w:drawing>
      </w:r>
      <w:r w:rsidRPr="007D3DE9">
        <w:rPr>
          <w:rFonts w:ascii="Times New Roman" w:hAnsi="Times New Roman" w:cs="Times New Roman"/>
          <w:sz w:val="24"/>
          <w:szCs w:val="24"/>
        </w:rPr>
        <w:t>The number of people is chosen in each district according to a quota formula.</w:t>
      </w:r>
    </w:p>
    <w:p w14:paraId="000FD08F" w14:textId="4190F427" w:rsidR="00617EE8" w:rsidRPr="007D3DE9" w:rsidRDefault="00617EE8"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Or</w:t>
      </w:r>
    </w:p>
    <w:p w14:paraId="0462F266" w14:textId="77777777"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lastRenderedPageBreak/>
        <w:t>N = the number of people surveyed per district</w:t>
      </w:r>
    </w:p>
    <w:p w14:paraId="62F9D73E" w14:textId="77777777"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Xi = the total number of people per district</w:t>
      </w:r>
    </w:p>
    <w:p w14:paraId="25C35B76" w14:textId="77777777"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Z = the total number of people surveyed in the five districts</w:t>
      </w:r>
    </w:p>
    <w:p w14:paraId="529893F6" w14:textId="77777777" w:rsidR="003B3F95" w:rsidRPr="007D3DE9" w:rsidRDefault="003B3F95"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X = the total number of people in the six districts</w:t>
      </w:r>
    </w:p>
    <w:p w14:paraId="427112E4" w14:textId="1A932EB0" w:rsidR="006D7ADA" w:rsidRPr="007D3DE9" w:rsidRDefault="006B7458" w:rsidP="007D3DE9">
      <w:pPr>
        <w:autoSpaceDE w:val="0"/>
        <w:autoSpaceDN w:val="0"/>
        <w:adjustRightInd w:val="0"/>
        <w:spacing w:before="240" w:line="360" w:lineRule="auto"/>
        <w:rPr>
          <w:rFonts w:ascii="Times New Roman" w:hAnsi="Times New Roman" w:cs="Times New Roman"/>
          <w:b/>
          <w:bCs/>
          <w:sz w:val="24"/>
          <w:szCs w:val="24"/>
        </w:rPr>
      </w:pPr>
      <w:r w:rsidRPr="007D3DE9">
        <w:rPr>
          <w:rFonts w:ascii="Times New Roman" w:hAnsi="Times New Roman" w:cs="Times New Roman"/>
          <w:b/>
          <w:bCs/>
          <w:sz w:val="24"/>
          <w:szCs w:val="24"/>
        </w:rPr>
        <w:t>The following table 1 must be announced</w:t>
      </w:r>
    </w:p>
    <w:p w14:paraId="06EE9C75" w14:textId="77777777" w:rsidR="003B3F95" w:rsidRPr="007D3DE9" w:rsidRDefault="003B3F95" w:rsidP="007D3DE9">
      <w:pPr>
        <w:autoSpaceDE w:val="0"/>
        <w:autoSpaceDN w:val="0"/>
        <w:adjustRightInd w:val="0"/>
        <w:spacing w:before="240" w:line="360" w:lineRule="auto"/>
        <w:rPr>
          <w:rFonts w:ascii="Times New Roman" w:hAnsi="Times New Roman" w:cs="Times New Roman"/>
          <w:bCs/>
          <w:sz w:val="24"/>
          <w:szCs w:val="24"/>
        </w:rPr>
      </w:pPr>
      <w:r w:rsidRPr="007D3DE9">
        <w:rPr>
          <w:rFonts w:ascii="Times New Roman" w:hAnsi="Times New Roman" w:cs="Times New Roman"/>
          <w:b/>
          <w:bCs/>
          <w:sz w:val="24"/>
          <w:szCs w:val="24"/>
        </w:rPr>
        <w:t xml:space="preserve">Table 1: </w:t>
      </w:r>
      <w:r w:rsidRPr="007D3DE9">
        <w:rPr>
          <w:rFonts w:ascii="Times New Roman" w:hAnsi="Times New Roman" w:cs="Times New Roman"/>
          <w:bCs/>
          <w:sz w:val="24"/>
          <w:szCs w:val="24"/>
        </w:rPr>
        <w:t>Distribution of the sample by district</w:t>
      </w:r>
    </w:p>
    <w:tbl>
      <w:tblPr>
        <w:tblStyle w:val="Grilledutableau1"/>
        <w:tblW w:w="8358" w:type="dxa"/>
        <w:tblLayout w:type="fixed"/>
        <w:tblLook w:val="04A0" w:firstRow="1" w:lastRow="0" w:firstColumn="1" w:lastColumn="0" w:noHBand="0" w:noVBand="1"/>
      </w:tblPr>
      <w:tblGrid>
        <w:gridCol w:w="1413"/>
        <w:gridCol w:w="1984"/>
        <w:gridCol w:w="2410"/>
        <w:gridCol w:w="2551"/>
      </w:tblGrid>
      <w:tr w:rsidR="003B3F95" w:rsidRPr="007D3DE9" w14:paraId="65B5B419" w14:textId="77777777" w:rsidTr="003859D2">
        <w:tc>
          <w:tcPr>
            <w:tcW w:w="1413" w:type="dxa"/>
          </w:tcPr>
          <w:p w14:paraId="0AF4F000" w14:textId="77777777" w:rsidR="003B3F95" w:rsidRPr="007D3DE9" w:rsidRDefault="003B3F95" w:rsidP="007D3DE9">
            <w:pPr>
              <w:autoSpaceDE w:val="0"/>
              <w:autoSpaceDN w:val="0"/>
              <w:adjustRightInd w:val="0"/>
              <w:spacing w:line="360" w:lineRule="auto"/>
              <w:rPr>
                <w:rFonts w:ascii="Times New Roman" w:hAnsi="Times New Roman" w:cs="Times New Roman"/>
                <w:b/>
                <w:bCs/>
                <w:sz w:val="24"/>
                <w:szCs w:val="24"/>
              </w:rPr>
            </w:pPr>
            <w:r w:rsidRPr="007D3DE9">
              <w:rPr>
                <w:rFonts w:ascii="Times New Roman" w:hAnsi="Times New Roman" w:cs="Times New Roman"/>
                <w:b/>
                <w:bCs/>
                <w:sz w:val="24"/>
                <w:szCs w:val="24"/>
              </w:rPr>
              <w:t>Municipality</w:t>
            </w:r>
          </w:p>
        </w:tc>
        <w:tc>
          <w:tcPr>
            <w:tcW w:w="1984" w:type="dxa"/>
          </w:tcPr>
          <w:p w14:paraId="71A7EC04" w14:textId="77777777" w:rsidR="003B3F95" w:rsidRPr="007D3DE9" w:rsidRDefault="003B3F95" w:rsidP="007D3DE9">
            <w:pPr>
              <w:autoSpaceDE w:val="0"/>
              <w:autoSpaceDN w:val="0"/>
              <w:adjustRightInd w:val="0"/>
              <w:spacing w:line="360" w:lineRule="auto"/>
              <w:rPr>
                <w:rFonts w:ascii="Times New Roman" w:hAnsi="Times New Roman" w:cs="Times New Roman"/>
                <w:b/>
                <w:bCs/>
                <w:sz w:val="24"/>
                <w:szCs w:val="24"/>
              </w:rPr>
            </w:pPr>
            <w:r w:rsidRPr="007D3DE9">
              <w:rPr>
                <w:rFonts w:ascii="Times New Roman" w:hAnsi="Times New Roman" w:cs="Times New Roman"/>
                <w:b/>
                <w:bCs/>
                <w:sz w:val="24"/>
                <w:szCs w:val="24"/>
              </w:rPr>
              <w:t>Boroughs</w:t>
            </w:r>
          </w:p>
        </w:tc>
        <w:tc>
          <w:tcPr>
            <w:tcW w:w="2410" w:type="dxa"/>
          </w:tcPr>
          <w:p w14:paraId="52164240" w14:textId="77777777" w:rsidR="003B3F95" w:rsidRPr="007D3DE9" w:rsidRDefault="003B3F95" w:rsidP="007D3DE9">
            <w:pPr>
              <w:autoSpaceDE w:val="0"/>
              <w:autoSpaceDN w:val="0"/>
              <w:adjustRightInd w:val="0"/>
              <w:spacing w:line="360" w:lineRule="auto"/>
              <w:rPr>
                <w:rFonts w:ascii="Times New Roman" w:hAnsi="Times New Roman" w:cs="Times New Roman"/>
                <w:b/>
                <w:bCs/>
                <w:sz w:val="24"/>
                <w:szCs w:val="24"/>
              </w:rPr>
            </w:pPr>
            <w:r w:rsidRPr="007D3DE9">
              <w:rPr>
                <w:rFonts w:ascii="Times New Roman" w:hAnsi="Times New Roman" w:cs="Times New Roman"/>
                <w:b/>
                <w:bCs/>
                <w:sz w:val="24"/>
                <w:szCs w:val="24"/>
              </w:rPr>
              <w:t>Population size</w:t>
            </w:r>
          </w:p>
        </w:tc>
        <w:tc>
          <w:tcPr>
            <w:tcW w:w="2551" w:type="dxa"/>
          </w:tcPr>
          <w:p w14:paraId="3AF86133" w14:textId="77777777" w:rsidR="003B3F95" w:rsidRPr="007D3DE9" w:rsidRDefault="003B3F95" w:rsidP="007D3DE9">
            <w:pPr>
              <w:autoSpaceDE w:val="0"/>
              <w:autoSpaceDN w:val="0"/>
              <w:adjustRightInd w:val="0"/>
              <w:spacing w:line="360" w:lineRule="auto"/>
              <w:rPr>
                <w:rFonts w:ascii="Times New Roman" w:hAnsi="Times New Roman" w:cs="Times New Roman"/>
                <w:b/>
                <w:bCs/>
                <w:sz w:val="24"/>
                <w:szCs w:val="24"/>
              </w:rPr>
            </w:pPr>
            <w:r w:rsidRPr="007D3DE9">
              <w:rPr>
                <w:rFonts w:ascii="Times New Roman" w:hAnsi="Times New Roman" w:cs="Times New Roman"/>
                <w:b/>
                <w:bCs/>
                <w:sz w:val="24"/>
                <w:szCs w:val="24"/>
              </w:rPr>
              <w:t>Sample size</w:t>
            </w:r>
          </w:p>
        </w:tc>
      </w:tr>
      <w:tr w:rsidR="003B3F95" w:rsidRPr="007D3DE9" w14:paraId="4558191A" w14:textId="77777777" w:rsidTr="003859D2">
        <w:trPr>
          <w:trHeight w:val="318"/>
        </w:trPr>
        <w:tc>
          <w:tcPr>
            <w:tcW w:w="1413" w:type="dxa"/>
            <w:vMerge w:val="restart"/>
          </w:tcPr>
          <w:p w14:paraId="06CB035E" w14:textId="77777777" w:rsidR="003B3F95" w:rsidRPr="007D3DE9" w:rsidRDefault="003B3F95" w:rsidP="007D3DE9">
            <w:pPr>
              <w:autoSpaceDE w:val="0"/>
              <w:autoSpaceDN w:val="0"/>
              <w:adjustRightInd w:val="0"/>
              <w:spacing w:line="360" w:lineRule="auto"/>
              <w:jc w:val="center"/>
              <w:rPr>
                <w:rFonts w:ascii="Times New Roman" w:hAnsi="Times New Roman" w:cs="Times New Roman"/>
                <w:sz w:val="24"/>
                <w:szCs w:val="24"/>
                <w:highlight w:val="yellow"/>
              </w:rPr>
            </w:pPr>
            <w:proofErr w:type="spellStart"/>
            <w:r w:rsidRPr="007D3DE9">
              <w:rPr>
                <w:rFonts w:ascii="Times New Roman" w:hAnsi="Times New Roman" w:cs="Times New Roman"/>
                <w:sz w:val="24"/>
                <w:szCs w:val="24"/>
              </w:rPr>
              <w:t>Kpomassè</w:t>
            </w:r>
            <w:proofErr w:type="spellEnd"/>
          </w:p>
        </w:tc>
        <w:tc>
          <w:tcPr>
            <w:tcW w:w="1984" w:type="dxa"/>
          </w:tcPr>
          <w:p w14:paraId="354CF049" w14:textId="77777777" w:rsidR="003B3F95" w:rsidRPr="007D3DE9" w:rsidRDefault="003B3F95" w:rsidP="007D3DE9">
            <w:pPr>
              <w:spacing w:line="360" w:lineRule="auto"/>
              <w:jc w:val="center"/>
              <w:rPr>
                <w:rFonts w:ascii="Times New Roman" w:hAnsi="Times New Roman" w:cs="Times New Roman"/>
                <w:sz w:val="24"/>
                <w:szCs w:val="24"/>
              </w:rPr>
            </w:pPr>
            <w:proofErr w:type="spellStart"/>
            <w:proofErr w:type="gramStart"/>
            <w:r w:rsidRPr="007D3DE9">
              <w:rPr>
                <w:rFonts w:ascii="Times New Roman" w:hAnsi="Times New Roman" w:cs="Times New Roman"/>
                <w:sz w:val="24"/>
                <w:szCs w:val="24"/>
              </w:rPr>
              <w:t>Agonkanmè</w:t>
            </w:r>
            <w:proofErr w:type="spellEnd"/>
            <w:r w:rsidRPr="007D3DE9">
              <w:rPr>
                <w:rFonts w:ascii="Times New Roman" w:hAnsi="Times New Roman" w:cs="Times New Roman"/>
                <w:sz w:val="24"/>
                <w:szCs w:val="24"/>
              </w:rPr>
              <w:t xml:space="preserve"> ,</w:t>
            </w:r>
            <w:proofErr w:type="gramEnd"/>
          </w:p>
        </w:tc>
        <w:tc>
          <w:tcPr>
            <w:tcW w:w="2410" w:type="dxa"/>
          </w:tcPr>
          <w:p w14:paraId="63AAF0C4"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4,422</w:t>
            </w:r>
          </w:p>
        </w:tc>
        <w:tc>
          <w:tcPr>
            <w:tcW w:w="2551" w:type="dxa"/>
          </w:tcPr>
          <w:p w14:paraId="2FE37DA6"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68</w:t>
            </w:r>
          </w:p>
        </w:tc>
      </w:tr>
      <w:tr w:rsidR="003B3F95" w:rsidRPr="007D3DE9" w14:paraId="2C62A4CC" w14:textId="77777777" w:rsidTr="003859D2">
        <w:trPr>
          <w:trHeight w:val="324"/>
        </w:trPr>
        <w:tc>
          <w:tcPr>
            <w:tcW w:w="1413" w:type="dxa"/>
            <w:vMerge/>
          </w:tcPr>
          <w:p w14:paraId="5FC7E571"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12BA0894" w14:textId="77777777" w:rsidR="003B3F95" w:rsidRPr="007D3DE9" w:rsidRDefault="003B3F95" w:rsidP="007D3DE9">
            <w:pPr>
              <w:spacing w:line="360" w:lineRule="auto"/>
              <w:jc w:val="center"/>
              <w:rPr>
                <w:rFonts w:ascii="Times New Roman" w:hAnsi="Times New Roman" w:cs="Times New Roman"/>
                <w:sz w:val="24"/>
                <w:szCs w:val="24"/>
              </w:rPr>
            </w:pPr>
            <w:proofErr w:type="spellStart"/>
            <w:proofErr w:type="gramStart"/>
            <w:r w:rsidRPr="007D3DE9">
              <w:rPr>
                <w:rFonts w:ascii="Times New Roman" w:hAnsi="Times New Roman" w:cs="Times New Roman"/>
                <w:sz w:val="24"/>
                <w:szCs w:val="24"/>
              </w:rPr>
              <w:t>Aganmanlomè</w:t>
            </w:r>
            <w:proofErr w:type="spellEnd"/>
            <w:r w:rsidRPr="007D3DE9">
              <w:rPr>
                <w:rFonts w:ascii="Times New Roman" w:hAnsi="Times New Roman" w:cs="Times New Roman"/>
                <w:sz w:val="24"/>
                <w:szCs w:val="24"/>
              </w:rPr>
              <w:t xml:space="preserve"> ,</w:t>
            </w:r>
            <w:proofErr w:type="gramEnd"/>
          </w:p>
        </w:tc>
        <w:tc>
          <w:tcPr>
            <w:tcW w:w="2410" w:type="dxa"/>
          </w:tcPr>
          <w:p w14:paraId="05E7D828"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3,591</w:t>
            </w:r>
          </w:p>
        </w:tc>
        <w:tc>
          <w:tcPr>
            <w:tcW w:w="2551" w:type="dxa"/>
          </w:tcPr>
          <w:p w14:paraId="2A5C2776"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56</w:t>
            </w:r>
          </w:p>
        </w:tc>
      </w:tr>
      <w:tr w:rsidR="003B3F95" w:rsidRPr="007D3DE9" w14:paraId="43401D0F" w14:textId="77777777" w:rsidTr="003859D2">
        <w:trPr>
          <w:trHeight w:val="324"/>
        </w:trPr>
        <w:tc>
          <w:tcPr>
            <w:tcW w:w="1413" w:type="dxa"/>
            <w:vMerge/>
          </w:tcPr>
          <w:p w14:paraId="5F58F229"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724EF6BE"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Dekanmè</w:t>
            </w:r>
            <w:proofErr w:type="spellEnd"/>
          </w:p>
        </w:tc>
        <w:tc>
          <w:tcPr>
            <w:tcW w:w="2410" w:type="dxa"/>
          </w:tcPr>
          <w:p w14:paraId="5A5CCDC9"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5,154</w:t>
            </w:r>
          </w:p>
        </w:tc>
        <w:tc>
          <w:tcPr>
            <w:tcW w:w="2551" w:type="dxa"/>
          </w:tcPr>
          <w:p w14:paraId="354F6E1D"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80</w:t>
            </w:r>
          </w:p>
        </w:tc>
      </w:tr>
      <w:tr w:rsidR="003B3F95" w:rsidRPr="007D3DE9" w14:paraId="5A593EE0" w14:textId="77777777" w:rsidTr="003859D2">
        <w:trPr>
          <w:trHeight w:val="321"/>
        </w:trPr>
        <w:tc>
          <w:tcPr>
            <w:tcW w:w="1413" w:type="dxa"/>
            <w:vMerge/>
          </w:tcPr>
          <w:p w14:paraId="0DA7B014"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751AAAC1"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Sègbea</w:t>
            </w:r>
            <w:proofErr w:type="spellEnd"/>
          </w:p>
        </w:tc>
        <w:tc>
          <w:tcPr>
            <w:tcW w:w="2410" w:type="dxa"/>
          </w:tcPr>
          <w:p w14:paraId="1B15B6DC"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3,119</w:t>
            </w:r>
          </w:p>
        </w:tc>
        <w:tc>
          <w:tcPr>
            <w:tcW w:w="2551" w:type="dxa"/>
          </w:tcPr>
          <w:p w14:paraId="2B14DC6E"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48</w:t>
            </w:r>
          </w:p>
        </w:tc>
      </w:tr>
      <w:tr w:rsidR="003B3F95" w:rsidRPr="007D3DE9" w14:paraId="4D151A4F" w14:textId="77777777" w:rsidTr="003859D2">
        <w:trPr>
          <w:trHeight w:val="269"/>
        </w:trPr>
        <w:tc>
          <w:tcPr>
            <w:tcW w:w="1413" w:type="dxa"/>
            <w:vMerge/>
          </w:tcPr>
          <w:p w14:paraId="2CCE0C31"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highlight w:val="yellow"/>
              </w:rPr>
            </w:pPr>
          </w:p>
        </w:tc>
        <w:tc>
          <w:tcPr>
            <w:tcW w:w="1984" w:type="dxa"/>
          </w:tcPr>
          <w:p w14:paraId="77B66E18" w14:textId="77777777" w:rsidR="003B3F95" w:rsidRPr="007D3DE9" w:rsidRDefault="003B3F95" w:rsidP="007D3DE9">
            <w:pPr>
              <w:spacing w:line="360" w:lineRule="auto"/>
              <w:jc w:val="center"/>
              <w:rPr>
                <w:rFonts w:ascii="Times New Roman" w:hAnsi="Times New Roman" w:cs="Times New Roman"/>
                <w:sz w:val="24"/>
                <w:szCs w:val="24"/>
              </w:rPr>
            </w:pPr>
            <w:proofErr w:type="spellStart"/>
            <w:r w:rsidRPr="007D3DE9">
              <w:rPr>
                <w:rFonts w:ascii="Times New Roman" w:hAnsi="Times New Roman" w:cs="Times New Roman"/>
                <w:sz w:val="24"/>
                <w:szCs w:val="24"/>
              </w:rPr>
              <w:t>Tokpa-domè</w:t>
            </w:r>
            <w:proofErr w:type="spellEnd"/>
          </w:p>
        </w:tc>
        <w:tc>
          <w:tcPr>
            <w:tcW w:w="2410" w:type="dxa"/>
          </w:tcPr>
          <w:p w14:paraId="2CAA74B3"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4,808</w:t>
            </w:r>
          </w:p>
        </w:tc>
        <w:tc>
          <w:tcPr>
            <w:tcW w:w="2551" w:type="dxa"/>
          </w:tcPr>
          <w:p w14:paraId="224BB2BF" w14:textId="77777777" w:rsidR="003B3F95" w:rsidRPr="007D3DE9" w:rsidRDefault="003B3F95" w:rsidP="007D3DE9">
            <w:pPr>
              <w:spacing w:line="360" w:lineRule="auto"/>
              <w:jc w:val="center"/>
              <w:rPr>
                <w:rFonts w:ascii="Times New Roman" w:hAnsi="Times New Roman" w:cs="Times New Roman"/>
                <w:sz w:val="24"/>
                <w:szCs w:val="24"/>
              </w:rPr>
            </w:pPr>
            <w:r w:rsidRPr="007D3DE9">
              <w:rPr>
                <w:rFonts w:ascii="Times New Roman" w:hAnsi="Times New Roman" w:cs="Times New Roman"/>
                <w:sz w:val="24"/>
                <w:szCs w:val="24"/>
              </w:rPr>
              <w:t>75</w:t>
            </w:r>
          </w:p>
        </w:tc>
      </w:tr>
      <w:tr w:rsidR="003B3F95" w:rsidRPr="007D3DE9" w14:paraId="43AF0FD5" w14:textId="77777777" w:rsidTr="003859D2">
        <w:tc>
          <w:tcPr>
            <w:tcW w:w="1413" w:type="dxa"/>
          </w:tcPr>
          <w:p w14:paraId="3D9F2922" w14:textId="77777777" w:rsidR="003B3F95" w:rsidRPr="007D3DE9" w:rsidRDefault="003B3F95" w:rsidP="007D3DE9">
            <w:pPr>
              <w:autoSpaceDE w:val="0"/>
              <w:autoSpaceDN w:val="0"/>
              <w:adjustRightInd w:val="0"/>
              <w:spacing w:line="360" w:lineRule="auto"/>
              <w:jc w:val="both"/>
              <w:rPr>
                <w:rFonts w:ascii="Times New Roman" w:hAnsi="Times New Roman" w:cs="Times New Roman"/>
                <w:sz w:val="24"/>
                <w:szCs w:val="24"/>
              </w:rPr>
            </w:pPr>
            <w:r w:rsidRPr="007D3DE9">
              <w:rPr>
                <w:rFonts w:ascii="Times New Roman" w:hAnsi="Times New Roman" w:cs="Times New Roman"/>
                <w:b/>
                <w:sz w:val="24"/>
                <w:szCs w:val="24"/>
              </w:rPr>
              <w:t>TOTAL</w:t>
            </w:r>
            <w:r w:rsidRPr="007D3DE9">
              <w:rPr>
                <w:rFonts w:ascii="Times New Roman" w:hAnsi="Times New Roman" w:cs="Times New Roman"/>
                <w:sz w:val="24"/>
                <w:szCs w:val="24"/>
              </w:rPr>
              <w:t>​</w:t>
            </w:r>
          </w:p>
        </w:tc>
        <w:tc>
          <w:tcPr>
            <w:tcW w:w="1984" w:type="dxa"/>
          </w:tcPr>
          <w:p w14:paraId="1DF9CE6D" w14:textId="77777777" w:rsidR="003B3F95" w:rsidRPr="007D3DE9" w:rsidRDefault="003B3F95" w:rsidP="007D3DE9">
            <w:pPr>
              <w:autoSpaceDE w:val="0"/>
              <w:autoSpaceDN w:val="0"/>
              <w:adjustRightInd w:val="0"/>
              <w:spacing w:line="360" w:lineRule="auto"/>
              <w:jc w:val="center"/>
              <w:rPr>
                <w:rFonts w:ascii="Times New Roman" w:hAnsi="Times New Roman" w:cs="Times New Roman"/>
                <w:b/>
                <w:sz w:val="24"/>
                <w:szCs w:val="24"/>
              </w:rPr>
            </w:pPr>
            <w:r w:rsidRPr="007D3DE9">
              <w:rPr>
                <w:rFonts w:ascii="Times New Roman" w:hAnsi="Times New Roman" w:cs="Times New Roman"/>
                <w:b/>
                <w:sz w:val="24"/>
                <w:szCs w:val="24"/>
              </w:rPr>
              <w:t>5</w:t>
            </w:r>
          </w:p>
        </w:tc>
        <w:tc>
          <w:tcPr>
            <w:tcW w:w="2410" w:type="dxa"/>
          </w:tcPr>
          <w:p w14:paraId="1370F39B" w14:textId="77777777" w:rsidR="003B3F95" w:rsidRPr="007D3DE9" w:rsidRDefault="003B3F95" w:rsidP="007D3DE9">
            <w:pPr>
              <w:autoSpaceDE w:val="0"/>
              <w:autoSpaceDN w:val="0"/>
              <w:adjustRightInd w:val="0"/>
              <w:spacing w:line="360" w:lineRule="auto"/>
              <w:jc w:val="center"/>
              <w:rPr>
                <w:rFonts w:ascii="Times New Roman" w:hAnsi="Times New Roman" w:cs="Times New Roman"/>
                <w:b/>
                <w:sz w:val="24"/>
                <w:szCs w:val="24"/>
              </w:rPr>
            </w:pPr>
            <w:r w:rsidRPr="007D3DE9">
              <w:rPr>
                <w:rFonts w:ascii="Times New Roman" w:hAnsi="Times New Roman" w:cs="Times New Roman"/>
                <w:b/>
                <w:sz w:val="24"/>
                <w:szCs w:val="24"/>
              </w:rPr>
              <w:t>28,707</w:t>
            </w:r>
          </w:p>
        </w:tc>
        <w:tc>
          <w:tcPr>
            <w:tcW w:w="2551" w:type="dxa"/>
          </w:tcPr>
          <w:p w14:paraId="6F3E4A23" w14:textId="77777777" w:rsidR="003B3F95" w:rsidRPr="007D3DE9" w:rsidRDefault="003B3F95" w:rsidP="007D3DE9">
            <w:pPr>
              <w:autoSpaceDE w:val="0"/>
              <w:autoSpaceDN w:val="0"/>
              <w:adjustRightInd w:val="0"/>
              <w:spacing w:line="360" w:lineRule="auto"/>
              <w:jc w:val="center"/>
              <w:rPr>
                <w:rFonts w:ascii="Times New Roman" w:hAnsi="Times New Roman" w:cs="Times New Roman"/>
                <w:b/>
                <w:sz w:val="24"/>
                <w:szCs w:val="24"/>
              </w:rPr>
            </w:pPr>
            <w:r w:rsidRPr="007D3DE9">
              <w:rPr>
                <w:rFonts w:ascii="Times New Roman" w:hAnsi="Times New Roman" w:cs="Times New Roman"/>
                <w:b/>
                <w:sz w:val="24"/>
                <w:szCs w:val="24"/>
              </w:rPr>
              <w:t>327</w:t>
            </w:r>
          </w:p>
        </w:tc>
      </w:tr>
    </w:tbl>
    <w:p w14:paraId="2DFF469B" w14:textId="17E4F577" w:rsidR="003B3F95" w:rsidRPr="007D3DE9" w:rsidRDefault="003B3F95" w:rsidP="007D3DE9">
      <w:pPr>
        <w:autoSpaceDE w:val="0"/>
        <w:autoSpaceDN w:val="0"/>
        <w:adjustRightInd w:val="0"/>
        <w:spacing w:after="0" w:line="360" w:lineRule="auto"/>
        <w:jc w:val="both"/>
        <w:rPr>
          <w:rFonts w:ascii="Times New Roman" w:hAnsi="Times New Roman" w:cs="Times New Roman"/>
          <w:sz w:val="24"/>
          <w:szCs w:val="24"/>
        </w:rPr>
      </w:pPr>
      <w:r w:rsidRPr="007D3DE9">
        <w:rPr>
          <w:rFonts w:ascii="Times New Roman" w:hAnsi="Times New Roman" w:cs="Times New Roman"/>
          <w:b/>
          <w:bCs/>
          <w:sz w:val="24"/>
          <w:szCs w:val="24"/>
        </w:rPr>
        <w:t xml:space="preserve">Source: </w:t>
      </w:r>
      <w:r w:rsidRPr="007D3DE9">
        <w:rPr>
          <w:rFonts w:ascii="Times New Roman" w:hAnsi="Times New Roman" w:cs="Times New Roman"/>
          <w:sz w:val="24"/>
          <w:szCs w:val="24"/>
        </w:rPr>
        <w:t xml:space="preserve">INSAE/ </w:t>
      </w:r>
      <w:proofErr w:type="spellStart"/>
      <w:r w:rsidRPr="007D3DE9">
        <w:rPr>
          <w:rFonts w:ascii="Times New Roman" w:hAnsi="Times New Roman" w:cs="Times New Roman"/>
          <w:sz w:val="24"/>
          <w:szCs w:val="24"/>
        </w:rPr>
        <w:t>INStaD</w:t>
      </w:r>
      <w:proofErr w:type="spellEnd"/>
      <w:r w:rsidRPr="007D3DE9">
        <w:rPr>
          <w:rFonts w:ascii="Times New Roman" w:hAnsi="Times New Roman" w:cs="Times New Roman"/>
          <w:sz w:val="24"/>
          <w:szCs w:val="24"/>
        </w:rPr>
        <w:t xml:space="preserve"> data processing 2013, September 2024</w:t>
      </w:r>
    </w:p>
    <w:p w14:paraId="35447530" w14:textId="6C223E0B" w:rsidR="006B69D5" w:rsidRPr="007D3DE9" w:rsidRDefault="002175BC" w:rsidP="007D3DE9">
      <w:pPr>
        <w:autoSpaceDE w:val="0"/>
        <w:autoSpaceDN w:val="0"/>
        <w:adjustRightInd w:val="0"/>
        <w:spacing w:after="0"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In total, 327 people, spread across five districts, were selected for the survey. Additionally, 10 key informants were selected for the survey as part of this study. These key informants were identified based on their position and role in the development of the </w:t>
      </w:r>
      <w:proofErr w:type="spell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w:t>
      </w:r>
      <w:proofErr w:type="gramStart"/>
      <w:r w:rsidRPr="007D3DE9">
        <w:rPr>
          <w:rFonts w:ascii="Times New Roman" w:hAnsi="Times New Roman" w:cs="Times New Roman"/>
          <w:sz w:val="24"/>
          <w:szCs w:val="24"/>
        </w:rPr>
        <w:t>commune .</w:t>
      </w:r>
      <w:proofErr w:type="gramEnd"/>
    </w:p>
    <w:p w14:paraId="78B30D53" w14:textId="77777777" w:rsidR="00CC6D96" w:rsidRPr="007D3DE9" w:rsidRDefault="00CC6D96" w:rsidP="007D3DE9">
      <w:pPr>
        <w:autoSpaceDE w:val="0"/>
        <w:autoSpaceDN w:val="0"/>
        <w:adjustRightInd w:val="0"/>
        <w:spacing w:after="0" w:line="360" w:lineRule="auto"/>
        <w:jc w:val="both"/>
        <w:rPr>
          <w:rFonts w:ascii="Times New Roman" w:hAnsi="Times New Roman" w:cs="Times New Roman"/>
          <w:sz w:val="24"/>
          <w:szCs w:val="24"/>
        </w:rPr>
      </w:pPr>
    </w:p>
    <w:p w14:paraId="1E5073DA" w14:textId="4477CB05" w:rsidR="002175BC" w:rsidRPr="007D3DE9" w:rsidRDefault="002175BC" w:rsidP="007D3DE9">
      <w:pPr>
        <w:pStyle w:val="ListParagraph"/>
        <w:numPr>
          <w:ilvl w:val="1"/>
          <w:numId w:val="4"/>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Data processing</w:t>
      </w:r>
    </w:p>
    <w:p w14:paraId="0F793BA1" w14:textId="77777777" w:rsidR="002175BC" w:rsidRPr="007D3DE9" w:rsidRDefault="002175BC"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The approach begins with a manual analysis of the questionnaires and interview guides administered to the target populations in the field. Two data processing methods were adopted:</w:t>
      </w:r>
    </w:p>
    <w:p w14:paraId="38F14344" w14:textId="77777777" w:rsidR="002175BC" w:rsidRPr="007D3DE9" w:rsidRDefault="002175BC" w:rsidP="007D3DE9">
      <w:pPr>
        <w:pStyle w:val="ListParagraph"/>
        <w:numPr>
          <w:ilvl w:val="0"/>
          <w:numId w:val="2"/>
        </w:num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The qualitative data from the analysis were used to support the analysis and commentary of the results following a thematic grouping;</w:t>
      </w:r>
    </w:p>
    <w:p w14:paraId="1AAE4EE3" w14:textId="77777777" w:rsidR="002175BC" w:rsidRPr="007D3DE9" w:rsidRDefault="002175BC" w:rsidP="007D3DE9">
      <w:pPr>
        <w:pStyle w:val="ListParagraph"/>
        <w:numPr>
          <w:ilvl w:val="0"/>
          <w:numId w:val="2"/>
        </w:num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The quantitative data collected was subjected to computer processing.</w:t>
      </w:r>
    </w:p>
    <w:p w14:paraId="2C15235F" w14:textId="1E84A7E5" w:rsidR="003B3F95" w:rsidRPr="007D3DE9" w:rsidRDefault="002175BC"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Various word processing and data processing software programs were used. These included: Microsoft Word 2016 for word processing, Microsoft Excel 2016 for tables and creating figures (histograms), and finally Microsoft Office Picture Manager for photos.</w:t>
      </w:r>
    </w:p>
    <w:p w14:paraId="04DE3C7E" w14:textId="77777777" w:rsidR="00B001CC" w:rsidRPr="007D3DE9" w:rsidRDefault="00FD5171" w:rsidP="00B001CC">
      <w:pPr>
        <w:pStyle w:val="ListParagraph"/>
        <w:numPr>
          <w:ilvl w:val="0"/>
          <w:numId w:val="3"/>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Results</w:t>
      </w:r>
      <w:r w:rsidR="00B001CC">
        <w:rPr>
          <w:rFonts w:ascii="Times New Roman" w:hAnsi="Times New Roman" w:cs="Times New Roman"/>
          <w:b/>
          <w:sz w:val="24"/>
          <w:szCs w:val="24"/>
        </w:rPr>
        <w:t xml:space="preserve"> and </w:t>
      </w:r>
      <w:r w:rsidR="00B001CC" w:rsidRPr="007D3DE9">
        <w:rPr>
          <w:rFonts w:ascii="Times New Roman" w:hAnsi="Times New Roman" w:cs="Times New Roman"/>
          <w:b/>
          <w:sz w:val="24"/>
          <w:szCs w:val="24"/>
        </w:rPr>
        <w:t>Discussion</w:t>
      </w:r>
    </w:p>
    <w:p w14:paraId="41FAC33C" w14:textId="5CC35E53" w:rsidR="00FD5171" w:rsidRPr="00233CE5" w:rsidRDefault="00FD5171" w:rsidP="00233CE5">
      <w:pPr>
        <w:spacing w:line="360" w:lineRule="auto"/>
        <w:rPr>
          <w:rFonts w:ascii="Times New Roman" w:hAnsi="Times New Roman" w:cs="Times New Roman"/>
          <w:b/>
          <w:sz w:val="24"/>
          <w:szCs w:val="24"/>
        </w:rPr>
      </w:pPr>
    </w:p>
    <w:p w14:paraId="4C20B8D3" w14:textId="77777777" w:rsidR="00FD5171" w:rsidRPr="007D3DE9" w:rsidRDefault="00FD5171"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Typology of land access methods and their impact on land tenure security</w:t>
      </w:r>
    </w:p>
    <w:p w14:paraId="1E5F634D" w14:textId="77777777" w:rsidR="00FD5171" w:rsidRPr="007D3DE9" w:rsidRDefault="00FD5171" w:rsidP="007D3DE9">
      <w:pPr>
        <w:spacing w:line="360" w:lineRule="auto"/>
        <w:jc w:val="both"/>
        <w:rPr>
          <w:rFonts w:ascii="Times New Roman" w:hAnsi="Times New Roman" w:cs="Times New Roman"/>
          <w:sz w:val="24"/>
          <w:szCs w:val="24"/>
        </w:rPr>
      </w:pPr>
      <w:r w:rsidRPr="007D3DE9">
        <w:rPr>
          <w:rFonts w:ascii="Times New Roman" w:hAnsi="Times New Roman" w:cs="Times New Roman"/>
          <w:sz w:val="24"/>
          <w:szCs w:val="24"/>
        </w:rPr>
        <w:t xml:space="preserve">In the commune of </w:t>
      </w:r>
      <w:proofErr w:type="spellStart"/>
      <w:proofErr w:type="gram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w:t>
      </w:r>
      <w:proofErr w:type="gramEnd"/>
      <w:r w:rsidRPr="007D3DE9">
        <w:rPr>
          <w:rFonts w:ascii="Times New Roman" w:hAnsi="Times New Roman" w:cs="Times New Roman"/>
          <w:sz w:val="24"/>
          <w:szCs w:val="24"/>
        </w:rPr>
        <w:t xml:space="preserve"> three main modes of access to land have been identified: inheritance, purchase, and loans or leases. These modes determine not only who has access to land, but also the degree of land tenure security, particularly for women, in a context marked by patriarchal norms and modern land reforms.</w:t>
      </w:r>
    </w:p>
    <w:p w14:paraId="4C7142FC" w14:textId="77777777" w:rsidR="00FD5171" w:rsidRPr="007D3DE9" w:rsidRDefault="009225C3"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gender disparities in land transfer</w:t>
      </w:r>
    </w:p>
    <w:p w14:paraId="3023985C" w14:textId="2E892D44" w:rsidR="009225C3" w:rsidRPr="007D3DE9" w:rsidRDefault="009225C3" w:rsidP="007D3DE9">
      <w:pPr>
        <w:spacing w:after="0"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Inheritance is the most common means of accessing land in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Start"/>
      <w:r w:rsidRPr="007D3DE9">
        <w:rPr>
          <w:rFonts w:ascii="Times New Roman" w:eastAsia="Times New Roman" w:hAnsi="Times New Roman" w:cs="Times New Roman"/>
          <w:sz w:val="24"/>
          <w:szCs w:val="24"/>
          <w:lang w:eastAsia="fr-FR"/>
        </w:rPr>
        <w:t>commune ,</w:t>
      </w:r>
      <w:proofErr w:type="gramEnd"/>
      <w:r w:rsidRPr="007D3DE9">
        <w:rPr>
          <w:rFonts w:ascii="Times New Roman" w:eastAsia="Times New Roman" w:hAnsi="Times New Roman" w:cs="Times New Roman"/>
          <w:sz w:val="24"/>
          <w:szCs w:val="24"/>
          <w:lang w:eastAsia="fr-FR"/>
        </w:rPr>
        <w:t xml:space="preserve"> accounting for 41%, reflecting customary practices deeply rooted in family and patriarchal systems. The dynamics of land transmission through inheritance highlight gender-based disparities in land access between men and women. </w:t>
      </w:r>
      <w:r w:rsidRPr="007D3DE9">
        <w:rPr>
          <w:rFonts w:ascii="Times New Roman" w:hAnsi="Times New Roman" w:cs="Times New Roman"/>
          <w:sz w:val="24"/>
          <w:szCs w:val="24"/>
        </w:rPr>
        <w:t>Figure 2 illustrates the gendered distribution of land access.</w:t>
      </w:r>
    </w:p>
    <w:p w14:paraId="6098E0F4" w14:textId="7CBE6D32" w:rsidR="009225C3" w:rsidRPr="007D3DE9" w:rsidRDefault="00124DBB"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77696" behindDoc="0" locked="0" layoutInCell="1" allowOverlap="1" wp14:anchorId="21BA1323" wp14:editId="40AA6D91">
            <wp:simplePos x="0" y="0"/>
            <wp:positionH relativeFrom="column">
              <wp:posOffset>960755</wp:posOffset>
            </wp:positionH>
            <wp:positionV relativeFrom="paragraph">
              <wp:posOffset>265430</wp:posOffset>
            </wp:positionV>
            <wp:extent cx="4216400" cy="2529840"/>
            <wp:effectExtent l="0" t="0" r="12700" b="3810"/>
            <wp:wrapTopAndBottom/>
            <wp:docPr id="51" name="Chart 51">
              <a:extLst xmlns:a="http://schemas.openxmlformats.org/drawingml/2006/main">
                <a:ext uri="{FF2B5EF4-FFF2-40B4-BE49-F238E27FC236}">
                  <a16:creationId xmlns:a16="http://schemas.microsoft.com/office/drawing/2014/main" id="{3B880C5D-7D2C-4DA1-A8AA-0F17876E2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9225C3" w:rsidRPr="007D3DE9">
        <w:rPr>
          <w:rFonts w:ascii="Times New Roman" w:eastAsia="Times New Roman" w:hAnsi="Times New Roman" w:cs="Times New Roman"/>
          <w:b/>
          <w:sz w:val="24"/>
          <w:szCs w:val="24"/>
          <w:lang w:eastAsia="fr-FR"/>
        </w:rPr>
        <w:t xml:space="preserve">Figure 2: </w:t>
      </w:r>
      <w:r w:rsidRPr="007D3DE9">
        <w:rPr>
          <w:rFonts w:ascii="Times New Roman" w:eastAsia="Times New Roman" w:hAnsi="Times New Roman" w:cs="Times New Roman"/>
          <w:sz w:val="24"/>
          <w:szCs w:val="24"/>
          <w:lang w:eastAsia="fr-FR"/>
        </w:rPr>
        <w:t>Distribution of land inheritance by gender</w:t>
      </w:r>
    </w:p>
    <w:p w14:paraId="7B56AB51" w14:textId="67E962C9" w:rsidR="00EB7BD6" w:rsidRPr="007D3DE9" w:rsidRDefault="00EB7BD6"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Results of field surveys, January 2025</w:t>
      </w:r>
    </w:p>
    <w:p w14:paraId="7F7FB21A" w14:textId="77777777" w:rsidR="000B4472" w:rsidRPr="007D3DE9" w:rsidRDefault="000B4472"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p>
    <w:p w14:paraId="46F73571" w14:textId="10857B6A" w:rsidR="009225C3" w:rsidRPr="007D3DE9" w:rsidRDefault="009225C3"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iCs/>
          <w:sz w:val="24"/>
          <w:szCs w:val="24"/>
          <w:lang w:eastAsia="fr-FR"/>
        </w:rPr>
        <w:t xml:space="preserve">Analysis of Figure 2 </w:t>
      </w:r>
      <w:r w:rsidRPr="007D3DE9">
        <w:rPr>
          <w:rFonts w:ascii="Times New Roman" w:eastAsia="Times New Roman" w:hAnsi="Times New Roman" w:cs="Times New Roman"/>
          <w:sz w:val="24"/>
          <w:szCs w:val="24"/>
          <w:lang w:eastAsia="fr-FR"/>
        </w:rPr>
        <w:t xml:space="preserve">reveals that 68% of the men interviewed directly inherited agricultural or residential land, compared to only 12% of the women included in the survey. This figure illustrates a clear gender </w:t>
      </w:r>
      <w:proofErr w:type="gramStart"/>
      <w:r w:rsidRPr="007D3DE9">
        <w:rPr>
          <w:rFonts w:ascii="Times New Roman" w:eastAsia="Times New Roman" w:hAnsi="Times New Roman" w:cs="Times New Roman"/>
          <w:sz w:val="24"/>
          <w:szCs w:val="24"/>
          <w:lang w:eastAsia="fr-FR"/>
        </w:rPr>
        <w:t>disparity ,</w:t>
      </w:r>
      <w:proofErr w:type="gramEnd"/>
      <w:r w:rsidRPr="007D3DE9">
        <w:rPr>
          <w:rFonts w:ascii="Times New Roman" w:eastAsia="Times New Roman" w:hAnsi="Times New Roman" w:cs="Times New Roman"/>
          <w:sz w:val="24"/>
          <w:szCs w:val="24"/>
          <w:lang w:eastAsia="fr-FR"/>
        </w:rPr>
        <w:t xml:space="preserve"> with a significantly higher proportion of men inheriting land. When women do inherit, they often receive plots of lesser economic value or precarious usage rights, which limits their ability to invest in agriculture or secure long-term access to land.</w:t>
      </w:r>
    </w:p>
    <w:p w14:paraId="14CA0300" w14:textId="77777777" w:rsidR="00D61AF3" w:rsidRPr="007D3DE9" w:rsidRDefault="009225C3"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Women in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face numerous obstacles to accessing land through inheritance. Patrilineal systems favor male heirs, who are seen as the guarantors of family continuity. This exclusion </w:t>
      </w:r>
      <w:r w:rsidRPr="007D3DE9">
        <w:rPr>
          <w:rFonts w:ascii="Times New Roman" w:eastAsia="Times New Roman" w:hAnsi="Times New Roman" w:cs="Times New Roman"/>
          <w:sz w:val="24"/>
          <w:szCs w:val="24"/>
          <w:lang w:eastAsia="fr-FR"/>
        </w:rPr>
        <w:lastRenderedPageBreak/>
        <w:t xml:space="preserve">is particularly pronounced for married women, who are considered part of their husbands' families. Widows are especially vulnerable. Table 2 presents the obstacles to land inheritance for women in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Start"/>
      <w:r w:rsidRPr="007D3DE9">
        <w:rPr>
          <w:rFonts w:ascii="Times New Roman" w:eastAsia="Times New Roman" w:hAnsi="Times New Roman" w:cs="Times New Roman"/>
          <w:sz w:val="24"/>
          <w:szCs w:val="24"/>
          <w:lang w:eastAsia="fr-FR"/>
        </w:rPr>
        <w:t>commune .</w:t>
      </w:r>
      <w:proofErr w:type="gramEnd"/>
    </w:p>
    <w:p w14:paraId="24E1CD66" w14:textId="77777777" w:rsidR="006D7ADA" w:rsidRPr="007D3DE9" w:rsidRDefault="006D7ADA" w:rsidP="007D3DE9">
      <w:pPr>
        <w:spacing w:before="100" w:beforeAutospacing="1" w:after="100" w:afterAutospacing="1" w:line="360" w:lineRule="auto"/>
        <w:contextualSpacing/>
        <w:jc w:val="center"/>
        <w:rPr>
          <w:rFonts w:ascii="Times New Roman" w:eastAsia="Times New Roman" w:hAnsi="Times New Roman" w:cs="Times New Roman"/>
          <w:b/>
          <w:bCs/>
          <w:sz w:val="24"/>
          <w:szCs w:val="24"/>
          <w:lang w:eastAsia="fr-FR"/>
        </w:rPr>
      </w:pPr>
    </w:p>
    <w:p w14:paraId="059196F4" w14:textId="77777777" w:rsidR="009225C3" w:rsidRPr="007D3DE9" w:rsidRDefault="009225C3"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 xml:space="preserve">Table 2: </w:t>
      </w:r>
      <w:r w:rsidRPr="007D3DE9">
        <w:rPr>
          <w:rFonts w:ascii="Times New Roman" w:eastAsia="Times New Roman" w:hAnsi="Times New Roman" w:cs="Times New Roman"/>
          <w:bCs/>
          <w:sz w:val="24"/>
          <w:szCs w:val="24"/>
          <w:lang w:eastAsia="fr-FR"/>
        </w:rPr>
        <w:t xml:space="preserve">Obstacles to women's land inheritance in the </w:t>
      </w:r>
      <w:proofErr w:type="spellStart"/>
      <w:r w:rsidRPr="007D3DE9">
        <w:rPr>
          <w:rFonts w:ascii="Times New Roman" w:eastAsia="Times New Roman" w:hAnsi="Times New Roman" w:cs="Times New Roman"/>
          <w:bCs/>
          <w:sz w:val="24"/>
          <w:szCs w:val="24"/>
          <w:lang w:eastAsia="fr-FR"/>
        </w:rPr>
        <w:t>Kpomassè</w:t>
      </w:r>
      <w:proofErr w:type="spellEnd"/>
      <w:r w:rsidRPr="007D3DE9">
        <w:rPr>
          <w:rFonts w:ascii="Times New Roman" w:eastAsia="Times New Roman" w:hAnsi="Times New Roman" w:cs="Times New Roman"/>
          <w:bCs/>
          <w:sz w:val="24"/>
          <w:szCs w:val="24"/>
          <w:lang w:eastAsia="fr-FR"/>
        </w:rPr>
        <w:t xml:space="preserve"> commune</w:t>
      </w:r>
    </w:p>
    <w:tbl>
      <w:tblPr>
        <w:tblStyle w:val="Grilledutableau1"/>
        <w:tblW w:w="9067" w:type="dxa"/>
        <w:tblLook w:val="04A0" w:firstRow="1" w:lastRow="0" w:firstColumn="1" w:lastColumn="0" w:noHBand="0" w:noVBand="1"/>
      </w:tblPr>
      <w:tblGrid>
        <w:gridCol w:w="4362"/>
        <w:gridCol w:w="4705"/>
      </w:tblGrid>
      <w:tr w:rsidR="009225C3" w:rsidRPr="007D3DE9" w14:paraId="13E281B1" w14:textId="77777777" w:rsidTr="005A2CF6">
        <w:tc>
          <w:tcPr>
            <w:tcW w:w="0" w:type="auto"/>
            <w:hideMark/>
          </w:tcPr>
          <w:p w14:paraId="3D58BA66" w14:textId="77777777" w:rsidR="009225C3" w:rsidRPr="007D3DE9" w:rsidRDefault="009225C3" w:rsidP="007D3DE9">
            <w:pPr>
              <w:spacing w:line="360" w:lineRule="auto"/>
              <w:jc w:val="both"/>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Obstacle</w:t>
            </w:r>
          </w:p>
        </w:tc>
        <w:tc>
          <w:tcPr>
            <w:tcW w:w="4705" w:type="dxa"/>
            <w:hideMark/>
          </w:tcPr>
          <w:p w14:paraId="0FF3B7E5" w14:textId="7C69F70B" w:rsidR="009225C3" w:rsidRPr="007D3DE9" w:rsidRDefault="009225C3" w:rsidP="007D3DE9">
            <w:pPr>
              <w:spacing w:line="360" w:lineRule="auto"/>
              <w:jc w:val="both"/>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Percentage of women surveyed (%)</w:t>
            </w:r>
          </w:p>
        </w:tc>
      </w:tr>
      <w:tr w:rsidR="009225C3" w:rsidRPr="007D3DE9" w14:paraId="4454C76A" w14:textId="77777777" w:rsidTr="005A2CF6">
        <w:tc>
          <w:tcPr>
            <w:tcW w:w="0" w:type="auto"/>
            <w:hideMark/>
          </w:tcPr>
          <w:p w14:paraId="7396314C"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Patriarchal norms</w:t>
            </w:r>
          </w:p>
        </w:tc>
        <w:tc>
          <w:tcPr>
            <w:tcW w:w="4705" w:type="dxa"/>
            <w:hideMark/>
          </w:tcPr>
          <w:p w14:paraId="63EE342E" w14:textId="6BDC3E16"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15</w:t>
            </w:r>
          </w:p>
        </w:tc>
      </w:tr>
      <w:tr w:rsidR="009225C3" w:rsidRPr="007D3DE9" w14:paraId="37B3B41E" w14:textId="77777777" w:rsidTr="005A2CF6">
        <w:tc>
          <w:tcPr>
            <w:tcW w:w="0" w:type="auto"/>
            <w:hideMark/>
          </w:tcPr>
          <w:p w14:paraId="03730D45"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Land taken over by the in-laws</w:t>
            </w:r>
          </w:p>
        </w:tc>
        <w:tc>
          <w:tcPr>
            <w:tcW w:w="4705" w:type="dxa"/>
            <w:hideMark/>
          </w:tcPr>
          <w:p w14:paraId="6FD0C8C9" w14:textId="7B46D51D"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r>
      <w:tr w:rsidR="009225C3" w:rsidRPr="007D3DE9" w14:paraId="774BC401" w14:textId="77777777" w:rsidTr="005A2CF6">
        <w:tc>
          <w:tcPr>
            <w:tcW w:w="0" w:type="auto"/>
            <w:hideMark/>
          </w:tcPr>
          <w:p w14:paraId="0411A85C"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Precarious usage rights without formalization</w:t>
            </w:r>
          </w:p>
        </w:tc>
        <w:tc>
          <w:tcPr>
            <w:tcW w:w="4705" w:type="dxa"/>
            <w:hideMark/>
          </w:tcPr>
          <w:p w14:paraId="34749382" w14:textId="676AB4F1"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38</w:t>
            </w:r>
          </w:p>
        </w:tc>
      </w:tr>
      <w:tr w:rsidR="009225C3" w:rsidRPr="007D3DE9" w14:paraId="0131656E" w14:textId="77777777" w:rsidTr="005A2CF6">
        <w:tc>
          <w:tcPr>
            <w:tcW w:w="0" w:type="auto"/>
            <w:hideMark/>
          </w:tcPr>
          <w:p w14:paraId="30AB5C24" w14:textId="77777777" w:rsidR="009225C3" w:rsidRPr="007D3DE9" w:rsidRDefault="009225C3"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High administrative costs</w:t>
            </w:r>
          </w:p>
        </w:tc>
        <w:tc>
          <w:tcPr>
            <w:tcW w:w="4705" w:type="dxa"/>
            <w:hideMark/>
          </w:tcPr>
          <w:p w14:paraId="38FA9BA2" w14:textId="03AC61B0" w:rsidR="009225C3" w:rsidRPr="007D3DE9" w:rsidRDefault="009225C3"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42</w:t>
            </w:r>
          </w:p>
        </w:tc>
      </w:tr>
    </w:tbl>
    <w:p w14:paraId="5F0CDCB0" w14:textId="77777777" w:rsidR="009225C3" w:rsidRPr="007D3DE9" w:rsidRDefault="009225C3"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2025</w:t>
      </w:r>
    </w:p>
    <w:p w14:paraId="0B7B40D5" w14:textId="77777777" w:rsidR="006D7ADA" w:rsidRPr="007D3DE9" w:rsidRDefault="006D7ADA"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p>
    <w:p w14:paraId="1272D1BF" w14:textId="77777777" w:rsidR="00FD5171" w:rsidRPr="007D3DE9" w:rsidRDefault="004E4534"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Reading Table 2, it appears that the main obstacles related to land inheritance encountered by women in the commune of </w:t>
      </w:r>
      <w:proofErr w:type="spellStart"/>
      <w:r w:rsidR="009225C3" w:rsidRPr="007D3DE9">
        <w:rPr>
          <w:rFonts w:ascii="Times New Roman" w:eastAsia="Times New Roman" w:hAnsi="Times New Roman" w:cs="Times New Roman"/>
          <w:sz w:val="24"/>
          <w:szCs w:val="24"/>
          <w:lang w:eastAsia="fr-FR"/>
        </w:rPr>
        <w:t>Kpomassè</w:t>
      </w:r>
      <w:proofErr w:type="spellEnd"/>
      <w:r w:rsidR="009225C3" w:rsidRPr="007D3DE9">
        <w:rPr>
          <w:rFonts w:ascii="Times New Roman" w:eastAsia="Times New Roman" w:hAnsi="Times New Roman" w:cs="Times New Roman"/>
          <w:sz w:val="24"/>
          <w:szCs w:val="24"/>
          <w:lang w:eastAsia="fr-FR"/>
        </w:rPr>
        <w:t xml:space="preserve"> are patriarchal norms, the resumption of land by the in-laws, precarious usage rights without formalization and high administrative costs for registering plots.</w:t>
      </w:r>
    </w:p>
    <w:p w14:paraId="59E53FDC" w14:textId="77777777" w:rsidR="009225C3" w:rsidRPr="007D3DE9" w:rsidRDefault="00EB7BD6"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Access through purchase: financial and administrative barriers to women's access</w:t>
      </w:r>
    </w:p>
    <w:p w14:paraId="4ACFD2F5" w14:textId="77777777" w:rsidR="00220BB1" w:rsidRPr="007D3DE9" w:rsidRDefault="00220BB1" w:rsidP="007D3DE9">
      <w:pPr>
        <w:spacing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Access to land through the land market is a growing method of acquisition in the municipality of </w:t>
      </w:r>
      <w:proofErr w:type="spellStart"/>
      <w:proofErr w:type="gram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End"/>
      <w:r w:rsidRPr="007D3DE9">
        <w:rPr>
          <w:rFonts w:ascii="Times New Roman" w:eastAsia="Times New Roman" w:hAnsi="Times New Roman" w:cs="Times New Roman"/>
          <w:sz w:val="24"/>
          <w:szCs w:val="24"/>
          <w:lang w:eastAsia="fr-FR"/>
        </w:rPr>
        <w:t xml:space="preserve"> particularly in peri-urban areas such as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-Centre district, where land pressure is increasing due to urbanization and the growing demand for residential and agricultural plots. Table 3 presents the distribution of land purchases by gender.</w:t>
      </w:r>
    </w:p>
    <w:p w14:paraId="7B598B58" w14:textId="77777777" w:rsidR="00516D2F" w:rsidRPr="007D3DE9" w:rsidRDefault="00516D2F" w:rsidP="007D3DE9">
      <w:pPr>
        <w:spacing w:before="100" w:beforeAutospacing="1" w:after="100" w:afterAutospacing="1" w:line="360" w:lineRule="auto"/>
        <w:contextualSpacing/>
        <w:jc w:val="center"/>
        <w:rPr>
          <w:rFonts w:ascii="Times New Roman" w:eastAsia="Times New Roman" w:hAnsi="Times New Roman" w:cs="Times New Roman"/>
          <w:b/>
          <w:bCs/>
          <w:sz w:val="24"/>
          <w:szCs w:val="24"/>
          <w:lang w:eastAsia="fr-FR"/>
        </w:rPr>
      </w:pPr>
    </w:p>
    <w:p w14:paraId="21DCDA65" w14:textId="69299582"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Table 3: Distribution of land purchases by gender</w:t>
      </w:r>
    </w:p>
    <w:tbl>
      <w:tblPr>
        <w:tblStyle w:val="Grilledutableau1"/>
        <w:tblW w:w="9067" w:type="dxa"/>
        <w:tblLook w:val="04A0" w:firstRow="1" w:lastRow="0" w:firstColumn="1" w:lastColumn="0" w:noHBand="0" w:noVBand="1"/>
      </w:tblPr>
      <w:tblGrid>
        <w:gridCol w:w="1710"/>
        <w:gridCol w:w="1273"/>
        <w:gridCol w:w="2257"/>
        <w:gridCol w:w="1418"/>
        <w:gridCol w:w="2409"/>
      </w:tblGrid>
      <w:tr w:rsidR="00220BB1" w:rsidRPr="007D3DE9" w14:paraId="5BF24648" w14:textId="77777777" w:rsidTr="00E92F50">
        <w:tc>
          <w:tcPr>
            <w:tcW w:w="0" w:type="auto"/>
            <w:hideMark/>
          </w:tcPr>
          <w:p w14:paraId="30B322EB" w14:textId="77777777" w:rsidR="00220BB1" w:rsidRPr="007D3DE9" w:rsidRDefault="00220BB1" w:rsidP="007D3DE9">
            <w:pPr>
              <w:spacing w:line="360" w:lineRule="auto"/>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Village</w:t>
            </w:r>
          </w:p>
        </w:tc>
        <w:tc>
          <w:tcPr>
            <w:tcW w:w="0" w:type="auto"/>
            <w:hideMark/>
          </w:tcPr>
          <w:p w14:paraId="634F5D1F" w14:textId="2E436A83"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Men buyers ($)</w:t>
            </w:r>
          </w:p>
        </w:tc>
        <w:tc>
          <w:tcPr>
            <w:tcW w:w="2257" w:type="dxa"/>
          </w:tcPr>
          <w:p w14:paraId="76B46099"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Average area (ha) Men</w:t>
            </w:r>
          </w:p>
        </w:tc>
        <w:tc>
          <w:tcPr>
            <w:tcW w:w="1418" w:type="dxa"/>
            <w:hideMark/>
          </w:tcPr>
          <w:p w14:paraId="7DCECD45" w14:textId="77777777" w:rsidR="00516D2F"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Women shoppers</w:t>
            </w:r>
          </w:p>
          <w:p w14:paraId="00EAD4D5" w14:textId="3C59A04D" w:rsidR="00220BB1" w:rsidRPr="007D3DE9" w:rsidRDefault="00516D2F"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t>
            </w:r>
          </w:p>
        </w:tc>
        <w:tc>
          <w:tcPr>
            <w:tcW w:w="2409" w:type="dxa"/>
            <w:hideMark/>
          </w:tcPr>
          <w:p w14:paraId="4BF39D9C"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Average area (ha) - Women</w:t>
            </w:r>
          </w:p>
        </w:tc>
      </w:tr>
      <w:tr w:rsidR="00220BB1" w:rsidRPr="007D3DE9" w14:paraId="06CF22A5" w14:textId="77777777" w:rsidTr="00E92F50">
        <w:tc>
          <w:tcPr>
            <w:tcW w:w="0" w:type="auto"/>
          </w:tcPr>
          <w:p w14:paraId="787F30F0" w14:textId="77777777" w:rsidR="00220BB1" w:rsidRPr="007D3DE9" w:rsidRDefault="00220BB1" w:rsidP="007D3DE9">
            <w:pPr>
              <w:spacing w:line="360" w:lineRule="auto"/>
              <w:rPr>
                <w:rFonts w:ascii="Times New Roman" w:eastAsia="Times New Roman" w:hAnsi="Times New Roman" w:cs="Times New Roman"/>
                <w:b/>
                <w:bCs/>
                <w:sz w:val="24"/>
                <w:szCs w:val="24"/>
                <w:lang w:eastAsia="fr-FR"/>
              </w:rPr>
            </w:pPr>
            <w:proofErr w:type="spellStart"/>
            <w:r w:rsidRPr="007D3DE9">
              <w:rPr>
                <w:rFonts w:ascii="Times New Roman" w:eastAsia="Times New Roman" w:hAnsi="Times New Roman" w:cs="Times New Roman"/>
                <w:b/>
                <w:sz w:val="24"/>
                <w:szCs w:val="24"/>
                <w:lang w:eastAsia="fr-FR"/>
              </w:rPr>
              <w:t>Agonkanmè</w:t>
            </w:r>
            <w:proofErr w:type="spellEnd"/>
          </w:p>
        </w:tc>
        <w:tc>
          <w:tcPr>
            <w:tcW w:w="0" w:type="auto"/>
          </w:tcPr>
          <w:p w14:paraId="42855FE6" w14:textId="072C5224"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27</w:t>
            </w:r>
          </w:p>
        </w:tc>
        <w:tc>
          <w:tcPr>
            <w:tcW w:w="2257" w:type="dxa"/>
          </w:tcPr>
          <w:p w14:paraId="11BCC603" w14:textId="77777777"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20</w:t>
            </w:r>
          </w:p>
        </w:tc>
        <w:tc>
          <w:tcPr>
            <w:tcW w:w="1418" w:type="dxa"/>
          </w:tcPr>
          <w:p w14:paraId="12051132" w14:textId="4A57E134"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02</w:t>
            </w:r>
          </w:p>
        </w:tc>
        <w:tc>
          <w:tcPr>
            <w:tcW w:w="2409" w:type="dxa"/>
          </w:tcPr>
          <w:p w14:paraId="6771762A" w14:textId="77777777" w:rsidR="00220BB1" w:rsidRPr="007D3DE9" w:rsidRDefault="00220BB1" w:rsidP="007D3DE9">
            <w:pPr>
              <w:spacing w:line="360" w:lineRule="auto"/>
              <w:jc w:val="center"/>
              <w:rPr>
                <w:rFonts w:ascii="Times New Roman" w:eastAsia="Times New Roman" w:hAnsi="Times New Roman" w:cs="Times New Roman"/>
                <w:bCs/>
                <w:sz w:val="24"/>
                <w:szCs w:val="24"/>
                <w:lang w:eastAsia="fr-FR"/>
              </w:rPr>
            </w:pPr>
            <w:r w:rsidRPr="007D3DE9">
              <w:rPr>
                <w:rFonts w:ascii="Times New Roman" w:eastAsia="Times New Roman" w:hAnsi="Times New Roman" w:cs="Times New Roman"/>
                <w:bCs/>
                <w:sz w:val="24"/>
                <w:szCs w:val="24"/>
                <w:lang w:eastAsia="fr-FR"/>
              </w:rPr>
              <w:t>1</w:t>
            </w:r>
          </w:p>
        </w:tc>
      </w:tr>
      <w:tr w:rsidR="00220BB1" w:rsidRPr="007D3DE9" w14:paraId="79ABA6B6" w14:textId="77777777" w:rsidTr="00E92F50">
        <w:tc>
          <w:tcPr>
            <w:tcW w:w="0" w:type="auto"/>
            <w:hideMark/>
          </w:tcPr>
          <w:p w14:paraId="5370D14F"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t>Aganmanlomè</w:t>
            </w:r>
            <w:proofErr w:type="spellEnd"/>
          </w:p>
        </w:tc>
        <w:tc>
          <w:tcPr>
            <w:tcW w:w="0" w:type="auto"/>
            <w:hideMark/>
          </w:tcPr>
          <w:p w14:paraId="2A1A9479" w14:textId="2867759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08</w:t>
            </w:r>
          </w:p>
        </w:tc>
        <w:tc>
          <w:tcPr>
            <w:tcW w:w="2257" w:type="dxa"/>
          </w:tcPr>
          <w:p w14:paraId="58BEB874"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6</w:t>
            </w:r>
          </w:p>
        </w:tc>
        <w:tc>
          <w:tcPr>
            <w:tcW w:w="1418" w:type="dxa"/>
            <w:hideMark/>
          </w:tcPr>
          <w:p w14:paraId="27B71375" w14:textId="2416D25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02</w:t>
            </w:r>
          </w:p>
        </w:tc>
        <w:tc>
          <w:tcPr>
            <w:tcW w:w="2409" w:type="dxa"/>
            <w:hideMark/>
          </w:tcPr>
          <w:p w14:paraId="357236C3"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w:t>
            </w:r>
          </w:p>
        </w:tc>
      </w:tr>
      <w:tr w:rsidR="00220BB1" w:rsidRPr="007D3DE9" w14:paraId="1463AC11" w14:textId="77777777" w:rsidTr="00E92F50">
        <w:tc>
          <w:tcPr>
            <w:tcW w:w="0" w:type="auto"/>
          </w:tcPr>
          <w:p w14:paraId="49278615"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t>Dekanmè</w:t>
            </w:r>
            <w:proofErr w:type="spellEnd"/>
          </w:p>
        </w:tc>
        <w:tc>
          <w:tcPr>
            <w:tcW w:w="0" w:type="auto"/>
          </w:tcPr>
          <w:p w14:paraId="0C4FB81C" w14:textId="1A8FF4BA"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11</w:t>
            </w:r>
          </w:p>
        </w:tc>
        <w:tc>
          <w:tcPr>
            <w:tcW w:w="2257" w:type="dxa"/>
          </w:tcPr>
          <w:p w14:paraId="6956D3E6"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9</w:t>
            </w:r>
          </w:p>
        </w:tc>
        <w:tc>
          <w:tcPr>
            <w:tcW w:w="1418" w:type="dxa"/>
          </w:tcPr>
          <w:p w14:paraId="430C1491" w14:textId="1FAC41FD"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03</w:t>
            </w:r>
          </w:p>
        </w:tc>
        <w:tc>
          <w:tcPr>
            <w:tcW w:w="2409" w:type="dxa"/>
          </w:tcPr>
          <w:p w14:paraId="417DDBBD"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w:t>
            </w:r>
          </w:p>
        </w:tc>
      </w:tr>
      <w:tr w:rsidR="00220BB1" w:rsidRPr="007D3DE9" w14:paraId="10B5B7EE" w14:textId="77777777" w:rsidTr="00E92F50">
        <w:tc>
          <w:tcPr>
            <w:tcW w:w="0" w:type="auto"/>
            <w:hideMark/>
          </w:tcPr>
          <w:p w14:paraId="4ECCC9D0"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t>Sègbea</w:t>
            </w:r>
            <w:proofErr w:type="spellEnd"/>
          </w:p>
        </w:tc>
        <w:tc>
          <w:tcPr>
            <w:tcW w:w="0" w:type="auto"/>
            <w:hideMark/>
          </w:tcPr>
          <w:p w14:paraId="21670EE6" w14:textId="2E6C462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17</w:t>
            </w:r>
          </w:p>
        </w:tc>
        <w:tc>
          <w:tcPr>
            <w:tcW w:w="2257" w:type="dxa"/>
          </w:tcPr>
          <w:p w14:paraId="09B35B55"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12</w:t>
            </w:r>
          </w:p>
        </w:tc>
        <w:tc>
          <w:tcPr>
            <w:tcW w:w="1418" w:type="dxa"/>
            <w:hideMark/>
          </w:tcPr>
          <w:p w14:paraId="40C3942F" w14:textId="0ACC055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04</w:t>
            </w:r>
          </w:p>
        </w:tc>
        <w:tc>
          <w:tcPr>
            <w:tcW w:w="2409" w:type="dxa"/>
            <w:hideMark/>
          </w:tcPr>
          <w:p w14:paraId="2A18B3C8"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3</w:t>
            </w:r>
          </w:p>
        </w:tc>
      </w:tr>
      <w:tr w:rsidR="00220BB1" w:rsidRPr="007D3DE9" w14:paraId="5CF73073" w14:textId="77777777" w:rsidTr="00E92F50">
        <w:tc>
          <w:tcPr>
            <w:tcW w:w="0" w:type="auto"/>
            <w:hideMark/>
          </w:tcPr>
          <w:p w14:paraId="265DE8C0"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proofErr w:type="spellStart"/>
            <w:r w:rsidRPr="007D3DE9">
              <w:rPr>
                <w:rFonts w:ascii="Times New Roman" w:eastAsia="Times New Roman" w:hAnsi="Times New Roman" w:cs="Times New Roman"/>
                <w:b/>
                <w:sz w:val="24"/>
                <w:szCs w:val="24"/>
                <w:lang w:eastAsia="fr-FR"/>
              </w:rPr>
              <w:lastRenderedPageBreak/>
              <w:t>Tokpa-domè</w:t>
            </w:r>
            <w:proofErr w:type="spellEnd"/>
          </w:p>
        </w:tc>
        <w:tc>
          <w:tcPr>
            <w:tcW w:w="0" w:type="auto"/>
            <w:hideMark/>
          </w:tcPr>
          <w:p w14:paraId="7BB6C591" w14:textId="4FF56C70"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20</w:t>
            </w:r>
          </w:p>
        </w:tc>
        <w:tc>
          <w:tcPr>
            <w:tcW w:w="2257" w:type="dxa"/>
          </w:tcPr>
          <w:p w14:paraId="2DC6583E"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16</w:t>
            </w:r>
          </w:p>
        </w:tc>
        <w:tc>
          <w:tcPr>
            <w:tcW w:w="1418" w:type="dxa"/>
            <w:hideMark/>
          </w:tcPr>
          <w:p w14:paraId="2D341313" w14:textId="154DE75F"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c>
          <w:tcPr>
            <w:tcW w:w="2409" w:type="dxa"/>
            <w:hideMark/>
          </w:tcPr>
          <w:p w14:paraId="41CC7D7E" w14:textId="7777777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4</w:t>
            </w:r>
          </w:p>
        </w:tc>
      </w:tr>
      <w:tr w:rsidR="00220BB1" w:rsidRPr="007D3DE9" w14:paraId="2614C3FC" w14:textId="77777777" w:rsidTr="00E92F50">
        <w:tc>
          <w:tcPr>
            <w:tcW w:w="0" w:type="auto"/>
          </w:tcPr>
          <w:p w14:paraId="120A9847"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Total</w:t>
            </w:r>
          </w:p>
        </w:tc>
        <w:tc>
          <w:tcPr>
            <w:tcW w:w="0" w:type="auto"/>
          </w:tcPr>
          <w:p w14:paraId="3B808FDE" w14:textId="68B1E374"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84</w:t>
            </w:r>
          </w:p>
        </w:tc>
        <w:tc>
          <w:tcPr>
            <w:tcW w:w="2257" w:type="dxa"/>
          </w:tcPr>
          <w:p w14:paraId="4E1C1AB4" w14:textId="77777777"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63</w:t>
            </w:r>
          </w:p>
        </w:tc>
        <w:tc>
          <w:tcPr>
            <w:tcW w:w="1418" w:type="dxa"/>
          </w:tcPr>
          <w:p w14:paraId="27394A2D" w14:textId="0B6FBEF9"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16</w:t>
            </w:r>
          </w:p>
        </w:tc>
        <w:tc>
          <w:tcPr>
            <w:tcW w:w="2409" w:type="dxa"/>
          </w:tcPr>
          <w:p w14:paraId="5BDF7192" w14:textId="77777777"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11</w:t>
            </w:r>
          </w:p>
        </w:tc>
      </w:tr>
    </w:tbl>
    <w:p w14:paraId="05AF5B24"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proofErr w:type="gramStart"/>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w:t>
      </w:r>
      <w:proofErr w:type="gramEnd"/>
      <w:r w:rsidRPr="007D3DE9">
        <w:rPr>
          <w:rFonts w:ascii="Times New Roman" w:eastAsia="Times New Roman" w:hAnsi="Times New Roman" w:cs="Times New Roman"/>
          <w:iCs/>
          <w:sz w:val="24"/>
          <w:szCs w:val="24"/>
          <w:lang w:eastAsia="fr-FR"/>
        </w:rPr>
        <w:t xml:space="preserve"> Field surveys, January 2025</w:t>
      </w:r>
    </w:p>
    <w:p w14:paraId="33481738" w14:textId="10D17F16" w:rsidR="009225C3" w:rsidRPr="007D3DE9" w:rsidRDefault="00220BB1"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Analysis of Table 3 shows that women are underrepresented, accounting for only 16% of land transactions, and access to smaller plots totaling 11 hectares, thus limiting their potential for agricultural investment or real estate development. In contrast, men are better represented, with an 84% participation rate and a total of 63 hectares purchased.</w:t>
      </w:r>
    </w:p>
    <w:p w14:paraId="6FAFA073" w14:textId="58FE0429"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Financial constraints pose a major obstacle for women seeking to acquire land. Surveys reveal that the average cost of a plot in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-Centre is 4,000,000 FCFA for a 0.5-hectare residential plot and 2,000,000 FCFA for a 0.5-hectare agricultural plot in rural areas. These amounts are prohibitive for the majority of women, whose average income, according to the data collected, is 50,000 FCFA per month, compared to 100,000 FCFA for men. Figure 3 presents the average cost of 500 m² plots and monthly income by gender.</w:t>
      </w:r>
    </w:p>
    <w:p w14:paraId="40C0FF29" w14:textId="77777777" w:rsidR="00F04B6D" w:rsidRDefault="004B7AAB" w:rsidP="007D3DE9">
      <w:pPr>
        <w:spacing w:before="100" w:beforeAutospacing="1" w:after="100" w:afterAutospacing="1" w:line="360" w:lineRule="auto"/>
        <w:contextualSpacing/>
        <w:jc w:val="center"/>
        <w:rPr>
          <w:rFonts w:ascii="Times New Roman" w:eastAsia="Times New Roman" w:hAnsi="Times New Roman" w:cs="Times New Roman"/>
          <w:b/>
          <w:sz w:val="24"/>
          <w:szCs w:val="24"/>
          <w:lang w:eastAsia="fr-FR"/>
        </w:rPr>
      </w:pPr>
      <w:r w:rsidRPr="007D3DE9">
        <w:rPr>
          <w:rFonts w:ascii="Times New Roman" w:hAnsi="Times New Roman" w:cs="Times New Roman"/>
          <w:noProof/>
          <w:sz w:val="24"/>
          <w:szCs w:val="24"/>
          <w:lang w:val="fr-FR" w:eastAsia="fr-FR"/>
        </w:rPr>
        <w:drawing>
          <wp:inline distT="0" distB="0" distL="0" distR="0" wp14:anchorId="5E2915EC" wp14:editId="600660FD">
            <wp:extent cx="5251450" cy="2200910"/>
            <wp:effectExtent l="0" t="0" r="6350" b="8890"/>
            <wp:docPr id="50176" name="Chart 5017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AB4534" w14:textId="6FC3AC9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sz w:val="24"/>
          <w:szCs w:val="24"/>
          <w:lang w:eastAsia="fr-FR"/>
        </w:rPr>
        <w:t xml:space="preserve">Figure </w:t>
      </w:r>
      <w:proofErr w:type="gramStart"/>
      <w:r w:rsidR="004E4534" w:rsidRPr="007D3DE9">
        <w:rPr>
          <w:rFonts w:ascii="Times New Roman" w:eastAsia="Times New Roman" w:hAnsi="Times New Roman" w:cs="Times New Roman"/>
          <w:sz w:val="24"/>
          <w:szCs w:val="24"/>
          <w:lang w:eastAsia="fr-FR"/>
        </w:rPr>
        <w:t xml:space="preserve">3 </w:t>
      </w:r>
      <w:r w:rsidRPr="007D3DE9">
        <w:rPr>
          <w:rFonts w:ascii="Times New Roman" w:eastAsia="Times New Roman" w:hAnsi="Times New Roman" w:cs="Times New Roman"/>
          <w:b/>
          <w:sz w:val="24"/>
          <w:szCs w:val="24"/>
          <w:lang w:eastAsia="fr-FR"/>
        </w:rPr>
        <w:t>:</w:t>
      </w:r>
      <w:proofErr w:type="gramEnd"/>
      <w:r w:rsidRPr="007D3DE9">
        <w:rPr>
          <w:rFonts w:ascii="Times New Roman" w:eastAsia="Times New Roman" w:hAnsi="Times New Roman" w:cs="Times New Roman"/>
          <w:b/>
          <w:sz w:val="24"/>
          <w:szCs w:val="24"/>
          <w:lang w:eastAsia="fr-FR"/>
        </w:rPr>
        <w:t xml:space="preserve"> </w:t>
      </w:r>
      <w:r w:rsidRPr="007D3DE9">
        <w:rPr>
          <w:rFonts w:ascii="Times New Roman" w:eastAsia="Times New Roman" w:hAnsi="Times New Roman" w:cs="Times New Roman"/>
          <w:sz w:val="24"/>
          <w:szCs w:val="24"/>
          <w:lang w:eastAsia="fr-FR"/>
        </w:rPr>
        <w:t>Average cost of plots and monthly income by gender</w:t>
      </w:r>
    </w:p>
    <w:p w14:paraId="288AA53F"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2024</w:t>
      </w:r>
    </w:p>
    <w:p w14:paraId="69F2350E" w14:textId="2BC2F2F2" w:rsidR="00220BB1" w:rsidRPr="007D3DE9" w:rsidRDefault="00220BB1" w:rsidP="007D3DE9">
      <w:pPr>
        <w:spacing w:after="0"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Analysis of Figure 3 reveals significant gender disparities in access to land through purchase in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Start"/>
      <w:r w:rsidRPr="007D3DE9">
        <w:rPr>
          <w:rFonts w:ascii="Times New Roman" w:eastAsia="Times New Roman" w:hAnsi="Times New Roman" w:cs="Times New Roman"/>
          <w:sz w:val="24"/>
          <w:szCs w:val="24"/>
          <w:lang w:eastAsia="fr-FR"/>
        </w:rPr>
        <w:t>commune ,</w:t>
      </w:r>
      <w:proofErr w:type="gramEnd"/>
      <w:r w:rsidRPr="007D3DE9">
        <w:rPr>
          <w:rFonts w:ascii="Times New Roman" w:eastAsia="Times New Roman" w:hAnsi="Times New Roman" w:cs="Times New Roman"/>
          <w:sz w:val="24"/>
          <w:szCs w:val="24"/>
          <w:lang w:eastAsia="fr-FR"/>
        </w:rPr>
        <w:t xml:space="preserve"> with women facing far greater financial barriers than men. These constraints limit their ability to secure their land rights. The average cost of a 500m² plot in urban areas of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is 1,500,000 FCFA, compared to 800,000 FCFA in rural areas. This equates to 30 and 16 times the average monthly income of women, respectively.</w:t>
      </w:r>
    </w:p>
    <w:p w14:paraId="0BEA4BC1" w14:textId="77777777"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The administrative procedures required to formalize land purchases represent another major obstacle for women. Registering a land title, necessary to secure the purchase, involves high administrative fees of 75,000 FCFA, representing 2 to 4% of the plot's cost, and complex </w:t>
      </w:r>
      <w:r w:rsidRPr="007D3DE9">
        <w:rPr>
          <w:rFonts w:ascii="Times New Roman" w:eastAsia="Times New Roman" w:hAnsi="Times New Roman" w:cs="Times New Roman"/>
          <w:sz w:val="24"/>
          <w:szCs w:val="24"/>
          <w:lang w:eastAsia="fr-FR"/>
        </w:rPr>
        <w:lastRenderedPageBreak/>
        <w:t>procedures with the town hall or notaries. Table 4 presents the administrative obstacles related to land registration by gender.</w:t>
      </w:r>
    </w:p>
    <w:p w14:paraId="3668F3A5"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 xml:space="preserve">Table 4: </w:t>
      </w:r>
      <w:r w:rsidRPr="007D3DE9">
        <w:rPr>
          <w:rFonts w:ascii="Times New Roman" w:eastAsia="Times New Roman" w:hAnsi="Times New Roman" w:cs="Times New Roman"/>
          <w:bCs/>
          <w:sz w:val="24"/>
          <w:szCs w:val="24"/>
          <w:lang w:eastAsia="fr-FR"/>
        </w:rPr>
        <w:t>Administrative obstacles related to the registration of plots by type</w:t>
      </w:r>
      <w:r w:rsidRPr="007D3DE9">
        <w:rPr>
          <w:rFonts w:ascii="Times New Roman" w:eastAsia="Times New Roman" w:hAnsi="Times New Roman" w:cs="Times New Roman"/>
          <w:sz w:val="24"/>
          <w:szCs w:val="24"/>
          <w:lang w:eastAsia="fr-FR"/>
        </w:rPr>
        <w:t xml:space="preserve"> </w:t>
      </w:r>
      <w:r w:rsidRPr="007D3DE9">
        <w:rPr>
          <w:rFonts w:ascii="Times New Roman" w:eastAsia="Times New Roman" w:hAnsi="Times New Roman" w:cs="Times New Roman"/>
          <w:bCs/>
          <w:sz w:val="24"/>
          <w:szCs w:val="24"/>
          <w:lang w:eastAsia="fr-FR"/>
        </w:rPr>
        <w:t>by genre</w:t>
      </w:r>
    </w:p>
    <w:tbl>
      <w:tblPr>
        <w:tblStyle w:val="Grilledutableau1"/>
        <w:tblW w:w="0" w:type="auto"/>
        <w:tblLook w:val="04A0" w:firstRow="1" w:lastRow="0" w:firstColumn="1" w:lastColumn="0" w:noHBand="0" w:noVBand="1"/>
      </w:tblPr>
      <w:tblGrid>
        <w:gridCol w:w="4248"/>
        <w:gridCol w:w="2410"/>
        <w:gridCol w:w="2402"/>
      </w:tblGrid>
      <w:tr w:rsidR="00220BB1" w:rsidRPr="007D3DE9" w14:paraId="4A72EF67" w14:textId="77777777" w:rsidTr="00E92F50">
        <w:tc>
          <w:tcPr>
            <w:tcW w:w="4248" w:type="dxa"/>
            <w:hideMark/>
          </w:tcPr>
          <w:p w14:paraId="7357D42F" w14:textId="56FCE762" w:rsidR="00220BB1" w:rsidRPr="007D3DE9" w:rsidRDefault="00220BB1" w:rsidP="007D3DE9">
            <w:pPr>
              <w:spacing w:line="360" w:lineRule="auto"/>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Obstacles</w:t>
            </w:r>
          </w:p>
        </w:tc>
        <w:tc>
          <w:tcPr>
            <w:tcW w:w="2410" w:type="dxa"/>
            <w:hideMark/>
          </w:tcPr>
          <w:p w14:paraId="0B7407B6" w14:textId="7EE0B83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Male Buyers (%)</w:t>
            </w:r>
          </w:p>
        </w:tc>
        <w:tc>
          <w:tcPr>
            <w:tcW w:w="2402" w:type="dxa"/>
            <w:hideMark/>
          </w:tcPr>
          <w:p w14:paraId="40D5698F"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Female Buyers</w:t>
            </w:r>
          </w:p>
          <w:p w14:paraId="7D5895AC" w14:textId="23AF3F34" w:rsidR="009F5397" w:rsidRPr="007D3DE9" w:rsidRDefault="009F5397"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t>
            </w:r>
          </w:p>
        </w:tc>
      </w:tr>
      <w:tr w:rsidR="00220BB1" w:rsidRPr="007D3DE9" w14:paraId="22AA8CCD" w14:textId="77777777" w:rsidTr="00E92F50">
        <w:tc>
          <w:tcPr>
            <w:tcW w:w="4248" w:type="dxa"/>
            <w:hideMark/>
          </w:tcPr>
          <w:p w14:paraId="36572F71"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Complexity of the procedures</w:t>
            </w:r>
          </w:p>
        </w:tc>
        <w:tc>
          <w:tcPr>
            <w:tcW w:w="2410" w:type="dxa"/>
            <w:hideMark/>
          </w:tcPr>
          <w:p w14:paraId="49C3C08A" w14:textId="70EF05A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68</w:t>
            </w:r>
          </w:p>
        </w:tc>
        <w:tc>
          <w:tcPr>
            <w:tcW w:w="2402" w:type="dxa"/>
            <w:hideMark/>
          </w:tcPr>
          <w:p w14:paraId="75BE5AB3" w14:textId="1CB8CC69"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79</w:t>
            </w:r>
          </w:p>
        </w:tc>
      </w:tr>
      <w:tr w:rsidR="00220BB1" w:rsidRPr="007D3DE9" w14:paraId="737AC922" w14:textId="77777777" w:rsidTr="00E92F50">
        <w:tc>
          <w:tcPr>
            <w:tcW w:w="4248" w:type="dxa"/>
            <w:hideMark/>
          </w:tcPr>
          <w:p w14:paraId="03E84D0C"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High costs of formalities</w:t>
            </w:r>
          </w:p>
        </w:tc>
        <w:tc>
          <w:tcPr>
            <w:tcW w:w="2410" w:type="dxa"/>
            <w:hideMark/>
          </w:tcPr>
          <w:p w14:paraId="01E07E29" w14:textId="78868B9E"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72</w:t>
            </w:r>
          </w:p>
        </w:tc>
        <w:tc>
          <w:tcPr>
            <w:tcW w:w="2402" w:type="dxa"/>
            <w:hideMark/>
          </w:tcPr>
          <w:p w14:paraId="1C54923C" w14:textId="5CA7246F"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82</w:t>
            </w:r>
          </w:p>
        </w:tc>
      </w:tr>
      <w:tr w:rsidR="00220BB1" w:rsidRPr="007D3DE9" w14:paraId="7FED0223" w14:textId="77777777" w:rsidTr="00E92F50">
        <w:trPr>
          <w:trHeight w:val="335"/>
        </w:trPr>
        <w:tc>
          <w:tcPr>
            <w:tcW w:w="4248" w:type="dxa"/>
            <w:hideMark/>
          </w:tcPr>
          <w:p w14:paraId="48831D2E" w14:textId="598B13DD" w:rsidR="00220BB1" w:rsidRPr="007D3DE9" w:rsidRDefault="00220BB1" w:rsidP="007D3DE9">
            <w:pPr>
              <w:spacing w:line="360" w:lineRule="auto"/>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Lack of information on procedures</w:t>
            </w:r>
          </w:p>
        </w:tc>
        <w:tc>
          <w:tcPr>
            <w:tcW w:w="2410" w:type="dxa"/>
            <w:hideMark/>
          </w:tcPr>
          <w:p w14:paraId="6903430D" w14:textId="132D8FDE"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70</w:t>
            </w:r>
          </w:p>
        </w:tc>
        <w:tc>
          <w:tcPr>
            <w:tcW w:w="2402" w:type="dxa"/>
            <w:hideMark/>
          </w:tcPr>
          <w:p w14:paraId="3D3045A8" w14:textId="3046184A"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90</w:t>
            </w:r>
          </w:p>
        </w:tc>
      </w:tr>
    </w:tbl>
    <w:p w14:paraId="4277FD30"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2025</w:t>
      </w:r>
    </w:p>
    <w:p w14:paraId="1038F9AD" w14:textId="77777777" w:rsidR="009225C3" w:rsidRPr="007D3DE9" w:rsidRDefault="00220BB1" w:rsidP="007D3DE9">
      <w:pPr>
        <w:spacing w:line="360" w:lineRule="auto"/>
        <w:jc w:val="both"/>
        <w:rPr>
          <w:rFonts w:ascii="Times New Roman" w:hAnsi="Times New Roman" w:cs="Times New Roman"/>
          <w:b/>
          <w:sz w:val="24"/>
          <w:szCs w:val="24"/>
        </w:rPr>
      </w:pPr>
      <w:r w:rsidRPr="007D3DE9">
        <w:rPr>
          <w:rFonts w:ascii="Times New Roman" w:eastAsia="Times New Roman" w:hAnsi="Times New Roman" w:cs="Times New Roman"/>
          <w:sz w:val="24"/>
          <w:szCs w:val="24"/>
          <w:lang w:eastAsia="fr-FR"/>
        </w:rPr>
        <w:t>Analysis of Table 4 reveals that women encounter more obstacles related to administrative procedures than men. While land purchases offer the potential for securing land tenure through formal titles, they remain precarious for women. Without official deeds of ownership, women are vulnerable to disputes, particularly in the event of claims by third parties.</w:t>
      </w:r>
    </w:p>
    <w:p w14:paraId="74CF1027" w14:textId="7F293934" w:rsidR="00220BB1" w:rsidRPr="007D3DE9" w:rsidRDefault="00220BB1"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Loans and rentals: the impact of verbal and written contracts on women's land tenure security</w:t>
      </w:r>
    </w:p>
    <w:p w14:paraId="46AB8BBF" w14:textId="77777777" w:rsidR="00220BB1" w:rsidRPr="007D3DE9" w:rsidRDefault="00220BB1" w:rsidP="007D3DE9">
      <w:pPr>
        <w:spacing w:line="360" w:lineRule="auto"/>
        <w:contextualSpacing/>
        <w:jc w:val="both"/>
        <w:rPr>
          <w:rFonts w:ascii="Times New Roman" w:hAnsi="Times New Roman" w:cs="Times New Roman"/>
          <w:sz w:val="24"/>
          <w:szCs w:val="24"/>
        </w:rPr>
      </w:pPr>
      <w:r w:rsidRPr="007D3DE9">
        <w:rPr>
          <w:rFonts w:ascii="Times New Roman" w:hAnsi="Times New Roman" w:cs="Times New Roman"/>
          <w:sz w:val="24"/>
          <w:szCs w:val="24"/>
        </w:rPr>
        <w:t xml:space="preserve">Land loans and leases constitute temporary forms of land access, particularly widespread in the commune of </w:t>
      </w:r>
      <w:proofErr w:type="spellStart"/>
      <w:proofErr w:type="gram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w:t>
      </w:r>
      <w:proofErr w:type="gramEnd"/>
      <w:r w:rsidRPr="007D3DE9">
        <w:rPr>
          <w:rFonts w:ascii="Times New Roman" w:hAnsi="Times New Roman" w:cs="Times New Roman"/>
          <w:sz w:val="24"/>
          <w:szCs w:val="24"/>
        </w:rPr>
        <w:t xml:space="preserve"> where agricultural and residential land is often made available through informal or formal arrangements. These mechanisms allow some households, especially women, to access land without owning it, but their impact on land tenure security varies depending on the nature of the contracts, whether verbal or written. </w:t>
      </w:r>
      <w:r w:rsidRPr="007D3DE9">
        <w:rPr>
          <w:rFonts w:ascii="Times New Roman" w:eastAsia="Times New Roman" w:hAnsi="Times New Roman" w:cs="Times New Roman"/>
          <w:sz w:val="24"/>
          <w:szCs w:val="24"/>
          <w:lang w:eastAsia="fr-FR"/>
        </w:rPr>
        <w:t>Table 5 presents the</w:t>
      </w:r>
      <w:r w:rsidRPr="007D3DE9">
        <w:rPr>
          <w:rFonts w:ascii="Times New Roman" w:eastAsia="Calibri" w:hAnsi="Times New Roman" w:cs="Times New Roman"/>
          <w:sz w:val="24"/>
          <w:szCs w:val="24"/>
        </w:rPr>
        <w:t xml:space="preserve"> </w:t>
      </w:r>
      <w:r w:rsidRPr="007D3DE9">
        <w:rPr>
          <w:rFonts w:ascii="Times New Roman" w:eastAsia="Times New Roman" w:hAnsi="Times New Roman" w:cs="Times New Roman"/>
          <w:sz w:val="24"/>
          <w:szCs w:val="24"/>
          <w:lang w:eastAsia="fr-FR"/>
        </w:rPr>
        <w:t>distribution of loans and rentals by gender.</w:t>
      </w:r>
    </w:p>
    <w:p w14:paraId="3E1D07A9"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bCs/>
          <w:sz w:val="24"/>
          <w:szCs w:val="24"/>
          <w:lang w:eastAsia="fr-FR"/>
        </w:rPr>
        <w:t xml:space="preserve">Table </w:t>
      </w:r>
      <w:proofErr w:type="gramStart"/>
      <w:r w:rsidR="004E4534" w:rsidRPr="007D3DE9">
        <w:rPr>
          <w:rFonts w:ascii="Times New Roman" w:eastAsia="Times New Roman" w:hAnsi="Times New Roman" w:cs="Times New Roman"/>
          <w:b/>
          <w:sz w:val="24"/>
          <w:szCs w:val="24"/>
          <w:lang w:eastAsia="fr-FR"/>
        </w:rPr>
        <w:t xml:space="preserve">5 </w:t>
      </w:r>
      <w:r w:rsidRPr="007D3DE9">
        <w:rPr>
          <w:rFonts w:ascii="Times New Roman" w:eastAsia="Times New Roman" w:hAnsi="Times New Roman" w:cs="Times New Roman"/>
          <w:b/>
          <w:bCs/>
          <w:sz w:val="24"/>
          <w:szCs w:val="24"/>
          <w:lang w:eastAsia="fr-FR"/>
        </w:rPr>
        <w:t>:</w:t>
      </w:r>
      <w:proofErr w:type="gramEnd"/>
      <w:r w:rsidRPr="007D3DE9">
        <w:rPr>
          <w:rFonts w:ascii="Times New Roman" w:eastAsia="Times New Roman" w:hAnsi="Times New Roman" w:cs="Times New Roman"/>
          <w:b/>
          <w:bCs/>
          <w:sz w:val="24"/>
          <w:szCs w:val="24"/>
          <w:lang w:eastAsia="fr-FR"/>
        </w:rPr>
        <w:t xml:space="preserve"> </w:t>
      </w:r>
      <w:r w:rsidRPr="007D3DE9">
        <w:rPr>
          <w:rFonts w:ascii="Times New Roman" w:eastAsia="Times New Roman" w:hAnsi="Times New Roman" w:cs="Times New Roman"/>
          <w:bCs/>
          <w:sz w:val="24"/>
          <w:szCs w:val="24"/>
          <w:lang w:eastAsia="fr-FR"/>
        </w:rPr>
        <w:t>Distribution of loans and rentals by gender</w:t>
      </w:r>
    </w:p>
    <w:tbl>
      <w:tblPr>
        <w:tblStyle w:val="Grilledutableau1"/>
        <w:tblW w:w="0" w:type="auto"/>
        <w:tblLook w:val="04A0" w:firstRow="1" w:lastRow="0" w:firstColumn="1" w:lastColumn="0" w:noHBand="0" w:noVBand="1"/>
      </w:tblPr>
      <w:tblGrid>
        <w:gridCol w:w="1629"/>
        <w:gridCol w:w="3469"/>
        <w:gridCol w:w="3544"/>
      </w:tblGrid>
      <w:tr w:rsidR="00220BB1" w:rsidRPr="007D3DE9" w14:paraId="027755EF" w14:textId="77777777" w:rsidTr="00E92F50">
        <w:tc>
          <w:tcPr>
            <w:tcW w:w="0" w:type="auto"/>
            <w:hideMark/>
          </w:tcPr>
          <w:p w14:paraId="7ABBC019" w14:textId="77777777" w:rsidR="00220BB1" w:rsidRPr="007D3DE9" w:rsidRDefault="00220BB1" w:rsidP="007D3DE9">
            <w:pPr>
              <w:spacing w:line="360" w:lineRule="auto"/>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Boroughs</w:t>
            </w:r>
          </w:p>
        </w:tc>
        <w:tc>
          <w:tcPr>
            <w:tcW w:w="3469" w:type="dxa"/>
            <w:hideMark/>
          </w:tcPr>
          <w:p w14:paraId="0FC579E5"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Loans and rentals</w:t>
            </w:r>
          </w:p>
          <w:p w14:paraId="25E1EE94" w14:textId="0532099B"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(Women) (%)</w:t>
            </w:r>
          </w:p>
        </w:tc>
        <w:tc>
          <w:tcPr>
            <w:tcW w:w="3544" w:type="dxa"/>
            <w:hideMark/>
          </w:tcPr>
          <w:p w14:paraId="678A79EE" w14:textId="77777777"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Loans and rentals</w:t>
            </w:r>
          </w:p>
          <w:p w14:paraId="46749B51" w14:textId="2FAEE7A4" w:rsidR="00220BB1" w:rsidRPr="007D3DE9" w:rsidRDefault="00220BB1" w:rsidP="007D3DE9">
            <w:pPr>
              <w:spacing w:line="360" w:lineRule="auto"/>
              <w:jc w:val="center"/>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(Men) (%)</w:t>
            </w:r>
          </w:p>
        </w:tc>
      </w:tr>
      <w:tr w:rsidR="00220BB1" w:rsidRPr="007D3DE9" w14:paraId="0867ED1D" w14:textId="77777777" w:rsidTr="00E92F50">
        <w:tc>
          <w:tcPr>
            <w:tcW w:w="0" w:type="auto"/>
            <w:hideMark/>
          </w:tcPr>
          <w:p w14:paraId="37286DB1"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proofErr w:type="gramStart"/>
            <w:r w:rsidRPr="007D3DE9">
              <w:rPr>
                <w:rFonts w:ascii="Times New Roman" w:eastAsia="Times New Roman" w:hAnsi="Times New Roman" w:cs="Times New Roman"/>
                <w:sz w:val="24"/>
                <w:szCs w:val="24"/>
                <w:lang w:eastAsia="fr-FR"/>
              </w:rPr>
              <w:t>Agonkanmè</w:t>
            </w:r>
            <w:proofErr w:type="spellEnd"/>
            <w:r w:rsidRPr="007D3DE9">
              <w:rPr>
                <w:rFonts w:ascii="Times New Roman" w:eastAsia="Times New Roman" w:hAnsi="Times New Roman" w:cs="Times New Roman"/>
                <w:sz w:val="24"/>
                <w:szCs w:val="24"/>
                <w:lang w:eastAsia="fr-FR"/>
              </w:rPr>
              <w:t xml:space="preserve"> ,</w:t>
            </w:r>
            <w:proofErr w:type="gramEnd"/>
          </w:p>
        </w:tc>
        <w:tc>
          <w:tcPr>
            <w:tcW w:w="3469" w:type="dxa"/>
            <w:hideMark/>
          </w:tcPr>
          <w:p w14:paraId="2504FE2A" w14:textId="0C1E9B9D"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14</w:t>
            </w:r>
          </w:p>
        </w:tc>
        <w:tc>
          <w:tcPr>
            <w:tcW w:w="3544" w:type="dxa"/>
            <w:hideMark/>
          </w:tcPr>
          <w:p w14:paraId="4B975A16" w14:textId="0D448984"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09</w:t>
            </w:r>
          </w:p>
        </w:tc>
      </w:tr>
      <w:tr w:rsidR="00220BB1" w:rsidRPr="007D3DE9" w14:paraId="7C812362" w14:textId="77777777" w:rsidTr="00E92F50">
        <w:tc>
          <w:tcPr>
            <w:tcW w:w="0" w:type="auto"/>
          </w:tcPr>
          <w:p w14:paraId="16003353"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Aganmanlomè</w:t>
            </w:r>
            <w:proofErr w:type="spellEnd"/>
          </w:p>
        </w:tc>
        <w:tc>
          <w:tcPr>
            <w:tcW w:w="3469" w:type="dxa"/>
          </w:tcPr>
          <w:p w14:paraId="20BDBD10" w14:textId="195C3844"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16</w:t>
            </w:r>
          </w:p>
        </w:tc>
        <w:tc>
          <w:tcPr>
            <w:tcW w:w="3544" w:type="dxa"/>
          </w:tcPr>
          <w:p w14:paraId="2A0AD459" w14:textId="01E73BBC"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09</w:t>
            </w:r>
          </w:p>
        </w:tc>
      </w:tr>
      <w:tr w:rsidR="00220BB1" w:rsidRPr="007D3DE9" w14:paraId="0D1E0737" w14:textId="77777777" w:rsidTr="00E92F50">
        <w:tc>
          <w:tcPr>
            <w:tcW w:w="0" w:type="auto"/>
          </w:tcPr>
          <w:p w14:paraId="01376AA1"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Dekanmè</w:t>
            </w:r>
            <w:proofErr w:type="spellEnd"/>
          </w:p>
        </w:tc>
        <w:tc>
          <w:tcPr>
            <w:tcW w:w="3469" w:type="dxa"/>
          </w:tcPr>
          <w:p w14:paraId="46025810" w14:textId="1EEB4329"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18</w:t>
            </w:r>
          </w:p>
        </w:tc>
        <w:tc>
          <w:tcPr>
            <w:tcW w:w="3544" w:type="dxa"/>
          </w:tcPr>
          <w:p w14:paraId="62F932C8" w14:textId="427C47A6"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10</w:t>
            </w:r>
          </w:p>
        </w:tc>
      </w:tr>
      <w:tr w:rsidR="00220BB1" w:rsidRPr="007D3DE9" w14:paraId="519ED926" w14:textId="77777777" w:rsidTr="00E92F50">
        <w:tc>
          <w:tcPr>
            <w:tcW w:w="0" w:type="auto"/>
            <w:hideMark/>
          </w:tcPr>
          <w:p w14:paraId="54077350"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Sègbea</w:t>
            </w:r>
            <w:proofErr w:type="spellEnd"/>
          </w:p>
        </w:tc>
        <w:tc>
          <w:tcPr>
            <w:tcW w:w="3469" w:type="dxa"/>
            <w:hideMark/>
          </w:tcPr>
          <w:p w14:paraId="3CDFB5F4" w14:textId="34D58E49"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07</w:t>
            </w:r>
          </w:p>
        </w:tc>
        <w:tc>
          <w:tcPr>
            <w:tcW w:w="3544" w:type="dxa"/>
            <w:hideMark/>
          </w:tcPr>
          <w:p w14:paraId="6D542F13" w14:textId="7FC05E55"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04</w:t>
            </w:r>
          </w:p>
        </w:tc>
      </w:tr>
      <w:tr w:rsidR="00220BB1" w:rsidRPr="007D3DE9" w14:paraId="4695B5DE" w14:textId="77777777" w:rsidTr="00E92F50">
        <w:tc>
          <w:tcPr>
            <w:tcW w:w="0" w:type="auto"/>
            <w:hideMark/>
          </w:tcPr>
          <w:p w14:paraId="55FD5A59" w14:textId="77777777" w:rsidR="00220BB1" w:rsidRPr="007D3DE9" w:rsidRDefault="00220BB1" w:rsidP="007D3DE9">
            <w:pPr>
              <w:spacing w:line="360" w:lineRule="auto"/>
              <w:rPr>
                <w:rFonts w:ascii="Times New Roman" w:eastAsia="Times New Roman" w:hAnsi="Times New Roman" w:cs="Times New Roman"/>
                <w:sz w:val="24"/>
                <w:szCs w:val="24"/>
                <w:lang w:eastAsia="fr-FR"/>
              </w:rPr>
            </w:pPr>
            <w:proofErr w:type="spellStart"/>
            <w:r w:rsidRPr="007D3DE9">
              <w:rPr>
                <w:rFonts w:ascii="Times New Roman" w:eastAsia="Times New Roman" w:hAnsi="Times New Roman" w:cs="Times New Roman"/>
                <w:sz w:val="24"/>
                <w:szCs w:val="24"/>
                <w:lang w:eastAsia="fr-FR"/>
              </w:rPr>
              <w:t>Tokpa-domè</w:t>
            </w:r>
            <w:proofErr w:type="spellEnd"/>
          </w:p>
        </w:tc>
        <w:tc>
          <w:tcPr>
            <w:tcW w:w="3469" w:type="dxa"/>
            <w:hideMark/>
          </w:tcPr>
          <w:p w14:paraId="737FF679" w14:textId="11EFDE97"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8</w:t>
            </w:r>
          </w:p>
        </w:tc>
        <w:tc>
          <w:tcPr>
            <w:tcW w:w="3544" w:type="dxa"/>
            <w:hideMark/>
          </w:tcPr>
          <w:p w14:paraId="0F1F809D" w14:textId="3A3AF623" w:rsidR="00220BB1" w:rsidRPr="007D3DE9" w:rsidRDefault="00220BB1" w:rsidP="007D3DE9">
            <w:pPr>
              <w:spacing w:line="360" w:lineRule="auto"/>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r>
      <w:tr w:rsidR="00220BB1" w:rsidRPr="007D3DE9" w14:paraId="3D8AFFA4" w14:textId="77777777" w:rsidTr="00E92F50">
        <w:tc>
          <w:tcPr>
            <w:tcW w:w="0" w:type="auto"/>
          </w:tcPr>
          <w:p w14:paraId="786ECD47" w14:textId="77777777" w:rsidR="00220BB1" w:rsidRPr="007D3DE9" w:rsidRDefault="00220BB1" w:rsidP="007D3DE9">
            <w:pPr>
              <w:spacing w:line="360" w:lineRule="auto"/>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Total</w:t>
            </w:r>
          </w:p>
        </w:tc>
        <w:tc>
          <w:tcPr>
            <w:tcW w:w="3469" w:type="dxa"/>
          </w:tcPr>
          <w:p w14:paraId="4DC60F82" w14:textId="030167CC"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63</w:t>
            </w:r>
          </w:p>
        </w:tc>
        <w:tc>
          <w:tcPr>
            <w:tcW w:w="3544" w:type="dxa"/>
          </w:tcPr>
          <w:p w14:paraId="424DCBAA" w14:textId="67F7B0BC" w:rsidR="00220BB1" w:rsidRPr="007D3DE9" w:rsidRDefault="00220BB1" w:rsidP="007D3DE9">
            <w:pPr>
              <w:spacing w:line="360" w:lineRule="auto"/>
              <w:jc w:val="center"/>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37</w:t>
            </w:r>
          </w:p>
        </w:tc>
      </w:tr>
    </w:tbl>
    <w:p w14:paraId="187E09FA"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Field surveys, January 2025</w:t>
      </w:r>
    </w:p>
    <w:p w14:paraId="365175AA" w14:textId="026931EF"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Reading Table 5, it appears that women (63%) are more dependent on loans and rentals than men (37%).</w:t>
      </w:r>
    </w:p>
    <w:p w14:paraId="6E1BDD49" w14:textId="7DA5F73B" w:rsidR="00220BB1" w:rsidRPr="007D3DE9" w:rsidRDefault="00220BB1" w:rsidP="007D3DE9">
      <w:pPr>
        <w:spacing w:line="360" w:lineRule="auto"/>
        <w:jc w:val="both"/>
        <w:rPr>
          <w:rFonts w:ascii="Times New Roman" w:hAnsi="Times New Roman" w:cs="Times New Roman"/>
          <w:b/>
          <w:sz w:val="24"/>
          <w:szCs w:val="24"/>
        </w:rPr>
      </w:pPr>
      <w:r w:rsidRPr="007D3DE9">
        <w:rPr>
          <w:rFonts w:ascii="Times New Roman" w:eastAsia="Times New Roman" w:hAnsi="Times New Roman" w:cs="Times New Roman"/>
          <w:sz w:val="24"/>
          <w:szCs w:val="24"/>
          <w:lang w:eastAsia="fr-FR"/>
        </w:rPr>
        <w:lastRenderedPageBreak/>
        <w:t xml:space="preserve">The majority of these arrangements rely on verbal contracts, particularly in rural areas. These verbal contracts dominate loan and lease arrangements, accounting for 83% of the cases recorded. These agreements, often made with family members, heads of households, or neighbors, are based on trust and social </w:t>
      </w:r>
      <w:proofErr w:type="gramStart"/>
      <w:r w:rsidRPr="007D3DE9">
        <w:rPr>
          <w:rFonts w:ascii="Times New Roman" w:eastAsia="Times New Roman" w:hAnsi="Times New Roman" w:cs="Times New Roman"/>
          <w:sz w:val="24"/>
          <w:szCs w:val="24"/>
          <w:lang w:eastAsia="fr-FR"/>
        </w:rPr>
        <w:t>relationships .</w:t>
      </w:r>
      <w:proofErr w:type="gramEnd"/>
      <w:r w:rsidRPr="007D3DE9">
        <w:rPr>
          <w:rFonts w:ascii="Times New Roman" w:eastAsia="Times New Roman" w:hAnsi="Times New Roman" w:cs="Times New Roman"/>
          <w:sz w:val="24"/>
          <w:szCs w:val="24"/>
          <w:lang w:eastAsia="fr-FR"/>
        </w:rPr>
        <w:t xml:space="preserve"> However, they offer limited land security, especially for women. Surveys reveal that 33% of women receiving loans or leases reported insecurity, such as sudden evictions or disputes with landlords. Verbal contracts are particularly precarious for women due to their dependence on the decisions of landlords, who are often male. The women included in the survey reported that their access to land depended on the goodwill of the lender, without any legal guarantee. This precariousness limits their ability to invest in land, for example, in improving agricultural practices or planning for the long term. Figure 4 shows the proportion of verbal and written contracts entered into by gender.</w:t>
      </w:r>
    </w:p>
    <w:p w14:paraId="3E053441" w14:textId="77777777" w:rsidR="00220BB1" w:rsidRPr="007D3DE9" w:rsidRDefault="004E4534"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72576" behindDoc="0" locked="0" layoutInCell="1" allowOverlap="1" wp14:anchorId="11120DE6" wp14:editId="7CABFA81">
            <wp:simplePos x="0" y="0"/>
            <wp:positionH relativeFrom="column">
              <wp:posOffset>109855</wp:posOffset>
            </wp:positionH>
            <wp:positionV relativeFrom="paragraph">
              <wp:posOffset>268605</wp:posOffset>
            </wp:positionV>
            <wp:extent cx="5156200" cy="2533650"/>
            <wp:effectExtent l="0" t="0" r="6350" b="0"/>
            <wp:wrapSquare wrapText="bothSides"/>
            <wp:docPr id="50177" name="Chart 5017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220BB1" w:rsidRPr="007D3DE9">
        <w:rPr>
          <w:rFonts w:ascii="Times New Roman" w:eastAsia="Times New Roman" w:hAnsi="Times New Roman" w:cs="Times New Roman"/>
          <w:b/>
          <w:bCs/>
          <w:sz w:val="24"/>
          <w:szCs w:val="24"/>
          <w:lang w:eastAsia="fr-FR"/>
        </w:rPr>
        <w:t xml:space="preserve">Figure </w:t>
      </w:r>
      <w:proofErr w:type="gramStart"/>
      <w:r w:rsidRPr="007D3DE9">
        <w:rPr>
          <w:rFonts w:ascii="Times New Roman" w:eastAsia="Times New Roman" w:hAnsi="Times New Roman" w:cs="Times New Roman"/>
          <w:sz w:val="24"/>
          <w:szCs w:val="24"/>
          <w:lang w:eastAsia="fr-FR"/>
        </w:rPr>
        <w:t xml:space="preserve">4 </w:t>
      </w:r>
      <w:r w:rsidR="00220BB1" w:rsidRPr="007D3DE9">
        <w:rPr>
          <w:rFonts w:ascii="Times New Roman" w:eastAsia="Times New Roman" w:hAnsi="Times New Roman" w:cs="Times New Roman"/>
          <w:b/>
          <w:bCs/>
          <w:sz w:val="24"/>
          <w:szCs w:val="24"/>
          <w:lang w:eastAsia="fr-FR"/>
        </w:rPr>
        <w:t>:</w:t>
      </w:r>
      <w:proofErr w:type="gramEnd"/>
      <w:r w:rsidR="00220BB1" w:rsidRPr="007D3DE9">
        <w:rPr>
          <w:rFonts w:ascii="Times New Roman" w:eastAsia="Times New Roman" w:hAnsi="Times New Roman" w:cs="Times New Roman"/>
          <w:b/>
          <w:bCs/>
          <w:sz w:val="24"/>
          <w:szCs w:val="24"/>
          <w:lang w:eastAsia="fr-FR"/>
        </w:rPr>
        <w:t xml:space="preserve"> </w:t>
      </w:r>
      <w:r w:rsidR="00220BB1" w:rsidRPr="007D3DE9">
        <w:rPr>
          <w:rFonts w:ascii="Times New Roman" w:eastAsia="Times New Roman" w:hAnsi="Times New Roman" w:cs="Times New Roman"/>
          <w:bCs/>
          <w:sz w:val="24"/>
          <w:szCs w:val="24"/>
          <w:lang w:eastAsia="fr-FR"/>
        </w:rPr>
        <w:t>Proportion of verbal and written contracts entered into by gender</w:t>
      </w:r>
    </w:p>
    <w:p w14:paraId="68B26978" w14:textId="77777777" w:rsidR="00220BB1" w:rsidRPr="007D3DE9" w:rsidRDefault="00220BB1"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proofErr w:type="gramStart"/>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w:t>
      </w:r>
      <w:proofErr w:type="gramEnd"/>
      <w:r w:rsidRPr="007D3DE9">
        <w:rPr>
          <w:rFonts w:ascii="Times New Roman" w:eastAsia="Times New Roman" w:hAnsi="Times New Roman" w:cs="Times New Roman"/>
          <w:iCs/>
          <w:sz w:val="24"/>
          <w:szCs w:val="24"/>
          <w:lang w:eastAsia="fr-FR"/>
        </w:rPr>
        <w:t xml:space="preserve"> Field surveys, January 2024</w:t>
      </w:r>
    </w:p>
    <w:p w14:paraId="1F8501DA" w14:textId="1E688506" w:rsidR="00220BB1" w:rsidRPr="007D3DE9" w:rsidRDefault="00220BB1"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The analysis of figure 4 shows that women (92%) rely more on verbal contracts than men (73%) and have fewer written contracts (8%) than men (27%), which accentuates their land vulnerability compared to men.</w:t>
      </w:r>
    </w:p>
    <w:p w14:paraId="4CA4D931" w14:textId="77777777" w:rsidR="00220BB1" w:rsidRPr="007D3DE9" w:rsidRDefault="00220BB1"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Documents presuming ownership</w:t>
      </w:r>
    </w:p>
    <w:p w14:paraId="6B2D1433" w14:textId="249D4BF0" w:rsidR="00220BB1" w:rsidRPr="007D3DE9" w:rsidRDefault="00220BB1" w:rsidP="007D3DE9">
      <w:pPr>
        <w:spacing w:line="360" w:lineRule="auto"/>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Documents establishing presumed ownership in land law are provisional documents that attest to a person's presumed ownership of a plot of land. These documents are considered tools for securing land tenure because they serve as a guarantee before the finalization of administrative procedures leading to the definitive title deed. Table 6 presents the types of presumed ownership documents held by the individuals selected for the survey, categorized by gender, in the municipality of </w:t>
      </w:r>
      <w:proofErr w:type="spellStart"/>
      <w:proofErr w:type="gram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End"/>
    </w:p>
    <w:p w14:paraId="3B6CDBD8" w14:textId="7261F2DA" w:rsidR="00220BB1" w:rsidRPr="007D3DE9" w:rsidRDefault="00220BB1" w:rsidP="007D3DE9">
      <w:pPr>
        <w:pStyle w:val="ListParagraph"/>
        <w:spacing w:after="0" w:line="360" w:lineRule="auto"/>
        <w:ind w:left="0"/>
        <w:mirrorIndents/>
        <w:jc w:val="both"/>
        <w:rPr>
          <w:rFonts w:ascii="Times New Roman" w:eastAsia="Times New Roman" w:hAnsi="Times New Roman" w:cs="Times New Roman"/>
          <w:kern w:val="0"/>
          <w:sz w:val="24"/>
          <w:szCs w:val="24"/>
          <w:lang w:eastAsia="fr-FR"/>
          <w14:ligatures w14:val="none"/>
        </w:rPr>
      </w:pPr>
      <w:r w:rsidRPr="007D3DE9">
        <w:rPr>
          <w:rFonts w:ascii="Times New Roman" w:eastAsia="Times New Roman" w:hAnsi="Times New Roman" w:cs="Times New Roman"/>
          <w:b/>
          <w:bCs/>
          <w:kern w:val="0"/>
          <w:sz w:val="24"/>
          <w:szCs w:val="24"/>
          <w:lang w:eastAsia="fr-FR"/>
          <w14:ligatures w14:val="none"/>
        </w:rPr>
        <w:lastRenderedPageBreak/>
        <w:t xml:space="preserve">Table 6: </w:t>
      </w:r>
      <w:r w:rsidRPr="007D3DE9">
        <w:rPr>
          <w:rFonts w:ascii="Times New Roman" w:eastAsia="Times New Roman" w:hAnsi="Times New Roman" w:cs="Times New Roman"/>
          <w:bCs/>
          <w:kern w:val="0"/>
          <w:sz w:val="24"/>
          <w:szCs w:val="24"/>
          <w:lang w:eastAsia="fr-FR"/>
          <w14:ligatures w14:val="none"/>
        </w:rPr>
        <w:t>Types of presumptive ownership documents by genre</w:t>
      </w:r>
    </w:p>
    <w:tbl>
      <w:tblPr>
        <w:tblStyle w:val="TableGrid"/>
        <w:tblW w:w="8217" w:type="dxa"/>
        <w:tblLook w:val="04A0" w:firstRow="1" w:lastRow="0" w:firstColumn="1" w:lastColumn="0" w:noHBand="0" w:noVBand="1"/>
      </w:tblPr>
      <w:tblGrid>
        <w:gridCol w:w="4815"/>
        <w:gridCol w:w="1784"/>
        <w:gridCol w:w="1618"/>
      </w:tblGrid>
      <w:tr w:rsidR="00220BB1" w:rsidRPr="007D3DE9" w14:paraId="01FD291B"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5A3AB5EC" w14:textId="69B4460F" w:rsidR="00220BB1" w:rsidRPr="007D3DE9" w:rsidRDefault="00220BB1" w:rsidP="007D3DE9">
            <w:pPr>
              <w:pStyle w:val="ListParagraph"/>
              <w:spacing w:line="360" w:lineRule="auto"/>
              <w:ind w:left="29"/>
              <w:mirrorIndents/>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Document types</w:t>
            </w:r>
          </w:p>
        </w:tc>
        <w:tc>
          <w:tcPr>
            <w:tcW w:w="1784" w:type="dxa"/>
            <w:tcBorders>
              <w:top w:val="single" w:sz="4" w:space="0" w:color="auto"/>
              <w:left w:val="single" w:sz="4" w:space="0" w:color="auto"/>
              <w:bottom w:val="single" w:sz="4" w:space="0" w:color="auto"/>
              <w:right w:val="single" w:sz="4" w:space="0" w:color="auto"/>
            </w:tcBorders>
            <w:hideMark/>
          </w:tcPr>
          <w:p w14:paraId="19621161" w14:textId="7670110D" w:rsidR="00220BB1" w:rsidRPr="007D3DE9" w:rsidRDefault="00220BB1" w:rsidP="007D3DE9">
            <w:pPr>
              <w:spacing w:line="360" w:lineRule="auto"/>
              <w:mirrorIndents/>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Women (%)</w:t>
            </w:r>
          </w:p>
        </w:tc>
        <w:tc>
          <w:tcPr>
            <w:tcW w:w="1618" w:type="dxa"/>
            <w:tcBorders>
              <w:top w:val="single" w:sz="4" w:space="0" w:color="auto"/>
              <w:left w:val="single" w:sz="4" w:space="0" w:color="auto"/>
              <w:bottom w:val="single" w:sz="4" w:space="0" w:color="auto"/>
              <w:right w:val="single" w:sz="4" w:space="0" w:color="auto"/>
            </w:tcBorders>
            <w:hideMark/>
          </w:tcPr>
          <w:p w14:paraId="62416644" w14:textId="0879678C" w:rsidR="00843539" w:rsidRPr="007D3DE9" w:rsidRDefault="00220BB1" w:rsidP="007D3DE9">
            <w:pPr>
              <w:spacing w:line="360" w:lineRule="auto"/>
              <w:mirrorIndents/>
              <w:rPr>
                <w:rFonts w:ascii="Times New Roman" w:eastAsia="Times New Roman" w:hAnsi="Times New Roman" w:cs="Times New Roman"/>
                <w:b/>
                <w:bCs/>
                <w:sz w:val="24"/>
                <w:szCs w:val="24"/>
                <w:lang w:eastAsia="fr-FR"/>
              </w:rPr>
            </w:pPr>
            <w:r w:rsidRPr="007D3DE9">
              <w:rPr>
                <w:rFonts w:ascii="Times New Roman" w:eastAsia="Times New Roman" w:hAnsi="Times New Roman" w:cs="Times New Roman"/>
                <w:b/>
                <w:bCs/>
                <w:sz w:val="24"/>
                <w:szCs w:val="24"/>
                <w:lang w:eastAsia="fr-FR"/>
              </w:rPr>
              <w:t>Men (%)</w:t>
            </w:r>
          </w:p>
        </w:tc>
      </w:tr>
      <w:tr w:rsidR="00220BB1" w:rsidRPr="007D3DE9" w14:paraId="3001AA06"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681EA196"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ADC (Certificate of Customary Detention)</w:t>
            </w:r>
          </w:p>
        </w:tc>
        <w:tc>
          <w:tcPr>
            <w:tcW w:w="1784" w:type="dxa"/>
            <w:tcBorders>
              <w:top w:val="single" w:sz="4" w:space="0" w:color="auto"/>
              <w:left w:val="single" w:sz="4" w:space="0" w:color="auto"/>
              <w:bottom w:val="single" w:sz="4" w:space="0" w:color="auto"/>
              <w:right w:val="single" w:sz="4" w:space="0" w:color="auto"/>
            </w:tcBorders>
            <w:hideMark/>
          </w:tcPr>
          <w:p w14:paraId="7A29DAD9" w14:textId="4176ED7C"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05</w:t>
            </w:r>
          </w:p>
        </w:tc>
        <w:tc>
          <w:tcPr>
            <w:tcW w:w="1618" w:type="dxa"/>
            <w:tcBorders>
              <w:top w:val="single" w:sz="4" w:space="0" w:color="auto"/>
              <w:left w:val="single" w:sz="4" w:space="0" w:color="auto"/>
              <w:bottom w:val="single" w:sz="4" w:space="0" w:color="auto"/>
              <w:right w:val="single" w:sz="4" w:space="0" w:color="auto"/>
            </w:tcBorders>
            <w:hideMark/>
          </w:tcPr>
          <w:p w14:paraId="32BDA221" w14:textId="0A8189D6"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28</w:t>
            </w:r>
          </w:p>
        </w:tc>
      </w:tr>
      <w:tr w:rsidR="00220BB1" w:rsidRPr="007D3DE9" w14:paraId="73141970"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4AE48072"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Sales agreement</w:t>
            </w:r>
          </w:p>
        </w:tc>
        <w:tc>
          <w:tcPr>
            <w:tcW w:w="1784" w:type="dxa"/>
            <w:tcBorders>
              <w:top w:val="single" w:sz="4" w:space="0" w:color="auto"/>
              <w:left w:val="single" w:sz="4" w:space="0" w:color="auto"/>
              <w:bottom w:val="single" w:sz="4" w:space="0" w:color="auto"/>
              <w:right w:val="single" w:sz="4" w:space="0" w:color="auto"/>
            </w:tcBorders>
            <w:hideMark/>
          </w:tcPr>
          <w:p w14:paraId="3B206E34" w14:textId="26919DC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03</w:t>
            </w:r>
          </w:p>
        </w:tc>
        <w:tc>
          <w:tcPr>
            <w:tcW w:w="1618" w:type="dxa"/>
            <w:tcBorders>
              <w:top w:val="single" w:sz="4" w:space="0" w:color="auto"/>
              <w:left w:val="single" w:sz="4" w:space="0" w:color="auto"/>
              <w:bottom w:val="single" w:sz="4" w:space="0" w:color="auto"/>
              <w:right w:val="single" w:sz="4" w:space="0" w:color="auto"/>
            </w:tcBorders>
            <w:hideMark/>
          </w:tcPr>
          <w:p w14:paraId="6630A418" w14:textId="3B5E9643"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22</w:t>
            </w:r>
          </w:p>
        </w:tc>
      </w:tr>
      <w:tr w:rsidR="00220BB1" w:rsidRPr="007D3DE9" w14:paraId="06920737" w14:textId="77777777" w:rsidTr="0051426D">
        <w:tc>
          <w:tcPr>
            <w:tcW w:w="4815" w:type="dxa"/>
            <w:tcBorders>
              <w:top w:val="single" w:sz="4" w:space="0" w:color="auto"/>
              <w:left w:val="single" w:sz="4" w:space="0" w:color="auto"/>
              <w:bottom w:val="single" w:sz="4" w:space="0" w:color="auto"/>
              <w:right w:val="single" w:sz="4" w:space="0" w:color="auto"/>
            </w:tcBorders>
          </w:tcPr>
          <w:p w14:paraId="6520CD07"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Dump</w:t>
            </w:r>
          </w:p>
        </w:tc>
        <w:tc>
          <w:tcPr>
            <w:tcW w:w="1784" w:type="dxa"/>
            <w:tcBorders>
              <w:top w:val="single" w:sz="4" w:space="0" w:color="auto"/>
              <w:left w:val="single" w:sz="4" w:space="0" w:color="auto"/>
              <w:bottom w:val="single" w:sz="4" w:space="0" w:color="auto"/>
              <w:right w:val="single" w:sz="4" w:space="0" w:color="auto"/>
            </w:tcBorders>
          </w:tcPr>
          <w:p w14:paraId="366682C0" w14:textId="36B7604E"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33</w:t>
            </w:r>
          </w:p>
        </w:tc>
        <w:tc>
          <w:tcPr>
            <w:tcW w:w="1618" w:type="dxa"/>
            <w:tcBorders>
              <w:top w:val="single" w:sz="4" w:space="0" w:color="auto"/>
              <w:left w:val="single" w:sz="4" w:space="0" w:color="auto"/>
              <w:bottom w:val="single" w:sz="4" w:space="0" w:color="auto"/>
              <w:right w:val="single" w:sz="4" w:space="0" w:color="auto"/>
            </w:tcBorders>
          </w:tcPr>
          <w:p w14:paraId="15B2C73C" w14:textId="33F6739E"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17</w:t>
            </w:r>
          </w:p>
        </w:tc>
      </w:tr>
      <w:tr w:rsidR="00220BB1" w:rsidRPr="007D3DE9" w14:paraId="3D7E41B8" w14:textId="77777777" w:rsidTr="0051426D">
        <w:tc>
          <w:tcPr>
            <w:tcW w:w="4815" w:type="dxa"/>
            <w:tcBorders>
              <w:top w:val="single" w:sz="4" w:space="0" w:color="auto"/>
              <w:left w:val="single" w:sz="4" w:space="0" w:color="auto"/>
              <w:bottom w:val="single" w:sz="4" w:space="0" w:color="auto"/>
              <w:right w:val="single" w:sz="4" w:space="0" w:color="auto"/>
            </w:tcBorders>
          </w:tcPr>
          <w:p w14:paraId="2B2B8839"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certificate of relocation</w:t>
            </w:r>
          </w:p>
        </w:tc>
        <w:tc>
          <w:tcPr>
            <w:tcW w:w="1784" w:type="dxa"/>
            <w:tcBorders>
              <w:top w:val="single" w:sz="4" w:space="0" w:color="auto"/>
              <w:left w:val="single" w:sz="4" w:space="0" w:color="auto"/>
              <w:bottom w:val="single" w:sz="4" w:space="0" w:color="auto"/>
              <w:right w:val="single" w:sz="4" w:space="0" w:color="auto"/>
            </w:tcBorders>
          </w:tcPr>
          <w:p w14:paraId="4015B1DF" w14:textId="7777777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1B559693" w14:textId="10BE41BA"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10</w:t>
            </w:r>
          </w:p>
        </w:tc>
      </w:tr>
      <w:tr w:rsidR="00220BB1" w:rsidRPr="007D3DE9" w14:paraId="50068B14" w14:textId="77777777" w:rsidTr="0051426D">
        <w:tc>
          <w:tcPr>
            <w:tcW w:w="4815" w:type="dxa"/>
            <w:tcBorders>
              <w:top w:val="single" w:sz="4" w:space="0" w:color="auto"/>
              <w:left w:val="single" w:sz="4" w:space="0" w:color="auto"/>
              <w:bottom w:val="single" w:sz="4" w:space="0" w:color="auto"/>
              <w:right w:val="single" w:sz="4" w:space="0" w:color="auto"/>
            </w:tcBorders>
          </w:tcPr>
          <w:p w14:paraId="2FAC1227"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tax assessments for the last three years</w:t>
            </w:r>
          </w:p>
        </w:tc>
        <w:tc>
          <w:tcPr>
            <w:tcW w:w="1784" w:type="dxa"/>
            <w:tcBorders>
              <w:top w:val="single" w:sz="4" w:space="0" w:color="auto"/>
              <w:left w:val="single" w:sz="4" w:space="0" w:color="auto"/>
              <w:bottom w:val="single" w:sz="4" w:space="0" w:color="auto"/>
              <w:right w:val="single" w:sz="4" w:space="0" w:color="auto"/>
            </w:tcBorders>
          </w:tcPr>
          <w:p w14:paraId="774121A1" w14:textId="7777777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18B417ED" w14:textId="77777777" w:rsidR="00220BB1" w:rsidRPr="007D3DE9" w:rsidRDefault="00220BB1" w:rsidP="007D3DE9">
            <w:pPr>
              <w:pStyle w:val="ListParagraph"/>
              <w:spacing w:line="360" w:lineRule="auto"/>
              <w:mirrorIndents/>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67B6FCCF" w14:textId="77777777" w:rsidTr="0051426D">
        <w:tc>
          <w:tcPr>
            <w:tcW w:w="4815" w:type="dxa"/>
            <w:tcBorders>
              <w:top w:val="single" w:sz="4" w:space="0" w:color="auto"/>
              <w:left w:val="single" w:sz="4" w:space="0" w:color="auto"/>
              <w:bottom w:val="single" w:sz="4" w:space="0" w:color="auto"/>
              <w:right w:val="single" w:sz="4" w:space="0" w:color="auto"/>
            </w:tcBorders>
          </w:tcPr>
          <w:p w14:paraId="26127002"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registration certificate</w:t>
            </w:r>
          </w:p>
        </w:tc>
        <w:tc>
          <w:tcPr>
            <w:tcW w:w="1784" w:type="dxa"/>
            <w:tcBorders>
              <w:top w:val="single" w:sz="4" w:space="0" w:color="auto"/>
              <w:left w:val="single" w:sz="4" w:space="0" w:color="auto"/>
              <w:bottom w:val="single" w:sz="4" w:space="0" w:color="auto"/>
              <w:right w:val="single" w:sz="4" w:space="0" w:color="auto"/>
            </w:tcBorders>
          </w:tcPr>
          <w:p w14:paraId="2C5FCC3A"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722A9C31"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0EFC470A" w14:textId="77777777" w:rsidTr="0051426D">
        <w:tc>
          <w:tcPr>
            <w:tcW w:w="4815" w:type="dxa"/>
            <w:tcBorders>
              <w:top w:val="single" w:sz="4" w:space="0" w:color="auto"/>
              <w:left w:val="single" w:sz="4" w:space="0" w:color="auto"/>
              <w:bottom w:val="single" w:sz="4" w:space="0" w:color="auto"/>
              <w:right w:val="single" w:sz="4" w:space="0" w:color="auto"/>
            </w:tcBorders>
          </w:tcPr>
          <w:p w14:paraId="720D7886"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administrative certificate</w:t>
            </w:r>
          </w:p>
        </w:tc>
        <w:tc>
          <w:tcPr>
            <w:tcW w:w="1784" w:type="dxa"/>
            <w:tcBorders>
              <w:top w:val="single" w:sz="4" w:space="0" w:color="auto"/>
              <w:left w:val="single" w:sz="4" w:space="0" w:color="auto"/>
              <w:bottom w:val="single" w:sz="4" w:space="0" w:color="auto"/>
              <w:right w:val="single" w:sz="4" w:space="0" w:color="auto"/>
            </w:tcBorders>
          </w:tcPr>
          <w:p w14:paraId="09D59908"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625C6E31"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4FE42732" w14:textId="77777777" w:rsidTr="0051426D">
        <w:tc>
          <w:tcPr>
            <w:tcW w:w="4815" w:type="dxa"/>
            <w:tcBorders>
              <w:top w:val="single" w:sz="4" w:space="0" w:color="auto"/>
              <w:left w:val="single" w:sz="4" w:space="0" w:color="auto"/>
              <w:bottom w:val="single" w:sz="4" w:space="0" w:color="auto"/>
              <w:right w:val="single" w:sz="4" w:space="0" w:color="auto"/>
            </w:tcBorders>
          </w:tcPr>
          <w:p w14:paraId="7F3DFA0F"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rural land certificate</w:t>
            </w:r>
          </w:p>
        </w:tc>
        <w:tc>
          <w:tcPr>
            <w:tcW w:w="1784" w:type="dxa"/>
            <w:tcBorders>
              <w:top w:val="single" w:sz="4" w:space="0" w:color="auto"/>
              <w:left w:val="single" w:sz="4" w:space="0" w:color="auto"/>
              <w:bottom w:val="single" w:sz="4" w:space="0" w:color="auto"/>
              <w:right w:val="single" w:sz="4" w:space="0" w:color="auto"/>
            </w:tcBorders>
          </w:tcPr>
          <w:p w14:paraId="07AF10D5"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c>
          <w:tcPr>
            <w:tcW w:w="1618" w:type="dxa"/>
            <w:tcBorders>
              <w:top w:val="single" w:sz="4" w:space="0" w:color="auto"/>
              <w:left w:val="single" w:sz="4" w:space="0" w:color="auto"/>
              <w:bottom w:val="single" w:sz="4" w:space="0" w:color="auto"/>
              <w:right w:val="single" w:sz="4" w:space="0" w:color="auto"/>
            </w:tcBorders>
          </w:tcPr>
          <w:p w14:paraId="622566C3"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w:t>
            </w:r>
          </w:p>
        </w:tc>
      </w:tr>
      <w:tr w:rsidR="00220BB1" w:rsidRPr="007D3DE9" w14:paraId="20222FDB" w14:textId="77777777" w:rsidTr="0051426D">
        <w:tc>
          <w:tcPr>
            <w:tcW w:w="4815" w:type="dxa"/>
            <w:tcBorders>
              <w:top w:val="single" w:sz="4" w:space="0" w:color="auto"/>
              <w:left w:val="single" w:sz="4" w:space="0" w:color="auto"/>
              <w:bottom w:val="single" w:sz="4" w:space="0" w:color="auto"/>
              <w:right w:val="single" w:sz="4" w:space="0" w:color="auto"/>
            </w:tcBorders>
            <w:hideMark/>
          </w:tcPr>
          <w:p w14:paraId="7EC099A1" w14:textId="77777777" w:rsidR="00220BB1" w:rsidRPr="007D3DE9" w:rsidRDefault="00220BB1" w:rsidP="007D3DE9">
            <w:pPr>
              <w:pStyle w:val="ListParagraph"/>
              <w:spacing w:line="360" w:lineRule="auto"/>
              <w:ind w:left="29"/>
              <w:mirrorIndents/>
              <w:rPr>
                <w:rFonts w:ascii="Times New Roman" w:eastAsia="Times New Roman" w:hAnsi="Times New Roman" w:cs="Times New Roman"/>
                <w:b/>
                <w:sz w:val="24"/>
                <w:szCs w:val="24"/>
                <w:lang w:eastAsia="fr-FR"/>
              </w:rPr>
            </w:pPr>
            <w:r w:rsidRPr="007D3DE9">
              <w:rPr>
                <w:rFonts w:ascii="Times New Roman" w:eastAsia="Times New Roman" w:hAnsi="Times New Roman" w:cs="Times New Roman"/>
                <w:b/>
                <w:sz w:val="24"/>
                <w:szCs w:val="24"/>
                <w:lang w:eastAsia="fr-FR"/>
              </w:rPr>
              <w:t>No document</w:t>
            </w:r>
          </w:p>
        </w:tc>
        <w:tc>
          <w:tcPr>
            <w:tcW w:w="1784" w:type="dxa"/>
            <w:tcBorders>
              <w:top w:val="single" w:sz="4" w:space="0" w:color="auto"/>
              <w:left w:val="single" w:sz="4" w:space="0" w:color="auto"/>
              <w:bottom w:val="single" w:sz="4" w:space="0" w:color="auto"/>
              <w:right w:val="single" w:sz="4" w:space="0" w:color="auto"/>
            </w:tcBorders>
            <w:hideMark/>
          </w:tcPr>
          <w:p w14:paraId="3DD2A7FB" w14:textId="6DEC416D"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59</w:t>
            </w:r>
          </w:p>
        </w:tc>
        <w:tc>
          <w:tcPr>
            <w:tcW w:w="1618" w:type="dxa"/>
            <w:tcBorders>
              <w:top w:val="single" w:sz="4" w:space="0" w:color="auto"/>
              <w:left w:val="single" w:sz="4" w:space="0" w:color="auto"/>
              <w:bottom w:val="single" w:sz="4" w:space="0" w:color="auto"/>
              <w:right w:val="single" w:sz="4" w:space="0" w:color="auto"/>
            </w:tcBorders>
            <w:hideMark/>
          </w:tcPr>
          <w:p w14:paraId="558310A3" w14:textId="77777777" w:rsidR="00220BB1" w:rsidRPr="007D3DE9" w:rsidRDefault="00220BB1" w:rsidP="007D3DE9">
            <w:pPr>
              <w:pStyle w:val="ListParagraph"/>
              <w:spacing w:line="360" w:lineRule="auto"/>
              <w:mirrorIndents/>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23</w:t>
            </w:r>
          </w:p>
        </w:tc>
      </w:tr>
    </w:tbl>
    <w:p w14:paraId="03ACD414" w14:textId="022BF899" w:rsidR="0051426D" w:rsidRPr="007D3DE9" w:rsidRDefault="0051426D" w:rsidP="007D3DE9">
      <w:pPr>
        <w:pStyle w:val="ListParagraph"/>
        <w:spacing w:after="0" w:line="360" w:lineRule="auto"/>
        <w:ind w:left="0"/>
        <w:mirrorIndents/>
        <w:jc w:val="both"/>
        <w:rPr>
          <w:rFonts w:ascii="Times New Roman" w:eastAsia="Times New Roman" w:hAnsi="Times New Roman" w:cs="Times New Roman"/>
          <w:b/>
          <w:kern w:val="0"/>
          <w:sz w:val="24"/>
          <w:szCs w:val="24"/>
          <w:lang w:eastAsia="fr-FR"/>
          <w14:ligatures w14:val="none"/>
        </w:rPr>
      </w:pPr>
      <w:r w:rsidRPr="007D3DE9">
        <w:rPr>
          <w:rFonts w:ascii="Times New Roman" w:eastAsia="Times New Roman" w:hAnsi="Times New Roman" w:cs="Times New Roman"/>
          <w:b/>
          <w:kern w:val="0"/>
          <w:sz w:val="24"/>
          <w:szCs w:val="24"/>
          <w:lang w:eastAsia="fr-FR"/>
          <w14:ligatures w14:val="none"/>
        </w:rPr>
        <w:t>*</w:t>
      </w:r>
      <w:proofErr w:type="gramStart"/>
      <w:r w:rsidRPr="007D3DE9">
        <w:rPr>
          <w:rFonts w:ascii="Times New Roman" w:eastAsia="Times New Roman" w:hAnsi="Times New Roman" w:cs="Times New Roman"/>
          <w:b/>
          <w:kern w:val="0"/>
          <w:sz w:val="24"/>
          <w:szCs w:val="24"/>
          <w:lang w:eastAsia="fr-FR"/>
          <w14:ligatures w14:val="none"/>
        </w:rPr>
        <w:t>- :</w:t>
      </w:r>
      <w:proofErr w:type="gramEnd"/>
      <w:r w:rsidRPr="007D3DE9">
        <w:rPr>
          <w:rFonts w:ascii="Times New Roman" w:eastAsia="Times New Roman" w:hAnsi="Times New Roman" w:cs="Times New Roman"/>
          <w:b/>
          <w:kern w:val="0"/>
          <w:sz w:val="24"/>
          <w:szCs w:val="24"/>
          <w:lang w:eastAsia="fr-FR"/>
          <w14:ligatures w14:val="none"/>
        </w:rPr>
        <w:t xml:space="preserve"> </w:t>
      </w:r>
      <w:r w:rsidRPr="007D3DE9">
        <w:rPr>
          <w:rFonts w:ascii="Times New Roman" w:eastAsia="Times New Roman" w:hAnsi="Times New Roman" w:cs="Times New Roman"/>
          <w:kern w:val="0"/>
          <w:sz w:val="24"/>
          <w:szCs w:val="24"/>
          <w:lang w:eastAsia="fr-FR"/>
          <w14:ligatures w14:val="none"/>
        </w:rPr>
        <w:t>Nothing</w:t>
      </w:r>
    </w:p>
    <w:p w14:paraId="5A92BAF3" w14:textId="6DD9A181" w:rsidR="00220BB1" w:rsidRPr="007D3DE9" w:rsidRDefault="00220BB1" w:rsidP="007D3DE9">
      <w:pPr>
        <w:pStyle w:val="ListParagraph"/>
        <w:spacing w:after="0" w:line="360" w:lineRule="auto"/>
        <w:ind w:left="0"/>
        <w:mirrorIndents/>
        <w:jc w:val="center"/>
        <w:rPr>
          <w:rFonts w:ascii="Times New Roman" w:eastAsia="Times New Roman" w:hAnsi="Times New Roman" w:cs="Times New Roman"/>
          <w:kern w:val="0"/>
          <w:sz w:val="24"/>
          <w:szCs w:val="24"/>
          <w:lang w:eastAsia="fr-FR"/>
          <w14:ligatures w14:val="none"/>
        </w:rPr>
      </w:pPr>
      <w:r w:rsidRPr="007D3DE9">
        <w:rPr>
          <w:rFonts w:ascii="Times New Roman" w:eastAsia="Times New Roman" w:hAnsi="Times New Roman" w:cs="Times New Roman"/>
          <w:b/>
          <w:kern w:val="0"/>
          <w:sz w:val="24"/>
          <w:szCs w:val="24"/>
          <w:lang w:eastAsia="fr-FR"/>
          <w14:ligatures w14:val="none"/>
        </w:rPr>
        <w:t xml:space="preserve">Source: </w:t>
      </w:r>
      <w:r w:rsidRPr="007D3DE9">
        <w:rPr>
          <w:rFonts w:ascii="Times New Roman" w:eastAsia="Times New Roman" w:hAnsi="Times New Roman" w:cs="Times New Roman"/>
          <w:kern w:val="0"/>
          <w:sz w:val="24"/>
          <w:szCs w:val="24"/>
          <w:lang w:eastAsia="fr-FR"/>
          <w14:ligatures w14:val="none"/>
        </w:rPr>
        <w:t>Field survey results, January 2024</w:t>
      </w:r>
    </w:p>
    <w:p w14:paraId="5115D344" w14:textId="77777777" w:rsidR="0051426D" w:rsidRPr="007D3DE9" w:rsidRDefault="0051426D" w:rsidP="007D3DE9">
      <w:pPr>
        <w:pStyle w:val="ListParagraph"/>
        <w:spacing w:after="0" w:line="360" w:lineRule="auto"/>
        <w:ind w:left="0"/>
        <w:mirrorIndents/>
        <w:jc w:val="center"/>
        <w:rPr>
          <w:rFonts w:ascii="Times New Roman" w:eastAsia="Times New Roman" w:hAnsi="Times New Roman" w:cs="Times New Roman"/>
          <w:kern w:val="0"/>
          <w:sz w:val="24"/>
          <w:szCs w:val="24"/>
          <w:lang w:eastAsia="fr-FR"/>
          <w14:ligatures w14:val="none"/>
        </w:rPr>
      </w:pPr>
    </w:p>
    <w:p w14:paraId="4A1AE6AD" w14:textId="7CF56967" w:rsidR="00220BB1" w:rsidRPr="007D3DE9" w:rsidRDefault="00220BB1" w:rsidP="007D3DE9">
      <w:pPr>
        <w:pStyle w:val="ListParagraph"/>
        <w:spacing w:before="240" w:after="0" w:line="360" w:lineRule="auto"/>
        <w:ind w:left="0"/>
        <w:mirrorIndents/>
        <w:jc w:val="both"/>
        <w:rPr>
          <w:rFonts w:ascii="Times New Roman" w:eastAsia="Times New Roman" w:hAnsi="Times New Roman" w:cs="Times New Roman"/>
          <w:kern w:val="0"/>
          <w:sz w:val="24"/>
          <w:szCs w:val="24"/>
          <w:lang w:eastAsia="fr-FR"/>
          <w14:ligatures w14:val="none"/>
        </w:rPr>
      </w:pPr>
      <w:r w:rsidRPr="007D3DE9">
        <w:rPr>
          <w:rFonts w:ascii="Times New Roman" w:eastAsia="Times New Roman" w:hAnsi="Times New Roman" w:cs="Times New Roman"/>
          <w:kern w:val="0"/>
          <w:sz w:val="24"/>
          <w:szCs w:val="24"/>
          <w:lang w:eastAsia="fr-FR"/>
          <w14:ligatures w14:val="none"/>
        </w:rPr>
        <w:t>Analysis of Table 6 reveals that women possess only land discharges (33%), sales agreements (3 %), and land title deeds (5%) as documents presuming land ownership, making them more vulnerable in the event of conflict. The only document</w:t>
      </w:r>
      <w:r w:rsidRPr="007D3DE9">
        <w:rPr>
          <w:rFonts w:ascii="Times New Roman" w:hAnsi="Times New Roman" w:cs="Times New Roman"/>
          <w:sz w:val="24"/>
          <w:szCs w:val="24"/>
        </w:rPr>
        <w:t xml:space="preserve"> </w:t>
      </w:r>
      <w:proofErr w:type="gramStart"/>
      <w:r w:rsidRPr="007D3DE9">
        <w:rPr>
          <w:rFonts w:ascii="Times New Roman" w:eastAsia="Times New Roman" w:hAnsi="Times New Roman" w:cs="Times New Roman"/>
          <w:kern w:val="0"/>
          <w:sz w:val="24"/>
          <w:szCs w:val="24"/>
          <w:lang w:eastAsia="fr-FR"/>
          <w14:ligatures w14:val="none"/>
        </w:rPr>
        <w:t>The</w:t>
      </w:r>
      <w:proofErr w:type="gramEnd"/>
      <w:r w:rsidRPr="007D3DE9">
        <w:rPr>
          <w:rFonts w:ascii="Times New Roman" w:eastAsia="Times New Roman" w:hAnsi="Times New Roman" w:cs="Times New Roman"/>
          <w:kern w:val="0"/>
          <w:sz w:val="24"/>
          <w:szCs w:val="24"/>
          <w:lang w:eastAsia="fr-FR"/>
          <w14:ligatures w14:val="none"/>
        </w:rPr>
        <w:t xml:space="preserve"> formal document of presumed ownership identified at their level is the ADC (Attestation de </w:t>
      </w:r>
      <w:proofErr w:type="spellStart"/>
      <w:r w:rsidRPr="007D3DE9">
        <w:rPr>
          <w:rFonts w:ascii="Times New Roman" w:eastAsia="Times New Roman" w:hAnsi="Times New Roman" w:cs="Times New Roman"/>
          <w:kern w:val="0"/>
          <w:sz w:val="24"/>
          <w:szCs w:val="24"/>
          <w:lang w:eastAsia="fr-FR"/>
          <w14:ligatures w14:val="none"/>
        </w:rPr>
        <w:t>Consommation</w:t>
      </w:r>
      <w:proofErr w:type="spellEnd"/>
      <w:r w:rsidRPr="007D3DE9">
        <w:rPr>
          <w:rFonts w:ascii="Times New Roman" w:eastAsia="Times New Roman" w:hAnsi="Times New Roman" w:cs="Times New Roman"/>
          <w:kern w:val="0"/>
          <w:sz w:val="24"/>
          <w:szCs w:val="24"/>
          <w:lang w:eastAsia="fr-FR"/>
          <w14:ligatures w14:val="none"/>
        </w:rPr>
        <w:t xml:space="preserve"> de Commune - Certificate of Consumption of Ownership). In contrast, men hold ADCs (28%) and resettlement certificates (10%) as formal documents. They also hold unofficial documents such as discharges (17%) and sales agreements (22%). It should be noted that 59% of women hold no documents, compared to 23 % of men. Documents of presumed ownership, although inferior to property titles in terms of legal value, offer temporary recognition of rights, particularly in a context where few plots of land in the </w:t>
      </w:r>
      <w:proofErr w:type="spellStart"/>
      <w:r w:rsidRPr="007D3DE9">
        <w:rPr>
          <w:rFonts w:ascii="Times New Roman" w:eastAsia="Times New Roman" w:hAnsi="Times New Roman" w:cs="Times New Roman"/>
          <w:kern w:val="0"/>
          <w:sz w:val="24"/>
          <w:szCs w:val="24"/>
          <w:lang w:eastAsia="fr-FR"/>
          <w14:ligatures w14:val="none"/>
        </w:rPr>
        <w:t>Kpomassè</w:t>
      </w:r>
      <w:proofErr w:type="spellEnd"/>
      <w:r w:rsidRPr="007D3DE9">
        <w:rPr>
          <w:rFonts w:ascii="Times New Roman" w:eastAsia="Times New Roman" w:hAnsi="Times New Roman" w:cs="Times New Roman"/>
          <w:kern w:val="0"/>
          <w:sz w:val="24"/>
          <w:szCs w:val="24"/>
          <w:lang w:eastAsia="fr-FR"/>
          <w14:ligatures w14:val="none"/>
        </w:rPr>
        <w:t xml:space="preserve"> commune </w:t>
      </w:r>
      <w:r w:rsidR="00E56E2E" w:rsidRPr="007D3DE9">
        <w:rPr>
          <w:rFonts w:ascii="Times New Roman" w:eastAsia="Times New Roman" w:hAnsi="Times New Roman" w:cs="Times New Roman"/>
          <w:kern w:val="0"/>
          <w:sz w:val="24"/>
          <w:szCs w:val="24"/>
          <w:lang w:eastAsia="fr-FR"/>
          <w14:ligatures w14:val="none"/>
        </w:rPr>
        <w:t>are titled.</w:t>
      </w:r>
    </w:p>
    <w:p w14:paraId="051051FE" w14:textId="77777777" w:rsidR="00B55576" w:rsidRPr="007D3DE9" w:rsidRDefault="006D7ADA" w:rsidP="007D3DE9">
      <w:pPr>
        <w:pStyle w:val="ListParagraph"/>
        <w:numPr>
          <w:ilvl w:val="1"/>
          <w:numId w:val="5"/>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Socio-cultural and economic obstacles to women's access to land</w:t>
      </w:r>
    </w:p>
    <w:p w14:paraId="5E263A43" w14:textId="77777777" w:rsidR="00220BB1" w:rsidRPr="007D3DE9" w:rsidRDefault="00B55576" w:rsidP="007D3DE9">
      <w:pPr>
        <w:pStyle w:val="ListParagraph"/>
        <w:numPr>
          <w:ilvl w:val="2"/>
          <w:numId w:val="6"/>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Discriminatory social and cultural norms</w:t>
      </w:r>
    </w:p>
    <w:p w14:paraId="7B9616FF" w14:textId="1B96F008" w:rsidR="00B55576" w:rsidRPr="007D3DE9" w:rsidRDefault="00B55576"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In the commune of </w:t>
      </w:r>
      <w:proofErr w:type="spellStart"/>
      <w:proofErr w:type="gram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End"/>
      <w:r w:rsidRPr="007D3DE9">
        <w:rPr>
          <w:rFonts w:ascii="Times New Roman" w:eastAsia="Times New Roman" w:hAnsi="Times New Roman" w:cs="Times New Roman"/>
          <w:sz w:val="24"/>
          <w:szCs w:val="24"/>
          <w:lang w:eastAsia="fr-FR"/>
        </w:rPr>
        <w:t xml:space="preserve"> inheritance practices based on the patriarchal system largely exclude women from land inheritance rights, thus marginalizing them in terms of access to land. These norms, rooted in the traditions of the socio-cultural communities in the study area, favor the transmission of land to male heirs, relegating women to dependent roles. Traditional practices dominate, with 82% of respondents stating that land is primarily passed down to male children in the lineage. Women, particularly daughters and widows, are often excluded, except </w:t>
      </w:r>
      <w:r w:rsidRPr="007D3DE9">
        <w:rPr>
          <w:rFonts w:ascii="Times New Roman" w:eastAsia="Times New Roman" w:hAnsi="Times New Roman" w:cs="Times New Roman"/>
          <w:sz w:val="24"/>
          <w:szCs w:val="24"/>
          <w:lang w:eastAsia="fr-FR"/>
        </w:rPr>
        <w:lastRenderedPageBreak/>
        <w:t xml:space="preserve">in cases where they obtain temporary access through their husbands or fathers. Figure 5 illustrates the impacts of inheritance exclusion on women in the commune of </w:t>
      </w:r>
      <w:proofErr w:type="spellStart"/>
      <w:proofErr w:type="gram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w:t>
      </w:r>
      <w:proofErr w:type="gramEnd"/>
    </w:p>
    <w:p w14:paraId="47FD1BBD" w14:textId="52853D33" w:rsidR="00B55576" w:rsidRPr="007D3DE9" w:rsidRDefault="0051426D" w:rsidP="007D3DE9">
      <w:pPr>
        <w:spacing w:before="240" w:after="100" w:afterAutospacing="1" w:line="360" w:lineRule="auto"/>
        <w:contextualSpacing/>
        <w:jc w:val="center"/>
        <w:rPr>
          <w:rFonts w:ascii="Times New Roman" w:eastAsia="Times New Roman" w:hAnsi="Times New Roman" w:cs="Times New Roman"/>
          <w:bCs/>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76672" behindDoc="0" locked="0" layoutInCell="1" allowOverlap="1" wp14:anchorId="6CB631C7" wp14:editId="7AC2E81C">
            <wp:simplePos x="0" y="0"/>
            <wp:positionH relativeFrom="margin">
              <wp:posOffset>173355</wp:posOffset>
            </wp:positionH>
            <wp:positionV relativeFrom="paragraph">
              <wp:posOffset>222250</wp:posOffset>
            </wp:positionV>
            <wp:extent cx="5505450" cy="2362200"/>
            <wp:effectExtent l="0" t="0" r="0" b="0"/>
            <wp:wrapTopAndBottom/>
            <wp:docPr id="8" name="Graphique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B55576" w:rsidRPr="007D3DE9">
        <w:rPr>
          <w:rFonts w:ascii="Times New Roman" w:eastAsia="Times New Roman" w:hAnsi="Times New Roman" w:cs="Times New Roman"/>
          <w:b/>
          <w:bCs/>
          <w:sz w:val="24"/>
          <w:szCs w:val="24"/>
          <w:lang w:eastAsia="fr-FR"/>
        </w:rPr>
        <w:t xml:space="preserve">Figure 5: </w:t>
      </w:r>
      <w:r w:rsidR="00B55576" w:rsidRPr="007D3DE9">
        <w:rPr>
          <w:rFonts w:ascii="Times New Roman" w:eastAsia="Times New Roman" w:hAnsi="Times New Roman" w:cs="Times New Roman"/>
          <w:bCs/>
          <w:sz w:val="24"/>
          <w:szCs w:val="24"/>
          <w:lang w:eastAsia="fr-FR"/>
        </w:rPr>
        <w:t>Impacts of inheritance exclusion on women</w:t>
      </w:r>
    </w:p>
    <w:p w14:paraId="1CEA3350" w14:textId="224F7E0C" w:rsidR="00B55576" w:rsidRPr="007D3DE9" w:rsidRDefault="00B55576" w:rsidP="007D3DE9">
      <w:pPr>
        <w:spacing w:before="240" w:after="100" w:afterAutospacing="1" w:line="360" w:lineRule="auto"/>
        <w:contextualSpacing/>
        <w:jc w:val="center"/>
        <w:rPr>
          <w:rFonts w:ascii="Times New Roman" w:eastAsia="Times New Roman" w:hAnsi="Times New Roman" w:cs="Times New Roman"/>
          <w:iCs/>
          <w:sz w:val="24"/>
          <w:szCs w:val="24"/>
          <w:lang w:eastAsia="fr-FR"/>
        </w:rPr>
      </w:pPr>
      <w:r w:rsidRPr="007D3DE9">
        <w:rPr>
          <w:rFonts w:ascii="Times New Roman" w:eastAsia="Times New Roman" w:hAnsi="Times New Roman" w:cs="Times New Roman"/>
          <w:iCs/>
          <w:sz w:val="24"/>
          <w:szCs w:val="24"/>
          <w:lang w:eastAsia="fr-FR"/>
        </w:rPr>
        <w:t>Source: Results of field surveys, specify the month of survey here: 2025</w:t>
      </w:r>
    </w:p>
    <w:p w14:paraId="5FBF47DF" w14:textId="0F970A59" w:rsidR="00B55576" w:rsidRPr="007D3DE9" w:rsidRDefault="00B55576" w:rsidP="007D3DE9">
      <w:pPr>
        <w:spacing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iCs/>
          <w:sz w:val="24"/>
          <w:szCs w:val="24"/>
          <w:lang w:eastAsia="fr-FR"/>
        </w:rPr>
        <w:t xml:space="preserve">Analysis of Figure 5 reveals that the impacts of exclusion from inheritance include land insecurity (68%), followed by economic dependence (63%) and family conflicts (32%). </w:t>
      </w:r>
      <w:r w:rsidRPr="007D3DE9">
        <w:rPr>
          <w:rFonts w:ascii="Times New Roman" w:eastAsia="Times New Roman" w:hAnsi="Times New Roman" w:cs="Times New Roman"/>
          <w:sz w:val="24"/>
          <w:szCs w:val="24"/>
          <w:lang w:eastAsia="fr-FR"/>
        </w:rPr>
        <w:t xml:space="preserve">The exclusion of women from land inheritance in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commune reflects deeply entrenched patrilineal norms.</w:t>
      </w:r>
    </w:p>
    <w:p w14:paraId="48351E9D" w14:textId="77777777" w:rsidR="00220BB1" w:rsidRPr="007D3DE9" w:rsidRDefault="00B55576" w:rsidP="007D3DE9">
      <w:pPr>
        <w:pStyle w:val="ListParagraph"/>
        <w:numPr>
          <w:ilvl w:val="2"/>
          <w:numId w:val="6"/>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Economic and institutional barriers</w:t>
      </w:r>
    </w:p>
    <w:p w14:paraId="38E43664" w14:textId="2865FA9F" w:rsidR="00B55576" w:rsidRPr="007D3DE9" w:rsidRDefault="00B55576" w:rsidP="007D3DE9">
      <w:pPr>
        <w:pStyle w:val="ListParagraph"/>
        <w:spacing w:before="240" w:after="0" w:line="360" w:lineRule="auto"/>
        <w:ind w:left="0"/>
        <w:mirrorIndents/>
        <w:jc w:val="both"/>
        <w:rPr>
          <w:rFonts w:ascii="Times New Roman" w:eastAsia="Times New Roman" w:hAnsi="Times New Roman" w:cs="Times New Roman"/>
          <w:kern w:val="0"/>
          <w:sz w:val="24"/>
          <w:szCs w:val="24"/>
          <w:lang w:eastAsia="fr-FR"/>
          <w14:ligatures w14:val="none"/>
        </w:rPr>
      </w:pPr>
      <w:r w:rsidRPr="007D3DE9">
        <w:rPr>
          <w:rFonts w:ascii="Times New Roman" w:hAnsi="Times New Roman" w:cs="Times New Roman"/>
          <w:sz w:val="24"/>
          <w:szCs w:val="24"/>
        </w:rPr>
        <w:t xml:space="preserve">In the commune of </w:t>
      </w:r>
      <w:proofErr w:type="spellStart"/>
      <w:proofErr w:type="gramStart"/>
      <w:r w:rsidRPr="007D3DE9">
        <w:rPr>
          <w:rFonts w:ascii="Times New Roman" w:hAnsi="Times New Roman" w:cs="Times New Roman"/>
          <w:sz w:val="24"/>
          <w:szCs w:val="24"/>
        </w:rPr>
        <w:t>Kpomassè</w:t>
      </w:r>
      <w:proofErr w:type="spellEnd"/>
      <w:r w:rsidRPr="007D3DE9">
        <w:rPr>
          <w:rFonts w:ascii="Times New Roman" w:hAnsi="Times New Roman" w:cs="Times New Roman"/>
          <w:sz w:val="24"/>
          <w:szCs w:val="24"/>
        </w:rPr>
        <w:t xml:space="preserve"> ,</w:t>
      </w:r>
      <w:proofErr w:type="gramEnd"/>
      <w:r w:rsidRPr="007D3DE9">
        <w:rPr>
          <w:rFonts w:ascii="Times New Roman" w:hAnsi="Times New Roman" w:cs="Times New Roman"/>
          <w:sz w:val="24"/>
          <w:szCs w:val="24"/>
        </w:rPr>
        <w:t xml:space="preserve"> economic and institutional barriers significantly hinder women's access to land, exacerbating gender inequalities already entrenched in cultural and family norms. </w:t>
      </w:r>
      <w:r w:rsidRPr="007D3DE9">
        <w:rPr>
          <w:rFonts w:ascii="Times New Roman" w:eastAsia="Times New Roman" w:hAnsi="Times New Roman" w:cs="Times New Roman"/>
          <w:kern w:val="0"/>
          <w:sz w:val="24"/>
          <w:szCs w:val="24"/>
          <w:lang w:eastAsia="fr-FR"/>
          <w14:ligatures w14:val="none"/>
        </w:rPr>
        <w:t>Figure 6 presents the costs of accessing land by district included in the survey.</w:t>
      </w:r>
    </w:p>
    <w:p w14:paraId="26076D80" w14:textId="77777777" w:rsidR="00B55576" w:rsidRPr="007D3DE9" w:rsidRDefault="004E4534"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74624" behindDoc="0" locked="0" layoutInCell="1" allowOverlap="1" wp14:anchorId="3FBAAC67" wp14:editId="5E566483">
            <wp:simplePos x="0" y="0"/>
            <wp:positionH relativeFrom="margin">
              <wp:align>left</wp:align>
            </wp:positionH>
            <wp:positionV relativeFrom="paragraph">
              <wp:posOffset>496570</wp:posOffset>
            </wp:positionV>
            <wp:extent cx="5454650" cy="2108200"/>
            <wp:effectExtent l="0" t="0" r="12700" b="6350"/>
            <wp:wrapSquare wrapText="bothSides"/>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7D3DE9">
        <w:rPr>
          <w:rFonts w:ascii="Times New Roman" w:eastAsia="Times New Roman" w:hAnsi="Times New Roman" w:cs="Times New Roman"/>
          <w:b/>
          <w:sz w:val="24"/>
          <w:szCs w:val="24"/>
          <w:lang w:eastAsia="fr-FR"/>
        </w:rPr>
        <w:t xml:space="preserve">Figure 6: </w:t>
      </w:r>
      <w:r w:rsidRPr="007D3DE9">
        <w:rPr>
          <w:rFonts w:ascii="Times New Roman" w:eastAsia="Times New Roman" w:hAnsi="Times New Roman" w:cs="Times New Roman"/>
          <w:sz w:val="24"/>
          <w:szCs w:val="24"/>
          <w:lang w:eastAsia="fr-FR"/>
        </w:rPr>
        <w:t>Land access costs by borough and gender impact</w:t>
      </w:r>
    </w:p>
    <w:p w14:paraId="060092CF" w14:textId="77777777" w:rsidR="00B55576" w:rsidRPr="007D3DE9" w:rsidRDefault="00B55576" w:rsidP="007D3DE9">
      <w:pPr>
        <w:spacing w:before="100" w:beforeAutospacing="1" w:after="100" w:afterAutospacing="1" w:line="360" w:lineRule="auto"/>
        <w:contextualSpacing/>
        <w:jc w:val="center"/>
        <w:rPr>
          <w:rFonts w:ascii="Times New Roman" w:eastAsia="Times New Roman" w:hAnsi="Times New Roman" w:cs="Times New Roman"/>
          <w:sz w:val="24"/>
          <w:szCs w:val="24"/>
          <w:lang w:eastAsia="fr-FR"/>
        </w:rPr>
      </w:pPr>
      <w:r w:rsidRPr="007D3DE9">
        <w:rPr>
          <w:rFonts w:ascii="Times New Roman" w:eastAsia="Times New Roman" w:hAnsi="Times New Roman" w:cs="Times New Roman"/>
          <w:b/>
          <w:sz w:val="24"/>
          <w:szCs w:val="24"/>
          <w:lang w:eastAsia="fr-FR"/>
        </w:rPr>
        <w:t xml:space="preserve">Source: </w:t>
      </w:r>
      <w:r w:rsidRPr="007D3DE9">
        <w:rPr>
          <w:rFonts w:ascii="Times New Roman" w:eastAsia="Times New Roman" w:hAnsi="Times New Roman" w:cs="Times New Roman"/>
          <w:sz w:val="24"/>
          <w:szCs w:val="24"/>
          <w:lang w:eastAsia="fr-FR"/>
        </w:rPr>
        <w:t>Field surveys, February 2025</w:t>
      </w:r>
    </w:p>
    <w:p w14:paraId="0B8619FC" w14:textId="3A59D0FA" w:rsidR="00BD3374" w:rsidRPr="007D3DE9" w:rsidRDefault="00B55576"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lastRenderedPageBreak/>
        <w:t>Analysis of Figure 6 shows that in the districts of</w:t>
      </w:r>
      <w:r w:rsidRPr="007D3DE9">
        <w:rPr>
          <w:rFonts w:ascii="Times New Roman" w:hAnsi="Times New Roman" w:cs="Times New Roman"/>
          <w:sz w:val="24"/>
          <w:szCs w:val="24"/>
        </w:rPr>
        <w:t xml:space="preserve"> </w:t>
      </w:r>
      <w:r w:rsidRPr="007D3DE9">
        <w:rPr>
          <w:rFonts w:ascii="Times New Roman" w:eastAsia="Times New Roman" w:hAnsi="Times New Roman" w:cs="Times New Roman"/>
          <w:sz w:val="24"/>
          <w:szCs w:val="24"/>
          <w:lang w:eastAsia="fr-FR"/>
        </w:rPr>
        <w:t xml:space="preserve">In </w:t>
      </w:r>
      <w:proofErr w:type="spellStart"/>
      <w:r w:rsidRPr="007D3DE9">
        <w:rPr>
          <w:rFonts w:ascii="Times New Roman" w:eastAsia="Times New Roman" w:hAnsi="Times New Roman" w:cs="Times New Roman"/>
          <w:sz w:val="24"/>
          <w:szCs w:val="24"/>
          <w:lang w:eastAsia="fr-FR"/>
        </w:rPr>
        <w:t>Agonkanmè</w:t>
      </w:r>
      <w:proofErr w:type="spellEnd"/>
      <w:r w:rsidRPr="007D3DE9">
        <w:rPr>
          <w:rFonts w:ascii="Times New Roman" w:eastAsia="Times New Roman" w:hAnsi="Times New Roman" w:cs="Times New Roman"/>
          <w:sz w:val="24"/>
          <w:szCs w:val="24"/>
          <w:lang w:eastAsia="fr-FR"/>
        </w:rPr>
        <w:t xml:space="preserve"> and </w:t>
      </w:r>
      <w:proofErr w:type="spellStart"/>
      <w:proofErr w:type="gramStart"/>
      <w:r w:rsidRPr="007D3DE9">
        <w:rPr>
          <w:rFonts w:ascii="Times New Roman" w:eastAsia="Times New Roman" w:hAnsi="Times New Roman" w:cs="Times New Roman"/>
          <w:sz w:val="24"/>
          <w:szCs w:val="24"/>
          <w:lang w:eastAsia="fr-FR"/>
        </w:rPr>
        <w:t>Dékanmè</w:t>
      </w:r>
      <w:proofErr w:type="spellEnd"/>
      <w:r w:rsidRPr="007D3DE9">
        <w:rPr>
          <w:rFonts w:ascii="Times New Roman" w:eastAsia="Times New Roman" w:hAnsi="Times New Roman" w:cs="Times New Roman"/>
          <w:sz w:val="24"/>
          <w:szCs w:val="24"/>
          <w:lang w:eastAsia="fr-FR"/>
        </w:rPr>
        <w:t xml:space="preserve"> </w:t>
      </w:r>
      <w:r w:rsidR="00292243" w:rsidRPr="007D3DE9">
        <w:rPr>
          <w:rFonts w:ascii="Times New Roman" w:eastAsia="Times New Roman" w:hAnsi="Times New Roman" w:cs="Times New Roman"/>
          <w:sz w:val="24"/>
          <w:szCs w:val="24"/>
          <w:lang w:eastAsia="fr-FR"/>
        </w:rPr>
        <w:t>,</w:t>
      </w:r>
      <w:proofErr w:type="gramEnd"/>
      <w:r w:rsidR="00292243" w:rsidRPr="007D3DE9">
        <w:rPr>
          <w:rFonts w:ascii="Times New Roman" w:eastAsia="Times New Roman" w:hAnsi="Times New Roman" w:cs="Times New Roman"/>
          <w:sz w:val="24"/>
          <w:szCs w:val="24"/>
          <w:lang w:eastAsia="fr-FR"/>
        </w:rPr>
        <w:t xml:space="preserve"> the average price of half a hectare is 4,000,000 and 3,000,000 FCFA respectively. In the </w:t>
      </w:r>
      <w:proofErr w:type="spellStart"/>
      <w:r w:rsidRPr="007D3DE9">
        <w:rPr>
          <w:rFonts w:ascii="Times New Roman" w:eastAsia="Times New Roman" w:hAnsi="Times New Roman" w:cs="Times New Roman"/>
          <w:sz w:val="24"/>
          <w:szCs w:val="24"/>
          <w:lang w:eastAsia="fr-FR"/>
        </w:rPr>
        <w:t>Aganmanlomè</w:t>
      </w:r>
      <w:proofErr w:type="spellEnd"/>
      <w:r w:rsidRPr="007D3DE9">
        <w:rPr>
          <w:rFonts w:ascii="Times New Roman" w:eastAsia="Times New Roman" w:hAnsi="Times New Roman" w:cs="Times New Roman"/>
          <w:sz w:val="24"/>
          <w:szCs w:val="24"/>
          <w:lang w:eastAsia="fr-FR"/>
        </w:rPr>
        <w:t xml:space="preserve"> district, the average price for half a hectare is 2,000,000 FCFA, while in the </w:t>
      </w:r>
      <w:proofErr w:type="spellStart"/>
      <w:r w:rsidRPr="007D3DE9">
        <w:rPr>
          <w:rFonts w:ascii="Times New Roman" w:eastAsia="Times New Roman" w:hAnsi="Times New Roman" w:cs="Times New Roman"/>
          <w:sz w:val="24"/>
          <w:szCs w:val="24"/>
          <w:lang w:eastAsia="fr-FR"/>
        </w:rPr>
        <w:t>Sègbeya</w:t>
      </w:r>
      <w:proofErr w:type="spellEnd"/>
      <w:r w:rsidRPr="007D3DE9">
        <w:rPr>
          <w:rFonts w:ascii="Times New Roman" w:eastAsia="Times New Roman" w:hAnsi="Times New Roman" w:cs="Times New Roman"/>
          <w:sz w:val="24"/>
          <w:szCs w:val="24"/>
          <w:lang w:eastAsia="fr-FR"/>
        </w:rPr>
        <w:t xml:space="preserve"> and </w:t>
      </w:r>
      <w:proofErr w:type="spellStart"/>
      <w:r w:rsidRPr="007D3DE9">
        <w:rPr>
          <w:rFonts w:ascii="Times New Roman" w:eastAsia="Times New Roman" w:hAnsi="Times New Roman" w:cs="Times New Roman"/>
          <w:sz w:val="24"/>
          <w:szCs w:val="24"/>
          <w:lang w:eastAsia="fr-FR"/>
        </w:rPr>
        <w:t>Tokpa</w:t>
      </w:r>
      <w:proofErr w:type="spellEnd"/>
      <w:r w:rsidRPr="007D3DE9">
        <w:rPr>
          <w:rFonts w:ascii="Times New Roman" w:eastAsia="Times New Roman" w:hAnsi="Times New Roman" w:cs="Times New Roman"/>
          <w:sz w:val="24"/>
          <w:szCs w:val="24"/>
          <w:lang w:eastAsia="fr-FR"/>
        </w:rPr>
        <w:t xml:space="preserve"> -</w:t>
      </w:r>
      <w:proofErr w:type="spellStart"/>
      <w:r w:rsidRPr="007D3DE9">
        <w:rPr>
          <w:rFonts w:ascii="Times New Roman" w:eastAsia="Times New Roman" w:hAnsi="Times New Roman" w:cs="Times New Roman"/>
          <w:sz w:val="24"/>
          <w:szCs w:val="24"/>
          <w:lang w:eastAsia="fr-FR"/>
        </w:rPr>
        <w:t>domè</w:t>
      </w:r>
      <w:proofErr w:type="spellEnd"/>
      <w:r w:rsidRPr="007D3DE9">
        <w:rPr>
          <w:rFonts w:ascii="Times New Roman" w:eastAsia="Times New Roman" w:hAnsi="Times New Roman" w:cs="Times New Roman"/>
          <w:sz w:val="24"/>
          <w:szCs w:val="24"/>
          <w:lang w:eastAsia="fr-FR"/>
        </w:rPr>
        <w:t xml:space="preserve"> districts, the average price is 1,500,000 FCFA and 2,500,000 FCFA. Rent in these districts ranges from 80,000 to 100,000 FCFA. The administrative fee to register a purchased plot is 75,000 FCFA. Figure 7 presents the costs of accessing land in relation to the average annual income of women.</w:t>
      </w:r>
    </w:p>
    <w:p w14:paraId="04FD3666" w14:textId="22B2EADA" w:rsidR="00B55576" w:rsidRPr="007D3DE9" w:rsidRDefault="00BD3374"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hAnsi="Times New Roman" w:cs="Times New Roman"/>
          <w:noProof/>
          <w:sz w:val="24"/>
          <w:szCs w:val="24"/>
          <w:lang w:val="fr-FR" w:eastAsia="fr-FR"/>
        </w:rPr>
        <w:drawing>
          <wp:anchor distT="0" distB="0" distL="114300" distR="114300" simplePos="0" relativeHeight="251666432" behindDoc="0" locked="0" layoutInCell="1" allowOverlap="1" wp14:anchorId="561962A3" wp14:editId="44E8737A">
            <wp:simplePos x="0" y="0"/>
            <wp:positionH relativeFrom="margin">
              <wp:align>center</wp:align>
            </wp:positionH>
            <wp:positionV relativeFrom="paragraph">
              <wp:posOffset>267970</wp:posOffset>
            </wp:positionV>
            <wp:extent cx="4800600" cy="2343150"/>
            <wp:effectExtent l="0" t="0" r="0" b="0"/>
            <wp:wrapTopAndBottom/>
            <wp:docPr id="29" name="Graphique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B55576" w:rsidRPr="007D3DE9">
        <w:rPr>
          <w:rFonts w:ascii="Times New Roman" w:eastAsia="Times New Roman" w:hAnsi="Times New Roman" w:cs="Times New Roman"/>
          <w:b/>
          <w:bCs/>
          <w:sz w:val="24"/>
          <w:szCs w:val="24"/>
          <w:lang w:eastAsia="fr-FR"/>
        </w:rPr>
        <w:t xml:space="preserve">Figure 7: </w:t>
      </w:r>
      <w:r w:rsidR="00B55576" w:rsidRPr="007D3DE9">
        <w:rPr>
          <w:rFonts w:ascii="Times New Roman" w:eastAsia="Times New Roman" w:hAnsi="Times New Roman" w:cs="Times New Roman"/>
          <w:bCs/>
          <w:sz w:val="24"/>
          <w:szCs w:val="24"/>
          <w:lang w:eastAsia="fr-FR"/>
        </w:rPr>
        <w:t>Land access costs relative to women's average annual income</w:t>
      </w:r>
    </w:p>
    <w:p w14:paraId="011C92F8" w14:textId="0A1C42EC" w:rsidR="00B55576" w:rsidRPr="007D3DE9" w:rsidRDefault="00B55576" w:rsidP="007D3DE9">
      <w:pPr>
        <w:spacing w:before="100" w:beforeAutospacing="1" w:after="100" w:afterAutospacing="1" w:line="360" w:lineRule="auto"/>
        <w:contextualSpacing/>
        <w:jc w:val="center"/>
        <w:rPr>
          <w:rFonts w:ascii="Times New Roman" w:eastAsia="Times New Roman" w:hAnsi="Times New Roman" w:cs="Times New Roman"/>
          <w:iCs/>
          <w:sz w:val="24"/>
          <w:szCs w:val="24"/>
          <w:lang w:eastAsia="fr-FR"/>
        </w:rPr>
      </w:pPr>
      <w:proofErr w:type="gramStart"/>
      <w:r w:rsidRPr="007D3DE9">
        <w:rPr>
          <w:rFonts w:ascii="Times New Roman" w:eastAsia="Times New Roman" w:hAnsi="Times New Roman" w:cs="Times New Roman"/>
          <w:b/>
          <w:iCs/>
          <w:sz w:val="24"/>
          <w:szCs w:val="24"/>
          <w:lang w:eastAsia="fr-FR"/>
        </w:rPr>
        <w:t xml:space="preserve">Source </w:t>
      </w:r>
      <w:r w:rsidRPr="007D3DE9">
        <w:rPr>
          <w:rFonts w:ascii="Times New Roman" w:eastAsia="Times New Roman" w:hAnsi="Times New Roman" w:cs="Times New Roman"/>
          <w:iCs/>
          <w:sz w:val="24"/>
          <w:szCs w:val="24"/>
          <w:lang w:eastAsia="fr-FR"/>
        </w:rPr>
        <w:t>:</w:t>
      </w:r>
      <w:proofErr w:type="gramEnd"/>
      <w:r w:rsidRPr="007D3DE9">
        <w:rPr>
          <w:rFonts w:ascii="Times New Roman" w:eastAsia="Times New Roman" w:hAnsi="Times New Roman" w:cs="Times New Roman"/>
          <w:iCs/>
          <w:sz w:val="24"/>
          <w:szCs w:val="24"/>
          <w:lang w:eastAsia="fr-FR"/>
        </w:rPr>
        <w:t xml:space="preserve"> Field surveys, February 2025</w:t>
      </w:r>
    </w:p>
    <w:p w14:paraId="403ED224" w14:textId="2AD45836" w:rsidR="00B55576" w:rsidRPr="007D3DE9" w:rsidRDefault="00B55576" w:rsidP="007D3DE9">
      <w:pPr>
        <w:spacing w:before="100" w:beforeAutospacing="1" w:after="100" w:after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From the analysis of Figure </w:t>
      </w:r>
      <w:r w:rsidR="004E4534" w:rsidRPr="007D3DE9">
        <w:rPr>
          <w:rFonts w:ascii="Times New Roman" w:eastAsia="Times New Roman" w:hAnsi="Times New Roman" w:cs="Times New Roman"/>
          <w:sz w:val="24"/>
          <w:szCs w:val="24"/>
          <w:lang w:eastAsia="fr-FR"/>
        </w:rPr>
        <w:t>7, it is important to note that if we consider income</w:t>
      </w:r>
      <w:r w:rsidRPr="007D3DE9">
        <w:rPr>
          <w:rFonts w:ascii="Times New Roman" w:hAnsi="Times New Roman" w:cs="Times New Roman"/>
          <w:sz w:val="24"/>
          <w:szCs w:val="24"/>
        </w:rPr>
        <w:t xml:space="preserve"> Given that </w:t>
      </w:r>
      <w:r w:rsidRPr="007D3DE9">
        <w:rPr>
          <w:rFonts w:ascii="Times New Roman" w:eastAsia="Times New Roman" w:hAnsi="Times New Roman" w:cs="Times New Roman"/>
          <w:sz w:val="24"/>
          <w:szCs w:val="24"/>
          <w:lang w:eastAsia="fr-FR"/>
        </w:rPr>
        <w:t xml:space="preserve">the average annual income of a rural woman in the </w:t>
      </w:r>
      <w:proofErr w:type="spellStart"/>
      <w:r w:rsidRPr="007D3DE9">
        <w:rPr>
          <w:rFonts w:ascii="Times New Roman" w:eastAsia="Times New Roman" w:hAnsi="Times New Roman" w:cs="Times New Roman"/>
          <w:sz w:val="24"/>
          <w:szCs w:val="24"/>
          <w:lang w:eastAsia="fr-FR"/>
        </w:rPr>
        <w:t>Kpomassè</w:t>
      </w:r>
      <w:proofErr w:type="spellEnd"/>
      <w:r w:rsidRPr="007D3DE9">
        <w:rPr>
          <w:rFonts w:ascii="Times New Roman" w:eastAsia="Times New Roman" w:hAnsi="Times New Roman" w:cs="Times New Roman"/>
          <w:sz w:val="24"/>
          <w:szCs w:val="24"/>
          <w:lang w:eastAsia="fr-FR"/>
        </w:rPr>
        <w:t xml:space="preserve"> commune is 600,000 FCFA, purchasing a half-hectare plot in a peri-urban area would cost 666% of her annual income, compared to 32% if she rented the same plot. In the case of a half-hectare plot in a rural area, it would cost 333% of her annual income, and only 16% if she rented. This situation highlights why women farmers most often choose to rent land. Purchasing is simply </w:t>
      </w:r>
      <w:r w:rsidR="00F95D2D" w:rsidRPr="007D3DE9">
        <w:rPr>
          <w:rFonts w:ascii="Times New Roman" w:eastAsia="Times New Roman" w:hAnsi="Times New Roman" w:cs="Times New Roman"/>
          <w:sz w:val="24"/>
          <w:szCs w:val="24"/>
          <w:lang w:eastAsia="fr-FR"/>
        </w:rPr>
        <w:t xml:space="preserve">too </w:t>
      </w:r>
      <w:r w:rsidRPr="007D3DE9">
        <w:rPr>
          <w:rFonts w:ascii="Times New Roman" w:eastAsia="Times New Roman" w:hAnsi="Times New Roman" w:cs="Times New Roman"/>
          <w:sz w:val="24"/>
          <w:szCs w:val="24"/>
          <w:lang w:eastAsia="fr-FR"/>
        </w:rPr>
        <w:t>expensive for them given their low incomes.</w:t>
      </w:r>
    </w:p>
    <w:p w14:paraId="451082B3" w14:textId="4BBBCAF0" w:rsidR="00B55576" w:rsidRDefault="00B55576" w:rsidP="007D3DE9">
      <w:pPr>
        <w:spacing w:before="100" w:beforeAutospacing="1" w:line="360" w:lineRule="auto"/>
        <w:contextualSpacing/>
        <w:jc w:val="both"/>
        <w:rPr>
          <w:rFonts w:ascii="Times New Roman" w:eastAsia="Times New Roman" w:hAnsi="Times New Roman" w:cs="Times New Roman"/>
          <w:sz w:val="24"/>
          <w:szCs w:val="24"/>
          <w:lang w:eastAsia="fr-FR"/>
        </w:rPr>
      </w:pPr>
      <w:r w:rsidRPr="007D3DE9">
        <w:rPr>
          <w:rFonts w:ascii="Times New Roman" w:eastAsia="Times New Roman" w:hAnsi="Times New Roman" w:cs="Times New Roman"/>
          <w:sz w:val="24"/>
          <w:szCs w:val="24"/>
          <w:lang w:eastAsia="fr-FR"/>
        </w:rPr>
        <w:t xml:space="preserve">A linear regression shows that land access costs explain 62% of the variance in women's exclusion from land ownership (R² = 0.62, p &lt; 0.01), with gender as the moderating variable (β = -0.38, p &lt; 0.05). Key gender-related factors include </w:t>
      </w:r>
      <w:r w:rsidRPr="007D3DE9">
        <w:rPr>
          <w:rFonts w:ascii="Times New Roman" w:eastAsia="Times New Roman" w:hAnsi="Times New Roman" w:cs="Times New Roman"/>
          <w:bCs/>
          <w:sz w:val="24"/>
          <w:szCs w:val="24"/>
          <w:lang w:eastAsia="fr-FR"/>
        </w:rPr>
        <w:t xml:space="preserve">unequal </w:t>
      </w:r>
      <w:proofErr w:type="gramStart"/>
      <w:r w:rsidRPr="007D3DE9">
        <w:rPr>
          <w:rFonts w:ascii="Times New Roman" w:eastAsia="Times New Roman" w:hAnsi="Times New Roman" w:cs="Times New Roman"/>
          <w:bCs/>
          <w:sz w:val="24"/>
          <w:szCs w:val="24"/>
          <w:lang w:eastAsia="fr-FR"/>
        </w:rPr>
        <w:t xml:space="preserve">income </w:t>
      </w:r>
      <w:r w:rsidRPr="007D3DE9">
        <w:rPr>
          <w:rFonts w:ascii="Times New Roman" w:eastAsia="Times New Roman" w:hAnsi="Times New Roman" w:cs="Times New Roman"/>
          <w:sz w:val="24"/>
          <w:szCs w:val="24"/>
          <w:lang w:eastAsia="fr-FR"/>
        </w:rPr>
        <w:t>.</w:t>
      </w:r>
      <w:proofErr w:type="gramEnd"/>
      <w:r w:rsidRPr="007D3DE9">
        <w:rPr>
          <w:rFonts w:ascii="Times New Roman" w:eastAsia="Times New Roman" w:hAnsi="Times New Roman" w:cs="Times New Roman"/>
          <w:sz w:val="24"/>
          <w:szCs w:val="24"/>
          <w:lang w:eastAsia="fr-FR"/>
        </w:rPr>
        <w:t xml:space="preserve"> Women earn 60% less than men, making land purchase costs prohibitively expensive for them. Furthermore, women have </w:t>
      </w:r>
      <w:r w:rsidRPr="007D3DE9">
        <w:rPr>
          <w:rFonts w:ascii="Times New Roman" w:eastAsia="Times New Roman" w:hAnsi="Times New Roman" w:cs="Times New Roman"/>
          <w:bCs/>
          <w:sz w:val="24"/>
          <w:szCs w:val="24"/>
          <w:lang w:eastAsia="fr-FR"/>
        </w:rPr>
        <w:t xml:space="preserve">limited access to credit </w:t>
      </w:r>
      <w:r w:rsidRPr="007D3DE9">
        <w:rPr>
          <w:rFonts w:ascii="Times New Roman" w:eastAsia="Times New Roman" w:hAnsi="Times New Roman" w:cs="Times New Roman"/>
          <w:sz w:val="24"/>
          <w:szCs w:val="24"/>
          <w:lang w:eastAsia="fr-FR"/>
        </w:rPr>
        <w:t>because microfinance institutions often require collateral, which women rarely possess.</w:t>
      </w:r>
    </w:p>
    <w:p w14:paraId="7E653067" w14:textId="77777777" w:rsidR="00401D88" w:rsidRPr="007D3DE9" w:rsidRDefault="00401D88" w:rsidP="007D3DE9">
      <w:pPr>
        <w:spacing w:before="100" w:beforeAutospacing="1" w:line="360" w:lineRule="auto"/>
        <w:contextualSpacing/>
        <w:jc w:val="both"/>
        <w:rPr>
          <w:rFonts w:ascii="Times New Roman" w:eastAsia="Times New Roman" w:hAnsi="Times New Roman" w:cs="Times New Roman"/>
          <w:sz w:val="24"/>
          <w:szCs w:val="24"/>
          <w:lang w:eastAsia="fr-FR"/>
        </w:rPr>
      </w:pPr>
    </w:p>
    <w:p w14:paraId="1740BEF4" w14:textId="54A386C8" w:rsidR="00FD5171" w:rsidRPr="007D3DE9" w:rsidRDefault="00FD5171" w:rsidP="007D3DE9">
      <w:pPr>
        <w:pStyle w:val="ListParagraph"/>
        <w:numPr>
          <w:ilvl w:val="0"/>
          <w:numId w:val="3"/>
        </w:numPr>
        <w:spacing w:line="360" w:lineRule="auto"/>
        <w:rPr>
          <w:rFonts w:ascii="Times New Roman" w:hAnsi="Times New Roman" w:cs="Times New Roman"/>
          <w:b/>
          <w:sz w:val="24"/>
          <w:szCs w:val="24"/>
        </w:rPr>
      </w:pPr>
      <w:r w:rsidRPr="007D3DE9">
        <w:rPr>
          <w:rFonts w:ascii="Times New Roman" w:hAnsi="Times New Roman" w:cs="Times New Roman"/>
          <w:b/>
          <w:sz w:val="24"/>
          <w:szCs w:val="24"/>
        </w:rPr>
        <w:t>Conclusion</w:t>
      </w:r>
    </w:p>
    <w:p w14:paraId="1824840A" w14:textId="34E1670A" w:rsidR="00405740" w:rsidRDefault="00405740" w:rsidP="00405740">
      <w:pPr>
        <w:spacing w:line="360" w:lineRule="auto"/>
        <w:jc w:val="both"/>
        <w:rPr>
          <w:rFonts w:ascii="Times New Roman" w:eastAsia="Times New Roman" w:hAnsi="Times New Roman" w:cs="Times New Roman"/>
          <w:sz w:val="24"/>
          <w:szCs w:val="24"/>
          <w:lang w:eastAsia="fr-FR"/>
        </w:rPr>
      </w:pPr>
      <w:r w:rsidRPr="00405740">
        <w:rPr>
          <w:rFonts w:ascii="Times New Roman" w:eastAsia="Times New Roman" w:hAnsi="Times New Roman" w:cs="Times New Roman"/>
          <w:sz w:val="24"/>
          <w:szCs w:val="24"/>
          <w:lang w:eastAsia="fr-FR"/>
        </w:rPr>
        <w:lastRenderedPageBreak/>
        <w:t xml:space="preserve">The situation in </w:t>
      </w:r>
      <w:proofErr w:type="spellStart"/>
      <w:r w:rsidRPr="00405740">
        <w:rPr>
          <w:rFonts w:ascii="Times New Roman" w:eastAsia="Times New Roman" w:hAnsi="Times New Roman" w:cs="Times New Roman"/>
          <w:sz w:val="24"/>
          <w:szCs w:val="24"/>
          <w:lang w:eastAsia="fr-FR"/>
        </w:rPr>
        <w:t>Kpomassè</w:t>
      </w:r>
      <w:proofErr w:type="spellEnd"/>
      <w:r w:rsidRPr="00405740">
        <w:rPr>
          <w:rFonts w:ascii="Times New Roman" w:eastAsia="Times New Roman" w:hAnsi="Times New Roman" w:cs="Times New Roman"/>
          <w:sz w:val="24"/>
          <w:szCs w:val="24"/>
          <w:lang w:eastAsia="fr-FR"/>
        </w:rPr>
        <w:t xml:space="preserve"> clearly illustrates the structural challenges to women's land tenure security in Benin. These challenges are primarily the persistent strength of patriarchal norms, women's economic vulnerability due to low incomes, and the coexistence of customary and legal systems that reinforce each other, perpetuating inequalities. These interconnected constraints severely limit women's ability to secure their land rights, despite progress in national legislation. However, solutions exist, including the effective dissemination of the Land Code, the simplification of costly administrative procedures, and the implementation of gender-sensitive municipal policies that could contribute to more equitable land governance in </w:t>
      </w:r>
      <w:proofErr w:type="spellStart"/>
      <w:proofErr w:type="gramStart"/>
      <w:r w:rsidRPr="00405740">
        <w:rPr>
          <w:rFonts w:ascii="Times New Roman" w:eastAsia="Times New Roman" w:hAnsi="Times New Roman" w:cs="Times New Roman"/>
          <w:sz w:val="24"/>
          <w:szCs w:val="24"/>
          <w:lang w:eastAsia="fr-FR"/>
        </w:rPr>
        <w:t>Kpomassè</w:t>
      </w:r>
      <w:proofErr w:type="spellEnd"/>
      <w:r w:rsidRPr="00405740">
        <w:rPr>
          <w:rFonts w:ascii="Times New Roman" w:eastAsia="Times New Roman" w:hAnsi="Times New Roman" w:cs="Times New Roman"/>
          <w:sz w:val="24"/>
          <w:szCs w:val="24"/>
          <w:lang w:eastAsia="fr-FR"/>
        </w:rPr>
        <w:t xml:space="preserve"> .</w:t>
      </w:r>
      <w:proofErr w:type="gramEnd"/>
    </w:p>
    <w:p w14:paraId="705DB4B2" w14:textId="0FC67A00" w:rsidR="00FD5171" w:rsidRDefault="00E557EA" w:rsidP="00405740">
      <w:pPr>
        <w:pStyle w:val="ListParagraph"/>
        <w:numPr>
          <w:ilvl w:val="0"/>
          <w:numId w:val="3"/>
        </w:numPr>
        <w:spacing w:line="360" w:lineRule="auto"/>
        <w:rPr>
          <w:rFonts w:ascii="Times New Roman" w:hAnsi="Times New Roman" w:cs="Times New Roman"/>
          <w:b/>
          <w:sz w:val="24"/>
          <w:szCs w:val="24"/>
        </w:rPr>
      </w:pPr>
      <w:bookmarkStart w:id="0" w:name="_GoBack"/>
      <w:bookmarkEnd w:id="0"/>
      <w:r w:rsidRPr="00405740">
        <w:rPr>
          <w:rFonts w:ascii="Times New Roman" w:hAnsi="Times New Roman" w:cs="Times New Roman"/>
          <w:b/>
          <w:sz w:val="24"/>
          <w:szCs w:val="24"/>
        </w:rPr>
        <w:t>R</w:t>
      </w:r>
      <w:r w:rsidR="002C03CF" w:rsidRPr="00405740">
        <w:rPr>
          <w:rFonts w:ascii="Times New Roman" w:hAnsi="Times New Roman" w:cs="Times New Roman"/>
          <w:b/>
          <w:sz w:val="24"/>
          <w:szCs w:val="24"/>
        </w:rPr>
        <w:t>eferences</w:t>
      </w:r>
    </w:p>
    <w:p w14:paraId="2EAD671C" w14:textId="77777777"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 xml:space="preserve">1. </w:t>
      </w:r>
      <w:proofErr w:type="spellStart"/>
      <w:r w:rsidRPr="002845EE">
        <w:rPr>
          <w:rFonts w:ascii="Times New Roman" w:eastAsia="Times New Roman" w:hAnsi="Times New Roman" w:cs="Times New Roman"/>
          <w:sz w:val="24"/>
          <w:szCs w:val="24"/>
          <w:lang w:eastAsia="fr-FR"/>
        </w:rPr>
        <w:t>Tchaou</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Sèvègni</w:t>
      </w:r>
      <w:proofErr w:type="spellEnd"/>
      <w:r w:rsidRPr="002845EE">
        <w:rPr>
          <w:rFonts w:ascii="Times New Roman" w:eastAsia="Times New Roman" w:hAnsi="Times New Roman" w:cs="Times New Roman"/>
          <w:sz w:val="24"/>
          <w:szCs w:val="24"/>
          <w:lang w:eastAsia="fr-FR"/>
        </w:rPr>
        <w:t xml:space="preserve"> (2014): The land issue remains a complex, multidimensional problem involving various actors and institutions, pp. 12-13.</w:t>
      </w:r>
    </w:p>
    <w:p w14:paraId="4D596D58" w14:textId="77777777"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 xml:space="preserve">2. NICOLAS Y., (2008): Introduction to the concept of gender and development, </w:t>
      </w:r>
      <w:proofErr w:type="gramStart"/>
      <w:r w:rsidRPr="002845EE">
        <w:rPr>
          <w:rFonts w:ascii="Times New Roman" w:eastAsia="Times New Roman" w:hAnsi="Times New Roman" w:cs="Times New Roman"/>
          <w:sz w:val="24"/>
          <w:szCs w:val="24"/>
          <w:lang w:eastAsia="fr-FR"/>
        </w:rPr>
        <w:t>In</w:t>
      </w:r>
      <w:proofErr w:type="gramEnd"/>
      <w:r w:rsidRPr="002845EE">
        <w:rPr>
          <w:rFonts w:ascii="Times New Roman" w:eastAsia="Times New Roman" w:hAnsi="Times New Roman" w:cs="Times New Roman"/>
          <w:sz w:val="24"/>
          <w:szCs w:val="24"/>
          <w:lang w:eastAsia="fr-FR"/>
        </w:rPr>
        <w:t xml:space="preserve"> "Gender and Development," where actors in women's rights and international solidarity meet and exchange on their practices, Harmattan, Paris, pp. 27-35.</w:t>
      </w:r>
    </w:p>
    <w:p w14:paraId="7AC4B071" w14:textId="7770FAFF"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3. SOW N. F., (2008): Women's access to land in West Africa: problems and solutions in Senegal and Burkina Faso, DIMITRA project, FAO, p. 52.</w:t>
      </w:r>
      <w:r w:rsidR="00A47AC5">
        <w:rPr>
          <w:rFonts w:ascii="Times New Roman" w:eastAsia="Times New Roman" w:hAnsi="Times New Roman" w:cs="Times New Roman"/>
          <w:sz w:val="24"/>
          <w:szCs w:val="24"/>
          <w:lang w:eastAsia="fr-FR"/>
        </w:rPr>
        <w:t xml:space="preserve"> </w:t>
      </w:r>
      <w:hyperlink r:id="rId17" w:history="1">
        <w:r w:rsidR="00A47AC5" w:rsidRPr="004761E6">
          <w:rPr>
            <w:rStyle w:val="Hyperlink"/>
            <w:rFonts w:ascii="Times New Roman" w:eastAsia="Times New Roman" w:hAnsi="Times New Roman" w:cs="Times New Roman"/>
            <w:sz w:val="24"/>
            <w:szCs w:val="24"/>
            <w:lang w:eastAsia="fr-FR"/>
          </w:rPr>
          <w:t>http://www.fao.org/docrep/016/ap532f/ap532f.pdf</w:t>
        </w:r>
      </w:hyperlink>
      <w:r w:rsidR="00A47AC5">
        <w:rPr>
          <w:rFonts w:ascii="Times New Roman" w:eastAsia="Times New Roman" w:hAnsi="Times New Roman" w:cs="Times New Roman"/>
          <w:sz w:val="24"/>
          <w:szCs w:val="24"/>
          <w:lang w:eastAsia="fr-FR"/>
        </w:rPr>
        <w:t xml:space="preserve"> </w:t>
      </w:r>
    </w:p>
    <w:p w14:paraId="66B1D955" w14:textId="481F9942"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 xml:space="preserve">4. Kanji S. S. M., (1997): From yesterday's to tomorrow's rights of African women, </w:t>
      </w:r>
      <w:proofErr w:type="spellStart"/>
      <w:r w:rsidRPr="002845EE">
        <w:rPr>
          <w:rFonts w:ascii="Times New Roman" w:eastAsia="Times New Roman" w:hAnsi="Times New Roman" w:cs="Times New Roman"/>
          <w:sz w:val="24"/>
          <w:szCs w:val="24"/>
          <w:lang w:eastAsia="fr-FR"/>
        </w:rPr>
        <w:t>Xamal</w:t>
      </w:r>
      <w:proofErr w:type="spellEnd"/>
      <w:r w:rsidRPr="002845EE">
        <w:rPr>
          <w:rFonts w:ascii="Times New Roman" w:eastAsia="Times New Roman" w:hAnsi="Times New Roman" w:cs="Times New Roman"/>
          <w:sz w:val="24"/>
          <w:szCs w:val="24"/>
          <w:lang w:eastAsia="fr-FR"/>
        </w:rPr>
        <w:t>, Saint-Louis, Senegal, p. 51.</w:t>
      </w:r>
      <w:r w:rsidR="003033F9">
        <w:rPr>
          <w:rFonts w:ascii="Times New Roman" w:eastAsia="Times New Roman" w:hAnsi="Times New Roman" w:cs="Times New Roman"/>
          <w:sz w:val="24"/>
          <w:szCs w:val="24"/>
          <w:lang w:eastAsia="fr-FR"/>
        </w:rPr>
        <w:t xml:space="preserve"> </w:t>
      </w:r>
      <w:hyperlink r:id="rId18" w:history="1">
        <w:r w:rsidR="003033F9" w:rsidRPr="004761E6">
          <w:rPr>
            <w:rStyle w:val="Hyperlink"/>
            <w:rFonts w:ascii="Times New Roman" w:eastAsia="Times New Roman" w:hAnsi="Times New Roman" w:cs="Times New Roman"/>
            <w:sz w:val="24"/>
            <w:szCs w:val="24"/>
            <w:lang w:eastAsia="fr-FR"/>
          </w:rPr>
          <w:t>https://africultures.com/php/?nav=fiche_ouvrage&amp;no=1000</w:t>
        </w:r>
      </w:hyperlink>
      <w:r w:rsidR="003033F9">
        <w:rPr>
          <w:rFonts w:ascii="Times New Roman" w:eastAsia="Times New Roman" w:hAnsi="Times New Roman" w:cs="Times New Roman"/>
          <w:sz w:val="24"/>
          <w:szCs w:val="24"/>
          <w:lang w:eastAsia="fr-FR"/>
        </w:rPr>
        <w:t xml:space="preserve"> </w:t>
      </w:r>
    </w:p>
    <w:p w14:paraId="4FEB7C80" w14:textId="1FEB8A26"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 xml:space="preserve">5. </w:t>
      </w:r>
      <w:proofErr w:type="spellStart"/>
      <w:r w:rsidRPr="002845EE">
        <w:rPr>
          <w:rFonts w:ascii="Times New Roman" w:eastAsia="Times New Roman" w:hAnsi="Times New Roman" w:cs="Times New Roman"/>
          <w:sz w:val="24"/>
          <w:szCs w:val="24"/>
          <w:lang w:eastAsia="fr-FR"/>
        </w:rPr>
        <w:t>Diop</w:t>
      </w:r>
      <w:proofErr w:type="spellEnd"/>
      <w:r w:rsidRPr="002845EE">
        <w:rPr>
          <w:rFonts w:ascii="Times New Roman" w:eastAsia="Times New Roman" w:hAnsi="Times New Roman" w:cs="Times New Roman"/>
          <w:sz w:val="24"/>
          <w:szCs w:val="24"/>
          <w:lang w:eastAsia="fr-FR"/>
        </w:rPr>
        <w:t xml:space="preserve"> F., and Touré L., (2012): Contribution of the Geographic Information System (GIS) in understanding the problem of women's access to rural land in Senegal: Case of the rural communities of </w:t>
      </w:r>
      <w:proofErr w:type="spellStart"/>
      <w:r w:rsidRPr="002845EE">
        <w:rPr>
          <w:rFonts w:ascii="Times New Roman" w:eastAsia="Times New Roman" w:hAnsi="Times New Roman" w:cs="Times New Roman"/>
          <w:sz w:val="24"/>
          <w:szCs w:val="24"/>
          <w:lang w:eastAsia="fr-FR"/>
        </w:rPr>
        <w:t>Keur</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Momar</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Sarr</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Médina</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Ndiathbé</w:t>
      </w:r>
      <w:proofErr w:type="spellEnd"/>
      <w:r w:rsidRPr="002845EE">
        <w:rPr>
          <w:rFonts w:ascii="Times New Roman" w:eastAsia="Times New Roman" w:hAnsi="Times New Roman" w:cs="Times New Roman"/>
          <w:sz w:val="24"/>
          <w:szCs w:val="24"/>
          <w:lang w:eastAsia="fr-FR"/>
        </w:rPr>
        <w:t xml:space="preserve"> (Valley and </w:t>
      </w:r>
      <w:proofErr w:type="spellStart"/>
      <w:r w:rsidRPr="002845EE">
        <w:rPr>
          <w:rFonts w:ascii="Times New Roman" w:eastAsia="Times New Roman" w:hAnsi="Times New Roman" w:cs="Times New Roman"/>
          <w:sz w:val="24"/>
          <w:szCs w:val="24"/>
          <w:lang w:eastAsia="fr-FR"/>
        </w:rPr>
        <w:t>Sylvo</w:t>
      </w:r>
      <w:proofErr w:type="spellEnd"/>
      <w:r w:rsidRPr="002845EE">
        <w:rPr>
          <w:rFonts w:ascii="Times New Roman" w:eastAsia="Times New Roman" w:hAnsi="Times New Roman" w:cs="Times New Roman"/>
          <w:sz w:val="24"/>
          <w:szCs w:val="24"/>
          <w:lang w:eastAsia="fr-FR"/>
        </w:rPr>
        <w:t xml:space="preserve">-pastoral Zone), </w:t>
      </w:r>
      <w:proofErr w:type="spellStart"/>
      <w:r w:rsidRPr="002845EE">
        <w:rPr>
          <w:rFonts w:ascii="Times New Roman" w:eastAsia="Times New Roman" w:hAnsi="Times New Roman" w:cs="Times New Roman"/>
          <w:sz w:val="24"/>
          <w:szCs w:val="24"/>
          <w:lang w:eastAsia="fr-FR"/>
        </w:rPr>
        <w:t>Diender</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Niayes</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Bandafassi</w:t>
      </w:r>
      <w:proofErr w:type="spellEnd"/>
      <w:r w:rsidRPr="002845EE">
        <w:rPr>
          <w:rFonts w:ascii="Times New Roman" w:eastAsia="Times New Roman" w:hAnsi="Times New Roman" w:cs="Times New Roman"/>
          <w:sz w:val="24"/>
          <w:szCs w:val="24"/>
          <w:lang w:eastAsia="fr-FR"/>
        </w:rPr>
        <w:t xml:space="preserve"> (Eastern Senegal), </w:t>
      </w:r>
      <w:proofErr w:type="spellStart"/>
      <w:r w:rsidRPr="002845EE">
        <w:rPr>
          <w:rFonts w:ascii="Times New Roman" w:eastAsia="Times New Roman" w:hAnsi="Times New Roman" w:cs="Times New Roman"/>
          <w:sz w:val="24"/>
          <w:szCs w:val="24"/>
          <w:lang w:eastAsia="fr-FR"/>
        </w:rPr>
        <w:t>Diendé</w:t>
      </w:r>
      <w:proofErr w:type="spellEnd"/>
      <w:r w:rsidRPr="002845EE">
        <w:rPr>
          <w:rFonts w:ascii="Times New Roman" w:eastAsia="Times New Roman" w:hAnsi="Times New Roman" w:cs="Times New Roman"/>
          <w:sz w:val="24"/>
          <w:szCs w:val="24"/>
          <w:lang w:eastAsia="fr-FR"/>
        </w:rPr>
        <w:t xml:space="preserve"> (Casamance); </w:t>
      </w:r>
      <w:proofErr w:type="spellStart"/>
      <w:r w:rsidRPr="002845EE">
        <w:rPr>
          <w:rFonts w:ascii="Times New Roman" w:eastAsia="Times New Roman" w:hAnsi="Times New Roman" w:cs="Times New Roman"/>
          <w:sz w:val="24"/>
          <w:szCs w:val="24"/>
          <w:lang w:eastAsia="fr-FR"/>
        </w:rPr>
        <w:t>Leïdi</w:t>
      </w:r>
      <w:proofErr w:type="spellEnd"/>
      <w:r w:rsidRPr="002845EE">
        <w:rPr>
          <w:rFonts w:ascii="Times New Roman" w:eastAsia="Times New Roman" w:hAnsi="Times New Roman" w:cs="Times New Roman"/>
          <w:sz w:val="24"/>
          <w:szCs w:val="24"/>
          <w:lang w:eastAsia="fr-FR"/>
        </w:rPr>
        <w:t xml:space="preserve"> Laboratory Geography Review – ISSN 0851-2515 – No. 10, December 2012, p. 345.</w:t>
      </w:r>
      <w:r w:rsidR="00152536">
        <w:rPr>
          <w:rFonts w:ascii="Times New Roman" w:eastAsia="Times New Roman" w:hAnsi="Times New Roman" w:cs="Times New Roman"/>
          <w:sz w:val="24"/>
          <w:szCs w:val="24"/>
          <w:lang w:eastAsia="fr-FR"/>
        </w:rPr>
        <w:t xml:space="preserve"> </w:t>
      </w:r>
      <w:hyperlink r:id="rId19" w:history="1">
        <w:r w:rsidR="00152536" w:rsidRPr="004761E6">
          <w:rPr>
            <w:rStyle w:val="Hyperlink"/>
            <w:rFonts w:ascii="Times New Roman" w:eastAsia="Times New Roman" w:hAnsi="Times New Roman" w:cs="Times New Roman"/>
            <w:sz w:val="24"/>
            <w:szCs w:val="24"/>
            <w:lang w:eastAsia="fr-FR"/>
          </w:rPr>
          <w:t>https://core.ac.uk/download/pdf/235896000.pdf</w:t>
        </w:r>
      </w:hyperlink>
      <w:r w:rsidR="00152536">
        <w:rPr>
          <w:rFonts w:ascii="Times New Roman" w:eastAsia="Times New Roman" w:hAnsi="Times New Roman" w:cs="Times New Roman"/>
          <w:sz w:val="24"/>
          <w:szCs w:val="24"/>
          <w:lang w:eastAsia="fr-FR"/>
        </w:rPr>
        <w:t xml:space="preserve"> </w:t>
      </w:r>
    </w:p>
    <w:p w14:paraId="1814268D" w14:textId="251F6352"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 xml:space="preserve">6. OUMAROU I., (2008): Women and local development: Analysis of land organization in Niger: the case of the </w:t>
      </w:r>
      <w:proofErr w:type="spellStart"/>
      <w:r w:rsidRPr="002845EE">
        <w:rPr>
          <w:rFonts w:ascii="Times New Roman" w:eastAsia="Times New Roman" w:hAnsi="Times New Roman" w:cs="Times New Roman"/>
          <w:sz w:val="24"/>
          <w:szCs w:val="24"/>
          <w:lang w:eastAsia="fr-FR"/>
        </w:rPr>
        <w:t>Tillabéry</w:t>
      </w:r>
      <w:proofErr w:type="spellEnd"/>
      <w:r w:rsidRPr="002845EE">
        <w:rPr>
          <w:rFonts w:ascii="Times New Roman" w:eastAsia="Times New Roman" w:hAnsi="Times New Roman" w:cs="Times New Roman"/>
          <w:sz w:val="24"/>
          <w:szCs w:val="24"/>
          <w:lang w:eastAsia="fr-FR"/>
        </w:rPr>
        <w:t xml:space="preserve"> region. Sociology. Doctoral thesis, University Rennes 2, 356 p.</w:t>
      </w:r>
      <w:r w:rsidR="00833A85">
        <w:rPr>
          <w:rFonts w:ascii="Times New Roman" w:eastAsia="Times New Roman" w:hAnsi="Times New Roman" w:cs="Times New Roman"/>
          <w:sz w:val="24"/>
          <w:szCs w:val="24"/>
          <w:lang w:eastAsia="fr-FR"/>
        </w:rPr>
        <w:t xml:space="preserve"> </w:t>
      </w:r>
      <w:hyperlink r:id="rId20" w:history="1">
        <w:r w:rsidR="00833A85" w:rsidRPr="004761E6">
          <w:rPr>
            <w:rStyle w:val="Hyperlink"/>
            <w:rFonts w:ascii="Times New Roman" w:eastAsia="Times New Roman" w:hAnsi="Times New Roman" w:cs="Times New Roman"/>
            <w:sz w:val="24"/>
            <w:szCs w:val="24"/>
            <w:lang w:eastAsia="fr-FR"/>
          </w:rPr>
          <w:t>https://www.theses.fr/2008REN21003</w:t>
        </w:r>
      </w:hyperlink>
      <w:r w:rsidR="00833A85">
        <w:rPr>
          <w:rFonts w:ascii="Times New Roman" w:eastAsia="Times New Roman" w:hAnsi="Times New Roman" w:cs="Times New Roman"/>
          <w:sz w:val="24"/>
          <w:szCs w:val="24"/>
          <w:lang w:eastAsia="fr-FR"/>
        </w:rPr>
        <w:t xml:space="preserve"> </w:t>
      </w:r>
    </w:p>
    <w:p w14:paraId="24A79A1C" w14:textId="7081CF50" w:rsidR="00DE39DC"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lastRenderedPageBreak/>
        <w:t xml:space="preserve">7. INSAE, (2013): General Population and Housing Census (RGPH4), Provisional results; 124 p. </w:t>
      </w:r>
      <w:hyperlink r:id="rId21" w:history="1">
        <w:r w:rsidR="00DE39DC" w:rsidRPr="004761E6">
          <w:rPr>
            <w:rStyle w:val="Hyperlink"/>
            <w:rFonts w:ascii="Times New Roman" w:eastAsia="Times New Roman" w:hAnsi="Times New Roman" w:cs="Times New Roman"/>
            <w:sz w:val="24"/>
            <w:szCs w:val="24"/>
            <w:lang w:eastAsia="fr-FR"/>
          </w:rPr>
          <w:t>https://instad.bj/rgph4-2013/</w:t>
        </w:r>
      </w:hyperlink>
      <w:r w:rsidR="00DE39DC">
        <w:rPr>
          <w:rFonts w:ascii="Times New Roman" w:eastAsia="Times New Roman" w:hAnsi="Times New Roman" w:cs="Times New Roman"/>
          <w:sz w:val="24"/>
          <w:szCs w:val="24"/>
          <w:lang w:eastAsia="fr-FR"/>
        </w:rPr>
        <w:t xml:space="preserve"> </w:t>
      </w:r>
    </w:p>
    <w:p w14:paraId="58179FDA" w14:textId="295B75D1"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 xml:space="preserve">8. </w:t>
      </w:r>
      <w:proofErr w:type="spellStart"/>
      <w:r w:rsidRPr="002845EE">
        <w:rPr>
          <w:rFonts w:ascii="Times New Roman" w:eastAsia="Times New Roman" w:hAnsi="Times New Roman" w:cs="Times New Roman"/>
          <w:sz w:val="24"/>
          <w:szCs w:val="24"/>
          <w:lang w:eastAsia="fr-FR"/>
        </w:rPr>
        <w:t>Charlier</w:t>
      </w:r>
      <w:proofErr w:type="spellEnd"/>
      <w:r w:rsidRPr="002845EE">
        <w:rPr>
          <w:rFonts w:ascii="Times New Roman" w:eastAsia="Times New Roman" w:hAnsi="Times New Roman" w:cs="Times New Roman"/>
          <w:sz w:val="24"/>
          <w:szCs w:val="24"/>
          <w:lang w:eastAsia="fr-FR"/>
        </w:rPr>
        <w:t xml:space="preserve"> Sophie, </w:t>
      </w:r>
      <w:proofErr w:type="spellStart"/>
      <w:r w:rsidRPr="002845EE">
        <w:rPr>
          <w:rFonts w:ascii="Times New Roman" w:eastAsia="Times New Roman" w:hAnsi="Times New Roman" w:cs="Times New Roman"/>
          <w:sz w:val="24"/>
          <w:szCs w:val="24"/>
          <w:lang w:eastAsia="fr-FR"/>
        </w:rPr>
        <w:t>Diop</w:t>
      </w:r>
      <w:proofErr w:type="spellEnd"/>
      <w:r w:rsidRPr="002845EE">
        <w:rPr>
          <w:rFonts w:ascii="Times New Roman" w:eastAsia="Times New Roman" w:hAnsi="Times New Roman" w:cs="Times New Roman"/>
          <w:sz w:val="24"/>
          <w:szCs w:val="24"/>
          <w:lang w:eastAsia="fr-FR"/>
        </w:rPr>
        <w:t xml:space="preserve"> </w:t>
      </w:r>
      <w:proofErr w:type="spellStart"/>
      <w:r w:rsidRPr="002845EE">
        <w:rPr>
          <w:rFonts w:ascii="Times New Roman" w:eastAsia="Times New Roman" w:hAnsi="Times New Roman" w:cs="Times New Roman"/>
          <w:sz w:val="24"/>
          <w:szCs w:val="24"/>
          <w:lang w:eastAsia="fr-FR"/>
        </w:rPr>
        <w:t>Sall</w:t>
      </w:r>
      <w:proofErr w:type="spellEnd"/>
      <w:r w:rsidRPr="002845EE">
        <w:rPr>
          <w:rFonts w:ascii="Times New Roman" w:eastAsia="Times New Roman" w:hAnsi="Times New Roman" w:cs="Times New Roman"/>
          <w:sz w:val="24"/>
          <w:szCs w:val="24"/>
          <w:lang w:eastAsia="fr-FR"/>
        </w:rPr>
        <w:t xml:space="preserve"> Fatou, Lopez Graciela (2016): Land governance models through a gender lens. Case studies in Niger, Senegal, and Bolivia, 4 pages.</w:t>
      </w:r>
      <w:r w:rsidR="00F47B35">
        <w:rPr>
          <w:rFonts w:ascii="Times New Roman" w:eastAsia="Times New Roman" w:hAnsi="Times New Roman" w:cs="Times New Roman"/>
          <w:sz w:val="24"/>
          <w:szCs w:val="24"/>
          <w:lang w:eastAsia="fr-FR"/>
        </w:rPr>
        <w:t xml:space="preserve"> </w:t>
      </w:r>
      <w:r w:rsidR="00AE2633">
        <w:rPr>
          <w:rFonts w:ascii="Times New Roman" w:eastAsia="Times New Roman" w:hAnsi="Times New Roman" w:cs="Times New Roman"/>
          <w:sz w:val="24"/>
          <w:szCs w:val="24"/>
          <w:lang w:eastAsia="fr-FR"/>
        </w:rPr>
        <w:t xml:space="preserve"> </w:t>
      </w:r>
      <w:hyperlink r:id="rId22" w:history="1">
        <w:r w:rsidR="00AE2633" w:rsidRPr="004761E6">
          <w:rPr>
            <w:rStyle w:val="Hyperlink"/>
            <w:rFonts w:ascii="Times New Roman" w:eastAsia="Times New Roman" w:hAnsi="Times New Roman" w:cs="Times New Roman"/>
            <w:sz w:val="24"/>
            <w:szCs w:val="24"/>
            <w:lang w:eastAsia="fr-FR"/>
          </w:rPr>
          <w:t>https://doi.org/10.35690/978-2-7592-2163-9</w:t>
        </w:r>
      </w:hyperlink>
      <w:r w:rsidR="00AE2633">
        <w:rPr>
          <w:rFonts w:ascii="Times New Roman" w:eastAsia="Times New Roman" w:hAnsi="Times New Roman" w:cs="Times New Roman"/>
          <w:sz w:val="24"/>
          <w:szCs w:val="24"/>
          <w:lang w:eastAsia="fr-FR"/>
        </w:rPr>
        <w:t xml:space="preserve"> </w:t>
      </w:r>
    </w:p>
    <w:p w14:paraId="1D5C439E" w14:textId="77777777" w:rsidR="002845EE" w:rsidRPr="002845EE" w:rsidRDefault="002845EE" w:rsidP="002845EE">
      <w:pPr>
        <w:spacing w:line="360" w:lineRule="auto"/>
        <w:ind w:left="708"/>
        <w:rPr>
          <w:rFonts w:ascii="Times New Roman" w:eastAsia="Times New Roman" w:hAnsi="Times New Roman" w:cs="Times New Roman"/>
          <w:sz w:val="24"/>
          <w:szCs w:val="24"/>
          <w:lang w:eastAsia="fr-FR"/>
        </w:rPr>
      </w:pPr>
      <w:r w:rsidRPr="002845EE">
        <w:rPr>
          <w:rFonts w:ascii="Times New Roman" w:eastAsia="Times New Roman" w:hAnsi="Times New Roman" w:cs="Times New Roman"/>
          <w:sz w:val="24"/>
          <w:szCs w:val="24"/>
          <w:lang w:eastAsia="fr-FR"/>
        </w:rPr>
        <w:t>9. Schwartz D., (1995): Statistical methods for physicians and biologists. 4th Edition (Flammarion Medical Publishing), Paris, 314 pages.</w:t>
      </w:r>
    </w:p>
    <w:p w14:paraId="71735C76" w14:textId="31A6FA7F" w:rsidR="002C03CF" w:rsidRPr="007D3DE9" w:rsidRDefault="002845EE" w:rsidP="002845EE">
      <w:pPr>
        <w:spacing w:line="360" w:lineRule="auto"/>
        <w:ind w:left="708"/>
        <w:rPr>
          <w:rFonts w:ascii="Times New Roman" w:hAnsi="Times New Roman" w:cs="Times New Roman"/>
          <w:b/>
          <w:sz w:val="24"/>
          <w:szCs w:val="24"/>
        </w:rPr>
      </w:pPr>
      <w:r w:rsidRPr="002845EE">
        <w:rPr>
          <w:rFonts w:ascii="Times New Roman" w:eastAsia="Times New Roman" w:hAnsi="Times New Roman" w:cs="Times New Roman"/>
          <w:sz w:val="24"/>
          <w:szCs w:val="24"/>
          <w:lang w:eastAsia="fr-FR"/>
        </w:rPr>
        <w:t>10. Republic of Benin. Law No. 2013-01 of August 14, 2013, establishing the Land and Property Code in the Republic of Benin. Official Gazette of the Republic of Benin; 2013.</w:t>
      </w:r>
      <w:r w:rsidR="00BA411C">
        <w:rPr>
          <w:rFonts w:ascii="Times New Roman" w:eastAsia="Times New Roman" w:hAnsi="Times New Roman" w:cs="Times New Roman"/>
          <w:sz w:val="24"/>
          <w:szCs w:val="24"/>
          <w:lang w:eastAsia="fr-FR"/>
        </w:rPr>
        <w:t xml:space="preserve"> </w:t>
      </w:r>
      <w:hyperlink r:id="rId23" w:history="1">
        <w:r w:rsidR="00BA411C" w:rsidRPr="004761E6">
          <w:rPr>
            <w:rStyle w:val="Hyperlink"/>
            <w:rFonts w:ascii="Times New Roman" w:eastAsia="Times New Roman" w:hAnsi="Times New Roman" w:cs="Times New Roman"/>
            <w:sz w:val="24"/>
            <w:szCs w:val="24"/>
            <w:lang w:eastAsia="fr-FR"/>
          </w:rPr>
          <w:t>https://sgg.gouv.bj/document/loi-n-2013-01-du-14-aout-2013/</w:t>
        </w:r>
      </w:hyperlink>
      <w:r w:rsidR="00BA411C">
        <w:rPr>
          <w:rFonts w:ascii="Times New Roman" w:eastAsia="Times New Roman" w:hAnsi="Times New Roman" w:cs="Times New Roman"/>
          <w:sz w:val="24"/>
          <w:szCs w:val="24"/>
          <w:lang w:eastAsia="fr-FR"/>
        </w:rPr>
        <w:t xml:space="preserve"> </w:t>
      </w:r>
    </w:p>
    <w:sectPr w:rsidR="002C03CF" w:rsidRPr="007D3DE9">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4C6D7" w14:textId="77777777" w:rsidR="00E11D63" w:rsidRDefault="00E11D63" w:rsidP="00233CE5">
      <w:pPr>
        <w:spacing w:after="0" w:line="240" w:lineRule="auto"/>
      </w:pPr>
      <w:r>
        <w:separator/>
      </w:r>
    </w:p>
  </w:endnote>
  <w:endnote w:type="continuationSeparator" w:id="0">
    <w:p w14:paraId="2F8B33EE" w14:textId="77777777" w:rsidR="00E11D63" w:rsidRDefault="00E11D63" w:rsidP="0023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6B21B" w14:textId="77777777" w:rsidR="00EA5A21" w:rsidRDefault="00EA5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7B894" w14:textId="77777777" w:rsidR="00EA5A21" w:rsidRDefault="00EA5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8E86" w14:textId="77777777" w:rsidR="00EA5A21" w:rsidRDefault="00EA5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65170" w14:textId="77777777" w:rsidR="00E11D63" w:rsidRDefault="00E11D63" w:rsidP="00233CE5">
      <w:pPr>
        <w:spacing w:after="0" w:line="240" w:lineRule="auto"/>
      </w:pPr>
      <w:r>
        <w:separator/>
      </w:r>
    </w:p>
  </w:footnote>
  <w:footnote w:type="continuationSeparator" w:id="0">
    <w:p w14:paraId="62B7A4F5" w14:textId="77777777" w:rsidR="00E11D63" w:rsidRDefault="00E11D63" w:rsidP="00233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8BF8" w14:textId="30E993EA" w:rsidR="00EA5A21" w:rsidRDefault="00EA5A21">
    <w:pPr>
      <w:pStyle w:val="Header"/>
    </w:pPr>
    <w:r>
      <w:rPr>
        <w:noProof/>
      </w:rPr>
      <w:pict w14:anchorId="149EF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1564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12832" w14:textId="1200B02D" w:rsidR="00EA5A21" w:rsidRDefault="00EA5A21">
    <w:pPr>
      <w:pStyle w:val="Header"/>
    </w:pPr>
    <w:r>
      <w:rPr>
        <w:noProof/>
      </w:rPr>
      <w:pict w14:anchorId="0D3DA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1564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CFF0" w14:textId="44483336" w:rsidR="00EA5A21" w:rsidRDefault="00EA5A21">
    <w:pPr>
      <w:pStyle w:val="Header"/>
    </w:pPr>
    <w:r>
      <w:rPr>
        <w:noProof/>
      </w:rPr>
      <w:pict w14:anchorId="1831A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41564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327E"/>
    <w:multiLevelType w:val="multilevel"/>
    <w:tmpl w:val="B5F6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71718"/>
    <w:multiLevelType w:val="hybridMultilevel"/>
    <w:tmpl w:val="C620622E"/>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6B1420"/>
    <w:multiLevelType w:val="hybridMultilevel"/>
    <w:tmpl w:val="F04639E2"/>
    <w:lvl w:ilvl="0" w:tplc="74905414">
      <w:start w:val="1"/>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1070" w:hanging="360"/>
      </w:pPr>
    </w:lvl>
    <w:lvl w:ilvl="4" w:tplc="040C0019">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9F27E5F"/>
    <w:multiLevelType w:val="hybridMultilevel"/>
    <w:tmpl w:val="32123C86"/>
    <w:lvl w:ilvl="0" w:tplc="F2540A54">
      <w:start w:val="1"/>
      <w:numFmt w:val="bullet"/>
      <w:lvlText w:val="-"/>
      <w:lvlJc w:val="left"/>
      <w:pPr>
        <w:ind w:left="720" w:hanging="360"/>
      </w:pPr>
      <w:rPr>
        <w:rFonts w:ascii="Times New Roman" w:eastAsiaTheme="minorHAnsi" w:hAnsi="Times New Roman" w:cs="Times New Roman" w:hint="default"/>
      </w:rPr>
    </w:lvl>
    <w:lvl w:ilvl="1" w:tplc="40580558">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C0067"/>
    <w:multiLevelType w:val="multilevel"/>
    <w:tmpl w:val="57FCE91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5916C9B"/>
    <w:multiLevelType w:val="hybridMultilevel"/>
    <w:tmpl w:val="8508F758"/>
    <w:lvl w:ilvl="0" w:tplc="F2540A5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C43860"/>
    <w:multiLevelType w:val="hybridMultilevel"/>
    <w:tmpl w:val="1324BE5E"/>
    <w:lvl w:ilvl="0" w:tplc="F2540A54">
      <w:start w:val="1"/>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B12EC3"/>
    <w:multiLevelType w:val="multilevel"/>
    <w:tmpl w:val="5A8059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794473ED"/>
    <w:multiLevelType w:val="multilevel"/>
    <w:tmpl w:val="2DF6930A"/>
    <w:lvl w:ilvl="0">
      <w:start w:val="3"/>
      <w:numFmt w:val="decimal"/>
      <w:lvlText w:val="%1."/>
      <w:lvlJc w:val="left"/>
      <w:pPr>
        <w:ind w:left="520" w:hanging="520"/>
      </w:pPr>
      <w:rPr>
        <w:rFonts w:hint="default"/>
      </w:rPr>
    </w:lvl>
    <w:lvl w:ilvl="1">
      <w:start w:val="6"/>
      <w:numFmt w:val="decimal"/>
      <w:lvlText w:val="%1.%2."/>
      <w:lvlJc w:val="left"/>
      <w:pPr>
        <w:ind w:left="700" w:hanging="5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5"/>
  </w:num>
  <w:num w:numId="2">
    <w:abstractNumId w:val="3"/>
  </w:num>
  <w:num w:numId="3">
    <w:abstractNumId w:val="2"/>
  </w:num>
  <w:num w:numId="4">
    <w:abstractNumId w:val="4"/>
  </w:num>
  <w:num w:numId="5">
    <w:abstractNumId w:val="7"/>
  </w:num>
  <w:num w:numId="6">
    <w:abstractNumId w:val="8"/>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171"/>
    <w:rsid w:val="00023A5F"/>
    <w:rsid w:val="0003578F"/>
    <w:rsid w:val="00094C47"/>
    <w:rsid w:val="000A431C"/>
    <w:rsid w:val="000B4472"/>
    <w:rsid w:val="000F2183"/>
    <w:rsid w:val="001220E2"/>
    <w:rsid w:val="00124DBB"/>
    <w:rsid w:val="0013594D"/>
    <w:rsid w:val="00152536"/>
    <w:rsid w:val="00166812"/>
    <w:rsid w:val="001724C4"/>
    <w:rsid w:val="00196331"/>
    <w:rsid w:val="001B1973"/>
    <w:rsid w:val="001C5B9E"/>
    <w:rsid w:val="002175BC"/>
    <w:rsid w:val="00220BB1"/>
    <w:rsid w:val="00233CE5"/>
    <w:rsid w:val="002845EE"/>
    <w:rsid w:val="00292243"/>
    <w:rsid w:val="002C03CF"/>
    <w:rsid w:val="002C234E"/>
    <w:rsid w:val="003017D5"/>
    <w:rsid w:val="003033F9"/>
    <w:rsid w:val="00313E47"/>
    <w:rsid w:val="00326678"/>
    <w:rsid w:val="003400F4"/>
    <w:rsid w:val="00340465"/>
    <w:rsid w:val="0036531D"/>
    <w:rsid w:val="003929CC"/>
    <w:rsid w:val="003B3F95"/>
    <w:rsid w:val="003F552B"/>
    <w:rsid w:val="00401D88"/>
    <w:rsid w:val="00405740"/>
    <w:rsid w:val="004A4909"/>
    <w:rsid w:val="004A5294"/>
    <w:rsid w:val="004B660A"/>
    <w:rsid w:val="004B7AAB"/>
    <w:rsid w:val="004E4534"/>
    <w:rsid w:val="004F3B60"/>
    <w:rsid w:val="005016DF"/>
    <w:rsid w:val="0051426D"/>
    <w:rsid w:val="00516D2F"/>
    <w:rsid w:val="00530C5E"/>
    <w:rsid w:val="00561F75"/>
    <w:rsid w:val="005635B7"/>
    <w:rsid w:val="00582053"/>
    <w:rsid w:val="0058788B"/>
    <w:rsid w:val="006159F9"/>
    <w:rsid w:val="00617EE8"/>
    <w:rsid w:val="00642AEC"/>
    <w:rsid w:val="00647863"/>
    <w:rsid w:val="00672129"/>
    <w:rsid w:val="0067435F"/>
    <w:rsid w:val="00677C3E"/>
    <w:rsid w:val="00680F37"/>
    <w:rsid w:val="00691CA1"/>
    <w:rsid w:val="006B69D5"/>
    <w:rsid w:val="006B7458"/>
    <w:rsid w:val="006D7ADA"/>
    <w:rsid w:val="006F1D3A"/>
    <w:rsid w:val="006F6E0D"/>
    <w:rsid w:val="006F6E28"/>
    <w:rsid w:val="00705080"/>
    <w:rsid w:val="00741D26"/>
    <w:rsid w:val="00761CF5"/>
    <w:rsid w:val="00766D66"/>
    <w:rsid w:val="007D3DE9"/>
    <w:rsid w:val="007E6C23"/>
    <w:rsid w:val="007F719F"/>
    <w:rsid w:val="00833A85"/>
    <w:rsid w:val="00843539"/>
    <w:rsid w:val="008672EC"/>
    <w:rsid w:val="00902926"/>
    <w:rsid w:val="00916BAF"/>
    <w:rsid w:val="009225C3"/>
    <w:rsid w:val="0092426B"/>
    <w:rsid w:val="00956096"/>
    <w:rsid w:val="00980EBC"/>
    <w:rsid w:val="009C0BC7"/>
    <w:rsid w:val="009E49D2"/>
    <w:rsid w:val="009F5397"/>
    <w:rsid w:val="00A47AC5"/>
    <w:rsid w:val="00A53F47"/>
    <w:rsid w:val="00A868F1"/>
    <w:rsid w:val="00AA0734"/>
    <w:rsid w:val="00AC0D96"/>
    <w:rsid w:val="00AE2633"/>
    <w:rsid w:val="00B001CC"/>
    <w:rsid w:val="00B53B4B"/>
    <w:rsid w:val="00B55576"/>
    <w:rsid w:val="00B83508"/>
    <w:rsid w:val="00B9335A"/>
    <w:rsid w:val="00BA411C"/>
    <w:rsid w:val="00BB135A"/>
    <w:rsid w:val="00BD3374"/>
    <w:rsid w:val="00BE1EBE"/>
    <w:rsid w:val="00C175CD"/>
    <w:rsid w:val="00C2555C"/>
    <w:rsid w:val="00C72011"/>
    <w:rsid w:val="00CC6D96"/>
    <w:rsid w:val="00CE3AE1"/>
    <w:rsid w:val="00D36A14"/>
    <w:rsid w:val="00D61AF3"/>
    <w:rsid w:val="00DA72E0"/>
    <w:rsid w:val="00DE39DC"/>
    <w:rsid w:val="00E0503C"/>
    <w:rsid w:val="00E11D63"/>
    <w:rsid w:val="00E27B64"/>
    <w:rsid w:val="00E5464D"/>
    <w:rsid w:val="00E557EA"/>
    <w:rsid w:val="00E56E2E"/>
    <w:rsid w:val="00EA3795"/>
    <w:rsid w:val="00EA5A21"/>
    <w:rsid w:val="00EA76BD"/>
    <w:rsid w:val="00EB2235"/>
    <w:rsid w:val="00EB38C2"/>
    <w:rsid w:val="00EB7BD6"/>
    <w:rsid w:val="00ED3246"/>
    <w:rsid w:val="00F04B6D"/>
    <w:rsid w:val="00F47B35"/>
    <w:rsid w:val="00F6748F"/>
    <w:rsid w:val="00F95D2D"/>
    <w:rsid w:val="00FB7793"/>
    <w:rsid w:val="00FD51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F1F4B"/>
  <w15:chartTrackingRefBased/>
  <w15:docId w15:val="{3107814C-9042-4009-BE32-698F3F08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20B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D5171"/>
    <w:pPr>
      <w:keepNext/>
      <w:keepLines/>
      <w:spacing w:before="160" w:after="120"/>
      <w:jc w:val="both"/>
      <w:outlineLvl w:val="2"/>
    </w:pPr>
    <w:rPr>
      <w:rFonts w:ascii="Times New Roman" w:eastAsiaTheme="majorEastAsia" w:hAnsi="Times New Roman" w:cstheme="majorBidi"/>
      <w:b/>
      <w:kern w:val="2"/>
      <w:sz w:val="24"/>
      <w:szCs w:val="24"/>
      <w14:ligatures w14:val="standardContextual"/>
    </w:rPr>
  </w:style>
  <w:style w:type="paragraph" w:styleId="Heading4">
    <w:name w:val="heading 4"/>
    <w:basedOn w:val="Normal"/>
    <w:next w:val="Normal"/>
    <w:link w:val="Heading4Char"/>
    <w:uiPriority w:val="9"/>
    <w:semiHidden/>
    <w:unhideWhenUsed/>
    <w:qFormat/>
    <w:rsid w:val="00220B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5171"/>
    <w:rPr>
      <w:rFonts w:ascii="Times New Roman" w:eastAsiaTheme="majorEastAsia" w:hAnsi="Times New Roman" w:cstheme="majorBidi"/>
      <w:b/>
      <w:kern w:val="2"/>
      <w:sz w:val="24"/>
      <w:szCs w:val="24"/>
      <w14:ligatures w14:val="standardContextual"/>
    </w:rPr>
  </w:style>
  <w:style w:type="table" w:customStyle="1" w:styleId="Grilledutableau1">
    <w:name w:val="Grille du tableau1"/>
    <w:basedOn w:val="TableNormal"/>
    <w:next w:val="TableGrid"/>
    <w:uiPriority w:val="39"/>
    <w:rsid w:val="0092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20BB1"/>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220BB1"/>
    <w:rPr>
      <w:rFonts w:asciiTheme="majorHAnsi" w:eastAsiaTheme="majorEastAsia" w:hAnsiTheme="majorHAnsi" w:cstheme="majorBidi"/>
      <w:color w:val="2E74B5" w:themeColor="accent1" w:themeShade="BF"/>
      <w:sz w:val="26"/>
      <w:szCs w:val="26"/>
    </w:rPr>
  </w:style>
  <w:style w:type="paragraph" w:styleId="ListParagraph">
    <w:name w:val="List Paragraph"/>
    <w:aliases w:val="Titre1,References,1,Paragraphe de liste1,- List tir,liste 1,puce 1,Puces,Bullets,List Paragraph nowy,Liste 1,List Paragraph1,Numbered List Paragraph,List Paragraph (numbered (a)),bullet points,Dot pt,titre 222"/>
    <w:basedOn w:val="Normal"/>
    <w:link w:val="ListParagraphChar"/>
    <w:uiPriority w:val="34"/>
    <w:qFormat/>
    <w:rsid w:val="00220BB1"/>
    <w:pPr>
      <w:ind w:left="720"/>
      <w:contextualSpacing/>
    </w:pPr>
    <w:rPr>
      <w:kern w:val="2"/>
      <w14:ligatures w14:val="standardContextual"/>
    </w:rPr>
  </w:style>
  <w:style w:type="character" w:customStyle="1" w:styleId="ListParagraphChar">
    <w:name w:val="List Paragraph Char"/>
    <w:aliases w:val="Titre1 Char,References Char,1 Char,Paragraphe de liste1 Char,- List tir Char,liste 1 Char,puce 1 Char,Puces Char,Bullets Char,List Paragraph nowy Char,Liste 1 Char,List Paragraph1 Char,Numbered List Paragraph Char,bullet points Char"/>
    <w:basedOn w:val="DefaultParagraphFont"/>
    <w:link w:val="ListParagraph"/>
    <w:uiPriority w:val="34"/>
    <w:rsid w:val="00220BB1"/>
    <w:rPr>
      <w:kern w:val="2"/>
      <w14:ligatures w14:val="standardContextual"/>
    </w:rPr>
  </w:style>
  <w:style w:type="character" w:customStyle="1" w:styleId="Heading1Char">
    <w:name w:val="Heading 1 Char"/>
    <w:basedOn w:val="DefaultParagraphFont"/>
    <w:link w:val="Heading1"/>
    <w:uiPriority w:val="9"/>
    <w:rsid w:val="00B5557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FB7793"/>
    <w:rPr>
      <w:sz w:val="16"/>
      <w:szCs w:val="16"/>
    </w:rPr>
  </w:style>
  <w:style w:type="paragraph" w:styleId="CommentText">
    <w:name w:val="annotation text"/>
    <w:basedOn w:val="Normal"/>
    <w:link w:val="CommentTextChar"/>
    <w:uiPriority w:val="99"/>
    <w:semiHidden/>
    <w:unhideWhenUsed/>
    <w:rsid w:val="00FB7793"/>
    <w:pPr>
      <w:spacing w:line="240" w:lineRule="auto"/>
    </w:pPr>
    <w:rPr>
      <w:sz w:val="20"/>
      <w:szCs w:val="20"/>
    </w:rPr>
  </w:style>
  <w:style w:type="character" w:customStyle="1" w:styleId="CommentTextChar">
    <w:name w:val="Comment Text Char"/>
    <w:basedOn w:val="DefaultParagraphFont"/>
    <w:link w:val="CommentText"/>
    <w:uiPriority w:val="99"/>
    <w:semiHidden/>
    <w:rsid w:val="00FB7793"/>
    <w:rPr>
      <w:sz w:val="20"/>
      <w:szCs w:val="20"/>
    </w:rPr>
  </w:style>
  <w:style w:type="paragraph" w:styleId="CommentSubject">
    <w:name w:val="annotation subject"/>
    <w:basedOn w:val="CommentText"/>
    <w:next w:val="CommentText"/>
    <w:link w:val="CommentSubjectChar"/>
    <w:uiPriority w:val="99"/>
    <w:semiHidden/>
    <w:unhideWhenUsed/>
    <w:rsid w:val="00FB7793"/>
    <w:rPr>
      <w:b/>
      <w:bCs/>
    </w:rPr>
  </w:style>
  <w:style w:type="character" w:customStyle="1" w:styleId="CommentSubjectChar">
    <w:name w:val="Comment Subject Char"/>
    <w:basedOn w:val="CommentTextChar"/>
    <w:link w:val="CommentSubject"/>
    <w:uiPriority w:val="99"/>
    <w:semiHidden/>
    <w:rsid w:val="00FB7793"/>
    <w:rPr>
      <w:b/>
      <w:bCs/>
      <w:sz w:val="20"/>
      <w:szCs w:val="20"/>
    </w:rPr>
  </w:style>
  <w:style w:type="paragraph" w:styleId="Revision">
    <w:name w:val="Revision"/>
    <w:hidden/>
    <w:uiPriority w:val="99"/>
    <w:semiHidden/>
    <w:rsid w:val="00FB7793"/>
    <w:pPr>
      <w:spacing w:after="0" w:line="240" w:lineRule="auto"/>
    </w:pPr>
  </w:style>
  <w:style w:type="paragraph" w:styleId="BalloonText">
    <w:name w:val="Balloon Text"/>
    <w:basedOn w:val="Normal"/>
    <w:link w:val="BalloonTextChar"/>
    <w:uiPriority w:val="99"/>
    <w:semiHidden/>
    <w:unhideWhenUsed/>
    <w:rsid w:val="00FB77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93"/>
    <w:rPr>
      <w:rFonts w:ascii="Segoe UI" w:hAnsi="Segoe UI" w:cs="Segoe UI"/>
      <w:sz w:val="18"/>
      <w:szCs w:val="18"/>
    </w:rPr>
  </w:style>
  <w:style w:type="paragraph" w:styleId="NormalWeb">
    <w:name w:val="Normal (Web)"/>
    <w:basedOn w:val="Normal"/>
    <w:uiPriority w:val="99"/>
    <w:unhideWhenUsed/>
    <w:rsid w:val="002C03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ED3246"/>
    <w:rPr>
      <w:b/>
      <w:bCs/>
    </w:rPr>
  </w:style>
  <w:style w:type="character" w:styleId="Emphasis">
    <w:name w:val="Emphasis"/>
    <w:basedOn w:val="DefaultParagraphFont"/>
    <w:uiPriority w:val="20"/>
    <w:qFormat/>
    <w:rsid w:val="00ED3246"/>
    <w:rPr>
      <w:i/>
      <w:iCs/>
    </w:rPr>
  </w:style>
  <w:style w:type="character" w:customStyle="1" w:styleId="citation-123">
    <w:name w:val="citation-123"/>
    <w:basedOn w:val="DefaultParagraphFont"/>
    <w:rsid w:val="00F6748F"/>
  </w:style>
  <w:style w:type="character" w:customStyle="1" w:styleId="citation-122">
    <w:name w:val="citation-122"/>
    <w:basedOn w:val="DefaultParagraphFont"/>
    <w:rsid w:val="00F6748F"/>
  </w:style>
  <w:style w:type="character" w:customStyle="1" w:styleId="citation-121">
    <w:name w:val="citation-121"/>
    <w:basedOn w:val="DefaultParagraphFont"/>
    <w:rsid w:val="00F6748F"/>
  </w:style>
  <w:style w:type="character" w:customStyle="1" w:styleId="citation-120">
    <w:name w:val="citation-120"/>
    <w:basedOn w:val="DefaultParagraphFont"/>
    <w:rsid w:val="00F6748F"/>
  </w:style>
  <w:style w:type="character" w:customStyle="1" w:styleId="citation-119">
    <w:name w:val="citation-119"/>
    <w:basedOn w:val="DefaultParagraphFont"/>
    <w:rsid w:val="00F6748F"/>
  </w:style>
  <w:style w:type="character" w:customStyle="1" w:styleId="citation-118">
    <w:name w:val="citation-118"/>
    <w:basedOn w:val="DefaultParagraphFont"/>
    <w:rsid w:val="00F6748F"/>
  </w:style>
  <w:style w:type="character" w:customStyle="1" w:styleId="citation-117">
    <w:name w:val="citation-117"/>
    <w:basedOn w:val="DefaultParagraphFont"/>
    <w:rsid w:val="00F6748F"/>
  </w:style>
  <w:style w:type="character" w:customStyle="1" w:styleId="citation-116">
    <w:name w:val="citation-116"/>
    <w:basedOn w:val="DefaultParagraphFont"/>
    <w:rsid w:val="00F6748F"/>
  </w:style>
  <w:style w:type="character" w:customStyle="1" w:styleId="citation-115">
    <w:name w:val="citation-115"/>
    <w:basedOn w:val="DefaultParagraphFont"/>
    <w:rsid w:val="00F6748F"/>
  </w:style>
  <w:style w:type="character" w:customStyle="1" w:styleId="citation-114">
    <w:name w:val="citation-114"/>
    <w:basedOn w:val="DefaultParagraphFont"/>
    <w:rsid w:val="00F6748F"/>
  </w:style>
  <w:style w:type="character" w:customStyle="1" w:styleId="citation-113">
    <w:name w:val="citation-113"/>
    <w:basedOn w:val="DefaultParagraphFont"/>
    <w:rsid w:val="00F6748F"/>
  </w:style>
  <w:style w:type="character" w:customStyle="1" w:styleId="citation-112">
    <w:name w:val="citation-112"/>
    <w:basedOn w:val="DefaultParagraphFont"/>
    <w:rsid w:val="00F6748F"/>
  </w:style>
  <w:style w:type="character" w:customStyle="1" w:styleId="citation-111">
    <w:name w:val="citation-111"/>
    <w:basedOn w:val="DefaultParagraphFont"/>
    <w:rsid w:val="00F6748F"/>
  </w:style>
  <w:style w:type="character" w:customStyle="1" w:styleId="citation-110">
    <w:name w:val="citation-110"/>
    <w:basedOn w:val="DefaultParagraphFont"/>
    <w:rsid w:val="00F6748F"/>
  </w:style>
  <w:style w:type="character" w:customStyle="1" w:styleId="citation-109">
    <w:name w:val="citation-109"/>
    <w:basedOn w:val="DefaultParagraphFont"/>
    <w:rsid w:val="00F6748F"/>
  </w:style>
  <w:style w:type="character" w:customStyle="1" w:styleId="citation-141">
    <w:name w:val="citation-141"/>
    <w:basedOn w:val="DefaultParagraphFont"/>
    <w:rsid w:val="00405740"/>
  </w:style>
  <w:style w:type="character" w:customStyle="1" w:styleId="citation-140">
    <w:name w:val="citation-140"/>
    <w:basedOn w:val="DefaultParagraphFont"/>
    <w:rsid w:val="00405740"/>
  </w:style>
  <w:style w:type="character" w:customStyle="1" w:styleId="citation-139">
    <w:name w:val="citation-139"/>
    <w:basedOn w:val="DefaultParagraphFont"/>
    <w:rsid w:val="00405740"/>
  </w:style>
  <w:style w:type="character" w:customStyle="1" w:styleId="citation-138">
    <w:name w:val="citation-138"/>
    <w:basedOn w:val="DefaultParagraphFont"/>
    <w:rsid w:val="00405740"/>
  </w:style>
  <w:style w:type="character" w:customStyle="1" w:styleId="citation-137">
    <w:name w:val="citation-137"/>
    <w:basedOn w:val="DefaultParagraphFont"/>
    <w:rsid w:val="00405740"/>
  </w:style>
  <w:style w:type="character" w:customStyle="1" w:styleId="citation-136">
    <w:name w:val="citation-136"/>
    <w:basedOn w:val="DefaultParagraphFont"/>
    <w:rsid w:val="00405740"/>
  </w:style>
  <w:style w:type="character" w:styleId="Hyperlink">
    <w:name w:val="Hyperlink"/>
    <w:basedOn w:val="DefaultParagraphFont"/>
    <w:uiPriority w:val="99"/>
    <w:unhideWhenUsed/>
    <w:rsid w:val="00EB2235"/>
    <w:rPr>
      <w:color w:val="0563C1" w:themeColor="hyperlink"/>
      <w:u w:val="single"/>
    </w:rPr>
  </w:style>
  <w:style w:type="paragraph" w:styleId="HTMLPreformatted">
    <w:name w:val="HTML Preformatted"/>
    <w:basedOn w:val="Normal"/>
    <w:link w:val="HTMLPreformattedChar"/>
    <w:uiPriority w:val="99"/>
    <w:semiHidden/>
    <w:unhideWhenUsed/>
    <w:rsid w:val="006F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character" w:customStyle="1" w:styleId="HTMLPreformattedChar">
    <w:name w:val="HTML Preformatted Char"/>
    <w:basedOn w:val="DefaultParagraphFont"/>
    <w:link w:val="HTMLPreformatted"/>
    <w:uiPriority w:val="99"/>
    <w:semiHidden/>
    <w:rsid w:val="006F6E28"/>
    <w:rPr>
      <w:rFonts w:ascii="Courier New" w:eastAsia="Times New Roman" w:hAnsi="Courier New" w:cs="Courier New"/>
      <w:sz w:val="20"/>
      <w:szCs w:val="20"/>
      <w:lang w:val="fr-FR" w:eastAsia="fr-FR"/>
    </w:rPr>
  </w:style>
  <w:style w:type="character" w:customStyle="1" w:styleId="y2iqfc">
    <w:name w:val="y2iqfc"/>
    <w:basedOn w:val="DefaultParagraphFont"/>
    <w:rsid w:val="006F6E28"/>
  </w:style>
  <w:style w:type="character" w:customStyle="1" w:styleId="UnresolvedMention1">
    <w:name w:val="Unresolved Mention1"/>
    <w:basedOn w:val="DefaultParagraphFont"/>
    <w:uiPriority w:val="99"/>
    <w:semiHidden/>
    <w:unhideWhenUsed/>
    <w:rsid w:val="0036531D"/>
    <w:rPr>
      <w:color w:val="605E5C"/>
      <w:shd w:val="clear" w:color="auto" w:fill="E1DFDD"/>
    </w:rPr>
  </w:style>
  <w:style w:type="paragraph" w:styleId="Header">
    <w:name w:val="header"/>
    <w:basedOn w:val="Normal"/>
    <w:link w:val="HeaderChar"/>
    <w:uiPriority w:val="99"/>
    <w:unhideWhenUsed/>
    <w:rsid w:val="00233C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CE5"/>
  </w:style>
  <w:style w:type="paragraph" w:styleId="Footer">
    <w:name w:val="footer"/>
    <w:basedOn w:val="Normal"/>
    <w:link w:val="FooterChar"/>
    <w:uiPriority w:val="99"/>
    <w:unhideWhenUsed/>
    <w:rsid w:val="00233C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CE5"/>
  </w:style>
  <w:style w:type="character" w:styleId="UnresolvedMention">
    <w:name w:val="Unresolved Mention"/>
    <w:basedOn w:val="DefaultParagraphFont"/>
    <w:uiPriority w:val="99"/>
    <w:semiHidden/>
    <w:unhideWhenUsed/>
    <w:rsid w:val="00A47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4176">
      <w:bodyDiv w:val="1"/>
      <w:marLeft w:val="0"/>
      <w:marRight w:val="0"/>
      <w:marTop w:val="0"/>
      <w:marBottom w:val="0"/>
      <w:divBdr>
        <w:top w:val="none" w:sz="0" w:space="0" w:color="auto"/>
        <w:left w:val="none" w:sz="0" w:space="0" w:color="auto"/>
        <w:bottom w:val="none" w:sz="0" w:space="0" w:color="auto"/>
        <w:right w:val="none" w:sz="0" w:space="0" w:color="auto"/>
      </w:divBdr>
    </w:div>
    <w:div w:id="384303500">
      <w:bodyDiv w:val="1"/>
      <w:marLeft w:val="0"/>
      <w:marRight w:val="0"/>
      <w:marTop w:val="0"/>
      <w:marBottom w:val="0"/>
      <w:divBdr>
        <w:top w:val="none" w:sz="0" w:space="0" w:color="auto"/>
        <w:left w:val="none" w:sz="0" w:space="0" w:color="auto"/>
        <w:bottom w:val="none" w:sz="0" w:space="0" w:color="auto"/>
        <w:right w:val="none" w:sz="0" w:space="0" w:color="auto"/>
      </w:divBdr>
    </w:div>
    <w:div w:id="495808139">
      <w:bodyDiv w:val="1"/>
      <w:marLeft w:val="0"/>
      <w:marRight w:val="0"/>
      <w:marTop w:val="0"/>
      <w:marBottom w:val="0"/>
      <w:divBdr>
        <w:top w:val="none" w:sz="0" w:space="0" w:color="auto"/>
        <w:left w:val="none" w:sz="0" w:space="0" w:color="auto"/>
        <w:bottom w:val="none" w:sz="0" w:space="0" w:color="auto"/>
        <w:right w:val="none" w:sz="0" w:space="0" w:color="auto"/>
      </w:divBdr>
    </w:div>
    <w:div w:id="570426379">
      <w:bodyDiv w:val="1"/>
      <w:marLeft w:val="0"/>
      <w:marRight w:val="0"/>
      <w:marTop w:val="0"/>
      <w:marBottom w:val="0"/>
      <w:divBdr>
        <w:top w:val="none" w:sz="0" w:space="0" w:color="auto"/>
        <w:left w:val="none" w:sz="0" w:space="0" w:color="auto"/>
        <w:bottom w:val="none" w:sz="0" w:space="0" w:color="auto"/>
        <w:right w:val="none" w:sz="0" w:space="0" w:color="auto"/>
      </w:divBdr>
    </w:div>
    <w:div w:id="608926326">
      <w:bodyDiv w:val="1"/>
      <w:marLeft w:val="0"/>
      <w:marRight w:val="0"/>
      <w:marTop w:val="0"/>
      <w:marBottom w:val="0"/>
      <w:divBdr>
        <w:top w:val="none" w:sz="0" w:space="0" w:color="auto"/>
        <w:left w:val="none" w:sz="0" w:space="0" w:color="auto"/>
        <w:bottom w:val="none" w:sz="0" w:space="0" w:color="auto"/>
        <w:right w:val="none" w:sz="0" w:space="0" w:color="auto"/>
      </w:divBdr>
    </w:div>
    <w:div w:id="645403869">
      <w:bodyDiv w:val="1"/>
      <w:marLeft w:val="0"/>
      <w:marRight w:val="0"/>
      <w:marTop w:val="0"/>
      <w:marBottom w:val="0"/>
      <w:divBdr>
        <w:top w:val="none" w:sz="0" w:space="0" w:color="auto"/>
        <w:left w:val="none" w:sz="0" w:space="0" w:color="auto"/>
        <w:bottom w:val="none" w:sz="0" w:space="0" w:color="auto"/>
        <w:right w:val="none" w:sz="0" w:space="0" w:color="auto"/>
      </w:divBdr>
    </w:div>
    <w:div w:id="1268931210">
      <w:bodyDiv w:val="1"/>
      <w:marLeft w:val="0"/>
      <w:marRight w:val="0"/>
      <w:marTop w:val="0"/>
      <w:marBottom w:val="0"/>
      <w:divBdr>
        <w:top w:val="none" w:sz="0" w:space="0" w:color="auto"/>
        <w:left w:val="none" w:sz="0" w:space="0" w:color="auto"/>
        <w:bottom w:val="none" w:sz="0" w:space="0" w:color="auto"/>
        <w:right w:val="none" w:sz="0" w:space="0" w:color="auto"/>
      </w:divBdr>
    </w:div>
    <w:div w:id="19512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chart" Target="charts/chart3.xml"/><Relationship Id="rId18" Type="http://schemas.openxmlformats.org/officeDocument/2006/relationships/hyperlink" Target="https://africultures.com/php/?nav=fiche_ouvrage&amp;no=100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instad.bj/rgph4-2013/" TargetMode="Externa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yperlink" Target="http://www.fao.org/docrep/016/ap532f/ap532f.pd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www.theses.fr/2008REN21003"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sgg.gouv.bj/document/loi-n-2013-01-du-14-aout-2013/"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core.ac.uk/download/pdf/235896000.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hyperlink" Target="https://doi.org/10.35690/978-2-7592-2163-9"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Nouveau%20dossier\Classeur%20graph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Nouveau%20dossier\Classeur%20graph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Nouveau%20dossier\Classeur%20graph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esktop\C\DOCX\OWN%20WORK\BERNADIN\Classeur%20graph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HP\Desktop\C\DOCX\OWN%20WORK\BERNADIN\Classeur%20graph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HP\Desktop\C\DOCX\OWN%20WORK\BERNADIN\Classeur%20grap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04986876640421"/>
          <c:y val="0.12731481481481483"/>
          <c:w val="0.56336723534558175"/>
          <c:h val="0.77314814814814814"/>
        </c:manualLayout>
      </c:layout>
      <c:barChart>
        <c:barDir val="col"/>
        <c:grouping val="clustered"/>
        <c:varyColors val="0"/>
        <c:ser>
          <c:idx val="0"/>
          <c:order val="0"/>
          <c:tx>
            <c:strRef>
              <c:f>Feuil1!$A$1</c:f>
              <c:strCache>
                <c:ptCount val="1"/>
                <c:pt idx="0">
                  <c:v>Hommes ayant hérité </c:v>
                </c:pt>
              </c:strCache>
            </c:strRef>
          </c:tx>
          <c:spPr>
            <a:solidFill>
              <a:schemeClr val="accent1"/>
            </a:solidFill>
            <a:ln>
              <a:noFill/>
            </a:ln>
            <a:effectLst>
              <a:outerShdw blurRad="63500" sx="102000" sy="102000" algn="ctr"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Feuil1!$B$1</c:f>
              <c:numCache>
                <c:formatCode>0%</c:formatCode>
                <c:ptCount val="1"/>
                <c:pt idx="0">
                  <c:v>0.68</c:v>
                </c:pt>
              </c:numCache>
            </c:numRef>
          </c:val>
          <c:extLst>
            <c:ext xmlns:c16="http://schemas.microsoft.com/office/drawing/2014/chart" uri="{C3380CC4-5D6E-409C-BE32-E72D297353CC}">
              <c16:uniqueId val="{00000000-962D-4325-9286-D94C6FFD992C}"/>
            </c:ext>
          </c:extLst>
        </c:ser>
        <c:ser>
          <c:idx val="1"/>
          <c:order val="1"/>
          <c:tx>
            <c:strRef>
              <c:f>Feuil1!$A$2</c:f>
              <c:strCache>
                <c:ptCount val="1"/>
                <c:pt idx="0">
                  <c:v>Femmes ayant hérité</c:v>
                </c:pt>
              </c:strCache>
            </c:strRef>
          </c:tx>
          <c:spPr>
            <a:solidFill>
              <a:schemeClr val="accent2"/>
            </a:solidFill>
            <a:ln>
              <a:noFill/>
            </a:ln>
            <a:effectLst>
              <a:outerShdw blurRad="63500" sx="102000" sy="102000" algn="ctr"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Feuil1!$B$2</c:f>
              <c:numCache>
                <c:formatCode>0%</c:formatCode>
                <c:ptCount val="1"/>
                <c:pt idx="0">
                  <c:v>0.12</c:v>
                </c:pt>
              </c:numCache>
            </c:numRef>
          </c:val>
          <c:extLst>
            <c:ext xmlns:c16="http://schemas.microsoft.com/office/drawing/2014/chart" uri="{C3380CC4-5D6E-409C-BE32-E72D297353CC}">
              <c16:uniqueId val="{00000001-962D-4325-9286-D94C6FFD992C}"/>
            </c:ext>
          </c:extLst>
        </c:ser>
        <c:dLbls>
          <c:dLblPos val="outEnd"/>
          <c:showLegendKey val="0"/>
          <c:showVal val="1"/>
          <c:showCatName val="0"/>
          <c:showSerName val="0"/>
          <c:showPercent val="0"/>
          <c:showBubbleSize val="0"/>
        </c:dLbls>
        <c:gapWidth val="150"/>
        <c:axId val="627398288"/>
        <c:axId val="627387408"/>
      </c:barChart>
      <c:catAx>
        <c:axId val="627398288"/>
        <c:scaling>
          <c:orientation val="minMax"/>
        </c:scaling>
        <c:delete val="1"/>
        <c:axPos val="b"/>
        <c:title>
          <c:tx>
            <c:rich>
              <a:bodyPr rot="0" spcFirstLastPara="1" vertOverflow="ellipsis" vert="horz" wrap="square" anchor="ctr" anchorCtr="1"/>
              <a:lstStyle/>
              <a:p>
                <a:pPr>
                  <a:defRPr sz="9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r>
                  <a:rPr lang="en">
                    <a:solidFill>
                      <a:schemeClr val="tx1"/>
                    </a:solidFill>
                  </a:rPr>
                  <a:t>Inheritance beneficiaries</a:t>
                </a:r>
              </a:p>
            </c:rich>
          </c:tx>
          <c:layout>
            <c:manualLayout>
              <c:xMode val="edge"/>
              <c:yMode val="edge"/>
              <c:x val="0.28983770778652668"/>
              <c:y val="0.92599518810148729"/>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crossAx val="627387408"/>
        <c:crosses val="autoZero"/>
        <c:auto val="1"/>
        <c:lblAlgn val="ctr"/>
        <c:lblOffset val="100"/>
        <c:noMultiLvlLbl val="0"/>
      </c:catAx>
      <c:valAx>
        <c:axId val="627387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a:t>PERCENTAGE</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27398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Feuil2!$A$1</c:f>
              <c:strCache>
                <c:ptCount val="1"/>
                <c:pt idx="0">
                  <c:v>Coût moyen parcelle résidentielle de 500m² </c:v>
                </c:pt>
              </c:strCache>
            </c:strRef>
          </c:tx>
          <c:spPr>
            <a:solidFill>
              <a:schemeClr val="accent1"/>
            </a:solidFill>
            <a:ln>
              <a:noFill/>
            </a:ln>
            <a:effectLst/>
            <a:sp3d/>
          </c:spPr>
          <c:invertIfNegative val="0"/>
          <c:dLbls>
            <c:dLbl>
              <c:idx val="0"/>
              <c:layout>
                <c:manualLayout>
                  <c:x val="3.3277870216306113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Feuil2!$A$2</c:f>
              <c:numCache>
                <c:formatCode>#,##0</c:formatCode>
                <c:ptCount val="1"/>
                <c:pt idx="0">
                  <c:v>1500000</c:v>
                </c:pt>
              </c:numCache>
            </c:numRef>
          </c:val>
          <c:extLst>
            <c:ext xmlns:c16="http://schemas.microsoft.com/office/drawing/2014/chart" uri="{C3380CC4-5D6E-409C-BE32-E72D297353CC}">
              <c16:uniqueId val="{00000001-6172-46AF-9853-39A96180F000}"/>
            </c:ext>
          </c:extLst>
        </c:ser>
        <c:ser>
          <c:idx val="1"/>
          <c:order val="1"/>
          <c:tx>
            <c:strRef>
              <c:f>Feuil2!$B$1</c:f>
              <c:strCache>
                <c:ptCount val="1"/>
                <c:pt idx="0">
                  <c:v>Coût moyen parcelle agricole de 500m²</c:v>
                </c:pt>
              </c:strCache>
            </c:strRef>
          </c:tx>
          <c:spPr>
            <a:solidFill>
              <a:schemeClr val="accent2"/>
            </a:solidFill>
            <a:ln>
              <a:noFill/>
            </a:ln>
            <a:effectLst/>
            <a:sp3d/>
          </c:spPr>
          <c:invertIfNegative val="0"/>
          <c:dLbls>
            <c:dLbl>
              <c:idx val="0"/>
              <c:layout>
                <c:manualLayout>
                  <c:x val="4.6589018302828536E-2"/>
                  <c:y val="-9.72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Feuil2!$B$2</c:f>
              <c:numCache>
                <c:formatCode>#,##0</c:formatCode>
                <c:ptCount val="1"/>
                <c:pt idx="0">
                  <c:v>800000</c:v>
                </c:pt>
              </c:numCache>
            </c:numRef>
          </c:val>
          <c:extLst>
            <c:ext xmlns:c16="http://schemas.microsoft.com/office/drawing/2014/chart" uri="{C3380CC4-5D6E-409C-BE32-E72D297353CC}">
              <c16:uniqueId val="{00000003-6172-46AF-9853-39A96180F000}"/>
            </c:ext>
          </c:extLst>
        </c:ser>
        <c:ser>
          <c:idx val="2"/>
          <c:order val="2"/>
          <c:tx>
            <c:strRef>
              <c:f>Feuil2!$C$1</c:f>
              <c:strCache>
                <c:ptCount val="1"/>
                <c:pt idx="0">
                  <c:v>Revenu mensuel moyen hommes </c:v>
                </c:pt>
              </c:strCache>
            </c:strRef>
          </c:tx>
          <c:spPr>
            <a:solidFill>
              <a:schemeClr val="accent3"/>
            </a:solidFill>
            <a:ln>
              <a:noFill/>
            </a:ln>
            <a:effectLst/>
            <a:sp3d/>
          </c:spPr>
          <c:invertIfNegative val="0"/>
          <c:dLbls>
            <c:dLbl>
              <c:idx val="0"/>
              <c:layout>
                <c:manualLayout>
                  <c:x val="5.1026067665002776E-2"/>
                  <c:y val="-0.1018518518518518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Feuil2!$C$2</c:f>
              <c:numCache>
                <c:formatCode>#,##0</c:formatCode>
                <c:ptCount val="1"/>
                <c:pt idx="0">
                  <c:v>100000</c:v>
                </c:pt>
              </c:numCache>
            </c:numRef>
          </c:val>
          <c:extLst>
            <c:ext xmlns:c16="http://schemas.microsoft.com/office/drawing/2014/chart" uri="{C3380CC4-5D6E-409C-BE32-E72D297353CC}">
              <c16:uniqueId val="{00000005-6172-46AF-9853-39A96180F000}"/>
            </c:ext>
          </c:extLst>
        </c:ser>
        <c:ser>
          <c:idx val="3"/>
          <c:order val="3"/>
          <c:tx>
            <c:strRef>
              <c:f>Feuil2!$D$1</c:f>
              <c:strCache>
                <c:ptCount val="1"/>
                <c:pt idx="0">
                  <c:v>Revenu mensuel moyen femmes </c:v>
                </c:pt>
              </c:strCache>
            </c:strRef>
          </c:tx>
          <c:spPr>
            <a:solidFill>
              <a:schemeClr val="accent4"/>
            </a:solidFill>
            <a:ln>
              <a:noFill/>
            </a:ln>
            <a:effectLst/>
            <a:sp3d/>
          </c:spPr>
          <c:invertIfNegative val="0"/>
          <c:dLbls>
            <c:dLbl>
              <c:idx val="0"/>
              <c:layout>
                <c:manualLayout>
                  <c:x val="4.2151968940654386E-2"/>
                  <c:y val="-4.1666666666666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72-46AF-9853-39A96180F00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Feuil2!$D$2</c:f>
              <c:numCache>
                <c:formatCode>#,##0</c:formatCode>
                <c:ptCount val="1"/>
                <c:pt idx="0">
                  <c:v>50000</c:v>
                </c:pt>
              </c:numCache>
            </c:numRef>
          </c:val>
          <c:extLst>
            <c:ext xmlns:c16="http://schemas.microsoft.com/office/drawing/2014/chart" uri="{C3380CC4-5D6E-409C-BE32-E72D297353CC}">
              <c16:uniqueId val="{00000007-6172-46AF-9853-39A96180F000}"/>
            </c:ext>
          </c:extLst>
        </c:ser>
        <c:dLbls>
          <c:showLegendKey val="0"/>
          <c:showVal val="1"/>
          <c:showCatName val="0"/>
          <c:showSerName val="0"/>
          <c:showPercent val="0"/>
          <c:showBubbleSize val="0"/>
        </c:dLbls>
        <c:gapWidth val="150"/>
        <c:shape val="box"/>
        <c:axId val="627373808"/>
        <c:axId val="627383056"/>
        <c:axId val="0"/>
        <c:extLst>
          <c:ext xmlns:c15="http://schemas.microsoft.com/office/drawing/2012/chart" uri="{02D57815-91ED-43cb-92C2-25804820EDAC}">
            <c15:filteredBarSeries>
              <c15:ser>
                <c:idx val="4"/>
                <c:order val="4"/>
                <c:tx>
                  <c:strRef>
                    <c:extLst>
                      <c:ext uri="{02D57815-91ED-43cb-92C2-25804820EDAC}">
                        <c15:formulaRef>
                          <c15:sqref>Feuil2!$E$1</c15:sqref>
                        </c15:formulaRef>
                      </c:ext>
                    </c:extLst>
                    <c:strCache>
                      <c:ptCount val="1"/>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Feuil2!$E$2</c15:sqref>
                        </c15:formulaRef>
                      </c:ext>
                    </c:extLst>
                    <c:numCache>
                      <c:formatCode>General</c:formatCode>
                      <c:ptCount val="1"/>
                    </c:numCache>
                  </c:numRef>
                </c:val>
                <c:extLst>
                  <c:ext xmlns:c16="http://schemas.microsoft.com/office/drawing/2014/chart" uri="{C3380CC4-5D6E-409C-BE32-E72D297353CC}">
                    <c16:uniqueId val="{00000008-6172-46AF-9853-39A96180F000}"/>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Feuil2!$F$1</c15:sqref>
                        </c15:formulaRef>
                      </c:ext>
                    </c:extLst>
                    <c:strCache>
                      <c:ptCount val="1"/>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xmlns:c15="http://schemas.microsoft.com/office/drawing/2012/chart">
                      <c:ext xmlns:c15="http://schemas.microsoft.com/office/drawing/2012/chart" uri="{02D57815-91ED-43cb-92C2-25804820EDAC}">
                        <c15:formulaRef>
                          <c15:sqref>Feuil2!$F$2</c15:sqref>
                        </c15:formulaRef>
                      </c:ext>
                    </c:extLst>
                    <c:numCache>
                      <c:formatCode>General</c:formatCode>
                      <c:ptCount val="1"/>
                    </c:numCache>
                  </c:numRef>
                </c:val>
                <c:extLst xmlns:c15="http://schemas.microsoft.com/office/drawing/2012/chart">
                  <c:ext xmlns:c16="http://schemas.microsoft.com/office/drawing/2014/chart" uri="{C3380CC4-5D6E-409C-BE32-E72D297353CC}">
                    <c16:uniqueId val="{00000009-6172-46AF-9853-39A96180F000}"/>
                  </c:ext>
                </c:extLst>
              </c15:ser>
            </c15:filteredBarSeries>
          </c:ext>
        </c:extLst>
      </c:bar3DChart>
      <c:catAx>
        <c:axId val="627373808"/>
        <c:scaling>
          <c:orientation val="minMax"/>
        </c:scaling>
        <c:delete val="1"/>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627383056"/>
        <c:crosses val="autoZero"/>
        <c:auto val="1"/>
        <c:lblAlgn val="ctr"/>
        <c:lblOffset val="100"/>
        <c:noMultiLvlLbl val="0"/>
      </c:catAx>
      <c:valAx>
        <c:axId val="6273830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a:solidFill>
                      <a:sysClr val="windowText" lastClr="000000"/>
                    </a:solidFill>
                    <a:latin typeface="Times New Roman" panose="02020603050405020304" pitchFamily="18" charset="0"/>
                    <a:cs typeface="Times New Roman" panose="02020603050405020304" pitchFamily="18" charset="0"/>
                  </a:rPr>
                  <a:t>Costs </a:t>
                </a:r>
                <a:r>
                  <a:rPr lang="en" sz="1200" baseline="0">
                    <a:solidFill>
                      <a:sysClr val="windowText" lastClr="000000"/>
                    </a:solidFill>
                    <a:latin typeface="Times New Roman" panose="02020603050405020304" pitchFamily="18" charset="0"/>
                    <a:cs typeface="Times New Roman" panose="02020603050405020304" pitchFamily="18" charset="0"/>
                  </a:rPr>
                  <a:t>and revenues</a:t>
                </a:r>
                <a:endParaRPr lang="fr-FR"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mn-cs"/>
              </a:defRPr>
            </a:pPr>
            <a:endParaRPr lang="en-US"/>
          </a:p>
        </c:txPr>
        <c:crossAx val="627373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Feuil3!$A$1</c:f>
              <c:strCache>
                <c:ptCount val="1"/>
                <c:pt idx="0">
                  <c:v>contrats verbaux (Hommes)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Feuil3!$A$2</c:f>
              <c:numCache>
                <c:formatCode>0%</c:formatCode>
                <c:ptCount val="1"/>
                <c:pt idx="0">
                  <c:v>0.73</c:v>
                </c:pt>
              </c:numCache>
            </c:numRef>
          </c:val>
          <c:extLst>
            <c:ext xmlns:c16="http://schemas.microsoft.com/office/drawing/2014/chart" uri="{C3380CC4-5D6E-409C-BE32-E72D297353CC}">
              <c16:uniqueId val="{00000000-D93F-4408-9730-7A996D80D690}"/>
            </c:ext>
          </c:extLst>
        </c:ser>
        <c:ser>
          <c:idx val="1"/>
          <c:order val="1"/>
          <c:tx>
            <c:strRef>
              <c:f>Feuil3!$B$1</c:f>
              <c:strCache>
                <c:ptCount val="1"/>
                <c:pt idx="0">
                  <c:v>contrats verbaux (Femmes)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Feuil3!$B$2</c:f>
              <c:numCache>
                <c:formatCode>0%</c:formatCode>
                <c:ptCount val="1"/>
                <c:pt idx="0">
                  <c:v>0.92</c:v>
                </c:pt>
              </c:numCache>
            </c:numRef>
          </c:val>
          <c:extLst>
            <c:ext xmlns:c16="http://schemas.microsoft.com/office/drawing/2014/chart" uri="{C3380CC4-5D6E-409C-BE32-E72D297353CC}">
              <c16:uniqueId val="{00000001-D93F-4408-9730-7A996D80D690}"/>
            </c:ext>
          </c:extLst>
        </c:ser>
        <c:ser>
          <c:idx val="2"/>
          <c:order val="2"/>
          <c:tx>
            <c:strRef>
              <c:f>Feuil3!$C$1</c:f>
              <c:strCache>
                <c:ptCount val="1"/>
                <c:pt idx="0">
                  <c:v>contrats écrits (Hommes)</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Feuil3!$C$2</c:f>
              <c:numCache>
                <c:formatCode>0%</c:formatCode>
                <c:ptCount val="1"/>
                <c:pt idx="0">
                  <c:v>0.27</c:v>
                </c:pt>
              </c:numCache>
            </c:numRef>
          </c:val>
          <c:extLst>
            <c:ext xmlns:c16="http://schemas.microsoft.com/office/drawing/2014/chart" uri="{C3380CC4-5D6E-409C-BE32-E72D297353CC}">
              <c16:uniqueId val="{00000002-D93F-4408-9730-7A996D80D690}"/>
            </c:ext>
          </c:extLst>
        </c:ser>
        <c:ser>
          <c:idx val="3"/>
          <c:order val="3"/>
          <c:tx>
            <c:strRef>
              <c:f>Feuil3!$D$1</c:f>
              <c:strCache>
                <c:ptCount val="1"/>
                <c:pt idx="0">
                  <c:v>contrats écrits (Femmes)</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Feuil3!$D$2</c:f>
              <c:numCache>
                <c:formatCode>0%</c:formatCode>
                <c:ptCount val="1"/>
                <c:pt idx="0">
                  <c:v>0.08</c:v>
                </c:pt>
              </c:numCache>
            </c:numRef>
          </c:val>
          <c:extLst>
            <c:ext xmlns:c16="http://schemas.microsoft.com/office/drawing/2014/chart" uri="{C3380CC4-5D6E-409C-BE32-E72D297353CC}">
              <c16:uniqueId val="{00000003-D93F-4408-9730-7A996D80D690}"/>
            </c:ext>
          </c:extLst>
        </c:ser>
        <c:dLbls>
          <c:dLblPos val="outEnd"/>
          <c:showLegendKey val="0"/>
          <c:showVal val="1"/>
          <c:showCatName val="0"/>
          <c:showSerName val="0"/>
          <c:showPercent val="0"/>
          <c:showBubbleSize val="0"/>
        </c:dLbls>
        <c:gapWidth val="219"/>
        <c:overlap val="-27"/>
        <c:axId val="627388496"/>
        <c:axId val="627389040"/>
        <c:extLst>
          <c:ext xmlns:c15="http://schemas.microsoft.com/office/drawing/2012/chart" uri="{02D57815-91ED-43cb-92C2-25804820EDAC}">
            <c15:filteredBarSeries>
              <c15:ser>
                <c:idx val="4"/>
                <c:order val="4"/>
                <c:tx>
                  <c:strRef>
                    <c:extLst>
                      <c:ext uri="{02D57815-91ED-43cb-92C2-25804820EDAC}">
                        <c15:formulaRef>
                          <c15:sqref>Feuil3!$E$1</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val>
                  <c:numRef>
                    <c:extLst>
                      <c:ext uri="{02D57815-91ED-43cb-92C2-25804820EDAC}">
                        <c15:formulaRef>
                          <c15:sqref>Feuil3!$E$2</c15:sqref>
                        </c15:formulaRef>
                      </c:ext>
                    </c:extLst>
                    <c:numCache>
                      <c:formatCode>General</c:formatCode>
                      <c:ptCount val="1"/>
                    </c:numCache>
                  </c:numRef>
                </c:val>
                <c:extLst>
                  <c:ext xmlns:c16="http://schemas.microsoft.com/office/drawing/2014/chart" uri="{C3380CC4-5D6E-409C-BE32-E72D297353CC}">
                    <c16:uniqueId val="{00000004-D93F-4408-9730-7A996D80D690}"/>
                  </c:ext>
                </c:extLst>
              </c15:ser>
            </c15:filteredBarSeries>
          </c:ext>
        </c:extLst>
      </c:barChart>
      <c:catAx>
        <c:axId val="6273884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sz="1200">
                    <a:solidFill>
                      <a:sysClr val="windowText" lastClr="000000"/>
                    </a:solidFill>
                    <a:latin typeface="Times New Roman" panose="02020603050405020304" pitchFamily="18" charset="0"/>
                    <a:cs typeface="Times New Roman" panose="02020603050405020304" pitchFamily="18" charset="0"/>
                  </a:rPr>
                  <a:t>Types of contracts</a:t>
                </a:r>
              </a:p>
            </c:rich>
          </c:tx>
          <c:layout>
            <c:manualLayout>
              <c:xMode val="edge"/>
              <c:yMode val="edge"/>
              <c:x val="0.31581058617672791"/>
              <c:y val="0.9018285214348206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627389040"/>
        <c:crosses val="autoZero"/>
        <c:auto val="1"/>
        <c:lblAlgn val="ctr"/>
        <c:lblOffset val="100"/>
        <c:noMultiLvlLbl val="0"/>
      </c:catAx>
      <c:valAx>
        <c:axId val="627389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8849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Feuil8!$B$1</c:f>
              <c:strCache>
                <c:ptCount val="1"/>
                <c:pt idx="0">
                  <c:v>Coût d’achat (FCFA, 0,5 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Feuil8!$A$2:$A$6</c:f>
              <c:strCache>
                <c:ptCount val="5"/>
                <c:pt idx="0">
                  <c:v>Agonkanmè</c:v>
                </c:pt>
                <c:pt idx="1">
                  <c:v>Aganmanlomè</c:v>
                </c:pt>
                <c:pt idx="2">
                  <c:v>Dékanmè</c:v>
                </c:pt>
                <c:pt idx="3">
                  <c:v>Sègbeya</c:v>
                </c:pt>
                <c:pt idx="4">
                  <c:v>Tokpa-domè</c:v>
                </c:pt>
              </c:strCache>
            </c:strRef>
          </c:cat>
          <c:val>
            <c:numRef>
              <c:f>Feuil8!$B$2:$B$6</c:f>
              <c:numCache>
                <c:formatCode>#,##0</c:formatCode>
                <c:ptCount val="5"/>
                <c:pt idx="0">
                  <c:v>4000000</c:v>
                </c:pt>
                <c:pt idx="1">
                  <c:v>2000000</c:v>
                </c:pt>
                <c:pt idx="2">
                  <c:v>3000000</c:v>
                </c:pt>
                <c:pt idx="3">
                  <c:v>1500000</c:v>
                </c:pt>
                <c:pt idx="4">
                  <c:v>2500000</c:v>
                </c:pt>
              </c:numCache>
            </c:numRef>
          </c:val>
          <c:extLst>
            <c:ext xmlns:c16="http://schemas.microsoft.com/office/drawing/2014/chart" uri="{C3380CC4-5D6E-409C-BE32-E72D297353CC}">
              <c16:uniqueId val="{00000000-98DB-4581-827A-BCB5941D0C34}"/>
            </c:ext>
          </c:extLst>
        </c:ser>
        <c:ser>
          <c:idx val="1"/>
          <c:order val="1"/>
          <c:tx>
            <c:strRef>
              <c:f>Feuil8!$C$1</c:f>
              <c:strCache>
                <c:ptCount val="1"/>
                <c:pt idx="0">
                  <c:v>Coût de location (FCFA/an)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Feuil8!$A$2:$A$6</c:f>
              <c:strCache>
                <c:ptCount val="5"/>
                <c:pt idx="0">
                  <c:v>Agonkanmè</c:v>
                </c:pt>
                <c:pt idx="1">
                  <c:v>Aganmanlomè</c:v>
                </c:pt>
                <c:pt idx="2">
                  <c:v>Dékanmè</c:v>
                </c:pt>
                <c:pt idx="3">
                  <c:v>Sègbeya</c:v>
                </c:pt>
                <c:pt idx="4">
                  <c:v>Tokpa-domè</c:v>
                </c:pt>
              </c:strCache>
            </c:strRef>
          </c:cat>
          <c:val>
            <c:numRef>
              <c:f>Feuil8!$C$2:$C$6</c:f>
              <c:numCache>
                <c:formatCode>#,##0</c:formatCode>
                <c:ptCount val="5"/>
                <c:pt idx="0">
                  <c:v>80000</c:v>
                </c:pt>
                <c:pt idx="1">
                  <c:v>70000</c:v>
                </c:pt>
                <c:pt idx="2">
                  <c:v>80000</c:v>
                </c:pt>
                <c:pt idx="3">
                  <c:v>100000</c:v>
                </c:pt>
                <c:pt idx="4">
                  <c:v>150000</c:v>
                </c:pt>
              </c:numCache>
            </c:numRef>
          </c:val>
          <c:extLst>
            <c:ext xmlns:c16="http://schemas.microsoft.com/office/drawing/2014/chart" uri="{C3380CC4-5D6E-409C-BE32-E72D297353CC}">
              <c16:uniqueId val="{00000001-98DB-4581-827A-BCB5941D0C34}"/>
            </c:ext>
          </c:extLst>
        </c:ser>
        <c:ser>
          <c:idx val="2"/>
          <c:order val="2"/>
          <c:tx>
            <c:strRef>
              <c:f>Feuil8!$D$1</c:f>
              <c:strCache>
                <c:ptCount val="1"/>
                <c:pt idx="0">
                  <c:v>Frais administratifs (FCFA)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layout>
                <c:manualLayout>
                  <c:x val="5.5555555555555558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DB-4581-827A-BCB5941D0C34}"/>
                </c:ext>
              </c:extLst>
            </c:dLbl>
            <c:dLbl>
              <c:idx val="1"/>
              <c:layout>
                <c:manualLayout>
                  <c:x val="8.3333333333333332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DB-4581-827A-BCB5941D0C34}"/>
                </c:ext>
              </c:extLst>
            </c:dLbl>
            <c:dLbl>
              <c:idx val="2"/>
              <c:layout>
                <c:manualLayout>
                  <c:x val="2.7777777777777779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DB-4581-827A-BCB5941D0C34}"/>
                </c:ext>
              </c:extLst>
            </c:dLbl>
            <c:dLbl>
              <c:idx val="3"/>
              <c:layout>
                <c:manualLayout>
                  <c:x val="8.3333333333333332E-3"/>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DB-4581-827A-BCB5941D0C34}"/>
                </c:ext>
              </c:extLst>
            </c:dLbl>
            <c:dLbl>
              <c:idx val="4"/>
              <c:layout>
                <c:manualLayout>
                  <c:x val="8.3333333333333332E-3"/>
                  <c:y val="-1.38888888888888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DB-4581-827A-BCB5941D0C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Feuil8!$A$2:$A$6</c:f>
              <c:strCache>
                <c:ptCount val="5"/>
                <c:pt idx="0">
                  <c:v>Agonkanmè</c:v>
                </c:pt>
                <c:pt idx="1">
                  <c:v>Aganmanlomè</c:v>
                </c:pt>
                <c:pt idx="2">
                  <c:v>Dékanmè</c:v>
                </c:pt>
                <c:pt idx="3">
                  <c:v>Sègbeya</c:v>
                </c:pt>
                <c:pt idx="4">
                  <c:v>Tokpa-domè</c:v>
                </c:pt>
              </c:strCache>
            </c:strRef>
          </c:cat>
          <c:val>
            <c:numRef>
              <c:f>Feuil8!$D$2:$D$6</c:f>
              <c:numCache>
                <c:formatCode>#,##0</c:formatCode>
                <c:ptCount val="5"/>
                <c:pt idx="0">
                  <c:v>75000</c:v>
                </c:pt>
                <c:pt idx="1">
                  <c:v>75000</c:v>
                </c:pt>
                <c:pt idx="2">
                  <c:v>75000</c:v>
                </c:pt>
                <c:pt idx="3">
                  <c:v>75000</c:v>
                </c:pt>
                <c:pt idx="4">
                  <c:v>75000</c:v>
                </c:pt>
              </c:numCache>
            </c:numRef>
          </c:val>
          <c:extLst>
            <c:ext xmlns:c16="http://schemas.microsoft.com/office/drawing/2014/chart" uri="{C3380CC4-5D6E-409C-BE32-E72D297353CC}">
              <c16:uniqueId val="{00000007-98DB-4581-827A-BCB5941D0C34}"/>
            </c:ext>
          </c:extLst>
        </c:ser>
        <c:dLbls>
          <c:dLblPos val="outEnd"/>
          <c:showLegendKey val="0"/>
          <c:showVal val="1"/>
          <c:showCatName val="0"/>
          <c:showSerName val="0"/>
          <c:showPercent val="0"/>
          <c:showBubbleSize val="0"/>
        </c:dLbls>
        <c:gapWidth val="100"/>
        <c:axId val="627379792"/>
        <c:axId val="627392848"/>
      </c:barChart>
      <c:catAx>
        <c:axId val="6273797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a:t>Boroughs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92848"/>
        <c:crosses val="autoZero"/>
        <c:auto val="1"/>
        <c:lblAlgn val="ctr"/>
        <c:lblOffset val="100"/>
        <c:noMultiLvlLbl val="0"/>
      </c:catAx>
      <c:valAx>
        <c:axId val="62739284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
                  <a:t>Cost</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79792"/>
        <c:crosses val="autoZero"/>
        <c:crossBetween val="between"/>
      </c:valAx>
      <c:spPr>
        <a:noFill/>
        <a:ln>
          <a:noFill/>
        </a:ln>
        <a:effectLst/>
      </c:spPr>
    </c:plotArea>
    <c:legend>
      <c:legendPos val="b"/>
      <c:layout>
        <c:manualLayout>
          <c:xMode val="edge"/>
          <c:yMode val="edge"/>
          <c:x val="1.2629046369203844E-2"/>
          <c:y val="0.83226523767862348"/>
          <c:w val="0.95807524059492566"/>
          <c:h val="0.1399569845435987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Feuil6!$A$2</c:f>
              <c:strCache>
                <c:ptCount val="1"/>
                <c:pt idx="0">
                  <c:v>Insécurité foncière</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Feuil6!$B$1</c:f>
              <c:strCache>
                <c:ptCount val="1"/>
                <c:pt idx="0">
                  <c:v>Pourcentage </c:v>
                </c:pt>
              </c:strCache>
            </c:strRef>
          </c:cat>
          <c:val>
            <c:numRef>
              <c:f>Feuil6!$B$2</c:f>
              <c:numCache>
                <c:formatCode>0%</c:formatCode>
                <c:ptCount val="1"/>
                <c:pt idx="0">
                  <c:v>0.68</c:v>
                </c:pt>
              </c:numCache>
            </c:numRef>
          </c:val>
          <c:extLst>
            <c:ext xmlns:c16="http://schemas.microsoft.com/office/drawing/2014/chart" uri="{C3380CC4-5D6E-409C-BE32-E72D297353CC}">
              <c16:uniqueId val="{00000000-A51B-4B3B-A5CF-6D2A2427EB14}"/>
            </c:ext>
          </c:extLst>
        </c:ser>
        <c:ser>
          <c:idx val="1"/>
          <c:order val="1"/>
          <c:tx>
            <c:strRef>
              <c:f>Feuil6!$A$3</c:f>
              <c:strCache>
                <c:ptCount val="1"/>
                <c:pt idx="0">
                  <c:v>Dépendance économique</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Feuil6!$B$1</c:f>
              <c:strCache>
                <c:ptCount val="1"/>
                <c:pt idx="0">
                  <c:v>Pourcentage </c:v>
                </c:pt>
              </c:strCache>
            </c:strRef>
          </c:cat>
          <c:val>
            <c:numRef>
              <c:f>Feuil6!$B$3</c:f>
              <c:numCache>
                <c:formatCode>0%</c:formatCode>
                <c:ptCount val="1"/>
                <c:pt idx="0">
                  <c:v>0.63</c:v>
                </c:pt>
              </c:numCache>
            </c:numRef>
          </c:val>
          <c:extLst>
            <c:ext xmlns:c16="http://schemas.microsoft.com/office/drawing/2014/chart" uri="{C3380CC4-5D6E-409C-BE32-E72D297353CC}">
              <c16:uniqueId val="{00000001-A51B-4B3B-A5CF-6D2A2427EB14}"/>
            </c:ext>
          </c:extLst>
        </c:ser>
        <c:ser>
          <c:idx val="2"/>
          <c:order val="2"/>
          <c:tx>
            <c:strRef>
              <c:f>Feuil6!$A$4</c:f>
              <c:strCache>
                <c:ptCount val="1"/>
                <c:pt idx="0">
                  <c:v>Conflits familiaux</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Feuil6!$B$1</c:f>
              <c:strCache>
                <c:ptCount val="1"/>
                <c:pt idx="0">
                  <c:v>Pourcentage </c:v>
                </c:pt>
              </c:strCache>
            </c:strRef>
          </c:cat>
          <c:val>
            <c:numRef>
              <c:f>Feuil6!$B$4</c:f>
              <c:numCache>
                <c:formatCode>0%</c:formatCode>
                <c:ptCount val="1"/>
                <c:pt idx="0">
                  <c:v>0.32</c:v>
                </c:pt>
              </c:numCache>
            </c:numRef>
          </c:val>
          <c:extLst>
            <c:ext xmlns:c16="http://schemas.microsoft.com/office/drawing/2014/chart" uri="{C3380CC4-5D6E-409C-BE32-E72D297353CC}">
              <c16:uniqueId val="{00000002-A51B-4B3B-A5CF-6D2A2427EB14}"/>
            </c:ext>
          </c:extLst>
        </c:ser>
        <c:dLbls>
          <c:dLblPos val="outEnd"/>
          <c:showLegendKey val="0"/>
          <c:showVal val="1"/>
          <c:showCatName val="0"/>
          <c:showSerName val="0"/>
          <c:showPercent val="0"/>
          <c:showBubbleSize val="0"/>
        </c:dLbls>
        <c:gapWidth val="227"/>
        <c:overlap val="-48"/>
        <c:axId val="627379248"/>
        <c:axId val="627393936"/>
      </c:barChart>
      <c:catAx>
        <c:axId val="627379248"/>
        <c:scaling>
          <c:orientation val="minMax"/>
        </c:scaling>
        <c:delete val="1"/>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0">
                    <a:solidFill>
                      <a:sysClr val="windowText" lastClr="000000"/>
                    </a:solidFill>
                    <a:latin typeface="Times New Roman" panose="02020603050405020304" pitchFamily="18" charset="0"/>
                    <a:cs typeface="Times New Roman" panose="02020603050405020304" pitchFamily="18" charset="0"/>
                  </a:rPr>
                  <a:t>Impacts</a:t>
                </a:r>
              </a:p>
            </c:rich>
          </c:tx>
          <c:layout>
            <c:manualLayout>
              <c:xMode val="edge"/>
              <c:yMode val="edge"/>
              <c:x val="8.9772470494168376E-3"/>
              <c:y val="0.3500546806649169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627393936"/>
        <c:crosses val="autoZero"/>
        <c:auto val="1"/>
        <c:lblAlgn val="ctr"/>
        <c:lblOffset val="100"/>
        <c:noMultiLvlLbl val="0"/>
      </c:catAx>
      <c:valAx>
        <c:axId val="62739393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0">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79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Feuil9!$A$2</c:f>
              <c:strCache>
                <c:ptCount val="1"/>
                <c:pt idx="0">
                  <c:v>Achat rural</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Feuil9!$B$2</c:f>
              <c:numCache>
                <c:formatCode>0%</c:formatCode>
                <c:ptCount val="1"/>
                <c:pt idx="0">
                  <c:v>3.33</c:v>
                </c:pt>
              </c:numCache>
            </c:numRef>
          </c:val>
          <c:extLst>
            <c:ext xmlns:c16="http://schemas.microsoft.com/office/drawing/2014/chart" uri="{C3380CC4-5D6E-409C-BE32-E72D297353CC}">
              <c16:uniqueId val="{00000000-50DB-4E99-86FB-B78AFC10B93D}"/>
            </c:ext>
          </c:extLst>
        </c:ser>
        <c:ser>
          <c:idx val="1"/>
          <c:order val="1"/>
          <c:tx>
            <c:strRef>
              <c:f>Feuil9!$A$3</c:f>
              <c:strCache>
                <c:ptCount val="1"/>
                <c:pt idx="0">
                  <c:v>Location rural</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Feuil9!$B$3</c:f>
              <c:numCache>
                <c:formatCode>0%</c:formatCode>
                <c:ptCount val="1"/>
                <c:pt idx="0">
                  <c:v>0.08</c:v>
                </c:pt>
              </c:numCache>
            </c:numRef>
          </c:val>
          <c:extLst>
            <c:ext xmlns:c16="http://schemas.microsoft.com/office/drawing/2014/chart" uri="{C3380CC4-5D6E-409C-BE32-E72D297353CC}">
              <c16:uniqueId val="{00000001-50DB-4E99-86FB-B78AFC10B93D}"/>
            </c:ext>
          </c:extLst>
        </c:ser>
        <c:ser>
          <c:idx val="2"/>
          <c:order val="2"/>
          <c:tx>
            <c:strRef>
              <c:f>Feuil9!$A$4</c:f>
              <c:strCache>
                <c:ptCount val="1"/>
                <c:pt idx="0">
                  <c:v>Achat périurbain </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Feuil9!$B$4</c:f>
              <c:numCache>
                <c:formatCode>0%</c:formatCode>
                <c:ptCount val="1"/>
                <c:pt idx="0">
                  <c:v>6.66</c:v>
                </c:pt>
              </c:numCache>
            </c:numRef>
          </c:val>
          <c:extLst>
            <c:ext xmlns:c16="http://schemas.microsoft.com/office/drawing/2014/chart" uri="{C3380CC4-5D6E-409C-BE32-E72D297353CC}">
              <c16:uniqueId val="{00000002-50DB-4E99-86FB-B78AFC10B93D}"/>
            </c:ext>
          </c:extLst>
        </c:ser>
        <c:ser>
          <c:idx val="3"/>
          <c:order val="3"/>
          <c:tx>
            <c:strRef>
              <c:f>Feuil9!$A$5</c:f>
              <c:strCache>
                <c:ptCount val="1"/>
                <c:pt idx="0">
                  <c:v>Location périurbain</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Feuil9!$B$1</c:f>
              <c:strCache>
                <c:ptCount val="1"/>
                <c:pt idx="0">
                  <c:v>Pourcentage du revenu annuel</c:v>
                </c:pt>
              </c:strCache>
            </c:strRef>
          </c:cat>
          <c:val>
            <c:numRef>
              <c:f>Feuil9!$B$5</c:f>
              <c:numCache>
                <c:formatCode>0%</c:formatCode>
                <c:ptCount val="1"/>
                <c:pt idx="0">
                  <c:v>0.16</c:v>
                </c:pt>
              </c:numCache>
            </c:numRef>
          </c:val>
          <c:extLst>
            <c:ext xmlns:c16="http://schemas.microsoft.com/office/drawing/2014/chart" uri="{C3380CC4-5D6E-409C-BE32-E72D297353CC}">
              <c16:uniqueId val="{00000003-50DB-4E99-86FB-B78AFC10B93D}"/>
            </c:ext>
          </c:extLst>
        </c:ser>
        <c:dLbls>
          <c:showLegendKey val="0"/>
          <c:showVal val="1"/>
          <c:showCatName val="0"/>
          <c:showSerName val="0"/>
          <c:showPercent val="0"/>
          <c:showBubbleSize val="0"/>
        </c:dLbls>
        <c:gapWidth val="160"/>
        <c:gapDepth val="0"/>
        <c:shape val="box"/>
        <c:axId val="627396656"/>
        <c:axId val="627377616"/>
        <c:axId val="0"/>
      </c:bar3DChart>
      <c:catAx>
        <c:axId val="627396656"/>
        <c:scaling>
          <c:orientation val="minMax"/>
        </c:scaling>
        <c:delete val="1"/>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baseline="0">
                    <a:solidFill>
                      <a:sysClr val="windowText" lastClr="000000"/>
                    </a:solidFill>
                    <a:latin typeface="Times New Roman" panose="02020603050405020304" pitchFamily="18" charset="0"/>
                    <a:cs typeface="Times New Roman" panose="02020603050405020304" pitchFamily="18" charset="0"/>
                  </a:rPr>
                  <a:t>Cost </a:t>
                </a:r>
                <a:endParaRPr lang="fr-FR">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627377616"/>
        <c:crosses val="autoZero"/>
        <c:auto val="1"/>
        <c:lblAlgn val="ctr"/>
        <c:lblOffset val="100"/>
        <c:noMultiLvlLbl val="0"/>
      </c:catAx>
      <c:valAx>
        <c:axId val="627377616"/>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
                    <a:solidFill>
                      <a:sysClr val="windowText" lastClr="000000"/>
                    </a:solidFill>
                    <a:latin typeface="Times New Roman" panose="02020603050405020304" pitchFamily="18" charset="0"/>
                    <a:cs typeface="Times New Roman" panose="02020603050405020304" pitchFamily="18" charset="0"/>
                  </a:rPr>
                  <a:t>Percentage of income</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73966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15</Pages>
  <Words>3829</Words>
  <Characters>21828</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BJBDOSSOU-YOVO1224</dc:creator>
  <cp:keywords/>
  <dc:description/>
  <cp:lastModifiedBy>SDI 1084</cp:lastModifiedBy>
  <cp:revision>12</cp:revision>
  <dcterms:created xsi:type="dcterms:W3CDTF">2025-12-29T18:44:00Z</dcterms:created>
  <dcterms:modified xsi:type="dcterms:W3CDTF">2025-12-30T12:49:00Z</dcterms:modified>
</cp:coreProperties>
</file>