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9FCD26" w14:textId="1251131B" w:rsidR="00754C9A" w:rsidRPr="002A5CB7" w:rsidRDefault="002A5CB7" w:rsidP="00441B6F">
      <w:pPr>
        <w:pStyle w:val="Title"/>
        <w:spacing w:after="0"/>
        <w:jc w:val="both"/>
        <w:rPr>
          <w:rFonts w:ascii="Arial" w:hAnsi="Arial" w:cs="Arial"/>
          <w:sz w:val="32"/>
          <w:szCs w:val="18"/>
          <w:u w:val="single"/>
        </w:rPr>
      </w:pPr>
      <w:r w:rsidRPr="002A5CB7">
        <w:rPr>
          <w:rFonts w:ascii="Arial" w:hAnsi="Arial" w:cs="Arial"/>
          <w:sz w:val="32"/>
          <w:szCs w:val="18"/>
          <w:u w:val="single"/>
        </w:rPr>
        <w:t>Original Research Article</w:t>
      </w:r>
    </w:p>
    <w:p w14:paraId="50A92843" w14:textId="77777777" w:rsidR="002A5CB7" w:rsidRDefault="002A5CB7" w:rsidP="00441B6F">
      <w:pPr>
        <w:pStyle w:val="Title"/>
        <w:spacing w:after="0"/>
        <w:jc w:val="both"/>
        <w:rPr>
          <w:rFonts w:ascii="Arial" w:hAnsi="Arial" w:cs="Arial"/>
        </w:rPr>
      </w:pPr>
    </w:p>
    <w:p w14:paraId="2B293B62" w14:textId="77777777" w:rsidR="00695299" w:rsidRPr="00695299" w:rsidRDefault="00695299" w:rsidP="000E7324">
      <w:pPr>
        <w:pStyle w:val="Author"/>
        <w:spacing w:line="240" w:lineRule="auto"/>
        <w:rPr>
          <w:rFonts w:ascii="Arial" w:hAnsi="Arial" w:cs="Arial"/>
          <w:bCs/>
          <w:iCs/>
          <w:kern w:val="28"/>
          <w:sz w:val="36"/>
        </w:rPr>
      </w:pPr>
      <w:r w:rsidRPr="00695299">
        <w:rPr>
          <w:rFonts w:ascii="Arial" w:hAnsi="Arial" w:cs="Arial"/>
          <w:bCs/>
          <w:iCs/>
          <w:kern w:val="28"/>
          <w:sz w:val="36"/>
        </w:rPr>
        <w:t>Cluster-Based Flare-Gas Aggregation and Empirical Gas-to-Power Modelling for Nigeria’s Energy Security</w:t>
      </w:r>
    </w:p>
    <w:p w14:paraId="3617C8DB" w14:textId="77777777" w:rsidR="00A258C3" w:rsidRPr="00790ADA" w:rsidRDefault="00A258C3" w:rsidP="00441B6F">
      <w:pPr>
        <w:pStyle w:val="Author"/>
        <w:spacing w:line="240" w:lineRule="auto"/>
        <w:jc w:val="both"/>
        <w:rPr>
          <w:rFonts w:ascii="Arial" w:hAnsi="Arial" w:cs="Arial"/>
          <w:sz w:val="36"/>
        </w:rPr>
      </w:pPr>
    </w:p>
    <w:p w14:paraId="1BE2CB7D" w14:textId="77777777" w:rsidR="00B01FCD" w:rsidRPr="00FB3A86" w:rsidRDefault="002E3384" w:rsidP="00441B6F">
      <w:pPr>
        <w:pStyle w:val="Copyright"/>
        <w:spacing w:after="0" w:line="240" w:lineRule="auto"/>
        <w:jc w:val="both"/>
        <w:rPr>
          <w:rFonts w:ascii="Arial" w:hAnsi="Arial" w:cs="Arial"/>
        </w:rPr>
        <w:sectPr w:rsidR="00B01FCD" w:rsidRPr="00FB3A86" w:rsidSect="005E06F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6A54915">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68F32A4" w14:textId="777B3F72"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E967CF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F8DFF2D" w14:textId="77777777" w:rsidTr="001E44FE">
        <w:tc>
          <w:tcPr>
            <w:tcW w:w="9576" w:type="dxa"/>
            <w:shd w:val="clear" w:color="auto" w:fill="F2F2F2"/>
          </w:tcPr>
          <w:p w14:paraId="05FDA97F" w14:textId="77777777" w:rsidR="00F03993" w:rsidRPr="00975431" w:rsidRDefault="00F03993" w:rsidP="00F03993">
            <w:pPr>
              <w:jc w:val="both"/>
              <w:rPr>
                <w:rFonts w:ascii="Arial" w:hAnsi="Arial" w:cs="Arial"/>
              </w:rPr>
            </w:pPr>
            <w:r w:rsidRPr="00975431">
              <w:rPr>
                <w:rFonts w:ascii="Arial" w:hAnsi="Arial" w:cs="Arial"/>
                <w:b/>
              </w:rPr>
              <w:t xml:space="preserve">Aims: </w:t>
            </w:r>
            <w:r w:rsidRPr="00975431">
              <w:rPr>
                <w:rFonts w:ascii="Arial" w:hAnsi="Arial" w:cs="Arial"/>
              </w:rPr>
              <w:t>This study aims to quantify the power-generation potential of optimally aggregated flare-gas clusters in the Niger Delta. It is achieved by integrating geospatial clustering, gas-conditioning process simulation, and empirical gas-to-power modelling. The objective of the study is to provide a practical basis for translating flare-gas recovery into enhanced energy security in Nigeria.</w:t>
            </w:r>
          </w:p>
          <w:p w14:paraId="6F5C1346" w14:textId="77777777" w:rsidR="00F03993" w:rsidRPr="00975431" w:rsidRDefault="00F03993" w:rsidP="00F03993">
            <w:pPr>
              <w:jc w:val="both"/>
              <w:rPr>
                <w:rFonts w:ascii="Arial" w:hAnsi="Arial" w:cs="Arial"/>
              </w:rPr>
            </w:pPr>
            <w:r w:rsidRPr="00975431">
              <w:rPr>
                <w:rFonts w:ascii="Arial" w:hAnsi="Arial" w:cs="Arial"/>
                <w:b/>
              </w:rPr>
              <w:t xml:space="preserve">Study Design: </w:t>
            </w:r>
            <w:r w:rsidRPr="00975431">
              <w:rPr>
                <w:rFonts w:ascii="Arial" w:hAnsi="Arial" w:cs="Arial"/>
              </w:rPr>
              <w:t>The study adopts a quantitative, model-based analytical design. It builds on an existing geospatial clustering framework and extends it through process simulation and data-driven power-generation modelling.</w:t>
            </w:r>
          </w:p>
          <w:p w14:paraId="3A5C4FBA" w14:textId="77777777" w:rsidR="00F03993" w:rsidRPr="00975431" w:rsidRDefault="00F03993" w:rsidP="00F03993">
            <w:pPr>
              <w:jc w:val="both"/>
              <w:rPr>
                <w:rFonts w:ascii="Arial" w:hAnsi="Arial" w:cs="Arial"/>
              </w:rPr>
            </w:pPr>
            <w:r w:rsidRPr="00975431">
              <w:rPr>
                <w:rFonts w:ascii="Arial" w:hAnsi="Arial" w:cs="Arial"/>
                <w:b/>
              </w:rPr>
              <w:t xml:space="preserve">Place and Duration of Study: </w:t>
            </w:r>
            <w:r w:rsidRPr="00975431">
              <w:rPr>
                <w:rFonts w:ascii="Arial" w:hAnsi="Arial" w:cs="Arial"/>
              </w:rPr>
              <w:t xml:space="preserve">The study focuses on twenty-four onshore oil and gas </w:t>
            </w:r>
            <w:proofErr w:type="spellStart"/>
            <w:r w:rsidRPr="00975431">
              <w:rPr>
                <w:rFonts w:ascii="Arial" w:hAnsi="Arial" w:cs="Arial"/>
              </w:rPr>
              <w:t>flowstations</w:t>
            </w:r>
            <w:proofErr w:type="spellEnd"/>
            <w:r w:rsidRPr="00975431">
              <w:rPr>
                <w:rFonts w:ascii="Arial" w:hAnsi="Arial" w:cs="Arial"/>
              </w:rPr>
              <w:t xml:space="preserve"> located in the Niger Delta, Nigeria. Power-plant operational data used for the empirical modelling cover the period from 1 January 2024 to 15 August 2024.</w:t>
            </w:r>
          </w:p>
          <w:p w14:paraId="026B709C" w14:textId="61C286A8" w:rsidR="00F03993" w:rsidRPr="00975431" w:rsidRDefault="00F03993" w:rsidP="00F03993">
            <w:pPr>
              <w:jc w:val="both"/>
              <w:rPr>
                <w:rFonts w:ascii="Arial" w:hAnsi="Arial" w:cs="Arial"/>
              </w:rPr>
            </w:pPr>
            <w:r w:rsidRPr="00975431">
              <w:rPr>
                <w:rFonts w:ascii="Arial" w:hAnsi="Arial" w:cs="Arial"/>
                <w:b/>
              </w:rPr>
              <w:t xml:space="preserve">Methodology: </w:t>
            </w:r>
            <w:r w:rsidRPr="00975431">
              <w:rPr>
                <w:rFonts w:ascii="Arial" w:hAnsi="Arial" w:cs="Arial"/>
              </w:rPr>
              <w:t xml:space="preserve">Previously optimized flare-gas clusters were adopted as fixed spatial units. Cluster-level gas compositions were determined using volume-weighted aggregation while gas-conditioning simulations, including dehydration and natural gas liquids recovery, were performed in Aspen UniSim Design to produce turbine-suitable lean gas. An empirical gas-to-power regression model was developed using operational data from the Afam VI combined-cycle gas-turbine plant. The regression was applied to </w:t>
            </w:r>
            <w:r w:rsidR="00CF462B" w:rsidRPr="00975431">
              <w:rPr>
                <w:rFonts w:ascii="Arial" w:hAnsi="Arial" w:cs="Arial"/>
              </w:rPr>
              <w:t xml:space="preserve">deliver </w:t>
            </w:r>
            <w:r w:rsidRPr="00975431">
              <w:rPr>
                <w:rFonts w:ascii="Arial" w:hAnsi="Arial" w:cs="Arial"/>
              </w:rPr>
              <w:t>the simulated lean-gas outputs to estimate both cluster-level and total power-generation potential.</w:t>
            </w:r>
          </w:p>
          <w:p w14:paraId="6ECBC292" w14:textId="77777777" w:rsidR="00F03993" w:rsidRPr="00975431" w:rsidRDefault="00F03993" w:rsidP="00F03993">
            <w:pPr>
              <w:jc w:val="both"/>
              <w:rPr>
                <w:rFonts w:ascii="Arial" w:hAnsi="Arial" w:cs="Arial"/>
              </w:rPr>
            </w:pPr>
            <w:r w:rsidRPr="00975431">
              <w:rPr>
                <w:rFonts w:ascii="Arial" w:hAnsi="Arial" w:cs="Arial"/>
                <w:b/>
              </w:rPr>
              <w:t xml:space="preserve">Results: </w:t>
            </w:r>
            <w:r w:rsidRPr="00975431">
              <w:rPr>
                <w:rFonts w:ascii="Arial" w:hAnsi="Arial" w:cs="Arial"/>
              </w:rPr>
              <w:t>The conditioned lean-gas streams exhibited stable methane-rich compositions, with lower heating values ranging from 46.29 to 47.</w:t>
            </w:r>
            <w:r w:rsidRPr="00F03993">
              <w:rPr>
                <w:rFonts w:ascii="Arial" w:hAnsi="Arial" w:cs="Arial"/>
              </w:rPr>
              <w:t>92 MJ/kg. Applying the empirical model yielded an estimated total recoverable capacity of approximately 578 MW. This corresponds to 13,872 MWh/day or 5.06 TWh/year. Over 70% of</w:t>
            </w:r>
            <w:r w:rsidRPr="00975431">
              <w:rPr>
                <w:rFonts w:ascii="Arial" w:hAnsi="Arial" w:cs="Arial"/>
              </w:rPr>
              <w:t xml:space="preserve"> this capacity is concentrated in two clusters, highlighting the effectiveness of spatial aggregation.</w:t>
            </w:r>
          </w:p>
          <w:p w14:paraId="37D0C7CE" w14:textId="72F5FB9C" w:rsidR="00505F06" w:rsidRPr="00BA1B01" w:rsidRDefault="00F03993" w:rsidP="00F03993">
            <w:pPr>
              <w:pStyle w:val="Body"/>
              <w:spacing w:after="0"/>
              <w:rPr>
                <w:rFonts w:ascii="Arial" w:eastAsia="Calibri" w:hAnsi="Arial" w:cs="Arial"/>
                <w:szCs w:val="22"/>
              </w:rPr>
            </w:pPr>
            <w:r w:rsidRPr="00975431">
              <w:rPr>
                <w:rFonts w:ascii="Arial" w:hAnsi="Arial" w:cs="Arial"/>
                <w:b/>
              </w:rPr>
              <w:t xml:space="preserve">Conclusion: </w:t>
            </w:r>
            <w:r w:rsidRPr="00975431">
              <w:rPr>
                <w:rFonts w:ascii="Arial" w:hAnsi="Arial" w:cs="Arial"/>
              </w:rPr>
              <w:t>The results demonstrate that cluster-based flare-gas aggregation, combined with realistic gas conditioning and empirical power modelling, can meaningful and achievable electricity generation. This approach provides a credible pathway for reducing gas flaring while strengthening Nigeria’s energy security.</w:t>
            </w:r>
          </w:p>
        </w:tc>
      </w:tr>
    </w:tbl>
    <w:p w14:paraId="65835D47" w14:textId="77777777" w:rsidR="00636EB2" w:rsidRDefault="00636EB2" w:rsidP="00441B6F">
      <w:pPr>
        <w:pStyle w:val="Body"/>
        <w:spacing w:after="0"/>
        <w:rPr>
          <w:rFonts w:ascii="Arial" w:hAnsi="Arial" w:cs="Arial"/>
          <w:i/>
        </w:rPr>
      </w:pPr>
    </w:p>
    <w:p w14:paraId="0486A9D1" w14:textId="1C870F02" w:rsidR="00790ADA" w:rsidRDefault="006E716E" w:rsidP="00441B6F">
      <w:pPr>
        <w:pStyle w:val="Body"/>
        <w:spacing w:after="0"/>
        <w:rPr>
          <w:rFonts w:ascii="Arial" w:hAnsi="Arial" w:cs="Arial"/>
          <w:i/>
        </w:rPr>
      </w:pPr>
      <w:r>
        <w:rPr>
          <w:rFonts w:ascii="Arial" w:hAnsi="Arial" w:cs="Arial"/>
          <w:i/>
        </w:rPr>
        <w:t xml:space="preserve">Keywords: </w:t>
      </w:r>
      <w:r w:rsidR="009520E8" w:rsidRPr="009520E8">
        <w:rPr>
          <w:rFonts w:ascii="Arial" w:hAnsi="Arial" w:cs="Arial"/>
          <w:i/>
        </w:rPr>
        <w:t>Gas-to-power; Niger Delta; Flare gas; Clustering; Energy security; Lean gas;</w:t>
      </w:r>
    </w:p>
    <w:p w14:paraId="3A08369B" w14:textId="77777777" w:rsidR="006E716E" w:rsidRDefault="006E716E" w:rsidP="00441B6F">
      <w:pPr>
        <w:pStyle w:val="Body"/>
        <w:spacing w:after="0"/>
        <w:rPr>
          <w:rFonts w:ascii="Arial" w:hAnsi="Arial" w:cs="Arial"/>
          <w:i/>
        </w:rPr>
      </w:pPr>
    </w:p>
    <w:p w14:paraId="778C5635" w14:textId="77777777" w:rsidR="0024282C" w:rsidRDefault="0024282C" w:rsidP="00441B6F">
      <w:pPr>
        <w:pStyle w:val="Body"/>
        <w:spacing w:after="0"/>
        <w:rPr>
          <w:rFonts w:ascii="Arial" w:hAnsi="Arial" w:cs="Arial"/>
          <w:i/>
          <w:sz w:val="18"/>
        </w:rPr>
      </w:pPr>
    </w:p>
    <w:p w14:paraId="5DD4305B" w14:textId="77777777" w:rsidR="00505F06" w:rsidRPr="00A24E7E" w:rsidRDefault="00505F06" w:rsidP="00441B6F">
      <w:pPr>
        <w:pStyle w:val="Body"/>
        <w:spacing w:after="0"/>
        <w:rPr>
          <w:rFonts w:ascii="Arial" w:hAnsi="Arial" w:cs="Arial"/>
          <w:i/>
        </w:rPr>
      </w:pPr>
    </w:p>
    <w:p w14:paraId="304FEBB3" w14:textId="6BDF9AAD"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0512074D" w14:textId="77777777" w:rsidR="00790ADA" w:rsidRPr="00FB3A86" w:rsidRDefault="00790ADA" w:rsidP="00441B6F">
      <w:pPr>
        <w:pStyle w:val="AbstHead"/>
        <w:spacing w:after="0"/>
        <w:jc w:val="both"/>
        <w:rPr>
          <w:rFonts w:ascii="Arial" w:hAnsi="Arial" w:cs="Arial"/>
        </w:rPr>
      </w:pPr>
    </w:p>
    <w:p w14:paraId="072B2232" w14:textId="77777777"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t>Nigeria holds one of the largest proven natural gas reserves in Africa, yet it continues to experience persistent electricity shortages that undermine national energy security. Despite having approximately 210.54 TCF as of 2025 (THISDAY Live, 2025), yet a significant proportion of associated gas (AG) continues to be flared due to infrastructural and monetization constraints. Hence, there is simultaneous gas wastage and power scarcity. This remains one of the most critical inefficiencies within Nigeria’s energy system.</w:t>
      </w:r>
    </w:p>
    <w:p w14:paraId="1CCB93A9" w14:textId="77777777"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t>Gas flaring results in substantial economic losses, environmental degradation, and missed opportunities for domestic energy supply (</w:t>
      </w:r>
      <w:proofErr w:type="spellStart"/>
      <w:r w:rsidRPr="00645C34">
        <w:rPr>
          <w:rFonts w:ascii="Arial" w:hAnsi="Arial" w:cs="Arial"/>
          <w:color w:val="000000" w:themeColor="text1"/>
        </w:rPr>
        <w:t>Olujobi</w:t>
      </w:r>
      <w:proofErr w:type="spellEnd"/>
      <w:r w:rsidRPr="00645C34">
        <w:rPr>
          <w:rFonts w:ascii="Arial" w:hAnsi="Arial" w:cs="Arial"/>
          <w:color w:val="000000" w:themeColor="text1"/>
        </w:rPr>
        <w:t xml:space="preserve"> &amp; Ape, 2025). Recent regulatory reports indicate that Nigeria continues to flare hundreds of </w:t>
      </w:r>
      <w:r w:rsidRPr="00645C34">
        <w:rPr>
          <w:rFonts w:ascii="Arial" w:hAnsi="Arial" w:cs="Arial"/>
          <w:color w:val="000000" w:themeColor="text1"/>
        </w:rPr>
        <w:lastRenderedPageBreak/>
        <w:t xml:space="preserve">millions of standard cubic feet (MMSCF) of gas daily, volumes that are theoretically sufficient to support multiple medium- to large-scale gas-fired power plants. According to Okoro, et al. (2021), there is need to implement a policy of energy conservation through reduction of associated gas flaring. At the same time, actual electricity delivered to the national grid remains far below installed capacity. This is due to fuel supply constraints, pipeline disruptions, and infrastructure unreliability. </w:t>
      </w:r>
    </w:p>
    <w:p w14:paraId="48EC7669" w14:textId="77777777" w:rsidR="002E5C6E" w:rsidRPr="00D17670" w:rsidRDefault="002E5C6E" w:rsidP="002E5C6E">
      <w:pPr>
        <w:jc w:val="both"/>
        <w:rPr>
          <w:rFonts w:ascii="Arial" w:hAnsi="Arial" w:cs="Arial"/>
          <w:b/>
          <w:bCs/>
          <w:color w:val="000000" w:themeColor="text1"/>
          <w:sz w:val="22"/>
          <w:szCs w:val="22"/>
        </w:rPr>
      </w:pPr>
      <w:r w:rsidRPr="00D17670">
        <w:rPr>
          <w:rFonts w:ascii="Arial" w:hAnsi="Arial" w:cs="Arial"/>
          <w:b/>
          <w:bCs/>
          <w:color w:val="000000" w:themeColor="text1"/>
          <w:sz w:val="22"/>
          <w:szCs w:val="22"/>
        </w:rPr>
        <w:t>1.1 Gas Flaring and Energy Security in Nigeria</w:t>
      </w:r>
    </w:p>
    <w:p w14:paraId="328786F1" w14:textId="77777777"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t>Gas flaring remains a clear inefficiency in Nigeria’s petroleum production system. This results in environmental harm, economic losses, and underutilization of valuable energy resources. Nigeria consistently ranks among the world’s top gas-flaring nations.  This is largely due to AG production from oil fields lacking adequate gas processing infrastructure. Numerous studies have documented the environmental and socio-economic impacts of gas flaring in the Niger Delta (</w:t>
      </w:r>
      <w:proofErr w:type="spellStart"/>
      <w:r w:rsidRPr="00645C34">
        <w:rPr>
          <w:rFonts w:ascii="Arial" w:hAnsi="Arial" w:cs="Arial"/>
          <w:color w:val="000000" w:themeColor="text1"/>
        </w:rPr>
        <w:t>Awulu</w:t>
      </w:r>
      <w:proofErr w:type="spellEnd"/>
      <w:r w:rsidRPr="00645C34">
        <w:rPr>
          <w:rFonts w:ascii="Arial" w:hAnsi="Arial" w:cs="Arial"/>
          <w:color w:val="000000" w:themeColor="text1"/>
        </w:rPr>
        <w:t>, 2021; Okoro et al., 2021; World Bank, 2024). These effects persist even as Nigeria seeks to reposition gas as a transition fuel for economic growth.</w:t>
      </w:r>
    </w:p>
    <w:p w14:paraId="14509B81" w14:textId="77777777"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t>From an energy-security perspective, the persistence of routine flaring is particularly paradoxical. Nigeria’s power sector is dominated by gas-fired thermal plants, yet generation output remains constrained by inadequate fuel supply, pipeline disruptions, and infrastructure failures. Energy security frameworks emphasize availability, reliability, and affordability of energy supply. Flare-gas utilization is a strategic pathway for strengthening Nigeria’s energy security and improving power system resilience (</w:t>
      </w:r>
      <w:proofErr w:type="spellStart"/>
      <w:r w:rsidRPr="00645C34">
        <w:rPr>
          <w:rFonts w:ascii="Arial" w:hAnsi="Arial" w:cs="Arial"/>
          <w:color w:val="000000" w:themeColor="text1"/>
        </w:rPr>
        <w:t>Aigbe</w:t>
      </w:r>
      <w:proofErr w:type="spellEnd"/>
      <w:r w:rsidRPr="00645C34">
        <w:rPr>
          <w:rFonts w:ascii="Arial" w:hAnsi="Arial" w:cs="Arial"/>
          <w:color w:val="000000" w:themeColor="text1"/>
        </w:rPr>
        <w:t xml:space="preserve"> et al., 2023). It calls for coordinated planning that accounts for the spatial dispersion of flare sites, infrastructure optimization, and realistic power-plant performance under local operating conditions (Musa &amp; Ibrahim, 2025).</w:t>
      </w:r>
    </w:p>
    <w:p w14:paraId="736A5011" w14:textId="77777777" w:rsidR="002E5C6E" w:rsidRPr="00D17670" w:rsidRDefault="002E5C6E" w:rsidP="002E5C6E">
      <w:pPr>
        <w:jc w:val="both"/>
        <w:rPr>
          <w:rFonts w:ascii="Arial" w:hAnsi="Arial" w:cs="Arial"/>
          <w:b/>
          <w:bCs/>
          <w:color w:val="000000" w:themeColor="text1"/>
          <w:sz w:val="22"/>
          <w:szCs w:val="22"/>
        </w:rPr>
      </w:pPr>
      <w:r w:rsidRPr="00D17670">
        <w:rPr>
          <w:rFonts w:ascii="Arial" w:hAnsi="Arial" w:cs="Arial"/>
          <w:b/>
          <w:bCs/>
          <w:color w:val="000000" w:themeColor="text1"/>
          <w:sz w:val="22"/>
          <w:szCs w:val="22"/>
        </w:rPr>
        <w:t>1.2 Flare-Gas Recovery</w:t>
      </w:r>
    </w:p>
    <w:p w14:paraId="508EA2D2" w14:textId="77777777"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t>A range of technologies has been proposed and deployed worldwide for flare-gas recovery. These include gas reinjection, gas-to-liquids (GTL), compressed natural gas (CNG), liquefied natural gas (LNG), and gas-to-power systems. Among these options, gas-to-power can be integrated directly into existing electricity infrastructure (Okoro et al., 2021).</w:t>
      </w:r>
    </w:p>
    <w:p w14:paraId="0B093BDE" w14:textId="77777777"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t>Previous studies on gas-to-power systems have typically focused on techno-economic feasibility, emissions reduction potential, and comparative analysis of conversion technologies. Also, flare-gas sources are frequently treated as single, centralized supply points. This overlooks the spatially dispersed nature of flare-gas production, as well as the infrastructure constraints that strongly influence pipeline routing and overall project viability (</w:t>
      </w:r>
      <w:proofErr w:type="spellStart"/>
      <w:r w:rsidRPr="00645C34">
        <w:rPr>
          <w:rFonts w:ascii="Arial" w:hAnsi="Arial" w:cs="Arial"/>
          <w:color w:val="000000" w:themeColor="text1"/>
        </w:rPr>
        <w:t>Aigbe</w:t>
      </w:r>
      <w:proofErr w:type="spellEnd"/>
      <w:r w:rsidRPr="00645C34">
        <w:rPr>
          <w:rFonts w:ascii="Arial" w:hAnsi="Arial" w:cs="Arial"/>
          <w:color w:val="000000" w:themeColor="text1"/>
        </w:rPr>
        <w:t xml:space="preserve"> et al., 2023). Systematic planning should be considered beyond just gas volumes; hence gas and power infrastructure planning should be treated jointly (Wang et. al, 2023).</w:t>
      </w:r>
    </w:p>
    <w:p w14:paraId="7C4A6480" w14:textId="77777777" w:rsidR="002E5C6E" w:rsidRPr="00D17670" w:rsidRDefault="002E5C6E" w:rsidP="002E5C6E">
      <w:pPr>
        <w:jc w:val="both"/>
        <w:rPr>
          <w:rFonts w:ascii="Arial" w:hAnsi="Arial" w:cs="Arial"/>
          <w:b/>
          <w:bCs/>
          <w:color w:val="000000" w:themeColor="text1"/>
          <w:sz w:val="22"/>
          <w:szCs w:val="22"/>
        </w:rPr>
      </w:pPr>
      <w:r w:rsidRPr="00D17670">
        <w:rPr>
          <w:rFonts w:ascii="Arial" w:hAnsi="Arial" w:cs="Arial"/>
          <w:b/>
          <w:bCs/>
          <w:color w:val="000000" w:themeColor="text1"/>
          <w:sz w:val="22"/>
          <w:szCs w:val="22"/>
        </w:rPr>
        <w:t>1.3 Geospatial Optimization and Cluster-Based Flare-Gas Aggregation</w:t>
      </w:r>
    </w:p>
    <w:p w14:paraId="4CFE6CD3" w14:textId="77777777"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t>A key challenge in flare-gas utilization is the fragmented spatial distribution of flare sites, particularly in the Niger Delta. Many flare points are geographically dispersed and individually too small to justify standalone gas recovery projects.</w:t>
      </w:r>
    </w:p>
    <w:p w14:paraId="57A1AAE6" w14:textId="77777777"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t>Recent advances in geospatial analysis and optimization techniques have enabled more systematic planning of energy infrastructure. Clustering algorithms, such as K-means, have been used in engineering and environmental studies to group spatially distributed assets in a manner that minimizes distance, and cost (Jain, 2010; Ikotun et al., 2023). In gas-gathering systems, clustering offers a practical solution. Aggregating small and dispersed gas sources into centralized hubs, improves economies of scale and reduces pipeline length.</w:t>
      </w:r>
    </w:p>
    <w:p w14:paraId="702627FF" w14:textId="77777777"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t xml:space="preserve">Building on this concept, Nwankwo, </w:t>
      </w:r>
      <w:proofErr w:type="spellStart"/>
      <w:r w:rsidRPr="00645C34">
        <w:rPr>
          <w:rFonts w:ascii="Arial" w:hAnsi="Arial" w:cs="Arial"/>
          <w:color w:val="000000" w:themeColor="text1"/>
        </w:rPr>
        <w:t>Omijeh</w:t>
      </w:r>
      <w:proofErr w:type="spellEnd"/>
      <w:r w:rsidRPr="00645C34">
        <w:rPr>
          <w:rFonts w:ascii="Arial" w:hAnsi="Arial" w:cs="Arial"/>
          <w:color w:val="000000" w:themeColor="text1"/>
        </w:rPr>
        <w:t xml:space="preserve">, and </w:t>
      </w:r>
      <w:proofErr w:type="spellStart"/>
      <w:r w:rsidRPr="00645C34">
        <w:rPr>
          <w:rFonts w:ascii="Arial" w:hAnsi="Arial" w:cs="Arial"/>
          <w:color w:val="000000" w:themeColor="text1"/>
        </w:rPr>
        <w:t>Ehikhamenle</w:t>
      </w:r>
      <w:proofErr w:type="spellEnd"/>
      <w:r w:rsidRPr="00645C34">
        <w:rPr>
          <w:rFonts w:ascii="Arial" w:hAnsi="Arial" w:cs="Arial"/>
          <w:color w:val="000000" w:themeColor="text1"/>
        </w:rPr>
        <w:t xml:space="preserve"> (2025) applied a cluster-based geospatial optimization framework to twenty-four onshore flare sites in the Niger Delta. The study used K-means clustering supported by the Elbow Method and silhouette validation, thereby identifying four statistically robust clusters. That work established a spatially optimized foundation for centralized gas-gathering infrastructure.</w:t>
      </w:r>
    </w:p>
    <w:p w14:paraId="02D957CD" w14:textId="77777777"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t>While the study by Nwankwo et al. (2025) advanced the application of clustering theory to flare-gas optimization in Nigeria, it stopped at the level of spatial aggregation and volumetric assessment. Downstream utilization was identified as a necessary next step for translating spatial feasibility into energy-security outcomes.</w:t>
      </w:r>
    </w:p>
    <w:p w14:paraId="670A182E" w14:textId="77777777" w:rsidR="002E5C6E" w:rsidRPr="00D17670" w:rsidRDefault="002E5C6E" w:rsidP="002E5C6E">
      <w:pPr>
        <w:jc w:val="both"/>
        <w:rPr>
          <w:rFonts w:ascii="Arial" w:hAnsi="Arial" w:cs="Arial"/>
          <w:b/>
          <w:bCs/>
          <w:color w:val="000000" w:themeColor="text1"/>
          <w:sz w:val="22"/>
          <w:szCs w:val="22"/>
        </w:rPr>
      </w:pPr>
      <w:r w:rsidRPr="00D17670">
        <w:rPr>
          <w:rFonts w:ascii="Arial" w:hAnsi="Arial" w:cs="Arial"/>
          <w:b/>
          <w:bCs/>
          <w:color w:val="000000" w:themeColor="text1"/>
          <w:sz w:val="22"/>
          <w:szCs w:val="22"/>
        </w:rPr>
        <w:t>1.4 Gas Conditioning for Power Generation</w:t>
      </w:r>
    </w:p>
    <w:p w14:paraId="094E8C36" w14:textId="77777777"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t xml:space="preserve">Before flare gas can be used for power generation, it must be conditioned to meet gas-turbine fuel specifications (Molière, 2023). Raw flare gas usually contains water </w:t>
      </w:r>
      <w:proofErr w:type="spellStart"/>
      <w:r w:rsidRPr="00645C34">
        <w:rPr>
          <w:rFonts w:ascii="Arial" w:hAnsi="Arial" w:cs="Arial"/>
          <w:color w:val="000000" w:themeColor="text1"/>
        </w:rPr>
        <w:t>vapour</w:t>
      </w:r>
      <w:proofErr w:type="spellEnd"/>
      <w:r w:rsidRPr="00645C34">
        <w:rPr>
          <w:rFonts w:ascii="Arial" w:hAnsi="Arial" w:cs="Arial"/>
          <w:color w:val="000000" w:themeColor="text1"/>
        </w:rPr>
        <w:t xml:space="preserve"> and heavier hydrocarbons that can create operational issues. In practice, gas conditioning often includes dehydration—frequently via </w:t>
      </w:r>
      <w:proofErr w:type="spellStart"/>
      <w:r w:rsidRPr="00645C34">
        <w:rPr>
          <w:rFonts w:ascii="Arial" w:hAnsi="Arial" w:cs="Arial"/>
          <w:color w:val="000000" w:themeColor="text1"/>
        </w:rPr>
        <w:t>triethylene</w:t>
      </w:r>
      <w:proofErr w:type="spellEnd"/>
      <w:r w:rsidRPr="00645C34">
        <w:rPr>
          <w:rFonts w:ascii="Arial" w:hAnsi="Arial" w:cs="Arial"/>
          <w:color w:val="000000" w:themeColor="text1"/>
        </w:rPr>
        <w:t xml:space="preserve"> glycol (TEG)—to remove moisture (Liu et al., 2022). While NGL recovery manages heavier components, control hydrocarbon dew point, and stabilize fuel quality (Islam et al., 2024; Kazemi, 2025).</w:t>
      </w:r>
    </w:p>
    <w:p w14:paraId="2565A286" w14:textId="77777777"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t xml:space="preserve">Process-simulation tools such as Aspen HYSYS and UniSim Design are commonly used to model gas-conditioning systems and to estimate lean-gas yield under varying feed compositions and operating conditions. These tools allow engineers to represent real-gas </w:t>
      </w:r>
      <w:proofErr w:type="spellStart"/>
      <w:r w:rsidRPr="00645C34">
        <w:rPr>
          <w:rFonts w:ascii="Arial" w:hAnsi="Arial" w:cs="Arial"/>
          <w:color w:val="000000" w:themeColor="text1"/>
        </w:rPr>
        <w:t>behaviour</w:t>
      </w:r>
      <w:proofErr w:type="spellEnd"/>
      <w:r w:rsidRPr="00645C34">
        <w:rPr>
          <w:rFonts w:ascii="Arial" w:hAnsi="Arial" w:cs="Arial"/>
          <w:color w:val="000000" w:themeColor="text1"/>
        </w:rPr>
        <w:t xml:space="preserve"> and phase equilibrium.</w:t>
      </w:r>
    </w:p>
    <w:p w14:paraId="4718BD48" w14:textId="77777777"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t xml:space="preserve">Studies have shown that inadequate gas conditioning can lead to turbine fouling and performance degradation in gas turbines. Moisture and heavier hydrocarbons are particularly problematic, as they promote corrosion and liquid dropout, within fuel systems and turbine components (Molière, 2023). As a result, realistic estimation of gas-to-power potential depends not only on the volume of available gas, but also on accurate modelling of gas-processing units. Many gas-to-power assessments omit the conditioning stage Common practices include applying generic heating values or assuming ideal, pipeline-quality gas without explicitly modelling dehydration and NGL recovery. </w:t>
      </w:r>
    </w:p>
    <w:p w14:paraId="1B223B64" w14:textId="77777777" w:rsidR="002E5C6E" w:rsidRPr="00D17670" w:rsidRDefault="002E5C6E" w:rsidP="002E5C6E">
      <w:pPr>
        <w:jc w:val="both"/>
        <w:rPr>
          <w:rFonts w:ascii="Arial" w:hAnsi="Arial" w:cs="Arial"/>
          <w:b/>
          <w:bCs/>
          <w:color w:val="000000" w:themeColor="text1"/>
          <w:sz w:val="22"/>
          <w:szCs w:val="22"/>
        </w:rPr>
      </w:pPr>
      <w:r w:rsidRPr="00D17670">
        <w:rPr>
          <w:rFonts w:ascii="Arial" w:hAnsi="Arial" w:cs="Arial"/>
          <w:b/>
          <w:bCs/>
          <w:color w:val="000000" w:themeColor="text1"/>
          <w:sz w:val="22"/>
          <w:szCs w:val="22"/>
        </w:rPr>
        <w:t>1.5 Power-Generation Modelling.</w:t>
      </w:r>
    </w:p>
    <w:p w14:paraId="0B4D22B4" w14:textId="77777777"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lastRenderedPageBreak/>
        <w:t xml:space="preserve">Modelling of power-generation in gas-fired plants is commonly based on heat-rate equations or turbine efficiency curves. While these methods provide useful first-order estimates, they do not capture real-world operational </w:t>
      </w:r>
      <w:proofErr w:type="spellStart"/>
      <w:r w:rsidRPr="00645C34">
        <w:rPr>
          <w:rFonts w:ascii="Arial" w:hAnsi="Arial" w:cs="Arial"/>
          <w:color w:val="000000" w:themeColor="text1"/>
        </w:rPr>
        <w:t>behaviour</w:t>
      </w:r>
      <w:proofErr w:type="spellEnd"/>
      <w:r w:rsidRPr="00645C34">
        <w:rPr>
          <w:rFonts w:ascii="Arial" w:hAnsi="Arial" w:cs="Arial"/>
          <w:color w:val="000000" w:themeColor="text1"/>
        </w:rPr>
        <w:t>, particularly in developing-countries. This is because plants operate under variable load, fuel quality fluctuations, and maintenance constraints (Molière, 2023).</w:t>
      </w:r>
    </w:p>
    <w:p w14:paraId="29390FC9" w14:textId="77777777"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t>Empirical models derived from actual plant data offer a more realistic alternative. Having a correlation between gas input rates and delivered megawatt output; such models implicitly account for operational inefficiencies and site-specific conditions. Leveraging such data enables the development of regression-based power-generation models. In Nigeria, access to high-quality operational data from combined-cycle gas turbine (CCGT) plants such as Afam VI presents a unique opportunity to develop data-driven models that represents real system performance.</w:t>
      </w:r>
    </w:p>
    <w:p w14:paraId="0D1F54EF" w14:textId="77777777"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t>This study directly builds on the cluster-based framework established by Nwankwo et al. (2025) by integrating process simulation and empirical power-generation modelling. Lean-gas streams derived from aggregated flare-gas clusters are first simulated through standard gas-conditioning units. This is to ensure fuel suitability for power generation. An empirical power-generation model, developed using operational data from the Afam VI power plant, is then applied to estimate the electricity-generation potential of each flare-gas cluster.</w:t>
      </w:r>
    </w:p>
    <w:p w14:paraId="060A102C" w14:textId="77777777" w:rsidR="002E5C6E" w:rsidRPr="00D17670" w:rsidRDefault="002E5C6E" w:rsidP="002E5C6E">
      <w:pPr>
        <w:jc w:val="both"/>
        <w:rPr>
          <w:rFonts w:ascii="Arial" w:hAnsi="Arial" w:cs="Arial"/>
          <w:b/>
          <w:bCs/>
          <w:color w:val="000000" w:themeColor="text1"/>
          <w:sz w:val="22"/>
          <w:szCs w:val="22"/>
        </w:rPr>
      </w:pPr>
      <w:r w:rsidRPr="00D17670">
        <w:rPr>
          <w:rFonts w:ascii="Arial" w:hAnsi="Arial" w:cs="Arial"/>
          <w:b/>
          <w:bCs/>
          <w:color w:val="000000" w:themeColor="text1"/>
          <w:sz w:val="22"/>
          <w:szCs w:val="22"/>
        </w:rPr>
        <w:t>1.6 Purpose and Objectives of the Study</w:t>
      </w:r>
    </w:p>
    <w:p w14:paraId="4B1B1611" w14:textId="77777777"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t xml:space="preserve">The primary purpose of this study is to quantify the realistic power-generation potential of optimally aggregated flare-gas clusters in the Niger Delta by integrating geospatial clustering, gas-conditioning process simulation, and empirical power-generation modelling. The findings are intended to support policymakers, gas developers, and infrastructure planners involved in flare-reduction initiatives. It will also support domestic gas utilization </w:t>
      </w:r>
      <w:proofErr w:type="spellStart"/>
      <w:r w:rsidRPr="00645C34">
        <w:rPr>
          <w:rFonts w:ascii="Arial" w:hAnsi="Arial" w:cs="Arial"/>
          <w:color w:val="000000" w:themeColor="text1"/>
        </w:rPr>
        <w:t>programmes</w:t>
      </w:r>
      <w:proofErr w:type="spellEnd"/>
      <w:r w:rsidRPr="00645C34">
        <w:rPr>
          <w:rFonts w:ascii="Arial" w:hAnsi="Arial" w:cs="Arial"/>
          <w:color w:val="000000" w:themeColor="text1"/>
        </w:rPr>
        <w:t>.</w:t>
      </w:r>
    </w:p>
    <w:p w14:paraId="692A58D9" w14:textId="77777777"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t>The specific objectives of this study are to:</w:t>
      </w:r>
    </w:p>
    <w:p w14:paraId="189F7266" w14:textId="77777777" w:rsidR="002E5C6E" w:rsidRPr="00645C34" w:rsidRDefault="002E5C6E" w:rsidP="002E5C6E">
      <w:pPr>
        <w:numPr>
          <w:ilvl w:val="0"/>
          <w:numId w:val="31"/>
        </w:numPr>
        <w:spacing w:after="160" w:line="278" w:lineRule="auto"/>
        <w:jc w:val="both"/>
        <w:rPr>
          <w:rFonts w:ascii="Arial" w:hAnsi="Arial" w:cs="Arial"/>
          <w:color w:val="000000" w:themeColor="text1"/>
        </w:rPr>
      </w:pPr>
      <w:r w:rsidRPr="00645C34">
        <w:rPr>
          <w:rFonts w:ascii="Arial" w:hAnsi="Arial" w:cs="Arial"/>
          <w:color w:val="000000" w:themeColor="text1"/>
        </w:rPr>
        <w:t>adopt previously optimized flare-gas cluster configurations for the Niger Delta;</w:t>
      </w:r>
    </w:p>
    <w:p w14:paraId="37F4664E" w14:textId="77777777" w:rsidR="002E5C6E" w:rsidRPr="00645C34" w:rsidRDefault="002E5C6E" w:rsidP="002E5C6E">
      <w:pPr>
        <w:numPr>
          <w:ilvl w:val="0"/>
          <w:numId w:val="31"/>
        </w:numPr>
        <w:spacing w:after="160" w:line="278" w:lineRule="auto"/>
        <w:jc w:val="both"/>
        <w:rPr>
          <w:rFonts w:ascii="Arial" w:hAnsi="Arial" w:cs="Arial"/>
          <w:color w:val="000000" w:themeColor="text1"/>
        </w:rPr>
      </w:pPr>
      <w:r w:rsidRPr="00645C34">
        <w:rPr>
          <w:rFonts w:ascii="Arial" w:hAnsi="Arial" w:cs="Arial"/>
          <w:color w:val="000000" w:themeColor="text1"/>
        </w:rPr>
        <w:t>determine the cluster-level gas compositions using volume-weighted aggregation;</w:t>
      </w:r>
    </w:p>
    <w:p w14:paraId="3605A178" w14:textId="77777777" w:rsidR="002E5C6E" w:rsidRPr="00645C34" w:rsidRDefault="002E5C6E" w:rsidP="002E5C6E">
      <w:pPr>
        <w:numPr>
          <w:ilvl w:val="0"/>
          <w:numId w:val="31"/>
        </w:numPr>
        <w:spacing w:after="160" w:line="278" w:lineRule="auto"/>
        <w:jc w:val="both"/>
        <w:rPr>
          <w:rFonts w:ascii="Arial" w:hAnsi="Arial" w:cs="Arial"/>
          <w:color w:val="000000" w:themeColor="text1"/>
        </w:rPr>
      </w:pPr>
      <w:r w:rsidRPr="00645C34">
        <w:rPr>
          <w:rFonts w:ascii="Arial" w:hAnsi="Arial" w:cs="Arial"/>
          <w:color w:val="000000" w:themeColor="text1"/>
        </w:rPr>
        <w:t>simulate gas-conditioning to produce lean gas suitable for gas-turbine operation;</w:t>
      </w:r>
    </w:p>
    <w:p w14:paraId="111037FC" w14:textId="77777777" w:rsidR="002E5C6E" w:rsidRPr="00645C34" w:rsidRDefault="002E5C6E" w:rsidP="002E5C6E">
      <w:pPr>
        <w:numPr>
          <w:ilvl w:val="0"/>
          <w:numId w:val="31"/>
        </w:numPr>
        <w:spacing w:after="160" w:line="278" w:lineRule="auto"/>
        <w:jc w:val="both"/>
        <w:rPr>
          <w:rFonts w:ascii="Arial" w:hAnsi="Arial" w:cs="Arial"/>
          <w:color w:val="000000" w:themeColor="text1"/>
        </w:rPr>
      </w:pPr>
      <w:r w:rsidRPr="00645C34">
        <w:rPr>
          <w:rFonts w:ascii="Arial" w:hAnsi="Arial" w:cs="Arial"/>
          <w:color w:val="000000" w:themeColor="text1"/>
        </w:rPr>
        <w:t>develop an empirical gas-to-power model using operational data from the Afam VI gas power plant in the Niger Delta;</w:t>
      </w:r>
    </w:p>
    <w:p w14:paraId="36408BA6" w14:textId="77777777" w:rsidR="002E5C6E" w:rsidRPr="00645C34" w:rsidRDefault="002E5C6E" w:rsidP="002E5C6E">
      <w:pPr>
        <w:numPr>
          <w:ilvl w:val="0"/>
          <w:numId w:val="31"/>
        </w:numPr>
        <w:spacing w:after="160" w:line="278" w:lineRule="auto"/>
        <w:jc w:val="both"/>
        <w:rPr>
          <w:rFonts w:ascii="Arial" w:hAnsi="Arial" w:cs="Arial"/>
          <w:color w:val="000000" w:themeColor="text1"/>
        </w:rPr>
      </w:pPr>
      <w:r w:rsidRPr="00645C34">
        <w:rPr>
          <w:rFonts w:ascii="Arial" w:hAnsi="Arial" w:cs="Arial"/>
          <w:color w:val="000000" w:themeColor="text1"/>
        </w:rPr>
        <w:t>estimate the cluster-level and total power-generation potential from aggregated flare gas; and</w:t>
      </w:r>
    </w:p>
    <w:p w14:paraId="653A359F" w14:textId="77777777" w:rsidR="002E5C6E" w:rsidRPr="00645C34" w:rsidRDefault="002E5C6E" w:rsidP="002E5C6E">
      <w:pPr>
        <w:numPr>
          <w:ilvl w:val="0"/>
          <w:numId w:val="31"/>
        </w:numPr>
        <w:spacing w:after="160" w:line="278" w:lineRule="auto"/>
        <w:jc w:val="both"/>
        <w:rPr>
          <w:rFonts w:ascii="Arial" w:hAnsi="Arial" w:cs="Arial"/>
          <w:color w:val="000000" w:themeColor="text1"/>
        </w:rPr>
      </w:pPr>
      <w:r w:rsidRPr="00645C34">
        <w:rPr>
          <w:rFonts w:ascii="Arial" w:hAnsi="Arial" w:cs="Arial"/>
          <w:color w:val="000000" w:themeColor="text1"/>
        </w:rPr>
        <w:t>evaluate the implications of cluster-based gas-to-power deployment for enhancing Nigeria’s energy security.</w:t>
      </w:r>
    </w:p>
    <w:p w14:paraId="2D42FF6F" w14:textId="77777777" w:rsidR="00790ADA" w:rsidRPr="00FB3A86" w:rsidRDefault="00790ADA" w:rsidP="00441B6F">
      <w:pPr>
        <w:pStyle w:val="Body"/>
        <w:spacing w:after="0"/>
        <w:rPr>
          <w:rFonts w:ascii="Arial" w:hAnsi="Arial" w:cs="Arial"/>
        </w:rPr>
      </w:pPr>
    </w:p>
    <w:p w14:paraId="7E4E0862" w14:textId="6F3DCFF3"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p>
    <w:p w14:paraId="7107BD84" w14:textId="77777777" w:rsidR="00F61F63" w:rsidRPr="003408EF" w:rsidRDefault="00F61F63" w:rsidP="00F61F63">
      <w:pPr>
        <w:jc w:val="both"/>
        <w:rPr>
          <w:rFonts w:ascii="Arial" w:hAnsi="Arial" w:cs="Arial"/>
          <w:b/>
          <w:bCs/>
          <w:color w:val="000000" w:themeColor="text1"/>
          <w:sz w:val="22"/>
          <w:szCs w:val="22"/>
        </w:rPr>
      </w:pPr>
      <w:r w:rsidRPr="003408EF">
        <w:rPr>
          <w:rFonts w:ascii="Arial" w:hAnsi="Arial" w:cs="Arial"/>
          <w:b/>
          <w:color w:val="000000" w:themeColor="text1"/>
          <w:sz w:val="22"/>
          <w:szCs w:val="22"/>
        </w:rPr>
        <w:t xml:space="preserve">2.1 Study Area </w:t>
      </w:r>
    </w:p>
    <w:p w14:paraId="50FE5E33" w14:textId="77777777" w:rsidR="00F61F63" w:rsidRPr="00590C8D" w:rsidRDefault="00F61F63" w:rsidP="00F61F63">
      <w:pPr>
        <w:jc w:val="both"/>
        <w:rPr>
          <w:rFonts w:ascii="Arial" w:hAnsi="Arial" w:cs="Arial"/>
          <w:color w:val="000000" w:themeColor="text1"/>
        </w:rPr>
      </w:pPr>
      <w:r w:rsidRPr="00590C8D">
        <w:rPr>
          <w:rFonts w:ascii="Arial" w:hAnsi="Arial" w:cs="Arial"/>
          <w:color w:val="000000" w:themeColor="text1"/>
        </w:rPr>
        <w:t xml:space="preserve">The study focuses on selected onshore oil and gas </w:t>
      </w:r>
      <w:proofErr w:type="spellStart"/>
      <w:r w:rsidRPr="00590C8D">
        <w:rPr>
          <w:rFonts w:ascii="Arial" w:hAnsi="Arial" w:cs="Arial"/>
          <w:color w:val="000000" w:themeColor="text1"/>
        </w:rPr>
        <w:t>flowstations</w:t>
      </w:r>
      <w:proofErr w:type="spellEnd"/>
      <w:r w:rsidRPr="00590C8D">
        <w:rPr>
          <w:rFonts w:ascii="Arial" w:hAnsi="Arial" w:cs="Arial"/>
          <w:color w:val="000000" w:themeColor="text1"/>
        </w:rPr>
        <w:t xml:space="preserve"> within the Niger Delta region of Nigeria. This region hosts the majority of Nigeria’s oil and gas production activities. It also accounts for a significant share of routine gas flaring. Offshore facilities were excluded due to differences in seabed topography, and marine logistics, which introduce cost and design dynamics beyond the scope of this onshore-focused analysis.</w:t>
      </w:r>
    </w:p>
    <w:p w14:paraId="49709E12" w14:textId="77777777" w:rsidR="00F61F63" w:rsidRPr="003408EF" w:rsidRDefault="00F61F63" w:rsidP="00F61F63">
      <w:pPr>
        <w:jc w:val="both"/>
        <w:rPr>
          <w:rFonts w:ascii="Arial" w:hAnsi="Arial" w:cs="Arial"/>
          <w:b/>
          <w:color w:val="000000" w:themeColor="text1"/>
          <w:sz w:val="22"/>
          <w:szCs w:val="22"/>
        </w:rPr>
      </w:pPr>
      <w:r w:rsidRPr="003408EF">
        <w:rPr>
          <w:rFonts w:ascii="Arial" w:hAnsi="Arial" w:cs="Arial"/>
          <w:b/>
          <w:color w:val="000000" w:themeColor="text1"/>
          <w:sz w:val="22"/>
          <w:szCs w:val="22"/>
        </w:rPr>
        <w:t>2.2 Data Sources</w:t>
      </w:r>
    </w:p>
    <w:p w14:paraId="006D06B0" w14:textId="77777777" w:rsidR="00F61F63" w:rsidRPr="00590C8D" w:rsidRDefault="00F61F63" w:rsidP="00F61F63">
      <w:pPr>
        <w:jc w:val="both"/>
        <w:rPr>
          <w:rFonts w:ascii="Arial" w:hAnsi="Arial" w:cs="Arial"/>
          <w:color w:val="000000" w:themeColor="text1"/>
        </w:rPr>
      </w:pPr>
      <w:r w:rsidRPr="00590C8D">
        <w:rPr>
          <w:rFonts w:ascii="Arial" w:hAnsi="Arial" w:cs="Arial"/>
          <w:color w:val="000000" w:themeColor="text1"/>
        </w:rPr>
        <w:t xml:space="preserve">Flare-gas composition data were obtained from operational records of the oil fields hosting the twenty-four (24) onshore </w:t>
      </w:r>
      <w:proofErr w:type="spellStart"/>
      <w:r w:rsidRPr="00590C8D">
        <w:rPr>
          <w:rFonts w:ascii="Arial" w:hAnsi="Arial" w:cs="Arial"/>
          <w:color w:val="000000" w:themeColor="text1"/>
        </w:rPr>
        <w:t>flowstations</w:t>
      </w:r>
      <w:proofErr w:type="spellEnd"/>
      <w:r w:rsidRPr="00590C8D">
        <w:rPr>
          <w:rFonts w:ascii="Arial" w:hAnsi="Arial" w:cs="Arial"/>
          <w:color w:val="000000" w:themeColor="text1"/>
        </w:rPr>
        <w:t xml:space="preserve"> considered in this study. The compositional datasets include the major hydrocarbon components and impurities in the gas stream. These composition data were used to develop cluster-level gas streams for process simulation.</w:t>
      </w:r>
    </w:p>
    <w:p w14:paraId="71A641DC" w14:textId="77777777" w:rsidR="00F61F63" w:rsidRPr="00590C8D" w:rsidRDefault="00F61F63" w:rsidP="00F61F63">
      <w:pPr>
        <w:jc w:val="both"/>
        <w:rPr>
          <w:rFonts w:ascii="Arial" w:hAnsi="Arial" w:cs="Arial"/>
          <w:color w:val="000000" w:themeColor="text1"/>
        </w:rPr>
      </w:pPr>
      <w:r w:rsidRPr="00590C8D">
        <w:rPr>
          <w:rFonts w:ascii="Arial" w:hAnsi="Arial" w:cs="Arial"/>
          <w:color w:val="000000" w:themeColor="text1"/>
        </w:rPr>
        <w:t xml:space="preserve">In addition, daily operational records of gas consumption and corresponding electrical power output were obtained from a combined-cycle gas turbine (CCGT) power plant. The dataset was over the period </w:t>
      </w:r>
      <w:r w:rsidRPr="00590C8D">
        <w:rPr>
          <w:rFonts w:ascii="Arial" w:hAnsi="Arial" w:cs="Arial"/>
          <w:bCs/>
          <w:color w:val="000000" w:themeColor="text1"/>
        </w:rPr>
        <w:t xml:space="preserve">1 January 2024 to 15 August 2024, covering a total of 229 operational days. </w:t>
      </w:r>
    </w:p>
    <w:p w14:paraId="12399068" w14:textId="77777777" w:rsidR="00F61F63" w:rsidRPr="00590C8D" w:rsidRDefault="00F61F63" w:rsidP="00F61F63">
      <w:pPr>
        <w:jc w:val="both"/>
        <w:rPr>
          <w:rFonts w:ascii="Arial" w:hAnsi="Arial" w:cs="Arial"/>
          <w:color w:val="000000" w:themeColor="text1"/>
        </w:rPr>
      </w:pPr>
      <w:r w:rsidRPr="00590C8D">
        <w:rPr>
          <w:rFonts w:ascii="Arial" w:hAnsi="Arial" w:cs="Arial"/>
          <w:color w:val="000000" w:themeColor="text1"/>
        </w:rPr>
        <w:t>Together, the flare-gas composition data and the power-plant operational records form the primary datasets used for downstream gas-conditioning simulation and empirical gas-to-power modelling in this study. This data-driven approach ensures that power-generation estimates are realistic based on actual plant performance rather than assumed theoretical efficiencies.</w:t>
      </w:r>
    </w:p>
    <w:p w14:paraId="4565B1FC" w14:textId="77777777" w:rsidR="00F61F63" w:rsidRPr="003408EF" w:rsidRDefault="00F61F63" w:rsidP="00F61F63">
      <w:pPr>
        <w:jc w:val="both"/>
        <w:rPr>
          <w:rFonts w:ascii="Arial" w:hAnsi="Arial" w:cs="Arial"/>
          <w:b/>
          <w:color w:val="000000" w:themeColor="text1"/>
          <w:sz w:val="22"/>
          <w:szCs w:val="22"/>
        </w:rPr>
      </w:pPr>
      <w:r w:rsidRPr="003408EF">
        <w:rPr>
          <w:rFonts w:ascii="Arial" w:hAnsi="Arial" w:cs="Arial"/>
          <w:b/>
          <w:color w:val="000000" w:themeColor="text1"/>
          <w:sz w:val="22"/>
          <w:szCs w:val="22"/>
        </w:rPr>
        <w:t>2.3 Flare-Gas Cluster Framework</w:t>
      </w:r>
    </w:p>
    <w:p w14:paraId="6969DFF8" w14:textId="77777777" w:rsidR="00F61F63" w:rsidRPr="00590C8D" w:rsidRDefault="00F61F63" w:rsidP="00F61F63">
      <w:pPr>
        <w:jc w:val="both"/>
        <w:rPr>
          <w:rFonts w:ascii="Arial" w:hAnsi="Arial" w:cs="Arial"/>
          <w:color w:val="000000" w:themeColor="text1"/>
        </w:rPr>
      </w:pPr>
      <w:r w:rsidRPr="00590C8D">
        <w:rPr>
          <w:rFonts w:ascii="Arial" w:hAnsi="Arial" w:cs="Arial"/>
          <w:color w:val="000000" w:themeColor="text1"/>
        </w:rPr>
        <w:t>The flare-gas clusters adopted in this study were derived from a previously published geospatial optimization analysis by the authors. In that study, twenty-four (24) onshore flare sites were grouped into four statistically robust clusters using K-means clustering. The clustering framework established flare-gas aggregation hubs suitable for shared infrastructure development.</w:t>
      </w:r>
    </w:p>
    <w:p w14:paraId="1DC21B9E" w14:textId="77777777" w:rsidR="00F61F63" w:rsidRPr="00590C8D" w:rsidRDefault="00F61F63" w:rsidP="00F61F63">
      <w:pPr>
        <w:jc w:val="both"/>
        <w:rPr>
          <w:rFonts w:ascii="Arial" w:hAnsi="Arial" w:cs="Arial"/>
          <w:color w:val="000000" w:themeColor="text1"/>
        </w:rPr>
      </w:pPr>
      <w:r w:rsidRPr="00590C8D">
        <w:rPr>
          <w:rFonts w:ascii="Arial" w:hAnsi="Arial" w:cs="Arial"/>
          <w:color w:val="000000" w:themeColor="text1"/>
        </w:rPr>
        <w:t>In the present study, the identified clusters are treated as fixed spatial units. No further clustering or re-optimization was performed rather the cluster outputs serve as inputs for gas-conditioning simulation and power-generation modelling. This ensures continuity while extending the analysis from spatial feasibility to energy-conversion potential.</w:t>
      </w:r>
    </w:p>
    <w:p w14:paraId="3AAA2CCE" w14:textId="77777777" w:rsidR="00F61F63" w:rsidRPr="003408EF" w:rsidRDefault="00F61F63" w:rsidP="00F61F63">
      <w:pPr>
        <w:jc w:val="both"/>
        <w:rPr>
          <w:rFonts w:ascii="Arial" w:hAnsi="Arial" w:cs="Arial"/>
          <w:b/>
          <w:color w:val="000000" w:themeColor="text1"/>
          <w:sz w:val="22"/>
          <w:szCs w:val="22"/>
        </w:rPr>
      </w:pPr>
      <w:r w:rsidRPr="003408EF">
        <w:rPr>
          <w:rFonts w:ascii="Arial" w:hAnsi="Arial" w:cs="Arial"/>
          <w:b/>
          <w:color w:val="000000" w:themeColor="text1"/>
          <w:sz w:val="22"/>
          <w:szCs w:val="22"/>
        </w:rPr>
        <w:lastRenderedPageBreak/>
        <w:t>2.4 Cluster-Level Gas Composition Determination</w:t>
      </w:r>
    </w:p>
    <w:p w14:paraId="2D859B5A" w14:textId="77777777" w:rsidR="00F61F63" w:rsidRPr="00590C8D" w:rsidRDefault="00F61F63" w:rsidP="00F61F63">
      <w:pPr>
        <w:jc w:val="both"/>
        <w:rPr>
          <w:rFonts w:ascii="Arial" w:hAnsi="Arial" w:cs="Arial"/>
          <w:color w:val="000000" w:themeColor="text1"/>
        </w:rPr>
      </w:pPr>
      <w:r w:rsidRPr="00590C8D">
        <w:rPr>
          <w:rFonts w:ascii="Arial" w:hAnsi="Arial" w:cs="Arial"/>
          <w:color w:val="000000" w:themeColor="text1"/>
        </w:rPr>
        <w:t>A weighted compositional aggregation</w:t>
      </w:r>
      <w:r w:rsidRPr="00590C8D">
        <w:rPr>
          <w:rFonts w:ascii="Arial" w:hAnsi="Arial" w:cs="Arial"/>
          <w:b/>
          <w:bCs/>
          <w:color w:val="000000" w:themeColor="text1"/>
        </w:rPr>
        <w:t xml:space="preserve"> </w:t>
      </w:r>
      <w:r w:rsidRPr="00590C8D">
        <w:rPr>
          <w:rFonts w:ascii="Arial" w:hAnsi="Arial" w:cs="Arial"/>
          <w:color w:val="000000" w:themeColor="text1"/>
        </w:rPr>
        <w:t xml:space="preserve">approach was applied to compute gas compositions for each cluster. The mole fraction of a given component was calculated as a flare-rate-weighted average of the compositions of its constituent </w:t>
      </w:r>
      <w:proofErr w:type="spellStart"/>
      <w:r w:rsidRPr="00590C8D">
        <w:rPr>
          <w:rFonts w:ascii="Arial" w:hAnsi="Arial" w:cs="Arial"/>
          <w:color w:val="000000" w:themeColor="text1"/>
        </w:rPr>
        <w:t>flowstations</w:t>
      </w:r>
      <w:proofErr w:type="spellEnd"/>
      <w:r w:rsidRPr="00590C8D">
        <w:rPr>
          <w:rFonts w:ascii="Arial" w:hAnsi="Arial" w:cs="Arial"/>
          <w:color w:val="000000" w:themeColor="text1"/>
        </w:rPr>
        <w:t xml:space="preserve">. This approach ensures that </w:t>
      </w:r>
      <w:proofErr w:type="spellStart"/>
      <w:r w:rsidRPr="00590C8D">
        <w:rPr>
          <w:rFonts w:ascii="Arial" w:hAnsi="Arial" w:cs="Arial"/>
          <w:color w:val="000000" w:themeColor="text1"/>
        </w:rPr>
        <w:t>flowstations</w:t>
      </w:r>
      <w:proofErr w:type="spellEnd"/>
      <w:r w:rsidRPr="00590C8D">
        <w:rPr>
          <w:rFonts w:ascii="Arial" w:hAnsi="Arial" w:cs="Arial"/>
          <w:color w:val="000000" w:themeColor="text1"/>
        </w:rPr>
        <w:t xml:space="preserve"> contributing larger flare volumes exert proportionally greater influence on the resulting cluster composition.</w:t>
      </w:r>
    </w:p>
    <w:p w14:paraId="79A58E3A" w14:textId="77777777" w:rsidR="00F61F63" w:rsidRPr="00590C8D" w:rsidRDefault="00F61F63" w:rsidP="00F61F63">
      <w:pPr>
        <w:jc w:val="both"/>
        <w:rPr>
          <w:rFonts w:ascii="Arial" w:hAnsi="Arial" w:cs="Arial"/>
          <w:color w:val="000000" w:themeColor="text1"/>
        </w:rPr>
      </w:pPr>
      <w:r w:rsidRPr="00590C8D">
        <w:rPr>
          <w:rFonts w:ascii="Arial" w:hAnsi="Arial" w:cs="Arial"/>
          <w:color w:val="000000" w:themeColor="text1"/>
        </w:rPr>
        <w:t xml:space="preserve">The cluster-level mole fraction for component </w:t>
      </w:r>
      <w:r w:rsidRPr="00590C8D">
        <w:rPr>
          <w:rFonts w:ascii="Arial" w:hAnsi="Arial" w:cs="Arial"/>
          <w:i/>
          <w:iCs/>
          <w:color w:val="000000" w:themeColor="text1"/>
        </w:rPr>
        <w:t>i</w:t>
      </w:r>
      <w:r w:rsidRPr="00590C8D">
        <w:rPr>
          <w:rFonts w:ascii="Arial" w:hAnsi="Arial" w:cs="Arial"/>
          <w:color w:val="000000" w:themeColor="text1"/>
        </w:rPr>
        <w:t xml:space="preserve"> was computed using equation (2.1):</w:t>
      </w:r>
    </w:p>
    <w:p w14:paraId="5F4E52A9" w14:textId="77777777" w:rsidR="00F61F63" w:rsidRPr="00590C8D" w:rsidRDefault="002E3384" w:rsidP="00F61F63">
      <w:pPr>
        <w:jc w:val="both"/>
        <w:rPr>
          <w:rFonts w:ascii="Arial" w:hAnsi="Arial" w:cs="Arial"/>
          <w:color w:val="000000" w:themeColor="text1"/>
        </w:rPr>
      </w:pPr>
      <m:oMath>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y</m:t>
            </m:r>
          </m:e>
          <m:sub>
            <m:r>
              <w:rPr>
                <w:rFonts w:ascii="Cambria Math" w:hAnsi="Cambria Math" w:cs="Arial"/>
                <w:color w:val="000000" w:themeColor="text1"/>
                <w:sz w:val="22"/>
                <w:szCs w:val="22"/>
              </w:rPr>
              <m:t>i</m:t>
            </m:r>
            <m:r>
              <w:rPr>
                <w:rFonts w:ascii="Cambria Math" w:hAnsi="Cambria Math" w:cs="Arial"/>
                <w:color w:val="000000" w:themeColor="text1"/>
                <w:sz w:val="22"/>
                <w:szCs w:val="22"/>
              </w:rPr>
              <m:t>,</m:t>
            </m:r>
            <m:r>
              <w:rPr>
                <w:rFonts w:ascii="Cambria Math" w:hAnsi="Cambria Math" w:cs="Arial"/>
                <w:color w:val="000000" w:themeColor="text1"/>
                <w:sz w:val="22"/>
                <w:szCs w:val="22"/>
              </w:rPr>
              <m:t>cluster</m:t>
            </m:r>
          </m:sub>
        </m:sSub>
        <m:r>
          <w:rPr>
            <w:rFonts w:ascii="Cambria Math" w:hAnsi="Cambria Math" w:cs="Arial"/>
            <w:color w:val="000000" w:themeColor="text1"/>
            <w:sz w:val="22"/>
            <w:szCs w:val="22"/>
          </w:rPr>
          <m:t>=</m:t>
        </m:r>
        <m:f>
          <m:fPr>
            <m:ctrlPr>
              <w:rPr>
                <w:rFonts w:ascii="Cambria Math" w:hAnsi="Cambria Math" w:cs="Arial"/>
                <w:i/>
                <w:color w:val="000000" w:themeColor="text1"/>
                <w:sz w:val="22"/>
                <w:szCs w:val="22"/>
              </w:rPr>
            </m:ctrlPr>
          </m:fPr>
          <m:num>
            <m:nary>
              <m:naryPr>
                <m:chr m:val="∑"/>
                <m:limLoc m:val="subSup"/>
                <m:ctrlPr>
                  <w:rPr>
                    <w:rFonts w:ascii="Cambria Math" w:hAnsi="Cambria Math" w:cs="Arial"/>
                    <w:i/>
                    <w:color w:val="000000" w:themeColor="text1"/>
                    <w:sz w:val="22"/>
                    <w:szCs w:val="22"/>
                  </w:rPr>
                </m:ctrlPr>
              </m:naryPr>
              <m:sub>
                <m:r>
                  <w:rPr>
                    <w:rFonts w:ascii="Cambria Math" w:hAnsi="Cambria Math" w:cs="Arial"/>
                    <w:color w:val="000000" w:themeColor="text1"/>
                    <w:sz w:val="22"/>
                    <w:szCs w:val="22"/>
                  </w:rPr>
                  <m:t>j</m:t>
                </m:r>
                <m:r>
                  <w:rPr>
                    <w:rFonts w:ascii="Cambria Math" w:hAnsi="Cambria Math" w:cs="Arial"/>
                    <w:color w:val="000000" w:themeColor="text1"/>
                    <w:sz w:val="22"/>
                    <w:szCs w:val="22"/>
                  </w:rPr>
                  <m:t>=1</m:t>
                </m:r>
              </m:sub>
              <m:sup>
                <m:r>
                  <w:rPr>
                    <w:rFonts w:ascii="Cambria Math" w:hAnsi="Cambria Math" w:cs="Arial"/>
                    <w:color w:val="000000" w:themeColor="text1"/>
                    <w:sz w:val="22"/>
                    <w:szCs w:val="22"/>
                  </w:rPr>
                  <m:t>n</m:t>
                </m:r>
              </m:sup>
              <m:e>
                <m:d>
                  <m:dPr>
                    <m:ctrlPr>
                      <w:rPr>
                        <w:rFonts w:ascii="Cambria Math" w:hAnsi="Cambria Math" w:cs="Arial"/>
                        <w:i/>
                        <w:color w:val="000000" w:themeColor="text1"/>
                        <w:sz w:val="22"/>
                        <w:szCs w:val="22"/>
                      </w:rPr>
                    </m:ctrlPr>
                  </m:dPr>
                  <m:e>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y</m:t>
                        </m:r>
                      </m:e>
                      <m:sub>
                        <m:r>
                          <w:rPr>
                            <w:rFonts w:ascii="Cambria Math" w:hAnsi="Cambria Math" w:cs="Arial"/>
                            <w:color w:val="000000" w:themeColor="text1"/>
                            <w:sz w:val="22"/>
                            <w:szCs w:val="22"/>
                          </w:rPr>
                          <m:t>i</m:t>
                        </m:r>
                        <m:r>
                          <w:rPr>
                            <w:rFonts w:ascii="Cambria Math" w:hAnsi="Cambria Math" w:cs="Arial"/>
                            <w:color w:val="000000" w:themeColor="text1"/>
                            <w:sz w:val="22"/>
                            <w:szCs w:val="22"/>
                          </w:rPr>
                          <m:t>,</m:t>
                        </m:r>
                        <m:r>
                          <w:rPr>
                            <w:rFonts w:ascii="Cambria Math" w:hAnsi="Cambria Math" w:cs="Arial"/>
                            <w:color w:val="000000" w:themeColor="text1"/>
                            <w:sz w:val="22"/>
                            <w:szCs w:val="22"/>
                          </w:rPr>
                          <m:t>j</m:t>
                        </m:r>
                      </m:sub>
                    </m:sSub>
                    <m:r>
                      <w:rPr>
                        <w:rFonts w:ascii="Cambria Math" w:hAnsi="Cambria Math" w:cs="Arial"/>
                        <w:color w:val="000000" w:themeColor="text1"/>
                        <w:sz w:val="22"/>
                        <w:szCs w:val="22"/>
                      </w:rPr>
                      <m:t xml:space="preserve"> .  </m:t>
                    </m:r>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Q</m:t>
                        </m:r>
                      </m:e>
                      <m:sub>
                        <m:r>
                          <w:rPr>
                            <w:rFonts w:ascii="Cambria Math" w:hAnsi="Cambria Math" w:cs="Arial"/>
                            <w:color w:val="000000" w:themeColor="text1"/>
                            <w:sz w:val="22"/>
                            <w:szCs w:val="22"/>
                          </w:rPr>
                          <m:t>j</m:t>
                        </m:r>
                      </m:sub>
                    </m:sSub>
                  </m:e>
                </m:d>
              </m:e>
            </m:nary>
          </m:num>
          <m:den>
            <m:nary>
              <m:naryPr>
                <m:chr m:val="∑"/>
                <m:limLoc m:val="subSup"/>
                <m:ctrlPr>
                  <w:rPr>
                    <w:rFonts w:ascii="Cambria Math" w:hAnsi="Cambria Math" w:cs="Arial"/>
                    <w:i/>
                    <w:color w:val="000000" w:themeColor="text1"/>
                    <w:sz w:val="22"/>
                    <w:szCs w:val="22"/>
                  </w:rPr>
                </m:ctrlPr>
              </m:naryPr>
              <m:sub>
                <m:r>
                  <w:rPr>
                    <w:rFonts w:ascii="Cambria Math" w:hAnsi="Cambria Math" w:cs="Arial"/>
                    <w:color w:val="000000" w:themeColor="text1"/>
                    <w:sz w:val="22"/>
                    <w:szCs w:val="22"/>
                  </w:rPr>
                  <m:t>j</m:t>
                </m:r>
                <m:r>
                  <w:rPr>
                    <w:rFonts w:ascii="Cambria Math" w:hAnsi="Cambria Math" w:cs="Arial"/>
                    <w:color w:val="000000" w:themeColor="text1"/>
                    <w:sz w:val="22"/>
                    <w:szCs w:val="22"/>
                  </w:rPr>
                  <m:t>=1</m:t>
                </m:r>
              </m:sub>
              <m:sup>
                <m:r>
                  <w:rPr>
                    <w:rFonts w:ascii="Cambria Math" w:hAnsi="Cambria Math" w:cs="Arial"/>
                    <w:color w:val="000000" w:themeColor="text1"/>
                    <w:sz w:val="22"/>
                    <w:szCs w:val="22"/>
                  </w:rPr>
                  <m:t>n</m:t>
                </m:r>
              </m:sup>
              <m:e>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Q</m:t>
                    </m:r>
                  </m:e>
                  <m:sub>
                    <m:r>
                      <w:rPr>
                        <w:rFonts w:ascii="Cambria Math" w:hAnsi="Cambria Math" w:cs="Arial"/>
                        <w:color w:val="000000" w:themeColor="text1"/>
                        <w:sz w:val="22"/>
                        <w:szCs w:val="22"/>
                      </w:rPr>
                      <m:t>j</m:t>
                    </m:r>
                  </m:sub>
                </m:sSub>
              </m:e>
            </m:nary>
          </m:den>
        </m:f>
      </m:oMath>
      <w:r w:rsidR="00F61F63" w:rsidRPr="00590C8D">
        <w:rPr>
          <w:rFonts w:ascii="Arial" w:eastAsiaTheme="minorEastAsia" w:hAnsi="Arial" w:cs="Arial"/>
          <w:color w:val="000000" w:themeColor="text1"/>
        </w:rPr>
        <w:t xml:space="preserve">               (2.1)</w:t>
      </w:r>
    </w:p>
    <w:p w14:paraId="5AC60685" w14:textId="77777777" w:rsidR="00F61F63" w:rsidRPr="00590C8D" w:rsidRDefault="00F61F63" w:rsidP="00F61F63">
      <w:pPr>
        <w:jc w:val="both"/>
        <w:rPr>
          <w:rFonts w:ascii="Arial" w:hAnsi="Arial" w:cs="Arial"/>
          <w:color w:val="000000" w:themeColor="text1"/>
        </w:rPr>
      </w:pPr>
      <w:r w:rsidRPr="00590C8D">
        <w:rPr>
          <w:rFonts w:ascii="Arial" w:hAnsi="Arial" w:cs="Arial"/>
          <w:color w:val="000000" w:themeColor="text1"/>
        </w:rPr>
        <w:t>where:</w:t>
      </w:r>
      <w:r w:rsidRPr="00590C8D">
        <w:rPr>
          <w:rFonts w:ascii="Arial" w:hAnsi="Arial" w:cs="Arial"/>
          <w:color w:val="000000" w:themeColor="text1"/>
        </w:rPr>
        <w:br/>
      </w:r>
      <m:oMath>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i,j</m:t>
            </m:r>
          </m:sub>
        </m:sSub>
      </m:oMath>
      <w:r w:rsidRPr="00590C8D">
        <w:rPr>
          <w:rFonts w:ascii="Arial" w:eastAsiaTheme="minorEastAsia" w:hAnsi="Arial" w:cs="Arial"/>
          <w:color w:val="000000" w:themeColor="text1"/>
        </w:rPr>
        <w:t xml:space="preserve"> </w:t>
      </w:r>
      <w:r w:rsidRPr="00590C8D">
        <w:rPr>
          <w:rFonts w:ascii="Arial" w:hAnsi="Arial" w:cs="Arial"/>
          <w:color w:val="000000" w:themeColor="text1"/>
        </w:rPr>
        <w:t xml:space="preserve">is the mole fraction of component </w:t>
      </w:r>
      <w:proofErr w:type="spellStart"/>
      <w:r w:rsidRPr="00590C8D">
        <w:rPr>
          <w:rFonts w:ascii="Arial" w:hAnsi="Arial" w:cs="Arial"/>
          <w:i/>
          <w:iCs/>
          <w:color w:val="000000" w:themeColor="text1"/>
        </w:rPr>
        <w:t>i</w:t>
      </w:r>
      <w:proofErr w:type="spellEnd"/>
      <w:r w:rsidRPr="00590C8D">
        <w:rPr>
          <w:rFonts w:ascii="Arial" w:hAnsi="Arial" w:cs="Arial"/>
          <w:color w:val="000000" w:themeColor="text1"/>
        </w:rPr>
        <w:t xml:space="preserve"> at </w:t>
      </w:r>
      <w:proofErr w:type="spellStart"/>
      <w:r w:rsidRPr="00590C8D">
        <w:rPr>
          <w:rFonts w:ascii="Arial" w:hAnsi="Arial" w:cs="Arial"/>
          <w:color w:val="000000" w:themeColor="text1"/>
        </w:rPr>
        <w:t>flowstation</w:t>
      </w:r>
      <w:proofErr w:type="spellEnd"/>
      <w:r w:rsidRPr="00590C8D">
        <w:rPr>
          <w:rFonts w:ascii="Arial" w:hAnsi="Arial" w:cs="Arial"/>
          <w:color w:val="000000" w:themeColor="text1"/>
        </w:rPr>
        <w:t xml:space="preserve"> </w:t>
      </w:r>
      <w:r w:rsidRPr="00590C8D">
        <w:rPr>
          <w:rFonts w:ascii="Arial" w:hAnsi="Arial" w:cs="Arial"/>
          <w:i/>
          <w:iCs/>
          <w:color w:val="000000" w:themeColor="text1"/>
        </w:rPr>
        <w:t>j</w:t>
      </w:r>
      <w:r w:rsidRPr="00590C8D">
        <w:rPr>
          <w:rFonts w:ascii="Arial" w:hAnsi="Arial" w:cs="Arial"/>
          <w:color w:val="000000" w:themeColor="text1"/>
        </w:rPr>
        <w:t>;</w:t>
      </w:r>
    </w:p>
    <w:p w14:paraId="79F4F015" w14:textId="77777777" w:rsidR="00F61F63" w:rsidRPr="00590C8D" w:rsidRDefault="002E3384" w:rsidP="00F61F63">
      <w:pPr>
        <w:jc w:val="both"/>
        <w:rPr>
          <w:rFonts w:ascii="Arial" w:hAnsi="Arial" w:cs="Arial"/>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Q</m:t>
            </m:r>
          </m:e>
          <m:sub>
            <m:r>
              <w:rPr>
                <w:rFonts w:ascii="Cambria Math" w:hAnsi="Cambria Math"/>
                <w:color w:val="000000" w:themeColor="text1"/>
              </w:rPr>
              <m:t>j</m:t>
            </m:r>
          </m:sub>
        </m:sSub>
      </m:oMath>
      <w:r w:rsidR="00F61F63" w:rsidRPr="00590C8D">
        <w:rPr>
          <w:rFonts w:ascii="Arial" w:eastAsiaTheme="minorEastAsia" w:hAnsi="Arial" w:cs="Arial"/>
          <w:color w:val="000000" w:themeColor="text1"/>
        </w:rPr>
        <w:t xml:space="preserve"> </w:t>
      </w:r>
      <w:r w:rsidR="00F61F63" w:rsidRPr="00590C8D">
        <w:rPr>
          <w:rFonts w:ascii="Arial" w:hAnsi="Arial" w:cs="Arial"/>
          <w:color w:val="000000" w:themeColor="text1"/>
        </w:rPr>
        <w:t xml:space="preserve">is the average flare-gas rate of </w:t>
      </w:r>
      <w:proofErr w:type="spellStart"/>
      <w:r w:rsidR="00F61F63" w:rsidRPr="00590C8D">
        <w:rPr>
          <w:rFonts w:ascii="Arial" w:hAnsi="Arial" w:cs="Arial"/>
          <w:color w:val="000000" w:themeColor="text1"/>
        </w:rPr>
        <w:t>flowstation</w:t>
      </w:r>
      <w:proofErr w:type="spellEnd"/>
      <w:r w:rsidR="00F61F63" w:rsidRPr="00590C8D">
        <w:rPr>
          <w:rFonts w:ascii="Arial" w:hAnsi="Arial" w:cs="Arial"/>
          <w:color w:val="000000" w:themeColor="text1"/>
        </w:rPr>
        <w:t xml:space="preserve"> </w:t>
      </w:r>
      <w:r w:rsidR="00F61F63" w:rsidRPr="00590C8D">
        <w:rPr>
          <w:rFonts w:ascii="Arial" w:hAnsi="Arial" w:cs="Arial"/>
          <w:i/>
          <w:iCs/>
          <w:color w:val="000000" w:themeColor="text1"/>
        </w:rPr>
        <w:t>j</w:t>
      </w:r>
      <w:r w:rsidR="00F61F63" w:rsidRPr="00590C8D">
        <w:rPr>
          <w:rFonts w:ascii="Arial" w:hAnsi="Arial" w:cs="Arial"/>
          <w:color w:val="000000" w:themeColor="text1"/>
        </w:rPr>
        <w:t>;</w:t>
      </w:r>
    </w:p>
    <w:p w14:paraId="44AB58AE" w14:textId="77777777" w:rsidR="00F61F63" w:rsidRPr="00590C8D" w:rsidRDefault="00F61F63" w:rsidP="00F61F63">
      <w:pPr>
        <w:jc w:val="both"/>
        <w:rPr>
          <w:rFonts w:ascii="Arial" w:hAnsi="Arial" w:cs="Arial"/>
          <w:color w:val="000000" w:themeColor="text1"/>
        </w:rPr>
      </w:pPr>
      <m:oMath>
        <m:r>
          <w:rPr>
            <w:rFonts w:ascii="Cambria Math" w:hAnsi="Cambria Math"/>
            <w:color w:val="000000" w:themeColor="text1"/>
          </w:rPr>
          <m:t xml:space="preserve">n </m:t>
        </m:r>
      </m:oMath>
      <w:r w:rsidRPr="00590C8D">
        <w:rPr>
          <w:rFonts w:ascii="Arial" w:hAnsi="Arial" w:cs="Arial"/>
          <w:color w:val="000000" w:themeColor="text1"/>
        </w:rPr>
        <w:t>is the number of flowstations within the cluster.</w:t>
      </w:r>
    </w:p>
    <w:p w14:paraId="7C75D935" w14:textId="75583607" w:rsidR="00F61F63" w:rsidRPr="00590C8D" w:rsidRDefault="00F61F63" w:rsidP="00F61F63">
      <w:pPr>
        <w:jc w:val="both"/>
        <w:rPr>
          <w:rFonts w:ascii="Arial" w:hAnsi="Arial" w:cs="Arial"/>
          <w:color w:val="000000" w:themeColor="text1"/>
        </w:rPr>
      </w:pPr>
      <w:r w:rsidRPr="00590C8D">
        <w:rPr>
          <w:rFonts w:ascii="Arial" w:hAnsi="Arial" w:cs="Arial"/>
          <w:color w:val="000000" w:themeColor="text1"/>
        </w:rPr>
        <w:t>All compositional data processing with equation 2.1 were performed using Python (See Figure 1), ensuring numerical consistency and reproducibility.</w:t>
      </w:r>
    </w:p>
    <w:p w14:paraId="501AC9D4" w14:textId="77777777" w:rsidR="00F61F63" w:rsidRPr="00590C8D" w:rsidRDefault="00F61F63" w:rsidP="00F61F63">
      <w:pPr>
        <w:jc w:val="both"/>
        <w:rPr>
          <w:rFonts w:ascii="Arial" w:hAnsi="Arial" w:cs="Arial"/>
          <w:color w:val="000000" w:themeColor="text1"/>
        </w:rPr>
      </w:pPr>
      <w:r w:rsidRPr="00590C8D">
        <w:rPr>
          <w:rFonts w:ascii="Arial" w:hAnsi="Arial" w:cs="Arial"/>
          <w:color w:val="000000" w:themeColor="text1"/>
        </w:rPr>
        <w:t>Python scripts were developed to:</w:t>
      </w:r>
    </w:p>
    <w:p w14:paraId="2EBDA25C" w14:textId="77777777" w:rsidR="00F61F63" w:rsidRPr="00590C8D" w:rsidRDefault="00F61F63" w:rsidP="00F61F63">
      <w:pPr>
        <w:numPr>
          <w:ilvl w:val="0"/>
          <w:numId w:val="32"/>
        </w:numPr>
        <w:spacing w:after="160" w:line="278" w:lineRule="auto"/>
        <w:jc w:val="both"/>
        <w:rPr>
          <w:rFonts w:ascii="Arial" w:hAnsi="Arial" w:cs="Arial"/>
          <w:color w:val="000000" w:themeColor="text1"/>
        </w:rPr>
      </w:pPr>
      <w:r w:rsidRPr="00590C8D">
        <w:rPr>
          <w:rFonts w:ascii="Arial" w:hAnsi="Arial" w:cs="Arial"/>
          <w:color w:val="000000" w:themeColor="text1"/>
        </w:rPr>
        <w:t xml:space="preserve">import </w:t>
      </w:r>
      <w:proofErr w:type="spellStart"/>
      <w:r w:rsidRPr="00590C8D">
        <w:rPr>
          <w:rFonts w:ascii="Arial" w:hAnsi="Arial" w:cs="Arial"/>
          <w:color w:val="000000" w:themeColor="text1"/>
        </w:rPr>
        <w:t>flowstation</w:t>
      </w:r>
      <w:proofErr w:type="spellEnd"/>
      <w:r w:rsidRPr="00590C8D">
        <w:rPr>
          <w:rFonts w:ascii="Arial" w:hAnsi="Arial" w:cs="Arial"/>
          <w:color w:val="000000" w:themeColor="text1"/>
        </w:rPr>
        <w:t xml:space="preserve"> flare volumes and gas compositions;</w:t>
      </w:r>
    </w:p>
    <w:p w14:paraId="3C0A5CD1" w14:textId="77777777" w:rsidR="00F61F63" w:rsidRPr="00590C8D" w:rsidRDefault="00F61F63" w:rsidP="00F61F63">
      <w:pPr>
        <w:numPr>
          <w:ilvl w:val="0"/>
          <w:numId w:val="32"/>
        </w:numPr>
        <w:spacing w:after="160" w:line="278" w:lineRule="auto"/>
        <w:jc w:val="both"/>
        <w:rPr>
          <w:rFonts w:ascii="Arial" w:hAnsi="Arial" w:cs="Arial"/>
          <w:color w:val="000000" w:themeColor="text1"/>
        </w:rPr>
      </w:pPr>
      <w:r w:rsidRPr="00590C8D">
        <w:rPr>
          <w:rFonts w:ascii="Arial" w:hAnsi="Arial" w:cs="Arial"/>
          <w:color w:val="000000" w:themeColor="text1"/>
        </w:rPr>
        <w:t>normalize component mole fractions;</w:t>
      </w:r>
    </w:p>
    <w:p w14:paraId="74979D02" w14:textId="77777777" w:rsidR="00F61F63" w:rsidRPr="00590C8D" w:rsidRDefault="00F61F63" w:rsidP="00F61F63">
      <w:pPr>
        <w:numPr>
          <w:ilvl w:val="0"/>
          <w:numId w:val="32"/>
        </w:numPr>
        <w:spacing w:after="160" w:line="278" w:lineRule="auto"/>
        <w:jc w:val="both"/>
        <w:rPr>
          <w:rFonts w:ascii="Arial" w:hAnsi="Arial" w:cs="Arial"/>
          <w:color w:val="000000" w:themeColor="text1"/>
        </w:rPr>
      </w:pPr>
      <w:r w:rsidRPr="00590C8D">
        <w:rPr>
          <w:rFonts w:ascii="Arial" w:hAnsi="Arial" w:cs="Arial"/>
          <w:color w:val="000000" w:themeColor="text1"/>
        </w:rPr>
        <w:t>apply weighted averaging to compute cluster-specific gas compositions;</w:t>
      </w:r>
    </w:p>
    <w:p w14:paraId="776F42D2" w14:textId="77777777" w:rsidR="00F61F63" w:rsidRPr="00590C8D" w:rsidRDefault="00F61F63" w:rsidP="00F61F63">
      <w:pPr>
        <w:numPr>
          <w:ilvl w:val="0"/>
          <w:numId w:val="32"/>
        </w:numPr>
        <w:spacing w:after="160" w:line="278" w:lineRule="auto"/>
        <w:jc w:val="both"/>
        <w:rPr>
          <w:rFonts w:ascii="Arial" w:hAnsi="Arial" w:cs="Arial"/>
          <w:color w:val="000000" w:themeColor="text1"/>
        </w:rPr>
      </w:pPr>
      <w:r w:rsidRPr="00590C8D">
        <w:rPr>
          <w:rFonts w:ascii="Arial" w:hAnsi="Arial" w:cs="Arial"/>
          <w:color w:val="000000" w:themeColor="text1"/>
        </w:rPr>
        <w:t>generate final cluster feed specifications compatible with process simulation inputs.</w:t>
      </w:r>
    </w:p>
    <w:p w14:paraId="02635E1D" w14:textId="77777777" w:rsidR="00F61F63" w:rsidRDefault="00F61F63" w:rsidP="00F61F63">
      <w:pPr>
        <w:jc w:val="both"/>
        <w:rPr>
          <w:rFonts w:ascii="Arial" w:hAnsi="Arial" w:cs="Arial"/>
          <w:color w:val="000000" w:themeColor="text1"/>
        </w:rPr>
      </w:pPr>
      <w:r w:rsidRPr="00590C8D">
        <w:rPr>
          <w:rFonts w:ascii="Arial" w:hAnsi="Arial" w:cs="Arial"/>
          <w:color w:val="000000" w:themeColor="text1"/>
        </w:rPr>
        <w:t>The scripts follow standard mass- and mole-balance logic and are available upon request to support reproducibility.</w:t>
      </w:r>
    </w:p>
    <w:p w14:paraId="1D41D9E9" w14:textId="77777777" w:rsidR="003408EF" w:rsidRDefault="003408EF" w:rsidP="00F61F63">
      <w:pPr>
        <w:jc w:val="both"/>
        <w:rPr>
          <w:rFonts w:ascii="Arial" w:hAnsi="Arial" w:cs="Arial"/>
          <w:color w:val="000000" w:themeColor="text1"/>
        </w:rPr>
      </w:pPr>
    </w:p>
    <w:p w14:paraId="1CA72B9A" w14:textId="75B9C7F5" w:rsidR="00326B59" w:rsidRDefault="00326B59" w:rsidP="00F61F63">
      <w:pPr>
        <w:jc w:val="both"/>
        <w:rPr>
          <w:rFonts w:ascii="Arial" w:hAnsi="Arial" w:cs="Arial"/>
          <w:color w:val="000000" w:themeColor="text1"/>
        </w:rPr>
      </w:pPr>
      <w:r w:rsidRPr="00855BAA">
        <w:rPr>
          <w:rFonts w:ascii="Arial" w:hAnsi="Arial" w:cs="Arial"/>
          <w:b/>
          <w:noProof/>
        </w:rPr>
        <w:drawing>
          <wp:inline distT="0" distB="0" distL="0" distR="0" wp14:anchorId="733901AE" wp14:editId="39AC81BC">
            <wp:extent cx="5212080" cy="5089660"/>
            <wp:effectExtent l="0" t="0" r="0" b="0"/>
            <wp:docPr id="1565264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64085" name=""/>
                    <pic:cNvPicPr/>
                  </pic:nvPicPr>
                  <pic:blipFill>
                    <a:blip r:embed="rId14"/>
                    <a:stretch>
                      <a:fillRect/>
                    </a:stretch>
                  </pic:blipFill>
                  <pic:spPr>
                    <a:xfrm>
                      <a:off x="0" y="0"/>
                      <a:ext cx="5212080" cy="5089660"/>
                    </a:xfrm>
                    <a:prstGeom prst="rect">
                      <a:avLst/>
                    </a:prstGeom>
                  </pic:spPr>
                </pic:pic>
              </a:graphicData>
            </a:graphic>
          </wp:inline>
        </w:drawing>
      </w:r>
    </w:p>
    <w:p w14:paraId="0AC4A98D" w14:textId="55C27884" w:rsidR="00815A98" w:rsidRPr="006654C6" w:rsidRDefault="006654C6" w:rsidP="00F61F63">
      <w:pPr>
        <w:jc w:val="both"/>
        <w:rPr>
          <w:rFonts w:ascii="Arial" w:hAnsi="Arial" w:cs="Arial"/>
          <w:i/>
          <w:iCs/>
          <w:color w:val="000000" w:themeColor="text1"/>
        </w:rPr>
      </w:pPr>
      <w:r w:rsidRPr="006654C6">
        <w:rPr>
          <w:rFonts w:ascii="Arial" w:hAnsi="Arial" w:cs="Arial"/>
          <w:i/>
          <w:iCs/>
          <w:color w:val="000000" w:themeColor="text1"/>
        </w:rPr>
        <w:lastRenderedPageBreak/>
        <w:t>Figure 1 Python Script for Computing Volume-Weighted Cluster Gas Compositions</w:t>
      </w:r>
    </w:p>
    <w:p w14:paraId="12A4873F" w14:textId="77777777" w:rsidR="00790ADA" w:rsidRDefault="00790ADA" w:rsidP="00441B6F">
      <w:pPr>
        <w:pStyle w:val="AbstHead"/>
        <w:spacing w:after="0"/>
        <w:jc w:val="both"/>
        <w:rPr>
          <w:rFonts w:ascii="Arial" w:hAnsi="Arial" w:cs="Arial"/>
        </w:rPr>
      </w:pPr>
    </w:p>
    <w:p w14:paraId="0D2E966B" w14:textId="77777777" w:rsidR="00CB54C1" w:rsidRPr="009C5D45" w:rsidRDefault="00CB54C1" w:rsidP="00CB54C1">
      <w:pPr>
        <w:jc w:val="both"/>
        <w:rPr>
          <w:rFonts w:ascii="Arial" w:hAnsi="Arial" w:cs="Arial"/>
          <w:color w:val="000000" w:themeColor="text1"/>
        </w:rPr>
      </w:pPr>
      <w:r w:rsidRPr="009C5D45">
        <w:rPr>
          <w:rFonts w:ascii="Arial" w:hAnsi="Arial" w:cs="Arial"/>
          <w:color w:val="000000" w:themeColor="text1"/>
        </w:rPr>
        <w:t xml:space="preserve">UniSim Design needs the molecular weight (MW) and flowrate of the feed gas (in </w:t>
      </w:r>
      <w:proofErr w:type="spellStart"/>
      <w:r w:rsidRPr="009C5D45">
        <w:rPr>
          <w:rFonts w:ascii="Arial" w:hAnsi="Arial" w:cs="Arial"/>
          <w:color w:val="000000" w:themeColor="text1"/>
        </w:rPr>
        <w:t>kmol</w:t>
      </w:r>
      <w:proofErr w:type="spellEnd"/>
      <w:r w:rsidRPr="009C5D45">
        <w:rPr>
          <w:rFonts w:ascii="Arial" w:hAnsi="Arial" w:cs="Arial"/>
          <w:color w:val="000000" w:themeColor="text1"/>
        </w:rPr>
        <w:t>/h) as input parameters. The average molecular weight (</w:t>
      </w:r>
      <m:oMath>
        <m:r>
          <w:rPr>
            <w:rFonts w:ascii="Cambria Math" w:hAnsi="Cambria Math"/>
            <w:color w:val="000000" w:themeColor="text1"/>
          </w:rPr>
          <m:t>M</m:t>
        </m:r>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avg</m:t>
            </m:r>
          </m:sub>
        </m:sSub>
      </m:oMath>
      <w:r w:rsidRPr="009C5D45">
        <w:rPr>
          <w:rFonts w:ascii="Arial" w:hAnsi="Arial" w:cs="Arial"/>
          <w:color w:val="000000" w:themeColor="text1"/>
        </w:rPr>
        <w:t>) of the gas from each cluster was determined by the sum of the products of the mole fraction y</w:t>
      </w:r>
      <w:r w:rsidRPr="009C5D45">
        <w:rPr>
          <w:rFonts w:ascii="Arial" w:hAnsi="Arial" w:cs="Arial"/>
          <w:color w:val="000000" w:themeColor="text1"/>
          <w:vertAlign w:val="subscript"/>
        </w:rPr>
        <w:t>i</w:t>
      </w:r>
      <w:r w:rsidRPr="009C5D45">
        <w:rPr>
          <w:rFonts w:ascii="Arial" w:hAnsi="Arial" w:cs="Arial"/>
          <w:color w:val="000000" w:themeColor="text1"/>
        </w:rPr>
        <w:t xml:space="preserve"> of each component and its corresponding molecular weight as in equation (2.2).</w:t>
      </w:r>
    </w:p>
    <w:p w14:paraId="4F4D4609" w14:textId="77777777" w:rsidR="00CB54C1" w:rsidRPr="009C5D45" w:rsidRDefault="00CB54C1" w:rsidP="00CB54C1">
      <w:pPr>
        <w:jc w:val="both"/>
        <w:rPr>
          <w:rFonts w:ascii="Arial" w:hAnsi="Arial" w:cs="Arial"/>
          <w:color w:val="000000" w:themeColor="text1"/>
        </w:rPr>
      </w:pPr>
      <m:oMathPara>
        <m:oMath>
          <m:r>
            <w:rPr>
              <w:rFonts w:ascii="Cambria Math" w:hAnsi="Cambria Math"/>
              <w:color w:val="000000" w:themeColor="text1"/>
            </w:rPr>
            <m:t>M</m:t>
          </m:r>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avg</m:t>
              </m:r>
            </m:sub>
          </m:sSub>
          <m:r>
            <w:rPr>
              <w:rFonts w:ascii="Cambria Math" w:hAnsi="Cambria Math"/>
              <w:color w:val="000000" w:themeColor="text1"/>
            </w:rPr>
            <m:t>=</m:t>
          </m:r>
          <m:nary>
            <m:naryPr>
              <m:chr m:val="∑"/>
              <m:limLoc m:val="undOvr"/>
              <m:grow m:val="1"/>
              <m:ctrlPr>
                <w:rPr>
                  <w:rFonts w:ascii="Cambria Math" w:hAnsi="Cambria Math"/>
                  <w:color w:val="000000" w:themeColor="text1"/>
                </w:rPr>
              </m:ctrlPr>
            </m:naryPr>
            <m:sub>
              <m:r>
                <w:rPr>
                  <w:rFonts w:ascii="Cambria Math" w:hAnsi="Cambria Math"/>
                  <w:color w:val="000000" w:themeColor="text1"/>
                </w:rPr>
                <m:t>i=1</m:t>
              </m:r>
            </m:sub>
            <m:sup>
              <m:r>
                <w:rPr>
                  <w:rFonts w:ascii="Cambria Math" w:hAnsi="Cambria Math"/>
                  <w:color w:val="000000" w:themeColor="text1"/>
                </w:rPr>
                <m:t>m</m:t>
              </m:r>
            </m:sup>
            <m:e>
              <m:d>
                <m:dPr>
                  <m:ctrlPr>
                    <w:rPr>
                      <w:rFonts w:ascii="Cambria Math" w:hAnsi="Cambria Math"/>
                      <w:i/>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×M</m:t>
                  </m:r>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i</m:t>
                      </m:r>
                    </m:sub>
                  </m:sSub>
                </m:e>
              </m:d>
              <m:r>
                <w:rPr>
                  <w:rFonts w:ascii="Cambria Math" w:hAnsi="Cambria Math"/>
                  <w:color w:val="000000" w:themeColor="text1"/>
                </w:rPr>
                <m:t xml:space="preserve">                                    (2.2)</m:t>
              </m:r>
            </m:e>
          </m:nary>
          <m:r>
            <m:rPr>
              <m:sty m:val="p"/>
            </m:rPr>
            <w:rPr>
              <w:rFonts w:ascii="Cambria Math" w:hAnsi="Cambria Math"/>
              <w:color w:val="000000" w:themeColor="text1"/>
            </w:rPr>
            <w:br/>
          </m:r>
        </m:oMath>
      </m:oMathPara>
      <w:r w:rsidRPr="009C5D45">
        <w:rPr>
          <w:rFonts w:ascii="Arial" w:hAnsi="Arial" w:cs="Arial"/>
          <w:color w:val="000000" w:themeColor="text1"/>
        </w:rPr>
        <w:t xml:space="preserve">where </w:t>
      </w:r>
      <m:oMath>
        <m:r>
          <w:rPr>
            <w:rFonts w:ascii="Cambria Math" w:hAnsi="Cambria Math"/>
            <w:color w:val="000000" w:themeColor="text1"/>
          </w:rPr>
          <m:t>M</m:t>
        </m:r>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j</m:t>
            </m:r>
          </m:sub>
        </m:sSub>
      </m:oMath>
      <w:r w:rsidRPr="009C5D45">
        <w:rPr>
          <w:rFonts w:ascii="Arial" w:hAnsi="Arial" w:cs="Arial"/>
          <w:color w:val="000000" w:themeColor="text1"/>
        </w:rPr>
        <w:t xml:space="preserve">is the molecular weight of component </w:t>
      </w:r>
      <w:r w:rsidRPr="009C5D45">
        <w:rPr>
          <w:rFonts w:ascii="Arial" w:hAnsi="Arial" w:cs="Arial"/>
          <w:i/>
          <w:color w:val="000000" w:themeColor="text1"/>
        </w:rPr>
        <w:t>i</w:t>
      </w:r>
      <w:r w:rsidRPr="009C5D45">
        <w:rPr>
          <w:rFonts w:ascii="Arial" w:hAnsi="Arial" w:cs="Arial"/>
          <w:color w:val="000000" w:themeColor="text1"/>
        </w:rPr>
        <w:t xml:space="preserve">, while </w:t>
      </w:r>
      <m:oMath>
        <m:r>
          <w:rPr>
            <w:rFonts w:ascii="Cambria Math" w:hAnsi="Cambria Math"/>
            <w:color w:val="000000" w:themeColor="text1"/>
          </w:rPr>
          <m:t xml:space="preserve">m </m:t>
        </m:r>
      </m:oMath>
      <w:r w:rsidRPr="009C5D45">
        <w:rPr>
          <w:rFonts w:ascii="Arial" w:hAnsi="Arial" w:cs="Arial"/>
          <w:color w:val="000000" w:themeColor="text1"/>
        </w:rPr>
        <w:t>is the total number of gas components.</w:t>
      </w:r>
    </w:p>
    <w:p w14:paraId="6284A5D4" w14:textId="77777777" w:rsidR="00CB54C1" w:rsidRPr="009C5D45" w:rsidRDefault="00CB54C1" w:rsidP="00CB54C1">
      <w:pPr>
        <w:jc w:val="both"/>
        <w:rPr>
          <w:rFonts w:ascii="Arial" w:hAnsi="Arial" w:cs="Arial"/>
          <w:color w:val="000000" w:themeColor="text1"/>
        </w:rPr>
      </w:pPr>
      <w:r w:rsidRPr="009C5D45">
        <w:rPr>
          <w:rFonts w:ascii="Arial" w:hAnsi="Arial" w:cs="Arial"/>
          <w:color w:val="000000" w:themeColor="text1"/>
        </w:rPr>
        <w:t xml:space="preserve">To convert daily flare volumes (in </w:t>
      </w:r>
      <w:proofErr w:type="spellStart"/>
      <w:r w:rsidRPr="009C5D45">
        <w:rPr>
          <w:rFonts w:ascii="Arial" w:hAnsi="Arial" w:cs="Arial"/>
          <w:color w:val="000000" w:themeColor="text1"/>
        </w:rPr>
        <w:t>mmscf</w:t>
      </w:r>
      <w:proofErr w:type="spellEnd"/>
      <w:r w:rsidRPr="009C5D45">
        <w:rPr>
          <w:rFonts w:ascii="Arial" w:hAnsi="Arial" w:cs="Arial"/>
          <w:color w:val="000000" w:themeColor="text1"/>
        </w:rPr>
        <w:t xml:space="preserve">/day) to molar flowrates (in </w:t>
      </w:r>
      <w:proofErr w:type="spellStart"/>
      <w:r w:rsidRPr="009C5D45">
        <w:rPr>
          <w:rFonts w:ascii="Arial" w:hAnsi="Arial" w:cs="Arial"/>
          <w:color w:val="000000" w:themeColor="text1"/>
        </w:rPr>
        <w:t>kmol</w:t>
      </w:r>
      <w:proofErr w:type="spellEnd"/>
      <w:r w:rsidRPr="009C5D45">
        <w:rPr>
          <w:rFonts w:ascii="Arial" w:hAnsi="Arial" w:cs="Arial"/>
          <w:color w:val="000000" w:themeColor="text1"/>
        </w:rPr>
        <w:t xml:space="preserve">/h), two conversion steps were applied. Firstly, volumes were converted from </w:t>
      </w:r>
      <w:proofErr w:type="spellStart"/>
      <w:r w:rsidRPr="009C5D45">
        <w:rPr>
          <w:rFonts w:ascii="Arial" w:hAnsi="Arial" w:cs="Arial"/>
          <w:color w:val="000000" w:themeColor="text1"/>
        </w:rPr>
        <w:t>mmscf</w:t>
      </w:r>
      <w:proofErr w:type="spellEnd"/>
      <w:r w:rsidRPr="009C5D45">
        <w:rPr>
          <w:rFonts w:ascii="Arial" w:hAnsi="Arial" w:cs="Arial"/>
          <w:color w:val="000000" w:themeColor="text1"/>
        </w:rPr>
        <w:t>/day to standard cubic meters per day (</w:t>
      </w:r>
      <w:proofErr w:type="spellStart"/>
      <w:r w:rsidRPr="009C5D45">
        <w:rPr>
          <w:rFonts w:ascii="Arial" w:hAnsi="Arial" w:cs="Arial"/>
          <w:color w:val="000000" w:themeColor="text1"/>
        </w:rPr>
        <w:t>scm</w:t>
      </w:r>
      <w:proofErr w:type="spellEnd"/>
      <w:r w:rsidRPr="009C5D45">
        <w:rPr>
          <w:rFonts w:ascii="Arial" w:hAnsi="Arial" w:cs="Arial"/>
          <w:color w:val="000000" w:themeColor="text1"/>
        </w:rPr>
        <w:t>/day) using equation (2.3):</w:t>
      </w:r>
    </w:p>
    <w:p w14:paraId="15DA98B3" w14:textId="77777777" w:rsidR="00CB54C1" w:rsidRPr="009C5D45" w:rsidRDefault="002E3384" w:rsidP="00CB54C1">
      <w:pPr>
        <w:jc w:val="both"/>
        <w:rPr>
          <w:rFonts w:ascii="Arial" w:hAnsi="Arial" w:cs="Arial"/>
          <w:color w:val="000000" w:themeColor="text1"/>
        </w:rPr>
      </w:pPr>
      <m:oMathPara>
        <m:oMath>
          <m:f>
            <m:fPr>
              <m:ctrlPr>
                <w:rPr>
                  <w:rFonts w:ascii="Cambria Math" w:hAnsi="Cambria Math"/>
                  <w:color w:val="000000" w:themeColor="text1"/>
                </w:rPr>
              </m:ctrlPr>
            </m:fPr>
            <m:num>
              <m:r>
                <w:rPr>
                  <w:rFonts w:ascii="Cambria Math" w:hAnsi="Cambria Math"/>
                  <w:color w:val="000000" w:themeColor="text1"/>
                </w:rPr>
                <m:t>scm</m:t>
              </m:r>
              <m:ctrlPr>
                <w:rPr>
                  <w:rFonts w:ascii="Cambria Math" w:hAnsi="Cambria Math"/>
                  <w:i/>
                  <w:color w:val="000000" w:themeColor="text1"/>
                </w:rPr>
              </m:ctrlPr>
            </m:num>
            <m:den>
              <m:r>
                <w:rPr>
                  <w:rFonts w:ascii="Cambria Math" w:hAnsi="Cambria Math"/>
                  <w:color w:val="000000" w:themeColor="text1"/>
                </w:rPr>
                <m:t>d</m:t>
              </m:r>
              <m:r>
                <w:rPr>
                  <w:rFonts w:ascii="Cambria Math" w:hAnsi="Cambria Math"/>
                  <w:color w:val="000000" w:themeColor="text1"/>
                </w:rPr>
                <m:t>ay</m:t>
              </m:r>
            </m:den>
          </m:f>
          <m:r>
            <w:rPr>
              <w:rFonts w:ascii="Cambria Math" w:hAnsi="Cambria Math"/>
              <w:color w:val="000000" w:themeColor="text1"/>
            </w:rPr>
            <m:t>=</m:t>
          </m:r>
          <m:d>
            <m:dPr>
              <m:ctrlPr>
                <w:rPr>
                  <w:rFonts w:ascii="Cambria Math" w:hAnsi="Cambria Math"/>
                  <w:i/>
                  <w:color w:val="000000" w:themeColor="text1"/>
                </w:rPr>
              </m:ctrlPr>
            </m:dPr>
            <m:e>
              <m:f>
                <m:fPr>
                  <m:ctrlPr>
                    <w:rPr>
                      <w:rFonts w:ascii="Cambria Math" w:hAnsi="Cambria Math"/>
                      <w:color w:val="000000" w:themeColor="text1"/>
                    </w:rPr>
                  </m:ctrlPr>
                </m:fPr>
                <m:num>
                  <m:r>
                    <w:rPr>
                      <w:rFonts w:ascii="Cambria Math" w:hAnsi="Cambria Math"/>
                      <w:color w:val="000000" w:themeColor="text1"/>
                    </w:rPr>
                    <m:t>mmscf</m:t>
                  </m:r>
                  <m:ctrlPr>
                    <w:rPr>
                      <w:rFonts w:ascii="Cambria Math" w:hAnsi="Cambria Math"/>
                      <w:i/>
                      <w:color w:val="000000" w:themeColor="text1"/>
                    </w:rPr>
                  </m:ctrlPr>
                </m:num>
                <m:den>
                  <m:r>
                    <w:rPr>
                      <w:rFonts w:ascii="Cambria Math" w:hAnsi="Cambria Math"/>
                      <w:color w:val="000000" w:themeColor="text1"/>
                    </w:rPr>
                    <m:t>day</m:t>
                  </m:r>
                </m:den>
              </m:f>
            </m:e>
          </m:d>
          <m:r>
            <w:rPr>
              <w:rFonts w:ascii="Cambria Math" w:hAnsi="Cambria Math"/>
              <w:color w:val="000000" w:themeColor="text1"/>
            </w:rPr>
            <m:t>×</m:t>
          </m:r>
          <m:r>
            <m:rPr>
              <m:sty m:val="p"/>
            </m:rPr>
            <w:rPr>
              <w:rFonts w:ascii="Cambria Math" w:hAnsi="Cambria Math"/>
              <w:color w:val="000000" w:themeColor="text1"/>
            </w:rPr>
            <m:t>28,316.8                                        (2.3)</m:t>
          </m:r>
          <m:r>
            <m:rPr>
              <m:sty m:val="p"/>
            </m:rPr>
            <w:rPr>
              <w:rFonts w:ascii="Cambria Math" w:hAnsi="Cambria Math"/>
              <w:color w:val="000000" w:themeColor="text1"/>
            </w:rPr>
            <w:br/>
          </m:r>
        </m:oMath>
      </m:oMathPara>
      <w:r w:rsidR="00CB54C1" w:rsidRPr="009C5D45">
        <w:rPr>
          <w:rFonts w:ascii="Arial" w:hAnsi="Arial" w:cs="Arial"/>
          <w:color w:val="000000" w:themeColor="text1"/>
        </w:rPr>
        <w:t>Then, the volumetric flowrate was converted to a molar flowrate (kmol/h) using equation 2.4:</w:t>
      </w:r>
    </w:p>
    <w:p w14:paraId="7E20C6F7" w14:textId="77777777" w:rsidR="00CB54C1" w:rsidRPr="009C5D45" w:rsidRDefault="00CB54C1" w:rsidP="00CB54C1">
      <w:pPr>
        <w:jc w:val="both"/>
        <w:rPr>
          <w:rFonts w:ascii="Arial" w:hAnsi="Arial" w:cs="Arial"/>
          <w:color w:val="000000" w:themeColor="text1"/>
        </w:rPr>
      </w:pPr>
      <m:oMathPara>
        <m:oMath>
          <m:r>
            <m:rPr>
              <m:nor/>
            </m:rPr>
            <w:rPr>
              <w:rFonts w:ascii="Arial" w:hAnsi="Arial" w:cs="Arial"/>
              <w:color w:val="000000" w:themeColor="text1"/>
            </w:rPr>
            <m:t>Flowrate (</m:t>
          </m:r>
          <w:proofErr w:type="spellStart"/>
          <m:r>
            <m:rPr>
              <m:nor/>
            </m:rPr>
            <w:rPr>
              <w:rFonts w:ascii="Arial" w:hAnsi="Arial" w:cs="Arial"/>
              <w:color w:val="000000" w:themeColor="text1"/>
            </w:rPr>
            <m:t>kmol</m:t>
          </m:r>
          <w:proofErr w:type="spellEnd"/>
          <m:r>
            <m:rPr>
              <m:nor/>
            </m:rPr>
            <w:rPr>
              <w:rFonts w:ascii="Arial" w:hAnsi="Arial" w:cs="Arial"/>
              <w:color w:val="000000" w:themeColor="text1"/>
            </w:rPr>
            <m:t>/h)</m:t>
          </m:r>
          <m:r>
            <w:rPr>
              <w:rFonts w:ascii="Cambria Math" w:hAnsi="Cambria Math"/>
              <w:color w:val="000000" w:themeColor="text1"/>
            </w:rPr>
            <m:t>=</m:t>
          </m:r>
          <m:f>
            <m:fPr>
              <m:ctrlPr>
                <w:rPr>
                  <w:rFonts w:ascii="Cambria Math" w:hAnsi="Cambria Math"/>
                  <w:color w:val="000000" w:themeColor="text1"/>
                </w:rPr>
              </m:ctrlPr>
            </m:fPr>
            <m:num>
              <m:r>
                <m:rPr>
                  <m:nor/>
                </m:rPr>
                <w:rPr>
                  <w:rFonts w:ascii="Arial" w:hAnsi="Arial" w:cs="Arial"/>
                  <w:color w:val="000000" w:themeColor="text1"/>
                </w:rPr>
                <m:t>scm/day</m:t>
              </m:r>
            </m:num>
            <m:den>
              <m:r>
                <w:rPr>
                  <w:rFonts w:ascii="Cambria Math" w:hAnsi="Cambria Math"/>
                  <w:color w:val="000000" w:themeColor="text1"/>
                </w:rPr>
                <m:t>24×M</m:t>
              </m:r>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avg</m:t>
                  </m:r>
                </m:sub>
              </m:sSub>
            </m:den>
          </m:f>
          <m:r>
            <w:rPr>
              <w:rFonts w:ascii="Cambria Math" w:hAnsi="Cambria Math"/>
              <w:color w:val="000000" w:themeColor="text1"/>
            </w:rPr>
            <m:t xml:space="preserve">                                                     (2.4)</m:t>
          </m:r>
          <m:r>
            <m:rPr>
              <m:sty m:val="p"/>
            </m:rPr>
            <w:rPr>
              <w:rFonts w:ascii="Cambria Math" w:hAnsi="Cambria Math"/>
              <w:color w:val="000000" w:themeColor="text1"/>
            </w:rPr>
            <w:br/>
          </m:r>
        </m:oMath>
      </m:oMathPara>
      <w:r w:rsidRPr="009C5D45">
        <w:rPr>
          <w:rFonts w:ascii="Arial" w:hAnsi="Arial" w:cs="Arial"/>
          <w:color w:val="000000" w:themeColor="text1"/>
        </w:rPr>
        <w:t>The above computations were carried out in Python to ensure consistency. The resulting molecular weights and molar flowrates were tabulated in section 3 and was used as feed-gas parameters for UniSim Design modelling.</w:t>
      </w:r>
    </w:p>
    <w:p w14:paraId="4A7DFDEC" w14:textId="77777777" w:rsidR="00CB54C1" w:rsidRPr="00CB54C1" w:rsidRDefault="00CB54C1" w:rsidP="00CB54C1">
      <w:pPr>
        <w:jc w:val="both"/>
        <w:rPr>
          <w:rFonts w:ascii="Arial" w:hAnsi="Arial" w:cs="Arial"/>
          <w:b/>
          <w:bCs/>
          <w:color w:val="000000" w:themeColor="text1"/>
          <w:sz w:val="22"/>
          <w:szCs w:val="22"/>
        </w:rPr>
      </w:pPr>
      <w:r w:rsidRPr="00CB54C1">
        <w:rPr>
          <w:rFonts w:ascii="Arial" w:hAnsi="Arial" w:cs="Arial"/>
          <w:b/>
          <w:bCs/>
          <w:color w:val="000000" w:themeColor="text1"/>
          <w:sz w:val="22"/>
          <w:szCs w:val="22"/>
        </w:rPr>
        <w:t>2.5 Gas Conditioning and Process Simulation</w:t>
      </w:r>
    </w:p>
    <w:p w14:paraId="5E831AE1" w14:textId="77777777" w:rsidR="00CB54C1" w:rsidRPr="008714A0" w:rsidRDefault="00CB54C1" w:rsidP="00CB54C1">
      <w:pPr>
        <w:jc w:val="both"/>
        <w:rPr>
          <w:rFonts w:ascii="Arial" w:hAnsi="Arial" w:cs="Arial"/>
          <w:b/>
          <w:bCs/>
          <w:color w:val="000000" w:themeColor="text1"/>
          <w:u w:val="single"/>
        </w:rPr>
      </w:pPr>
      <w:r w:rsidRPr="008714A0">
        <w:rPr>
          <w:rFonts w:ascii="Arial" w:hAnsi="Arial" w:cs="Arial"/>
          <w:b/>
          <w:bCs/>
          <w:color w:val="000000" w:themeColor="text1"/>
          <w:u w:val="single"/>
        </w:rPr>
        <w:t>2.5.1 Simulation Environment</w:t>
      </w:r>
    </w:p>
    <w:p w14:paraId="66AB02E7" w14:textId="77777777" w:rsidR="00CB54C1" w:rsidRPr="009C5D45" w:rsidRDefault="00CB54C1" w:rsidP="00CB54C1">
      <w:pPr>
        <w:jc w:val="both"/>
        <w:rPr>
          <w:rFonts w:ascii="Arial" w:hAnsi="Arial" w:cs="Arial"/>
          <w:color w:val="000000" w:themeColor="text1"/>
        </w:rPr>
      </w:pPr>
      <w:r w:rsidRPr="009C5D45">
        <w:rPr>
          <w:rFonts w:ascii="Arial" w:hAnsi="Arial" w:cs="Arial"/>
          <w:color w:val="000000" w:themeColor="text1"/>
        </w:rPr>
        <w:t>In this study, the gas-conditioning simulations were carried out using Aspen UniSim Design, a steady-state process-modelling platform widely applied in natural-gas processing research. Simulators such as UniSim and Aspen HYSYS are routinely used to model dehydration systems, hydrocarbon separation units, and gas-treatment trains. The Peng–Robinson + UNIQUAC thermodynamic property package was utilized to predict vapor–liquid equilibria accurately.</w:t>
      </w:r>
    </w:p>
    <w:p w14:paraId="499B379A" w14:textId="77777777" w:rsidR="00CB54C1" w:rsidRPr="009C5D45" w:rsidRDefault="00CB54C1" w:rsidP="00CB54C1">
      <w:pPr>
        <w:jc w:val="both"/>
        <w:rPr>
          <w:rFonts w:ascii="Arial" w:hAnsi="Arial" w:cs="Arial"/>
          <w:color w:val="000000" w:themeColor="text1"/>
        </w:rPr>
      </w:pPr>
      <w:r w:rsidRPr="009C5D45">
        <w:rPr>
          <w:rFonts w:ascii="Arial" w:hAnsi="Arial" w:cs="Arial"/>
          <w:color w:val="000000" w:themeColor="text1"/>
        </w:rPr>
        <w:t xml:space="preserve">Recent studies have demonstrated the suitability of these simulators for evaluating dehydration and hydrocarbon-recovery systems under steady-state conditions, including </w:t>
      </w:r>
      <w:proofErr w:type="spellStart"/>
      <w:r w:rsidRPr="009C5D45">
        <w:rPr>
          <w:rFonts w:ascii="Arial" w:hAnsi="Arial" w:cs="Arial"/>
          <w:color w:val="000000" w:themeColor="text1"/>
        </w:rPr>
        <w:t>triethylene</w:t>
      </w:r>
      <w:proofErr w:type="spellEnd"/>
      <w:r w:rsidRPr="009C5D45">
        <w:rPr>
          <w:rFonts w:ascii="Arial" w:hAnsi="Arial" w:cs="Arial"/>
          <w:color w:val="000000" w:themeColor="text1"/>
        </w:rPr>
        <w:t xml:space="preserve"> glycol (TEG) dehydration and NGL recovery configurations. Their thermodynamic frameworks enable realistic representation of mass transfer, phase </w:t>
      </w:r>
      <w:proofErr w:type="spellStart"/>
      <w:r w:rsidRPr="009C5D45">
        <w:rPr>
          <w:rFonts w:ascii="Arial" w:hAnsi="Arial" w:cs="Arial"/>
          <w:color w:val="000000" w:themeColor="text1"/>
        </w:rPr>
        <w:t>behaviour</w:t>
      </w:r>
      <w:proofErr w:type="spellEnd"/>
      <w:r w:rsidRPr="009C5D45">
        <w:rPr>
          <w:rFonts w:ascii="Arial" w:hAnsi="Arial" w:cs="Arial"/>
          <w:color w:val="000000" w:themeColor="text1"/>
        </w:rPr>
        <w:t>, and energy balances. This makes them appropriate tools for assessing flare-gas conditioning schemes. (Liu et al., 2022; Islam et al., 2024).</w:t>
      </w:r>
    </w:p>
    <w:p w14:paraId="62B0E70F" w14:textId="77777777" w:rsidR="00CB54C1" w:rsidRPr="009C5D45" w:rsidRDefault="00CB54C1" w:rsidP="00CB54C1">
      <w:pPr>
        <w:jc w:val="both"/>
        <w:rPr>
          <w:rFonts w:ascii="Arial" w:hAnsi="Arial" w:cs="Arial"/>
          <w:color w:val="000000" w:themeColor="text1"/>
        </w:rPr>
      </w:pPr>
      <w:r w:rsidRPr="009C5D45">
        <w:rPr>
          <w:rFonts w:ascii="Arial" w:hAnsi="Arial" w:cs="Arial"/>
          <w:color w:val="000000" w:themeColor="text1"/>
        </w:rPr>
        <w:t>Each flare-gas cluster was represented by a feed stream defined by:</w:t>
      </w:r>
    </w:p>
    <w:p w14:paraId="379D1BAB" w14:textId="77777777" w:rsidR="00CB54C1" w:rsidRPr="009C5D45" w:rsidRDefault="00CB54C1" w:rsidP="00CB54C1">
      <w:pPr>
        <w:numPr>
          <w:ilvl w:val="0"/>
          <w:numId w:val="33"/>
        </w:numPr>
        <w:spacing w:after="160" w:line="278" w:lineRule="auto"/>
        <w:jc w:val="both"/>
        <w:rPr>
          <w:rFonts w:ascii="Arial" w:hAnsi="Arial" w:cs="Arial"/>
          <w:color w:val="000000" w:themeColor="text1"/>
        </w:rPr>
      </w:pPr>
      <w:r w:rsidRPr="009C5D45">
        <w:rPr>
          <w:rFonts w:ascii="Arial" w:hAnsi="Arial" w:cs="Arial"/>
          <w:color w:val="000000" w:themeColor="text1"/>
        </w:rPr>
        <w:t>cluster-specific gas composition (from Section 3.3),</w:t>
      </w:r>
    </w:p>
    <w:p w14:paraId="213B3435" w14:textId="77777777" w:rsidR="00CB54C1" w:rsidRPr="009C5D45" w:rsidRDefault="00CB54C1" w:rsidP="00CB54C1">
      <w:pPr>
        <w:numPr>
          <w:ilvl w:val="0"/>
          <w:numId w:val="33"/>
        </w:numPr>
        <w:spacing w:after="160" w:line="278" w:lineRule="auto"/>
        <w:jc w:val="both"/>
        <w:rPr>
          <w:rFonts w:ascii="Arial" w:hAnsi="Arial" w:cs="Arial"/>
          <w:color w:val="000000" w:themeColor="text1"/>
        </w:rPr>
      </w:pPr>
      <w:r w:rsidRPr="009C5D45">
        <w:rPr>
          <w:rFonts w:ascii="Arial" w:hAnsi="Arial" w:cs="Arial"/>
          <w:color w:val="000000" w:themeColor="text1"/>
        </w:rPr>
        <w:t>aggregated flare-gas flow rate,</w:t>
      </w:r>
    </w:p>
    <w:p w14:paraId="774E9ADC" w14:textId="77777777" w:rsidR="00CB54C1" w:rsidRPr="009C5D45" w:rsidRDefault="00CB54C1" w:rsidP="00CB54C1">
      <w:pPr>
        <w:numPr>
          <w:ilvl w:val="0"/>
          <w:numId w:val="33"/>
        </w:numPr>
        <w:spacing w:after="160" w:line="278" w:lineRule="auto"/>
        <w:jc w:val="both"/>
        <w:rPr>
          <w:rFonts w:ascii="Arial" w:hAnsi="Arial" w:cs="Arial"/>
          <w:color w:val="000000" w:themeColor="text1"/>
        </w:rPr>
      </w:pPr>
      <w:r w:rsidRPr="009C5D45">
        <w:rPr>
          <w:rFonts w:ascii="Arial" w:hAnsi="Arial" w:cs="Arial"/>
          <w:color w:val="000000" w:themeColor="text1"/>
        </w:rPr>
        <w:t>representative inlet temperature and pressure.</w:t>
      </w:r>
    </w:p>
    <w:p w14:paraId="1D97E050" w14:textId="77777777" w:rsidR="00CB54C1" w:rsidRPr="008714A0" w:rsidRDefault="00CB54C1" w:rsidP="00CB54C1">
      <w:pPr>
        <w:jc w:val="both"/>
        <w:rPr>
          <w:rFonts w:ascii="Arial" w:hAnsi="Arial" w:cs="Arial"/>
          <w:b/>
          <w:bCs/>
          <w:color w:val="000000" w:themeColor="text1"/>
          <w:u w:val="single"/>
        </w:rPr>
      </w:pPr>
      <w:r w:rsidRPr="008714A0">
        <w:rPr>
          <w:rFonts w:ascii="Arial" w:hAnsi="Arial" w:cs="Arial"/>
          <w:b/>
          <w:bCs/>
          <w:color w:val="000000" w:themeColor="text1"/>
          <w:u w:val="single"/>
        </w:rPr>
        <w:t>2.5.2 Conditioning Configuration</w:t>
      </w:r>
    </w:p>
    <w:p w14:paraId="6685103D" w14:textId="20726192" w:rsidR="00CB54C1" w:rsidRPr="009C5D45" w:rsidRDefault="00CB54C1" w:rsidP="00CB54C1">
      <w:pPr>
        <w:jc w:val="both"/>
        <w:rPr>
          <w:rFonts w:ascii="Arial" w:hAnsi="Arial" w:cs="Arial"/>
          <w:color w:val="000000" w:themeColor="text1"/>
        </w:rPr>
      </w:pPr>
      <w:r w:rsidRPr="009C5D45">
        <w:rPr>
          <w:rFonts w:ascii="Arial" w:hAnsi="Arial" w:cs="Arial"/>
          <w:color w:val="000000" w:themeColor="text1"/>
        </w:rPr>
        <w:t>The gas processing applied to each cluster (as in Figure 2) comprised of:</w:t>
      </w:r>
    </w:p>
    <w:p w14:paraId="19CCD053" w14:textId="77777777" w:rsidR="00CB54C1" w:rsidRPr="009C5D45" w:rsidRDefault="00CB54C1" w:rsidP="00CB54C1">
      <w:pPr>
        <w:numPr>
          <w:ilvl w:val="0"/>
          <w:numId w:val="34"/>
        </w:numPr>
        <w:spacing w:after="160" w:line="278" w:lineRule="auto"/>
        <w:jc w:val="both"/>
        <w:rPr>
          <w:rFonts w:ascii="Arial" w:hAnsi="Arial" w:cs="Arial"/>
          <w:color w:val="000000" w:themeColor="text1"/>
        </w:rPr>
      </w:pPr>
      <w:r w:rsidRPr="009C5D45">
        <w:rPr>
          <w:rFonts w:ascii="Arial" w:hAnsi="Arial" w:cs="Arial"/>
          <w:color w:val="000000" w:themeColor="text1"/>
        </w:rPr>
        <w:t>an inlet separator for free-water removal;</w:t>
      </w:r>
    </w:p>
    <w:p w14:paraId="6160C3A9" w14:textId="77777777" w:rsidR="00CB54C1" w:rsidRPr="009C5D45" w:rsidRDefault="00CB54C1" w:rsidP="00CB54C1">
      <w:pPr>
        <w:numPr>
          <w:ilvl w:val="0"/>
          <w:numId w:val="34"/>
        </w:numPr>
        <w:spacing w:after="160" w:line="278" w:lineRule="auto"/>
        <w:jc w:val="both"/>
        <w:rPr>
          <w:rFonts w:ascii="Arial" w:hAnsi="Arial" w:cs="Arial"/>
          <w:color w:val="000000" w:themeColor="text1"/>
        </w:rPr>
      </w:pPr>
      <w:r w:rsidRPr="009C5D45">
        <w:rPr>
          <w:rFonts w:ascii="Arial" w:hAnsi="Arial" w:cs="Arial"/>
          <w:color w:val="000000" w:themeColor="text1"/>
        </w:rPr>
        <w:t xml:space="preserve">a </w:t>
      </w:r>
      <w:proofErr w:type="spellStart"/>
      <w:r w:rsidRPr="009C5D45">
        <w:rPr>
          <w:rFonts w:ascii="Arial" w:hAnsi="Arial" w:cs="Arial"/>
          <w:color w:val="000000" w:themeColor="text1"/>
        </w:rPr>
        <w:t>triethylene</w:t>
      </w:r>
      <w:proofErr w:type="spellEnd"/>
      <w:r w:rsidRPr="009C5D45">
        <w:rPr>
          <w:rFonts w:ascii="Arial" w:hAnsi="Arial" w:cs="Arial"/>
          <w:color w:val="000000" w:themeColor="text1"/>
        </w:rPr>
        <w:t xml:space="preserve"> glycol (TEG) dehydration unit to reduce water content;</w:t>
      </w:r>
    </w:p>
    <w:p w14:paraId="583F1D7C" w14:textId="77777777" w:rsidR="00CB54C1" w:rsidRPr="009C5D45" w:rsidRDefault="00CB54C1" w:rsidP="00CB54C1">
      <w:pPr>
        <w:numPr>
          <w:ilvl w:val="0"/>
          <w:numId w:val="34"/>
        </w:numPr>
        <w:spacing w:after="160" w:line="278" w:lineRule="auto"/>
        <w:jc w:val="both"/>
        <w:rPr>
          <w:rFonts w:ascii="Arial" w:hAnsi="Arial" w:cs="Arial"/>
          <w:color w:val="000000" w:themeColor="text1"/>
        </w:rPr>
      </w:pPr>
      <w:r w:rsidRPr="009C5D45">
        <w:rPr>
          <w:rFonts w:ascii="Arial" w:hAnsi="Arial" w:cs="Arial"/>
          <w:color w:val="000000" w:themeColor="text1"/>
        </w:rPr>
        <w:t>a natural gas liquids (NGL) recovery section to control hydrocarbon dew point and heating value.</w:t>
      </w:r>
    </w:p>
    <w:p w14:paraId="57D79998" w14:textId="75D912C2" w:rsidR="0069632E" w:rsidRDefault="006C4EC0" w:rsidP="00441B6F">
      <w:pPr>
        <w:pStyle w:val="AbstHead"/>
        <w:spacing w:after="0"/>
        <w:jc w:val="both"/>
        <w:rPr>
          <w:rFonts w:ascii="Arial" w:hAnsi="Arial" w:cs="Arial"/>
        </w:rPr>
      </w:pPr>
      <w:r w:rsidRPr="00855BAA">
        <w:rPr>
          <w:rFonts w:ascii="Arial" w:hAnsi="Arial" w:cs="Arial"/>
          <w:noProof/>
        </w:rPr>
        <w:drawing>
          <wp:inline distT="0" distB="0" distL="0" distR="0" wp14:anchorId="23B18DEC" wp14:editId="15404C04">
            <wp:extent cx="4837020" cy="2344020"/>
            <wp:effectExtent l="0" t="0" r="0" b="0"/>
            <wp:docPr id="1448766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66205" name=""/>
                    <pic:cNvPicPr/>
                  </pic:nvPicPr>
                  <pic:blipFill>
                    <a:blip r:embed="rId15"/>
                    <a:stretch>
                      <a:fillRect/>
                    </a:stretch>
                  </pic:blipFill>
                  <pic:spPr>
                    <a:xfrm>
                      <a:off x="0" y="0"/>
                      <a:ext cx="4856671" cy="2353543"/>
                    </a:xfrm>
                    <a:prstGeom prst="rect">
                      <a:avLst/>
                    </a:prstGeom>
                  </pic:spPr>
                </pic:pic>
              </a:graphicData>
            </a:graphic>
          </wp:inline>
        </w:drawing>
      </w:r>
    </w:p>
    <w:p w14:paraId="26F732ED" w14:textId="59FCDEEF" w:rsidR="00217FF4" w:rsidRPr="00217FF4" w:rsidRDefault="00217FF4" w:rsidP="00217FF4">
      <w:pPr>
        <w:rPr>
          <w:rFonts w:ascii="Arial" w:hAnsi="Arial" w:cs="Arial"/>
          <w:i/>
          <w:iCs/>
        </w:rPr>
      </w:pPr>
      <w:r w:rsidRPr="00217FF4">
        <w:rPr>
          <w:rFonts w:ascii="Arial" w:hAnsi="Arial" w:cs="Arial"/>
          <w:i/>
          <w:iCs/>
        </w:rPr>
        <w:t>Figure 2 Gas processing Simulation layout (UniSim Software)</w:t>
      </w:r>
    </w:p>
    <w:p w14:paraId="68128D75" w14:textId="77777777" w:rsidR="006C4EC0" w:rsidRDefault="006C4EC0" w:rsidP="00441B6F">
      <w:pPr>
        <w:pStyle w:val="AbstHead"/>
        <w:spacing w:after="0"/>
        <w:jc w:val="both"/>
        <w:rPr>
          <w:rFonts w:ascii="Arial" w:hAnsi="Arial" w:cs="Arial"/>
        </w:rPr>
      </w:pPr>
    </w:p>
    <w:p w14:paraId="6C6C764C" w14:textId="77777777" w:rsidR="00AD3D6E" w:rsidRPr="00AD3D6E" w:rsidRDefault="00AD3D6E" w:rsidP="00AD3D6E">
      <w:pPr>
        <w:jc w:val="both"/>
        <w:rPr>
          <w:rFonts w:ascii="Arial" w:hAnsi="Arial" w:cs="Arial"/>
          <w:b/>
          <w:bCs/>
          <w:color w:val="000000" w:themeColor="text1"/>
          <w:sz w:val="22"/>
          <w:szCs w:val="22"/>
        </w:rPr>
      </w:pPr>
      <w:r w:rsidRPr="00AD3D6E">
        <w:rPr>
          <w:rFonts w:ascii="Arial" w:hAnsi="Arial" w:cs="Arial"/>
          <w:b/>
          <w:bCs/>
          <w:color w:val="000000" w:themeColor="text1"/>
          <w:sz w:val="22"/>
          <w:szCs w:val="22"/>
        </w:rPr>
        <w:t>2.6 Lean-Gas Output and Heating Value Estimation</w:t>
      </w:r>
    </w:p>
    <w:p w14:paraId="18033E98" w14:textId="77777777" w:rsidR="00AD3D6E" w:rsidRPr="00FA0968" w:rsidRDefault="00AD3D6E" w:rsidP="00AD3D6E">
      <w:pPr>
        <w:jc w:val="both"/>
        <w:rPr>
          <w:rFonts w:ascii="Arial" w:hAnsi="Arial" w:cs="Arial"/>
          <w:color w:val="000000" w:themeColor="text1"/>
        </w:rPr>
      </w:pPr>
      <w:r w:rsidRPr="00FA0968">
        <w:rPr>
          <w:rFonts w:ascii="Arial" w:hAnsi="Arial" w:cs="Arial"/>
          <w:color w:val="000000" w:themeColor="text1"/>
        </w:rPr>
        <w:t>The main output of the gas-processing simulation is lean gas; which is conditioned natural gas suitable for gas-turbine combustion. For each cluster, the lean-gas composition and flow rate were extracted from the simulation results.</w:t>
      </w:r>
    </w:p>
    <w:p w14:paraId="4F84FFCB" w14:textId="77777777" w:rsidR="00AD3D6E" w:rsidRPr="00FA0968" w:rsidRDefault="00AD3D6E" w:rsidP="00AD3D6E">
      <w:pPr>
        <w:jc w:val="both"/>
        <w:rPr>
          <w:rFonts w:ascii="Arial" w:hAnsi="Arial" w:cs="Arial"/>
          <w:color w:val="000000" w:themeColor="text1"/>
        </w:rPr>
      </w:pPr>
      <w:r w:rsidRPr="00FA0968">
        <w:rPr>
          <w:rFonts w:ascii="Arial" w:hAnsi="Arial" w:cs="Arial"/>
          <w:color w:val="000000" w:themeColor="text1"/>
        </w:rPr>
        <w:t xml:space="preserve">The energy content of the lean gas streams produced from the process simulations was evaluated using the Lower Heating Value (LHV). The LHV represents the net useful energy released during complete combustion of the fuel. It excludes the latent heat associated with the condensation of water formed in the combustion process. This metric is particularly appropriate for gas turbines and internal combustion engines, as water </w:t>
      </w:r>
      <w:proofErr w:type="spellStart"/>
      <w:r w:rsidRPr="00FA0968">
        <w:rPr>
          <w:rFonts w:ascii="Arial" w:hAnsi="Arial" w:cs="Arial"/>
          <w:color w:val="000000" w:themeColor="text1"/>
        </w:rPr>
        <w:t>vapour</w:t>
      </w:r>
      <w:proofErr w:type="spellEnd"/>
      <w:r w:rsidRPr="00FA0968">
        <w:rPr>
          <w:rFonts w:ascii="Arial" w:hAnsi="Arial" w:cs="Arial"/>
          <w:color w:val="000000" w:themeColor="text1"/>
        </w:rPr>
        <w:t xml:space="preserve"> in the exhaust gases is not recovered for heat utilization in such systems. Consequently, LHV provides a realistic basis for assessing the usable energy available from the conditioned gas streams (Clarke Energy, n.d.).</w:t>
      </w:r>
    </w:p>
    <w:p w14:paraId="3C55FFE3" w14:textId="77777777" w:rsidR="00AD3D6E" w:rsidRPr="00AD3D6E" w:rsidRDefault="00AD3D6E" w:rsidP="00AD3D6E">
      <w:pPr>
        <w:jc w:val="both"/>
        <w:rPr>
          <w:rFonts w:ascii="Arial" w:hAnsi="Arial" w:cs="Arial"/>
          <w:b/>
          <w:bCs/>
          <w:color w:val="000000" w:themeColor="text1"/>
          <w:sz w:val="22"/>
          <w:szCs w:val="22"/>
        </w:rPr>
      </w:pPr>
      <w:r w:rsidRPr="00AD3D6E">
        <w:rPr>
          <w:rFonts w:ascii="Arial" w:hAnsi="Arial" w:cs="Arial"/>
          <w:b/>
          <w:bCs/>
          <w:color w:val="000000" w:themeColor="text1"/>
          <w:sz w:val="22"/>
          <w:szCs w:val="22"/>
        </w:rPr>
        <w:t>2.7 Empirical Power-Generation Model Development</w:t>
      </w:r>
    </w:p>
    <w:p w14:paraId="4A468BF2" w14:textId="77777777" w:rsidR="00AD3D6E" w:rsidRPr="00AE27B3" w:rsidRDefault="00AD3D6E" w:rsidP="00AD3D6E">
      <w:pPr>
        <w:jc w:val="both"/>
        <w:rPr>
          <w:rFonts w:ascii="Arial" w:hAnsi="Arial" w:cs="Arial"/>
          <w:b/>
          <w:bCs/>
          <w:color w:val="000000" w:themeColor="text1"/>
          <w:u w:val="single"/>
        </w:rPr>
      </w:pPr>
      <w:r w:rsidRPr="00AE27B3">
        <w:rPr>
          <w:rFonts w:ascii="Arial" w:hAnsi="Arial" w:cs="Arial"/>
          <w:b/>
          <w:bCs/>
          <w:color w:val="000000" w:themeColor="text1"/>
          <w:u w:val="single"/>
        </w:rPr>
        <w:t>2.7.1 Model Basis</w:t>
      </w:r>
    </w:p>
    <w:p w14:paraId="0F738CA6" w14:textId="77777777" w:rsidR="00AD3D6E" w:rsidRPr="00FA0968" w:rsidRDefault="00AD3D6E" w:rsidP="00AD3D6E">
      <w:pPr>
        <w:jc w:val="both"/>
        <w:rPr>
          <w:rFonts w:ascii="Arial" w:hAnsi="Arial" w:cs="Arial"/>
          <w:color w:val="000000" w:themeColor="text1"/>
        </w:rPr>
      </w:pPr>
      <w:r w:rsidRPr="00FA0968">
        <w:rPr>
          <w:rFonts w:ascii="Arial" w:hAnsi="Arial" w:cs="Arial"/>
          <w:color w:val="000000" w:themeColor="text1"/>
        </w:rPr>
        <w:t xml:space="preserve">An empirical power-generation model was developed using operational data from the Afam VI combined-cycle gas turbine (CCGT) power plant. Unlike theoretical heat-rate models, empirical approaches capture real operational </w:t>
      </w:r>
      <w:proofErr w:type="spellStart"/>
      <w:r w:rsidRPr="00FA0968">
        <w:rPr>
          <w:rFonts w:ascii="Arial" w:hAnsi="Arial" w:cs="Arial"/>
          <w:color w:val="000000" w:themeColor="text1"/>
        </w:rPr>
        <w:t>behaviour</w:t>
      </w:r>
      <w:proofErr w:type="spellEnd"/>
      <w:r w:rsidRPr="00FA0968">
        <w:rPr>
          <w:rFonts w:ascii="Arial" w:hAnsi="Arial" w:cs="Arial"/>
          <w:color w:val="000000" w:themeColor="text1"/>
        </w:rPr>
        <w:t>, including part-load operation, auxiliary losses, and site-specific efficiencies.</w:t>
      </w:r>
    </w:p>
    <w:p w14:paraId="5EE76597" w14:textId="77777777" w:rsidR="00AD3D6E" w:rsidRPr="00FA0968" w:rsidRDefault="00AD3D6E" w:rsidP="00AD3D6E">
      <w:pPr>
        <w:jc w:val="both"/>
        <w:rPr>
          <w:rFonts w:ascii="Arial" w:hAnsi="Arial" w:cs="Arial"/>
          <w:color w:val="000000" w:themeColor="text1"/>
        </w:rPr>
      </w:pPr>
      <w:r w:rsidRPr="00FA0968">
        <w:rPr>
          <w:rFonts w:ascii="Arial" w:hAnsi="Arial" w:cs="Arial"/>
          <w:color w:val="000000" w:themeColor="text1"/>
        </w:rPr>
        <w:t xml:space="preserve">Daily records of gas consumption and corresponding electrical output from 01 January 2024 to 15 August 2024 (totaling 229 days) were </w:t>
      </w:r>
      <w:proofErr w:type="spellStart"/>
      <w:r w:rsidRPr="00FA0968">
        <w:rPr>
          <w:rFonts w:ascii="Arial" w:hAnsi="Arial" w:cs="Arial"/>
          <w:color w:val="000000" w:themeColor="text1"/>
        </w:rPr>
        <w:t>analysed</w:t>
      </w:r>
      <w:proofErr w:type="spellEnd"/>
      <w:r w:rsidRPr="00FA0968">
        <w:rPr>
          <w:rFonts w:ascii="Arial" w:hAnsi="Arial" w:cs="Arial"/>
          <w:color w:val="000000" w:themeColor="text1"/>
        </w:rPr>
        <w:t xml:space="preserve"> to establish a statistical relationship between fuel input and generated power. The daily operational dataset included total gas feed (MMSCF/day) and corresponding electrical output (MW) covering multiple days of operation. The data was from the three Gas turbines in Afam VI.</w:t>
      </w:r>
    </w:p>
    <w:p w14:paraId="6E312EEA" w14:textId="77777777" w:rsidR="00AD3D6E" w:rsidRPr="00FA0968" w:rsidRDefault="00AD3D6E" w:rsidP="00AD3D6E">
      <w:pPr>
        <w:jc w:val="both"/>
        <w:rPr>
          <w:rFonts w:ascii="Arial" w:hAnsi="Arial" w:cs="Arial"/>
          <w:color w:val="000000" w:themeColor="text1"/>
        </w:rPr>
      </w:pPr>
    </w:p>
    <w:p w14:paraId="6FE1B7C6" w14:textId="77777777" w:rsidR="00AD3D6E" w:rsidRPr="00AE27B3" w:rsidRDefault="00AD3D6E" w:rsidP="00AD3D6E">
      <w:pPr>
        <w:jc w:val="both"/>
        <w:rPr>
          <w:rFonts w:ascii="Arial" w:hAnsi="Arial" w:cs="Arial"/>
          <w:b/>
          <w:bCs/>
          <w:color w:val="000000" w:themeColor="text1"/>
          <w:u w:val="single"/>
        </w:rPr>
      </w:pPr>
      <w:r w:rsidRPr="00AE27B3">
        <w:rPr>
          <w:rFonts w:ascii="Arial" w:hAnsi="Arial" w:cs="Arial"/>
          <w:b/>
          <w:bCs/>
          <w:color w:val="000000" w:themeColor="text1"/>
          <w:u w:val="single"/>
        </w:rPr>
        <w:t>2.7.2 Model Formulation</w:t>
      </w:r>
    </w:p>
    <w:p w14:paraId="7053E293" w14:textId="053B5F8B" w:rsidR="00081D0B" w:rsidRPr="00DB2279" w:rsidRDefault="00AD3D6E" w:rsidP="00081D0B">
      <w:pPr>
        <w:jc w:val="both"/>
        <w:rPr>
          <w:rFonts w:ascii="Arial" w:hAnsi="Arial" w:cs="Arial"/>
        </w:rPr>
      </w:pPr>
      <w:r w:rsidRPr="00FA0968">
        <w:rPr>
          <w:rFonts w:ascii="Arial" w:hAnsi="Arial" w:cs="Arial"/>
          <w:color w:val="000000" w:themeColor="text1"/>
        </w:rPr>
        <w:t>A linear regression model was hence fitted between the daily gas feed and the corresponding power output using Python script as shown in Figure (3). The regression equation obtained provided a real-world benchmark for the simulated clusters.</w:t>
      </w:r>
      <w:r w:rsidR="00936A83">
        <w:rPr>
          <w:rFonts w:ascii="Arial" w:hAnsi="Arial" w:cs="Arial"/>
          <w:color w:val="000000" w:themeColor="text1"/>
        </w:rPr>
        <w:t xml:space="preserve"> </w:t>
      </w:r>
      <w:r w:rsidR="00081D0B" w:rsidRPr="00DB2279">
        <w:rPr>
          <w:rFonts w:ascii="Arial" w:hAnsi="Arial" w:cs="Arial"/>
        </w:rPr>
        <w:t>Model adequacy was evaluated using the coefficient of determination (</w:t>
      </w:r>
      <m:oMath>
        <m:sSup>
          <m:sSupPr>
            <m:ctrlPr>
              <w:rPr>
                <w:rFonts w:ascii="Cambria Math" w:hAnsi="Cambria Math"/>
              </w:rPr>
            </m:ctrlPr>
          </m:sSupPr>
          <m:e>
            <m:r>
              <w:rPr>
                <w:rFonts w:ascii="Cambria Math" w:hAnsi="Cambria Math"/>
              </w:rPr>
              <m:t>R</m:t>
            </m:r>
          </m:e>
          <m:sup>
            <m:r>
              <w:rPr>
                <w:rFonts w:ascii="Cambria Math" w:hAnsi="Cambria Math"/>
              </w:rPr>
              <m:t>2</m:t>
            </m:r>
          </m:sup>
        </m:sSup>
      </m:oMath>
      <w:r w:rsidR="00081D0B" w:rsidRPr="00DB2279">
        <w:rPr>
          <w:rFonts w:ascii="Arial" w:hAnsi="Arial" w:cs="Arial"/>
        </w:rPr>
        <w:t xml:space="preserve">) and residual diagnostics. </w:t>
      </w:r>
    </w:p>
    <w:p w14:paraId="41540F01" w14:textId="5D280EA5" w:rsidR="00AD3D6E" w:rsidRPr="00FA0968" w:rsidRDefault="00AD3D6E" w:rsidP="00AD3D6E">
      <w:pPr>
        <w:jc w:val="both"/>
        <w:rPr>
          <w:rFonts w:ascii="Arial" w:hAnsi="Arial" w:cs="Arial"/>
          <w:color w:val="000000" w:themeColor="text1"/>
        </w:rPr>
      </w:pPr>
    </w:p>
    <w:p w14:paraId="7548FD64" w14:textId="77777777" w:rsidR="009243D7" w:rsidRDefault="009243D7" w:rsidP="00441B6F">
      <w:pPr>
        <w:pStyle w:val="AbstHead"/>
        <w:spacing w:after="0"/>
        <w:jc w:val="both"/>
        <w:rPr>
          <w:rFonts w:ascii="Arial" w:hAnsi="Arial" w:cs="Arial"/>
        </w:rPr>
      </w:pPr>
    </w:p>
    <w:p w14:paraId="789B18CB" w14:textId="6831B14A" w:rsidR="009243D7" w:rsidRDefault="0028793D" w:rsidP="00441B6F">
      <w:pPr>
        <w:pStyle w:val="AbstHead"/>
        <w:spacing w:after="0"/>
        <w:jc w:val="both"/>
        <w:rPr>
          <w:rFonts w:ascii="Arial" w:hAnsi="Arial" w:cs="Arial"/>
        </w:rPr>
      </w:pPr>
      <w:r w:rsidRPr="00855BAA">
        <w:rPr>
          <w:rFonts w:ascii="Arial" w:hAnsi="Arial" w:cs="Arial"/>
          <w:noProof/>
          <w:color w:val="000000" w:themeColor="text1"/>
        </w:rPr>
        <w:drawing>
          <wp:inline distT="0" distB="0" distL="0" distR="0" wp14:anchorId="556B5F83" wp14:editId="133C198E">
            <wp:extent cx="5040372" cy="6019800"/>
            <wp:effectExtent l="0" t="0" r="8255" b="0"/>
            <wp:docPr id="343368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68287" name=""/>
                    <pic:cNvPicPr/>
                  </pic:nvPicPr>
                  <pic:blipFill>
                    <a:blip r:embed="rId16"/>
                    <a:stretch>
                      <a:fillRect/>
                    </a:stretch>
                  </pic:blipFill>
                  <pic:spPr>
                    <a:xfrm>
                      <a:off x="0" y="0"/>
                      <a:ext cx="5055444" cy="6037801"/>
                    </a:xfrm>
                    <a:prstGeom prst="rect">
                      <a:avLst/>
                    </a:prstGeom>
                  </pic:spPr>
                </pic:pic>
              </a:graphicData>
            </a:graphic>
          </wp:inline>
        </w:drawing>
      </w:r>
    </w:p>
    <w:p w14:paraId="674C3B05" w14:textId="1C1E3E55" w:rsidR="0028031C" w:rsidRPr="0028031C" w:rsidRDefault="0028031C" w:rsidP="0028031C">
      <w:pPr>
        <w:rPr>
          <w:rFonts w:ascii="Arial" w:hAnsi="Arial" w:cs="Arial"/>
          <w:i/>
          <w:iCs/>
          <w:color w:val="000000" w:themeColor="text1"/>
        </w:rPr>
      </w:pPr>
      <w:r w:rsidRPr="0028031C">
        <w:rPr>
          <w:rFonts w:ascii="Arial" w:hAnsi="Arial" w:cs="Arial"/>
          <w:i/>
          <w:iCs/>
          <w:color w:val="000000" w:themeColor="text1"/>
        </w:rPr>
        <w:t xml:space="preserve">Figure 3:  </w:t>
      </w:r>
      <w:r w:rsidRPr="0028031C">
        <w:rPr>
          <w:rFonts w:ascii="Arial" w:hAnsi="Arial" w:cs="Arial"/>
          <w:i/>
          <w:iCs/>
        </w:rPr>
        <w:t>Python script used for Afam VI regression analysis</w:t>
      </w:r>
    </w:p>
    <w:p w14:paraId="7C3CB830" w14:textId="77777777" w:rsidR="0028793D" w:rsidRDefault="0028793D" w:rsidP="00441B6F">
      <w:pPr>
        <w:pStyle w:val="AbstHead"/>
        <w:spacing w:after="0"/>
        <w:jc w:val="both"/>
        <w:rPr>
          <w:rFonts w:ascii="Arial" w:hAnsi="Arial" w:cs="Arial"/>
        </w:rPr>
      </w:pPr>
    </w:p>
    <w:p w14:paraId="58D86397" w14:textId="77777777" w:rsidR="00645407" w:rsidRPr="00645407" w:rsidRDefault="00645407" w:rsidP="00645407">
      <w:pPr>
        <w:rPr>
          <w:rFonts w:ascii="Arial" w:hAnsi="Arial" w:cs="Arial"/>
          <w:b/>
          <w:bCs/>
          <w:sz w:val="22"/>
          <w:szCs w:val="22"/>
        </w:rPr>
      </w:pPr>
      <w:r w:rsidRPr="00645407">
        <w:rPr>
          <w:rFonts w:ascii="Arial" w:hAnsi="Arial" w:cs="Arial"/>
          <w:b/>
          <w:bCs/>
          <w:sz w:val="22"/>
          <w:szCs w:val="22"/>
        </w:rPr>
        <w:t>2.8 Estimation of Cluster-Level Power Generation</w:t>
      </w:r>
    </w:p>
    <w:p w14:paraId="00718D1F" w14:textId="77777777" w:rsidR="00645407" w:rsidRPr="00855BAA" w:rsidRDefault="00645407" w:rsidP="00645407">
      <w:pPr>
        <w:jc w:val="both"/>
        <w:rPr>
          <w:rFonts w:ascii="Arial" w:hAnsi="Arial" w:cs="Arial"/>
        </w:rPr>
      </w:pPr>
      <w:r w:rsidRPr="00855BAA">
        <w:rPr>
          <w:rFonts w:ascii="Arial" w:hAnsi="Arial" w:cs="Arial"/>
        </w:rPr>
        <w:t>Lean-gas flow rates obtained from process simulation were converted to units compatible with the Afam VI empirical model. The regression equation was then applied, thereby estimating the electricity-generation potential of each flare-gas cluster. This approach provides realistic and implementable projections of gas-to-power potential.</w:t>
      </w:r>
    </w:p>
    <w:p w14:paraId="18415022" w14:textId="77777777" w:rsidR="0028793D" w:rsidRPr="00FB3A86" w:rsidRDefault="0028793D" w:rsidP="00441B6F">
      <w:pPr>
        <w:pStyle w:val="AbstHead"/>
        <w:spacing w:after="0"/>
        <w:jc w:val="both"/>
        <w:rPr>
          <w:rFonts w:ascii="Arial" w:hAnsi="Arial" w:cs="Arial"/>
        </w:rPr>
      </w:pPr>
    </w:p>
    <w:p w14:paraId="036F3F95" w14:textId="0AB24D9B"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5DE6E835" w14:textId="77777777" w:rsidR="00790ADA" w:rsidRPr="00FB3A86" w:rsidRDefault="00790ADA" w:rsidP="00441B6F">
      <w:pPr>
        <w:pStyle w:val="Head1"/>
        <w:spacing w:after="0"/>
        <w:jc w:val="both"/>
        <w:rPr>
          <w:rFonts w:ascii="Arial" w:hAnsi="Arial" w:cs="Arial"/>
        </w:rPr>
      </w:pPr>
    </w:p>
    <w:p w14:paraId="13315F23" w14:textId="77777777" w:rsidR="00944613" w:rsidRPr="00944613" w:rsidRDefault="00944613" w:rsidP="00944613">
      <w:pPr>
        <w:rPr>
          <w:rFonts w:ascii="Arial" w:hAnsi="Arial" w:cs="Arial"/>
          <w:b/>
          <w:bCs/>
          <w:sz w:val="22"/>
          <w:szCs w:val="22"/>
        </w:rPr>
      </w:pPr>
      <w:r w:rsidRPr="00944613">
        <w:rPr>
          <w:rFonts w:ascii="Arial" w:hAnsi="Arial" w:cs="Arial"/>
          <w:b/>
          <w:bCs/>
          <w:sz w:val="22"/>
          <w:szCs w:val="22"/>
        </w:rPr>
        <w:t>3.1 Cluster-Level Gas Composition and Feed Characteristics</w:t>
      </w:r>
    </w:p>
    <w:p w14:paraId="681B7317" w14:textId="639A7C1C" w:rsidR="00944613" w:rsidRPr="00855BAA" w:rsidRDefault="00944613" w:rsidP="00BD68B8">
      <w:pPr>
        <w:jc w:val="both"/>
        <w:rPr>
          <w:rFonts w:ascii="Arial" w:hAnsi="Arial" w:cs="Arial"/>
        </w:rPr>
      </w:pPr>
      <w:bookmarkStart w:id="1" w:name="_Toc215420301"/>
      <w:r w:rsidRPr="00855BAA">
        <w:rPr>
          <w:rFonts w:ascii="Arial" w:hAnsi="Arial" w:cs="Arial"/>
        </w:rPr>
        <w:t>Table (1) summarizes the average molecular weights of the aggregated flare-gas streams for the four clusters. It was derived using the Python-based compositional aggregation based on equation (2.2). The molecular weights range from 18.565 g/mol (Cluster 0) to 27.337 g/mol (Cluster 2), reflecting variations in heavier hydrocarbon content across the clusters.</w:t>
      </w:r>
    </w:p>
    <w:p w14:paraId="001B2E19" w14:textId="77777777" w:rsidR="00944613" w:rsidRDefault="00944613" w:rsidP="00BD68B8">
      <w:pPr>
        <w:jc w:val="both"/>
        <w:rPr>
          <w:rFonts w:ascii="Arial" w:hAnsi="Arial" w:cs="Arial"/>
        </w:rPr>
      </w:pPr>
      <w:r w:rsidRPr="00855BAA">
        <w:rPr>
          <w:rFonts w:ascii="Arial" w:hAnsi="Arial" w:cs="Arial"/>
        </w:rPr>
        <w:t xml:space="preserve">Daily flare-gas volumes adopted from the geospatial optimization study by Nwankwo et al (2025) were converted to molar flowrates for UniSim Design input. As shown in Table (4.2), Cluster 0 has the largest flare volume (45.99 MMSCF/day), </w:t>
      </w:r>
      <w:r w:rsidRPr="00855BAA">
        <w:rPr>
          <w:rFonts w:ascii="Arial" w:hAnsi="Arial" w:cs="Arial"/>
        </w:rPr>
        <w:lastRenderedPageBreak/>
        <w:t xml:space="preserve">corresponding to a UniSim feed flowrate of 2,922.6 </w:t>
      </w:r>
      <w:proofErr w:type="spellStart"/>
      <w:r w:rsidRPr="00855BAA">
        <w:rPr>
          <w:rFonts w:ascii="Arial" w:hAnsi="Arial" w:cs="Arial"/>
        </w:rPr>
        <w:t>kmol</w:t>
      </w:r>
      <w:proofErr w:type="spellEnd"/>
      <w:r w:rsidRPr="00855BAA">
        <w:rPr>
          <w:rFonts w:ascii="Arial" w:hAnsi="Arial" w:cs="Arial"/>
        </w:rPr>
        <w:t xml:space="preserve">/h. While Cluster 2 has the smallest feed flowrate at 973.4 </w:t>
      </w:r>
      <w:proofErr w:type="spellStart"/>
      <w:r w:rsidRPr="00855BAA">
        <w:rPr>
          <w:rFonts w:ascii="Arial" w:hAnsi="Arial" w:cs="Arial"/>
        </w:rPr>
        <w:t>kmol</w:t>
      </w:r>
      <w:proofErr w:type="spellEnd"/>
      <w:r w:rsidRPr="00855BAA">
        <w:rPr>
          <w:rFonts w:ascii="Arial" w:hAnsi="Arial" w:cs="Arial"/>
        </w:rPr>
        <w:t xml:space="preserve">/h. These feed specifications formed the basis for subsequent gas-conditioning simulations. </w:t>
      </w:r>
    </w:p>
    <w:p w14:paraId="30858281" w14:textId="77777777" w:rsidR="00BD68B8" w:rsidRPr="00855BAA" w:rsidRDefault="00BD68B8" w:rsidP="00BD68B8">
      <w:pPr>
        <w:jc w:val="both"/>
        <w:rPr>
          <w:rFonts w:ascii="Arial" w:hAnsi="Arial" w:cs="Arial"/>
        </w:rPr>
      </w:pPr>
    </w:p>
    <w:p w14:paraId="2DC42869" w14:textId="252C95EE" w:rsidR="00944613" w:rsidRPr="00BD68B8" w:rsidRDefault="00944613" w:rsidP="00944613">
      <w:pPr>
        <w:pStyle w:val="Tables"/>
        <w:rPr>
          <w:rFonts w:ascii="Arial" w:hAnsi="Arial" w:cs="Arial"/>
          <w:sz w:val="20"/>
          <w:szCs w:val="20"/>
        </w:rPr>
      </w:pPr>
      <w:r w:rsidRPr="00BD68B8">
        <w:rPr>
          <w:rFonts w:ascii="Arial" w:hAnsi="Arial" w:cs="Arial"/>
          <w:sz w:val="20"/>
          <w:szCs w:val="20"/>
        </w:rPr>
        <w:t xml:space="preserve">Table </w:t>
      </w:r>
      <w:proofErr w:type="gramStart"/>
      <w:r w:rsidRPr="00BD68B8">
        <w:rPr>
          <w:rFonts w:ascii="Arial" w:hAnsi="Arial" w:cs="Arial"/>
          <w:sz w:val="20"/>
          <w:szCs w:val="20"/>
        </w:rPr>
        <w:t>1  Cluster’s</w:t>
      </w:r>
      <w:proofErr w:type="gramEnd"/>
      <w:r w:rsidRPr="00BD68B8">
        <w:rPr>
          <w:rFonts w:ascii="Arial" w:hAnsi="Arial" w:cs="Arial"/>
          <w:sz w:val="20"/>
          <w:szCs w:val="20"/>
        </w:rPr>
        <w:t xml:space="preserve"> gas average molecular weight (MW) (derived using Python code)</w:t>
      </w:r>
      <w:bookmarkEnd w:id="1"/>
    </w:p>
    <w:tbl>
      <w:tblPr>
        <w:tblW w:w="7763" w:type="dxa"/>
        <w:tblLook w:val="04A0" w:firstRow="1" w:lastRow="0" w:firstColumn="1" w:lastColumn="0" w:noHBand="0" w:noVBand="1"/>
      </w:tblPr>
      <w:tblGrid>
        <w:gridCol w:w="3540"/>
        <w:gridCol w:w="4223"/>
      </w:tblGrid>
      <w:tr w:rsidR="00944613" w:rsidRPr="00855BAA" w14:paraId="181E0529" w14:textId="77777777" w:rsidTr="00001C0C">
        <w:trPr>
          <w:trHeight w:val="223"/>
        </w:trPr>
        <w:tc>
          <w:tcPr>
            <w:tcW w:w="3540" w:type="dxa"/>
            <w:tcBorders>
              <w:top w:val="nil"/>
              <w:left w:val="nil"/>
              <w:bottom w:val="single" w:sz="8" w:space="0" w:color="auto"/>
              <w:right w:val="single" w:sz="4" w:space="0" w:color="auto"/>
            </w:tcBorders>
            <w:noWrap/>
            <w:vAlign w:val="center"/>
            <w:hideMark/>
          </w:tcPr>
          <w:p w14:paraId="594F07E1" w14:textId="77777777" w:rsidR="00944613" w:rsidRPr="00FA35BC" w:rsidRDefault="00944613" w:rsidP="00BB6153">
            <w:pPr>
              <w:contextualSpacing/>
              <w:jc w:val="center"/>
              <w:rPr>
                <w:rFonts w:ascii="Arial" w:hAnsi="Arial" w:cs="Arial"/>
                <w:b/>
              </w:rPr>
            </w:pPr>
            <w:r w:rsidRPr="00FA35BC">
              <w:rPr>
                <w:rFonts w:ascii="Arial" w:hAnsi="Arial" w:cs="Arial"/>
                <w:b/>
              </w:rPr>
              <w:t>Clusters</w:t>
            </w:r>
          </w:p>
        </w:tc>
        <w:tc>
          <w:tcPr>
            <w:tcW w:w="4223" w:type="dxa"/>
            <w:tcBorders>
              <w:top w:val="nil"/>
              <w:left w:val="nil"/>
              <w:bottom w:val="single" w:sz="8" w:space="0" w:color="auto"/>
              <w:right w:val="nil"/>
            </w:tcBorders>
            <w:noWrap/>
            <w:vAlign w:val="center"/>
            <w:hideMark/>
          </w:tcPr>
          <w:p w14:paraId="47EE32C2" w14:textId="77777777" w:rsidR="00944613" w:rsidRPr="00FA35BC" w:rsidRDefault="00944613" w:rsidP="00BB6153">
            <w:pPr>
              <w:contextualSpacing/>
              <w:jc w:val="center"/>
              <w:rPr>
                <w:rFonts w:ascii="Arial" w:hAnsi="Arial" w:cs="Arial"/>
                <w:b/>
              </w:rPr>
            </w:pPr>
            <w:r w:rsidRPr="00FA35BC">
              <w:rPr>
                <w:rFonts w:ascii="Arial" w:hAnsi="Arial" w:cs="Arial"/>
                <w:b/>
              </w:rPr>
              <w:t>Average MW (g/mol)</w:t>
            </w:r>
          </w:p>
        </w:tc>
      </w:tr>
      <w:tr w:rsidR="00944613" w:rsidRPr="00855BAA" w14:paraId="0DB234C1" w14:textId="77777777" w:rsidTr="00001C0C">
        <w:trPr>
          <w:trHeight w:val="231"/>
        </w:trPr>
        <w:tc>
          <w:tcPr>
            <w:tcW w:w="3540" w:type="dxa"/>
            <w:tcBorders>
              <w:top w:val="nil"/>
              <w:left w:val="nil"/>
              <w:bottom w:val="nil"/>
              <w:right w:val="single" w:sz="4" w:space="0" w:color="auto"/>
            </w:tcBorders>
            <w:noWrap/>
            <w:vAlign w:val="center"/>
            <w:hideMark/>
          </w:tcPr>
          <w:p w14:paraId="52B8B0B6" w14:textId="77777777" w:rsidR="00944613" w:rsidRPr="00FA35BC" w:rsidRDefault="00944613" w:rsidP="00BB6153">
            <w:pPr>
              <w:contextualSpacing/>
              <w:jc w:val="center"/>
              <w:rPr>
                <w:rFonts w:ascii="Arial" w:hAnsi="Arial" w:cs="Arial"/>
              </w:rPr>
            </w:pPr>
            <w:r w:rsidRPr="00FA35BC">
              <w:rPr>
                <w:rFonts w:ascii="Arial" w:hAnsi="Arial" w:cs="Arial"/>
              </w:rPr>
              <w:t>0</w:t>
            </w:r>
          </w:p>
        </w:tc>
        <w:tc>
          <w:tcPr>
            <w:tcW w:w="4223" w:type="dxa"/>
            <w:tcBorders>
              <w:top w:val="nil"/>
              <w:left w:val="nil"/>
              <w:bottom w:val="nil"/>
              <w:right w:val="nil"/>
            </w:tcBorders>
            <w:noWrap/>
            <w:vAlign w:val="center"/>
            <w:hideMark/>
          </w:tcPr>
          <w:p w14:paraId="12602683" w14:textId="77777777" w:rsidR="00944613" w:rsidRPr="00FA35BC" w:rsidRDefault="00944613" w:rsidP="00BB6153">
            <w:pPr>
              <w:contextualSpacing/>
              <w:jc w:val="center"/>
              <w:rPr>
                <w:rFonts w:ascii="Arial" w:hAnsi="Arial" w:cs="Arial"/>
              </w:rPr>
            </w:pPr>
            <w:r w:rsidRPr="00FA35BC">
              <w:rPr>
                <w:rFonts w:ascii="Arial" w:hAnsi="Arial" w:cs="Arial"/>
              </w:rPr>
              <w:t>18.565</w:t>
            </w:r>
          </w:p>
        </w:tc>
      </w:tr>
      <w:tr w:rsidR="00944613" w:rsidRPr="00855BAA" w14:paraId="036A22CA" w14:textId="77777777" w:rsidTr="00001C0C">
        <w:trPr>
          <w:trHeight w:val="397"/>
        </w:trPr>
        <w:tc>
          <w:tcPr>
            <w:tcW w:w="3540" w:type="dxa"/>
            <w:tcBorders>
              <w:top w:val="nil"/>
              <w:left w:val="nil"/>
              <w:bottom w:val="nil"/>
              <w:right w:val="single" w:sz="4" w:space="0" w:color="auto"/>
            </w:tcBorders>
            <w:noWrap/>
            <w:vAlign w:val="center"/>
            <w:hideMark/>
          </w:tcPr>
          <w:p w14:paraId="089E7655" w14:textId="77777777" w:rsidR="00944613" w:rsidRPr="00FA35BC" w:rsidRDefault="00944613" w:rsidP="00BB6153">
            <w:pPr>
              <w:contextualSpacing/>
              <w:jc w:val="center"/>
              <w:rPr>
                <w:rFonts w:ascii="Arial" w:hAnsi="Arial" w:cs="Arial"/>
              </w:rPr>
            </w:pPr>
            <w:r w:rsidRPr="00FA35BC">
              <w:rPr>
                <w:rFonts w:ascii="Arial" w:hAnsi="Arial" w:cs="Arial"/>
              </w:rPr>
              <w:t>1</w:t>
            </w:r>
          </w:p>
        </w:tc>
        <w:tc>
          <w:tcPr>
            <w:tcW w:w="4223" w:type="dxa"/>
            <w:tcBorders>
              <w:top w:val="nil"/>
              <w:left w:val="nil"/>
              <w:bottom w:val="nil"/>
              <w:right w:val="nil"/>
            </w:tcBorders>
            <w:noWrap/>
            <w:vAlign w:val="center"/>
            <w:hideMark/>
          </w:tcPr>
          <w:p w14:paraId="422E406B" w14:textId="77777777" w:rsidR="00944613" w:rsidRPr="00FA35BC" w:rsidRDefault="00944613" w:rsidP="00BB6153">
            <w:pPr>
              <w:contextualSpacing/>
              <w:jc w:val="center"/>
              <w:rPr>
                <w:rFonts w:ascii="Arial" w:hAnsi="Arial" w:cs="Arial"/>
              </w:rPr>
            </w:pPr>
            <w:r w:rsidRPr="00FA35BC">
              <w:rPr>
                <w:rFonts w:ascii="Arial" w:hAnsi="Arial" w:cs="Arial"/>
              </w:rPr>
              <w:t>22.199</w:t>
            </w:r>
          </w:p>
        </w:tc>
      </w:tr>
      <w:tr w:rsidR="00944613" w:rsidRPr="00855BAA" w14:paraId="79AC695B" w14:textId="77777777" w:rsidTr="00001C0C">
        <w:trPr>
          <w:trHeight w:val="275"/>
        </w:trPr>
        <w:tc>
          <w:tcPr>
            <w:tcW w:w="3540" w:type="dxa"/>
            <w:tcBorders>
              <w:top w:val="nil"/>
              <w:left w:val="nil"/>
              <w:bottom w:val="nil"/>
              <w:right w:val="single" w:sz="4" w:space="0" w:color="auto"/>
            </w:tcBorders>
            <w:noWrap/>
            <w:vAlign w:val="center"/>
            <w:hideMark/>
          </w:tcPr>
          <w:p w14:paraId="19C551AA" w14:textId="77777777" w:rsidR="00944613" w:rsidRPr="00FA35BC" w:rsidRDefault="00944613" w:rsidP="00BB6153">
            <w:pPr>
              <w:contextualSpacing/>
              <w:jc w:val="center"/>
              <w:rPr>
                <w:rFonts w:ascii="Arial" w:hAnsi="Arial" w:cs="Arial"/>
              </w:rPr>
            </w:pPr>
            <w:r w:rsidRPr="00FA35BC">
              <w:rPr>
                <w:rFonts w:ascii="Arial" w:hAnsi="Arial" w:cs="Arial"/>
              </w:rPr>
              <w:t>2</w:t>
            </w:r>
          </w:p>
        </w:tc>
        <w:tc>
          <w:tcPr>
            <w:tcW w:w="4223" w:type="dxa"/>
            <w:tcBorders>
              <w:top w:val="nil"/>
              <w:left w:val="nil"/>
              <w:bottom w:val="nil"/>
              <w:right w:val="nil"/>
            </w:tcBorders>
            <w:noWrap/>
            <w:vAlign w:val="center"/>
            <w:hideMark/>
          </w:tcPr>
          <w:p w14:paraId="41DA95AA" w14:textId="77777777" w:rsidR="00944613" w:rsidRPr="00FA35BC" w:rsidRDefault="00944613" w:rsidP="00BB6153">
            <w:pPr>
              <w:contextualSpacing/>
              <w:jc w:val="center"/>
              <w:rPr>
                <w:rFonts w:ascii="Arial" w:hAnsi="Arial" w:cs="Arial"/>
              </w:rPr>
            </w:pPr>
            <w:r w:rsidRPr="00FA35BC">
              <w:rPr>
                <w:rFonts w:ascii="Arial" w:hAnsi="Arial" w:cs="Arial"/>
              </w:rPr>
              <w:t>27.337</w:t>
            </w:r>
          </w:p>
        </w:tc>
      </w:tr>
      <w:tr w:rsidR="00944613" w:rsidRPr="00855BAA" w14:paraId="49070C2C" w14:textId="77777777" w:rsidTr="00001C0C">
        <w:trPr>
          <w:trHeight w:val="293"/>
        </w:trPr>
        <w:tc>
          <w:tcPr>
            <w:tcW w:w="3540" w:type="dxa"/>
            <w:tcBorders>
              <w:top w:val="nil"/>
              <w:left w:val="nil"/>
              <w:bottom w:val="nil"/>
              <w:right w:val="single" w:sz="4" w:space="0" w:color="auto"/>
            </w:tcBorders>
            <w:noWrap/>
            <w:vAlign w:val="center"/>
            <w:hideMark/>
          </w:tcPr>
          <w:p w14:paraId="6652B6A7" w14:textId="77777777" w:rsidR="00944613" w:rsidRPr="00FA35BC" w:rsidRDefault="00944613" w:rsidP="00BB6153">
            <w:pPr>
              <w:contextualSpacing/>
              <w:jc w:val="center"/>
              <w:rPr>
                <w:rFonts w:ascii="Arial" w:hAnsi="Arial" w:cs="Arial"/>
              </w:rPr>
            </w:pPr>
            <w:r w:rsidRPr="00FA35BC">
              <w:rPr>
                <w:rFonts w:ascii="Arial" w:hAnsi="Arial" w:cs="Arial"/>
              </w:rPr>
              <w:t>3</w:t>
            </w:r>
          </w:p>
        </w:tc>
        <w:tc>
          <w:tcPr>
            <w:tcW w:w="4223" w:type="dxa"/>
            <w:tcBorders>
              <w:top w:val="nil"/>
              <w:left w:val="nil"/>
              <w:bottom w:val="nil"/>
              <w:right w:val="nil"/>
            </w:tcBorders>
            <w:noWrap/>
            <w:vAlign w:val="center"/>
            <w:hideMark/>
          </w:tcPr>
          <w:p w14:paraId="0E360268" w14:textId="77777777" w:rsidR="00944613" w:rsidRPr="00FA35BC" w:rsidRDefault="00944613" w:rsidP="00BB6153">
            <w:pPr>
              <w:contextualSpacing/>
              <w:jc w:val="center"/>
              <w:rPr>
                <w:rFonts w:ascii="Arial" w:hAnsi="Arial" w:cs="Arial"/>
              </w:rPr>
            </w:pPr>
            <w:r w:rsidRPr="00FA35BC">
              <w:rPr>
                <w:rFonts w:ascii="Arial" w:hAnsi="Arial" w:cs="Arial"/>
              </w:rPr>
              <w:t>18.623</w:t>
            </w:r>
          </w:p>
        </w:tc>
      </w:tr>
    </w:tbl>
    <w:p w14:paraId="2E6ADD43" w14:textId="77777777" w:rsidR="00944613" w:rsidRPr="00855BAA" w:rsidRDefault="00944613" w:rsidP="00944613">
      <w:pPr>
        <w:pStyle w:val="Tables"/>
        <w:rPr>
          <w:rFonts w:ascii="Arial" w:hAnsi="Arial" w:cs="Arial"/>
        </w:rPr>
      </w:pPr>
      <w:bookmarkStart w:id="2" w:name="_Toc215420302"/>
    </w:p>
    <w:p w14:paraId="54B70EAF" w14:textId="724E8B0E" w:rsidR="00944613" w:rsidRPr="00E146DA" w:rsidRDefault="00944613" w:rsidP="00944613">
      <w:pPr>
        <w:pStyle w:val="Tables"/>
        <w:rPr>
          <w:rFonts w:ascii="Arial" w:hAnsi="Arial" w:cs="Arial"/>
          <w:sz w:val="20"/>
          <w:szCs w:val="20"/>
        </w:rPr>
      </w:pPr>
      <w:r w:rsidRPr="00E146DA">
        <w:rPr>
          <w:rFonts w:ascii="Arial" w:hAnsi="Arial" w:cs="Arial"/>
          <w:sz w:val="20"/>
          <w:szCs w:val="20"/>
        </w:rPr>
        <w:t xml:space="preserve">Table 2   Cluster gas Flowrate in </w:t>
      </w:r>
      <w:proofErr w:type="spellStart"/>
      <w:r w:rsidRPr="00E146DA">
        <w:rPr>
          <w:rFonts w:ascii="Arial" w:hAnsi="Arial" w:cs="Arial"/>
          <w:sz w:val="20"/>
          <w:szCs w:val="20"/>
        </w:rPr>
        <w:t>kmol</w:t>
      </w:r>
      <w:proofErr w:type="spellEnd"/>
      <w:r w:rsidRPr="00E146DA">
        <w:rPr>
          <w:rFonts w:ascii="Arial" w:hAnsi="Arial" w:cs="Arial"/>
          <w:sz w:val="20"/>
          <w:szCs w:val="20"/>
        </w:rPr>
        <w:t>/</w:t>
      </w:r>
      <w:proofErr w:type="spellStart"/>
      <w:r w:rsidRPr="00E146DA">
        <w:rPr>
          <w:rFonts w:ascii="Arial" w:hAnsi="Arial" w:cs="Arial"/>
          <w:sz w:val="20"/>
          <w:szCs w:val="20"/>
        </w:rPr>
        <w:t>hr</w:t>
      </w:r>
      <w:proofErr w:type="spellEnd"/>
      <w:r w:rsidRPr="00E146DA">
        <w:rPr>
          <w:rFonts w:ascii="Arial" w:hAnsi="Arial" w:cs="Arial"/>
          <w:sz w:val="20"/>
          <w:szCs w:val="20"/>
        </w:rPr>
        <w:t xml:space="preserve"> (derived)</w:t>
      </w:r>
      <w:bookmarkEnd w:id="2"/>
    </w:p>
    <w:tbl>
      <w:tblPr>
        <w:tblW w:w="7905" w:type="dxa"/>
        <w:tblLook w:val="04A0" w:firstRow="1" w:lastRow="0" w:firstColumn="1" w:lastColumn="0" w:noHBand="0" w:noVBand="1"/>
      </w:tblPr>
      <w:tblGrid>
        <w:gridCol w:w="1134"/>
        <w:gridCol w:w="1668"/>
        <w:gridCol w:w="1985"/>
        <w:gridCol w:w="1006"/>
        <w:gridCol w:w="2112"/>
      </w:tblGrid>
      <w:tr w:rsidR="00944613" w:rsidRPr="00855BAA" w14:paraId="395452E0" w14:textId="77777777" w:rsidTr="00001C0C">
        <w:trPr>
          <w:trHeight w:val="427"/>
        </w:trPr>
        <w:tc>
          <w:tcPr>
            <w:tcW w:w="1134" w:type="dxa"/>
            <w:tcBorders>
              <w:top w:val="nil"/>
              <w:left w:val="nil"/>
              <w:bottom w:val="single" w:sz="8" w:space="0" w:color="auto"/>
              <w:right w:val="single" w:sz="4" w:space="0" w:color="auto"/>
            </w:tcBorders>
            <w:noWrap/>
            <w:vAlign w:val="center"/>
            <w:hideMark/>
          </w:tcPr>
          <w:p w14:paraId="0DBB2406" w14:textId="77777777" w:rsidR="00944613" w:rsidRPr="00FA35BC" w:rsidRDefault="00944613" w:rsidP="00BB6153">
            <w:pPr>
              <w:jc w:val="center"/>
              <w:rPr>
                <w:rFonts w:ascii="Arial" w:hAnsi="Arial" w:cs="Arial"/>
                <w:b/>
              </w:rPr>
            </w:pPr>
            <w:r w:rsidRPr="00FA35BC">
              <w:rPr>
                <w:rFonts w:ascii="Arial" w:hAnsi="Arial" w:cs="Arial"/>
                <w:b/>
              </w:rPr>
              <w:t>Cluster</w:t>
            </w:r>
          </w:p>
        </w:tc>
        <w:tc>
          <w:tcPr>
            <w:tcW w:w="1668" w:type="dxa"/>
            <w:tcBorders>
              <w:top w:val="nil"/>
              <w:left w:val="nil"/>
              <w:bottom w:val="single" w:sz="8" w:space="0" w:color="auto"/>
              <w:right w:val="nil"/>
            </w:tcBorders>
            <w:noWrap/>
            <w:vAlign w:val="center"/>
            <w:hideMark/>
          </w:tcPr>
          <w:p w14:paraId="5F61A27D" w14:textId="77777777" w:rsidR="00944613" w:rsidRPr="00FA35BC" w:rsidRDefault="00944613" w:rsidP="00BB6153">
            <w:pPr>
              <w:jc w:val="center"/>
              <w:rPr>
                <w:rFonts w:ascii="Arial" w:hAnsi="Arial" w:cs="Arial"/>
                <w:b/>
              </w:rPr>
            </w:pPr>
            <w:r w:rsidRPr="00FA35BC">
              <w:rPr>
                <w:rFonts w:ascii="Arial" w:hAnsi="Arial" w:cs="Arial"/>
                <w:b/>
              </w:rPr>
              <w:t>Daily Flare (</w:t>
            </w:r>
            <w:proofErr w:type="spellStart"/>
            <w:r w:rsidRPr="00FA35BC">
              <w:rPr>
                <w:rFonts w:ascii="Arial" w:hAnsi="Arial" w:cs="Arial"/>
                <w:b/>
              </w:rPr>
              <w:t>mmscf</w:t>
            </w:r>
            <w:proofErr w:type="spellEnd"/>
            <w:r w:rsidRPr="00FA35BC">
              <w:rPr>
                <w:rFonts w:ascii="Arial" w:hAnsi="Arial" w:cs="Arial"/>
                <w:b/>
              </w:rPr>
              <w:t>)</w:t>
            </w:r>
          </w:p>
        </w:tc>
        <w:tc>
          <w:tcPr>
            <w:tcW w:w="1985" w:type="dxa"/>
            <w:tcBorders>
              <w:top w:val="nil"/>
              <w:left w:val="nil"/>
              <w:bottom w:val="single" w:sz="8" w:space="0" w:color="auto"/>
              <w:right w:val="nil"/>
            </w:tcBorders>
            <w:noWrap/>
            <w:vAlign w:val="center"/>
            <w:hideMark/>
          </w:tcPr>
          <w:p w14:paraId="3FA38AF9" w14:textId="77777777" w:rsidR="00944613" w:rsidRPr="00FA35BC" w:rsidRDefault="00944613" w:rsidP="00BB6153">
            <w:pPr>
              <w:jc w:val="center"/>
              <w:rPr>
                <w:rFonts w:ascii="Arial" w:hAnsi="Arial" w:cs="Arial"/>
                <w:b/>
              </w:rPr>
            </w:pPr>
            <w:r w:rsidRPr="00FA35BC">
              <w:rPr>
                <w:rFonts w:ascii="Arial" w:hAnsi="Arial" w:cs="Arial"/>
                <w:b/>
              </w:rPr>
              <w:t>Daily Flare (</w:t>
            </w:r>
            <w:proofErr w:type="spellStart"/>
            <w:r w:rsidRPr="00FA35BC">
              <w:rPr>
                <w:rFonts w:ascii="Arial" w:hAnsi="Arial" w:cs="Arial"/>
                <w:b/>
              </w:rPr>
              <w:t>scm</w:t>
            </w:r>
            <w:proofErr w:type="spellEnd"/>
            <w:r w:rsidRPr="00FA35BC">
              <w:rPr>
                <w:rFonts w:ascii="Arial" w:hAnsi="Arial" w:cs="Arial"/>
                <w:b/>
              </w:rPr>
              <w:t>)</w:t>
            </w:r>
          </w:p>
        </w:tc>
        <w:tc>
          <w:tcPr>
            <w:tcW w:w="1006" w:type="dxa"/>
            <w:tcBorders>
              <w:top w:val="nil"/>
              <w:left w:val="nil"/>
              <w:bottom w:val="single" w:sz="8" w:space="0" w:color="auto"/>
              <w:right w:val="nil"/>
            </w:tcBorders>
            <w:noWrap/>
            <w:vAlign w:val="center"/>
            <w:hideMark/>
          </w:tcPr>
          <w:p w14:paraId="00174C13" w14:textId="77777777" w:rsidR="00944613" w:rsidRPr="00FA35BC" w:rsidRDefault="00944613" w:rsidP="00BB6153">
            <w:pPr>
              <w:jc w:val="center"/>
              <w:rPr>
                <w:rFonts w:ascii="Arial" w:hAnsi="Arial" w:cs="Arial"/>
                <w:b/>
              </w:rPr>
            </w:pPr>
            <w:r w:rsidRPr="00FA35BC">
              <w:rPr>
                <w:rFonts w:ascii="Arial" w:hAnsi="Arial" w:cs="Arial"/>
                <w:b/>
              </w:rPr>
              <w:t>Average MW</w:t>
            </w:r>
          </w:p>
        </w:tc>
        <w:tc>
          <w:tcPr>
            <w:tcW w:w="2112" w:type="dxa"/>
            <w:tcBorders>
              <w:top w:val="nil"/>
              <w:left w:val="nil"/>
              <w:bottom w:val="single" w:sz="8" w:space="0" w:color="auto"/>
              <w:right w:val="nil"/>
            </w:tcBorders>
            <w:noWrap/>
            <w:vAlign w:val="center"/>
            <w:hideMark/>
          </w:tcPr>
          <w:p w14:paraId="18CE31AC" w14:textId="77777777" w:rsidR="00944613" w:rsidRPr="00FA35BC" w:rsidRDefault="00944613" w:rsidP="00BB6153">
            <w:pPr>
              <w:jc w:val="center"/>
              <w:rPr>
                <w:rFonts w:ascii="Arial" w:hAnsi="Arial" w:cs="Arial"/>
                <w:b/>
              </w:rPr>
            </w:pPr>
            <w:proofErr w:type="spellStart"/>
            <w:r w:rsidRPr="00FA35BC">
              <w:rPr>
                <w:rFonts w:ascii="Arial" w:hAnsi="Arial" w:cs="Arial"/>
                <w:b/>
              </w:rPr>
              <w:t>UniSim</w:t>
            </w:r>
            <w:proofErr w:type="spellEnd"/>
            <w:r w:rsidRPr="00FA35BC">
              <w:rPr>
                <w:rFonts w:ascii="Arial" w:hAnsi="Arial" w:cs="Arial"/>
                <w:b/>
              </w:rPr>
              <w:t xml:space="preserve"> Input (</w:t>
            </w:r>
            <w:proofErr w:type="spellStart"/>
            <w:r w:rsidRPr="00FA35BC">
              <w:rPr>
                <w:rFonts w:ascii="Arial" w:hAnsi="Arial" w:cs="Arial"/>
                <w:b/>
              </w:rPr>
              <w:t>kmol</w:t>
            </w:r>
            <w:proofErr w:type="spellEnd"/>
            <w:r w:rsidRPr="00FA35BC">
              <w:rPr>
                <w:rFonts w:ascii="Arial" w:hAnsi="Arial" w:cs="Arial"/>
                <w:b/>
              </w:rPr>
              <w:t>/</w:t>
            </w:r>
            <w:proofErr w:type="spellStart"/>
            <w:r w:rsidRPr="00FA35BC">
              <w:rPr>
                <w:rFonts w:ascii="Arial" w:hAnsi="Arial" w:cs="Arial"/>
                <w:b/>
              </w:rPr>
              <w:t>hr</w:t>
            </w:r>
            <w:proofErr w:type="spellEnd"/>
            <w:r w:rsidRPr="00FA35BC">
              <w:rPr>
                <w:rFonts w:ascii="Arial" w:hAnsi="Arial" w:cs="Arial"/>
                <w:b/>
              </w:rPr>
              <w:t>)</w:t>
            </w:r>
          </w:p>
        </w:tc>
      </w:tr>
      <w:tr w:rsidR="00944613" w:rsidRPr="00855BAA" w14:paraId="22D86AE4" w14:textId="77777777" w:rsidTr="006743A7">
        <w:trPr>
          <w:trHeight w:val="425"/>
        </w:trPr>
        <w:tc>
          <w:tcPr>
            <w:tcW w:w="1134" w:type="dxa"/>
            <w:tcBorders>
              <w:top w:val="nil"/>
              <w:left w:val="nil"/>
              <w:bottom w:val="nil"/>
              <w:right w:val="single" w:sz="4" w:space="0" w:color="auto"/>
            </w:tcBorders>
            <w:noWrap/>
            <w:vAlign w:val="center"/>
            <w:hideMark/>
          </w:tcPr>
          <w:p w14:paraId="72FC3621" w14:textId="77777777" w:rsidR="00944613" w:rsidRPr="00FA35BC" w:rsidRDefault="00944613" w:rsidP="00BB6153">
            <w:pPr>
              <w:jc w:val="center"/>
              <w:rPr>
                <w:rFonts w:ascii="Arial" w:hAnsi="Arial" w:cs="Arial"/>
              </w:rPr>
            </w:pPr>
            <w:r w:rsidRPr="00FA35BC">
              <w:rPr>
                <w:rFonts w:ascii="Arial" w:hAnsi="Arial" w:cs="Arial"/>
              </w:rPr>
              <w:t>0</w:t>
            </w:r>
          </w:p>
        </w:tc>
        <w:tc>
          <w:tcPr>
            <w:tcW w:w="1668" w:type="dxa"/>
            <w:tcBorders>
              <w:top w:val="nil"/>
              <w:left w:val="nil"/>
              <w:bottom w:val="nil"/>
              <w:right w:val="nil"/>
            </w:tcBorders>
            <w:noWrap/>
            <w:vAlign w:val="center"/>
            <w:hideMark/>
          </w:tcPr>
          <w:p w14:paraId="50B5870C" w14:textId="77777777" w:rsidR="00944613" w:rsidRPr="00FA35BC" w:rsidRDefault="00944613" w:rsidP="00BB6153">
            <w:pPr>
              <w:jc w:val="center"/>
              <w:rPr>
                <w:rFonts w:ascii="Arial" w:hAnsi="Arial" w:cs="Arial"/>
              </w:rPr>
            </w:pPr>
            <w:r w:rsidRPr="00FA35BC">
              <w:rPr>
                <w:rFonts w:ascii="Arial" w:hAnsi="Arial" w:cs="Arial"/>
              </w:rPr>
              <w:t>45.986</w:t>
            </w:r>
          </w:p>
        </w:tc>
        <w:tc>
          <w:tcPr>
            <w:tcW w:w="1985" w:type="dxa"/>
            <w:tcBorders>
              <w:top w:val="nil"/>
              <w:left w:val="nil"/>
              <w:bottom w:val="nil"/>
              <w:right w:val="nil"/>
            </w:tcBorders>
            <w:noWrap/>
            <w:vAlign w:val="center"/>
            <w:hideMark/>
          </w:tcPr>
          <w:p w14:paraId="5F0AC953" w14:textId="77777777" w:rsidR="00944613" w:rsidRPr="00FA35BC" w:rsidRDefault="00944613" w:rsidP="00BB6153">
            <w:pPr>
              <w:jc w:val="center"/>
              <w:rPr>
                <w:rFonts w:ascii="Arial" w:hAnsi="Arial" w:cs="Arial"/>
              </w:rPr>
            </w:pPr>
            <w:r w:rsidRPr="00FA35BC">
              <w:rPr>
                <w:rFonts w:ascii="Arial" w:hAnsi="Arial" w:cs="Arial"/>
              </w:rPr>
              <w:t>1302165.944</w:t>
            </w:r>
          </w:p>
        </w:tc>
        <w:tc>
          <w:tcPr>
            <w:tcW w:w="1006" w:type="dxa"/>
            <w:tcBorders>
              <w:top w:val="nil"/>
              <w:left w:val="nil"/>
              <w:bottom w:val="nil"/>
              <w:right w:val="nil"/>
            </w:tcBorders>
            <w:noWrap/>
            <w:vAlign w:val="center"/>
            <w:hideMark/>
          </w:tcPr>
          <w:p w14:paraId="3BDA598F" w14:textId="77777777" w:rsidR="00944613" w:rsidRPr="00FA35BC" w:rsidRDefault="00944613" w:rsidP="00BB6153">
            <w:pPr>
              <w:jc w:val="center"/>
              <w:rPr>
                <w:rFonts w:ascii="Arial" w:hAnsi="Arial" w:cs="Arial"/>
              </w:rPr>
            </w:pPr>
            <w:r w:rsidRPr="00FA35BC">
              <w:rPr>
                <w:rFonts w:ascii="Arial" w:hAnsi="Arial" w:cs="Arial"/>
              </w:rPr>
              <w:t>18.565</w:t>
            </w:r>
          </w:p>
        </w:tc>
        <w:tc>
          <w:tcPr>
            <w:tcW w:w="2112" w:type="dxa"/>
            <w:tcBorders>
              <w:top w:val="nil"/>
              <w:left w:val="nil"/>
              <w:bottom w:val="nil"/>
              <w:right w:val="nil"/>
            </w:tcBorders>
            <w:noWrap/>
            <w:vAlign w:val="center"/>
            <w:hideMark/>
          </w:tcPr>
          <w:p w14:paraId="42AA85B6" w14:textId="77777777" w:rsidR="00944613" w:rsidRPr="00FA35BC" w:rsidRDefault="00944613" w:rsidP="00BB6153">
            <w:pPr>
              <w:jc w:val="center"/>
              <w:rPr>
                <w:rFonts w:ascii="Arial" w:hAnsi="Arial" w:cs="Arial"/>
              </w:rPr>
            </w:pPr>
            <w:r w:rsidRPr="00FA35BC">
              <w:rPr>
                <w:rFonts w:ascii="Arial" w:hAnsi="Arial" w:cs="Arial"/>
              </w:rPr>
              <w:t>2922.575</w:t>
            </w:r>
          </w:p>
        </w:tc>
      </w:tr>
      <w:tr w:rsidR="00944613" w:rsidRPr="00855BAA" w14:paraId="687553A8" w14:textId="77777777" w:rsidTr="006743A7">
        <w:trPr>
          <w:trHeight w:val="437"/>
        </w:trPr>
        <w:tc>
          <w:tcPr>
            <w:tcW w:w="1134" w:type="dxa"/>
            <w:tcBorders>
              <w:top w:val="nil"/>
              <w:left w:val="nil"/>
              <w:bottom w:val="nil"/>
              <w:right w:val="single" w:sz="4" w:space="0" w:color="auto"/>
            </w:tcBorders>
            <w:noWrap/>
            <w:vAlign w:val="center"/>
            <w:hideMark/>
          </w:tcPr>
          <w:p w14:paraId="63896326" w14:textId="77777777" w:rsidR="00944613" w:rsidRPr="00FA35BC" w:rsidRDefault="00944613" w:rsidP="00BB6153">
            <w:pPr>
              <w:jc w:val="center"/>
              <w:rPr>
                <w:rFonts w:ascii="Arial" w:hAnsi="Arial" w:cs="Arial"/>
              </w:rPr>
            </w:pPr>
            <w:r w:rsidRPr="00FA35BC">
              <w:rPr>
                <w:rFonts w:ascii="Arial" w:hAnsi="Arial" w:cs="Arial"/>
              </w:rPr>
              <w:t>1</w:t>
            </w:r>
          </w:p>
        </w:tc>
        <w:tc>
          <w:tcPr>
            <w:tcW w:w="1668" w:type="dxa"/>
            <w:tcBorders>
              <w:top w:val="nil"/>
              <w:left w:val="nil"/>
              <w:bottom w:val="nil"/>
              <w:right w:val="nil"/>
            </w:tcBorders>
            <w:noWrap/>
            <w:vAlign w:val="center"/>
            <w:hideMark/>
          </w:tcPr>
          <w:p w14:paraId="28AD9D18" w14:textId="77777777" w:rsidR="00944613" w:rsidRPr="00FA35BC" w:rsidRDefault="00944613" w:rsidP="00BB6153">
            <w:pPr>
              <w:jc w:val="center"/>
              <w:rPr>
                <w:rFonts w:ascii="Arial" w:hAnsi="Arial" w:cs="Arial"/>
              </w:rPr>
            </w:pPr>
            <w:r w:rsidRPr="00FA35BC">
              <w:rPr>
                <w:rFonts w:ascii="Arial" w:hAnsi="Arial" w:cs="Arial"/>
              </w:rPr>
              <w:t>24.557</w:t>
            </w:r>
          </w:p>
        </w:tc>
        <w:tc>
          <w:tcPr>
            <w:tcW w:w="1985" w:type="dxa"/>
            <w:tcBorders>
              <w:top w:val="nil"/>
              <w:left w:val="nil"/>
              <w:bottom w:val="nil"/>
              <w:right w:val="nil"/>
            </w:tcBorders>
            <w:noWrap/>
            <w:vAlign w:val="center"/>
            <w:hideMark/>
          </w:tcPr>
          <w:p w14:paraId="277077F7" w14:textId="77777777" w:rsidR="00944613" w:rsidRPr="00FA35BC" w:rsidRDefault="00944613" w:rsidP="00BB6153">
            <w:pPr>
              <w:jc w:val="center"/>
              <w:rPr>
                <w:rFonts w:ascii="Arial" w:hAnsi="Arial" w:cs="Arial"/>
              </w:rPr>
            </w:pPr>
            <w:r w:rsidRPr="00FA35BC">
              <w:rPr>
                <w:rFonts w:ascii="Arial" w:hAnsi="Arial" w:cs="Arial"/>
              </w:rPr>
              <w:t>695383.898</w:t>
            </w:r>
          </w:p>
        </w:tc>
        <w:tc>
          <w:tcPr>
            <w:tcW w:w="1006" w:type="dxa"/>
            <w:tcBorders>
              <w:top w:val="nil"/>
              <w:left w:val="nil"/>
              <w:bottom w:val="nil"/>
              <w:right w:val="nil"/>
            </w:tcBorders>
            <w:noWrap/>
            <w:vAlign w:val="center"/>
            <w:hideMark/>
          </w:tcPr>
          <w:p w14:paraId="20B6F4D5" w14:textId="77777777" w:rsidR="00944613" w:rsidRPr="00FA35BC" w:rsidRDefault="00944613" w:rsidP="00BB6153">
            <w:pPr>
              <w:jc w:val="center"/>
              <w:rPr>
                <w:rFonts w:ascii="Arial" w:hAnsi="Arial" w:cs="Arial"/>
              </w:rPr>
            </w:pPr>
            <w:r w:rsidRPr="00FA35BC">
              <w:rPr>
                <w:rFonts w:ascii="Arial" w:hAnsi="Arial" w:cs="Arial"/>
              </w:rPr>
              <w:t>22.199</w:t>
            </w:r>
          </w:p>
        </w:tc>
        <w:tc>
          <w:tcPr>
            <w:tcW w:w="2112" w:type="dxa"/>
            <w:tcBorders>
              <w:top w:val="nil"/>
              <w:left w:val="nil"/>
              <w:bottom w:val="nil"/>
              <w:right w:val="nil"/>
            </w:tcBorders>
            <w:noWrap/>
            <w:vAlign w:val="center"/>
            <w:hideMark/>
          </w:tcPr>
          <w:p w14:paraId="25DB4867" w14:textId="77777777" w:rsidR="00944613" w:rsidRPr="00FA35BC" w:rsidRDefault="00944613" w:rsidP="00BB6153">
            <w:pPr>
              <w:jc w:val="center"/>
              <w:rPr>
                <w:rFonts w:ascii="Arial" w:hAnsi="Arial" w:cs="Arial"/>
              </w:rPr>
            </w:pPr>
            <w:r w:rsidRPr="00FA35BC">
              <w:rPr>
                <w:rFonts w:ascii="Arial" w:hAnsi="Arial" w:cs="Arial"/>
              </w:rPr>
              <w:t>1305.204</w:t>
            </w:r>
          </w:p>
        </w:tc>
      </w:tr>
      <w:tr w:rsidR="00944613" w:rsidRPr="00855BAA" w14:paraId="58349AD3" w14:textId="77777777" w:rsidTr="006743A7">
        <w:trPr>
          <w:trHeight w:val="428"/>
        </w:trPr>
        <w:tc>
          <w:tcPr>
            <w:tcW w:w="1134" w:type="dxa"/>
            <w:tcBorders>
              <w:top w:val="nil"/>
              <w:left w:val="nil"/>
              <w:bottom w:val="nil"/>
              <w:right w:val="single" w:sz="4" w:space="0" w:color="auto"/>
            </w:tcBorders>
            <w:noWrap/>
            <w:vAlign w:val="center"/>
            <w:hideMark/>
          </w:tcPr>
          <w:p w14:paraId="781755BB" w14:textId="77777777" w:rsidR="00944613" w:rsidRPr="00FA35BC" w:rsidRDefault="00944613" w:rsidP="00BB6153">
            <w:pPr>
              <w:jc w:val="center"/>
              <w:rPr>
                <w:rFonts w:ascii="Arial" w:hAnsi="Arial" w:cs="Arial"/>
              </w:rPr>
            </w:pPr>
            <w:r w:rsidRPr="00FA35BC">
              <w:rPr>
                <w:rFonts w:ascii="Arial" w:hAnsi="Arial" w:cs="Arial"/>
              </w:rPr>
              <w:t>2</w:t>
            </w:r>
          </w:p>
        </w:tc>
        <w:tc>
          <w:tcPr>
            <w:tcW w:w="1668" w:type="dxa"/>
            <w:tcBorders>
              <w:top w:val="nil"/>
              <w:left w:val="nil"/>
              <w:bottom w:val="nil"/>
              <w:right w:val="nil"/>
            </w:tcBorders>
            <w:noWrap/>
            <w:vAlign w:val="center"/>
            <w:hideMark/>
          </w:tcPr>
          <w:p w14:paraId="3240D0E2" w14:textId="77777777" w:rsidR="00944613" w:rsidRPr="00FA35BC" w:rsidRDefault="00944613" w:rsidP="00BB6153">
            <w:pPr>
              <w:jc w:val="center"/>
              <w:rPr>
                <w:rFonts w:ascii="Arial" w:hAnsi="Arial" w:cs="Arial"/>
              </w:rPr>
            </w:pPr>
            <w:r w:rsidRPr="00FA35BC">
              <w:rPr>
                <w:rFonts w:ascii="Arial" w:hAnsi="Arial" w:cs="Arial"/>
              </w:rPr>
              <w:t>22.552</w:t>
            </w:r>
          </w:p>
        </w:tc>
        <w:tc>
          <w:tcPr>
            <w:tcW w:w="1985" w:type="dxa"/>
            <w:tcBorders>
              <w:top w:val="nil"/>
              <w:left w:val="nil"/>
              <w:bottom w:val="nil"/>
              <w:right w:val="nil"/>
            </w:tcBorders>
            <w:noWrap/>
            <w:vAlign w:val="center"/>
            <w:hideMark/>
          </w:tcPr>
          <w:p w14:paraId="7B9A41F1" w14:textId="77777777" w:rsidR="00944613" w:rsidRPr="00FA35BC" w:rsidRDefault="00944613" w:rsidP="00BB6153">
            <w:pPr>
              <w:jc w:val="center"/>
              <w:rPr>
                <w:rFonts w:ascii="Arial" w:hAnsi="Arial" w:cs="Arial"/>
              </w:rPr>
            </w:pPr>
            <w:r w:rsidRPr="00FA35BC">
              <w:rPr>
                <w:rFonts w:ascii="Arial" w:hAnsi="Arial" w:cs="Arial"/>
              </w:rPr>
              <w:t>638613.273</w:t>
            </w:r>
          </w:p>
        </w:tc>
        <w:tc>
          <w:tcPr>
            <w:tcW w:w="1006" w:type="dxa"/>
            <w:tcBorders>
              <w:top w:val="nil"/>
              <w:left w:val="nil"/>
              <w:bottom w:val="nil"/>
              <w:right w:val="nil"/>
            </w:tcBorders>
            <w:noWrap/>
            <w:vAlign w:val="center"/>
            <w:hideMark/>
          </w:tcPr>
          <w:p w14:paraId="67E0C491" w14:textId="77777777" w:rsidR="00944613" w:rsidRPr="00FA35BC" w:rsidRDefault="00944613" w:rsidP="00BB6153">
            <w:pPr>
              <w:jc w:val="center"/>
              <w:rPr>
                <w:rFonts w:ascii="Arial" w:hAnsi="Arial" w:cs="Arial"/>
              </w:rPr>
            </w:pPr>
            <w:r w:rsidRPr="00FA35BC">
              <w:rPr>
                <w:rFonts w:ascii="Arial" w:hAnsi="Arial" w:cs="Arial"/>
              </w:rPr>
              <w:t>27.337</w:t>
            </w:r>
          </w:p>
        </w:tc>
        <w:tc>
          <w:tcPr>
            <w:tcW w:w="2112" w:type="dxa"/>
            <w:tcBorders>
              <w:top w:val="nil"/>
              <w:left w:val="nil"/>
              <w:bottom w:val="nil"/>
              <w:right w:val="nil"/>
            </w:tcBorders>
            <w:noWrap/>
            <w:vAlign w:val="center"/>
            <w:hideMark/>
          </w:tcPr>
          <w:p w14:paraId="34E1DEFF" w14:textId="77777777" w:rsidR="00944613" w:rsidRPr="00FA35BC" w:rsidRDefault="00944613" w:rsidP="00BB6153">
            <w:pPr>
              <w:jc w:val="center"/>
              <w:rPr>
                <w:rFonts w:ascii="Arial" w:hAnsi="Arial" w:cs="Arial"/>
              </w:rPr>
            </w:pPr>
            <w:r w:rsidRPr="00FA35BC">
              <w:rPr>
                <w:rFonts w:ascii="Arial" w:hAnsi="Arial" w:cs="Arial"/>
              </w:rPr>
              <w:t>973.356</w:t>
            </w:r>
          </w:p>
        </w:tc>
      </w:tr>
      <w:tr w:rsidR="00944613" w:rsidRPr="00855BAA" w14:paraId="39B5012A" w14:textId="77777777" w:rsidTr="006743A7">
        <w:trPr>
          <w:trHeight w:val="421"/>
        </w:trPr>
        <w:tc>
          <w:tcPr>
            <w:tcW w:w="1134" w:type="dxa"/>
            <w:tcBorders>
              <w:top w:val="nil"/>
              <w:left w:val="nil"/>
              <w:bottom w:val="nil"/>
              <w:right w:val="single" w:sz="4" w:space="0" w:color="auto"/>
            </w:tcBorders>
            <w:noWrap/>
            <w:vAlign w:val="center"/>
            <w:hideMark/>
          </w:tcPr>
          <w:p w14:paraId="752487B6" w14:textId="77777777" w:rsidR="00944613" w:rsidRPr="00FA35BC" w:rsidRDefault="00944613" w:rsidP="00BB6153">
            <w:pPr>
              <w:jc w:val="center"/>
              <w:rPr>
                <w:rFonts w:ascii="Arial" w:hAnsi="Arial" w:cs="Arial"/>
              </w:rPr>
            </w:pPr>
            <w:r w:rsidRPr="00FA35BC">
              <w:rPr>
                <w:rFonts w:ascii="Arial" w:hAnsi="Arial" w:cs="Arial"/>
              </w:rPr>
              <w:t>3</w:t>
            </w:r>
          </w:p>
        </w:tc>
        <w:tc>
          <w:tcPr>
            <w:tcW w:w="1668" w:type="dxa"/>
            <w:tcBorders>
              <w:top w:val="nil"/>
              <w:left w:val="nil"/>
              <w:bottom w:val="nil"/>
              <w:right w:val="nil"/>
            </w:tcBorders>
            <w:noWrap/>
            <w:vAlign w:val="center"/>
            <w:hideMark/>
          </w:tcPr>
          <w:p w14:paraId="15774303" w14:textId="77777777" w:rsidR="00944613" w:rsidRPr="00FA35BC" w:rsidRDefault="00944613" w:rsidP="00BB6153">
            <w:pPr>
              <w:jc w:val="center"/>
              <w:rPr>
                <w:rFonts w:ascii="Arial" w:hAnsi="Arial" w:cs="Arial"/>
              </w:rPr>
            </w:pPr>
            <w:r w:rsidRPr="00FA35BC">
              <w:rPr>
                <w:rFonts w:ascii="Arial" w:hAnsi="Arial" w:cs="Arial"/>
              </w:rPr>
              <w:t>30.222</w:t>
            </w:r>
          </w:p>
        </w:tc>
        <w:tc>
          <w:tcPr>
            <w:tcW w:w="1985" w:type="dxa"/>
            <w:tcBorders>
              <w:top w:val="nil"/>
              <w:left w:val="nil"/>
              <w:bottom w:val="nil"/>
              <w:right w:val="nil"/>
            </w:tcBorders>
            <w:noWrap/>
            <w:vAlign w:val="center"/>
            <w:hideMark/>
          </w:tcPr>
          <w:p w14:paraId="1B52812A" w14:textId="77777777" w:rsidR="00944613" w:rsidRPr="00FA35BC" w:rsidRDefault="00944613" w:rsidP="00BB6153">
            <w:pPr>
              <w:jc w:val="center"/>
              <w:rPr>
                <w:rFonts w:ascii="Arial" w:hAnsi="Arial" w:cs="Arial"/>
              </w:rPr>
            </w:pPr>
            <w:r w:rsidRPr="00FA35BC">
              <w:rPr>
                <w:rFonts w:ascii="Arial" w:hAnsi="Arial" w:cs="Arial"/>
              </w:rPr>
              <w:t>855803.978</w:t>
            </w:r>
          </w:p>
        </w:tc>
        <w:tc>
          <w:tcPr>
            <w:tcW w:w="1006" w:type="dxa"/>
            <w:tcBorders>
              <w:top w:val="nil"/>
              <w:left w:val="nil"/>
              <w:bottom w:val="nil"/>
              <w:right w:val="nil"/>
            </w:tcBorders>
            <w:noWrap/>
            <w:vAlign w:val="center"/>
            <w:hideMark/>
          </w:tcPr>
          <w:p w14:paraId="4731EF24" w14:textId="77777777" w:rsidR="00944613" w:rsidRPr="00FA35BC" w:rsidRDefault="00944613" w:rsidP="00BB6153">
            <w:pPr>
              <w:jc w:val="center"/>
              <w:rPr>
                <w:rFonts w:ascii="Arial" w:hAnsi="Arial" w:cs="Arial"/>
              </w:rPr>
            </w:pPr>
            <w:r w:rsidRPr="00FA35BC">
              <w:rPr>
                <w:rFonts w:ascii="Arial" w:hAnsi="Arial" w:cs="Arial"/>
              </w:rPr>
              <w:t>18.623</w:t>
            </w:r>
          </w:p>
        </w:tc>
        <w:tc>
          <w:tcPr>
            <w:tcW w:w="2112" w:type="dxa"/>
            <w:tcBorders>
              <w:top w:val="nil"/>
              <w:left w:val="nil"/>
              <w:bottom w:val="nil"/>
              <w:right w:val="nil"/>
            </w:tcBorders>
            <w:noWrap/>
            <w:vAlign w:val="center"/>
            <w:hideMark/>
          </w:tcPr>
          <w:p w14:paraId="61B00B79" w14:textId="77777777" w:rsidR="00944613" w:rsidRPr="00FA35BC" w:rsidRDefault="00944613" w:rsidP="00BB6153">
            <w:pPr>
              <w:jc w:val="center"/>
              <w:rPr>
                <w:rFonts w:ascii="Arial" w:hAnsi="Arial" w:cs="Arial"/>
              </w:rPr>
            </w:pPr>
            <w:r w:rsidRPr="00FA35BC">
              <w:rPr>
                <w:rFonts w:ascii="Arial" w:hAnsi="Arial" w:cs="Arial"/>
              </w:rPr>
              <w:t>1914.714</w:t>
            </w:r>
          </w:p>
        </w:tc>
      </w:tr>
    </w:tbl>
    <w:p w14:paraId="6FFA8AC9" w14:textId="77777777" w:rsidR="00944613" w:rsidRPr="00855BAA" w:rsidRDefault="00944613" w:rsidP="00944613">
      <w:pPr>
        <w:rPr>
          <w:rFonts w:ascii="Arial" w:hAnsi="Arial" w:cs="Arial"/>
          <w:color w:val="EE0000"/>
        </w:rPr>
      </w:pPr>
    </w:p>
    <w:p w14:paraId="79AB3BC0" w14:textId="759A6DAB" w:rsidR="00944613" w:rsidRDefault="00944613" w:rsidP="00944613">
      <w:pPr>
        <w:rPr>
          <w:rFonts w:ascii="Arial" w:hAnsi="Arial" w:cs="Arial"/>
        </w:rPr>
      </w:pPr>
      <w:r w:rsidRPr="00855BAA">
        <w:rPr>
          <w:rFonts w:ascii="Arial" w:hAnsi="Arial" w:cs="Arial"/>
        </w:rPr>
        <w:t>Based on the Python script executed in Figure (2), it resulted in the cluster-gas compositions captured in Table (3).</w:t>
      </w:r>
    </w:p>
    <w:p w14:paraId="607B0067" w14:textId="77777777" w:rsidR="00414A28" w:rsidRPr="00855BAA" w:rsidRDefault="00414A28" w:rsidP="00944613">
      <w:pPr>
        <w:rPr>
          <w:rFonts w:ascii="Arial" w:hAnsi="Arial" w:cs="Arial"/>
        </w:rPr>
      </w:pPr>
    </w:p>
    <w:p w14:paraId="392022F8" w14:textId="3DC8F7D2" w:rsidR="00944613" w:rsidRDefault="00944613" w:rsidP="00944613">
      <w:pPr>
        <w:pStyle w:val="Tables"/>
        <w:rPr>
          <w:rFonts w:ascii="Arial" w:hAnsi="Arial" w:cs="Arial"/>
          <w:sz w:val="20"/>
          <w:szCs w:val="20"/>
        </w:rPr>
      </w:pPr>
      <w:bookmarkStart w:id="3" w:name="_Toc215420300"/>
      <w:r w:rsidRPr="00414A28">
        <w:rPr>
          <w:rFonts w:ascii="Arial" w:hAnsi="Arial" w:cs="Arial"/>
          <w:sz w:val="20"/>
          <w:szCs w:val="20"/>
        </w:rPr>
        <w:t>Table 3   Clusters’ Gas Composition (derived from Python analysis)</w:t>
      </w:r>
      <w:bookmarkEnd w:id="3"/>
    </w:p>
    <w:tbl>
      <w:tblPr>
        <w:tblW w:w="7763" w:type="dxa"/>
        <w:tblLook w:val="04A0" w:firstRow="1" w:lastRow="0" w:firstColumn="1" w:lastColumn="0" w:noHBand="0" w:noVBand="1"/>
      </w:tblPr>
      <w:tblGrid>
        <w:gridCol w:w="1017"/>
        <w:gridCol w:w="1167"/>
        <w:gridCol w:w="1043"/>
        <w:gridCol w:w="828"/>
        <w:gridCol w:w="828"/>
        <w:gridCol w:w="1014"/>
        <w:gridCol w:w="851"/>
        <w:gridCol w:w="1134"/>
      </w:tblGrid>
      <w:tr w:rsidR="00944613" w:rsidRPr="00855BAA" w14:paraId="6FA4FD9B" w14:textId="77777777" w:rsidTr="00001C0C">
        <w:trPr>
          <w:trHeight w:val="293"/>
        </w:trPr>
        <w:tc>
          <w:tcPr>
            <w:tcW w:w="1017" w:type="dxa"/>
            <w:tcBorders>
              <w:top w:val="nil"/>
              <w:left w:val="nil"/>
              <w:bottom w:val="single" w:sz="8" w:space="0" w:color="auto"/>
              <w:right w:val="single" w:sz="4" w:space="0" w:color="auto"/>
            </w:tcBorders>
            <w:noWrap/>
            <w:vAlign w:val="center"/>
            <w:hideMark/>
          </w:tcPr>
          <w:p w14:paraId="20EA656E" w14:textId="77777777" w:rsidR="00944613" w:rsidRPr="00B14EE7" w:rsidRDefault="00944613" w:rsidP="00BB6153">
            <w:pPr>
              <w:jc w:val="center"/>
              <w:rPr>
                <w:rFonts w:ascii="Arial" w:hAnsi="Arial" w:cs="Arial"/>
                <w:b/>
                <w:color w:val="000000"/>
              </w:rPr>
            </w:pPr>
            <w:r w:rsidRPr="00B14EE7">
              <w:rPr>
                <w:rFonts w:ascii="Arial" w:hAnsi="Arial" w:cs="Arial"/>
                <w:b/>
                <w:color w:val="000000"/>
              </w:rPr>
              <w:t>Clusters</w:t>
            </w:r>
          </w:p>
        </w:tc>
        <w:tc>
          <w:tcPr>
            <w:tcW w:w="1167" w:type="dxa"/>
            <w:tcBorders>
              <w:top w:val="nil"/>
              <w:left w:val="nil"/>
              <w:bottom w:val="single" w:sz="8" w:space="0" w:color="auto"/>
              <w:right w:val="nil"/>
            </w:tcBorders>
            <w:noWrap/>
            <w:vAlign w:val="center"/>
            <w:hideMark/>
          </w:tcPr>
          <w:p w14:paraId="5B41DE90" w14:textId="77777777" w:rsidR="00944613" w:rsidRPr="00B14EE7" w:rsidRDefault="00944613" w:rsidP="00BB6153">
            <w:pPr>
              <w:jc w:val="center"/>
              <w:rPr>
                <w:rFonts w:ascii="Arial" w:hAnsi="Arial" w:cs="Arial"/>
                <w:b/>
                <w:color w:val="000000"/>
              </w:rPr>
            </w:pPr>
            <w:r w:rsidRPr="00B14EE7">
              <w:rPr>
                <w:rFonts w:ascii="Arial" w:hAnsi="Arial" w:cs="Arial"/>
                <w:b/>
                <w:color w:val="000000"/>
              </w:rPr>
              <w:t>N</w:t>
            </w:r>
            <w:r w:rsidRPr="00B14EE7">
              <w:rPr>
                <w:rFonts w:ascii="Arial" w:hAnsi="Arial" w:cs="Arial"/>
                <w:b/>
                <w:color w:val="000000"/>
                <w:vertAlign w:val="subscript"/>
              </w:rPr>
              <w:t>2</w:t>
            </w:r>
          </w:p>
        </w:tc>
        <w:tc>
          <w:tcPr>
            <w:tcW w:w="1043" w:type="dxa"/>
            <w:tcBorders>
              <w:top w:val="nil"/>
              <w:left w:val="nil"/>
              <w:bottom w:val="single" w:sz="8" w:space="0" w:color="auto"/>
              <w:right w:val="nil"/>
            </w:tcBorders>
            <w:noWrap/>
            <w:vAlign w:val="center"/>
            <w:hideMark/>
          </w:tcPr>
          <w:p w14:paraId="09041D99" w14:textId="77777777" w:rsidR="00944613" w:rsidRPr="00B14EE7" w:rsidRDefault="00944613" w:rsidP="00BB6153">
            <w:pPr>
              <w:jc w:val="center"/>
              <w:rPr>
                <w:rFonts w:ascii="Arial" w:hAnsi="Arial" w:cs="Arial"/>
                <w:b/>
                <w:color w:val="000000"/>
              </w:rPr>
            </w:pPr>
            <w:r w:rsidRPr="00B14EE7">
              <w:rPr>
                <w:rFonts w:ascii="Arial" w:hAnsi="Arial" w:cs="Arial"/>
                <w:b/>
                <w:color w:val="000000"/>
              </w:rPr>
              <w:t>CO</w:t>
            </w:r>
            <w:r w:rsidRPr="00B14EE7">
              <w:rPr>
                <w:rFonts w:ascii="Arial" w:hAnsi="Arial" w:cs="Arial"/>
                <w:b/>
                <w:color w:val="000000"/>
                <w:vertAlign w:val="subscript"/>
              </w:rPr>
              <w:t>2</w:t>
            </w:r>
          </w:p>
        </w:tc>
        <w:tc>
          <w:tcPr>
            <w:tcW w:w="709" w:type="dxa"/>
            <w:tcBorders>
              <w:top w:val="nil"/>
              <w:left w:val="nil"/>
              <w:bottom w:val="single" w:sz="8" w:space="0" w:color="auto"/>
              <w:right w:val="nil"/>
            </w:tcBorders>
            <w:noWrap/>
            <w:vAlign w:val="center"/>
            <w:hideMark/>
          </w:tcPr>
          <w:p w14:paraId="7DF01D8B" w14:textId="77777777" w:rsidR="00944613" w:rsidRPr="00B14EE7" w:rsidRDefault="00944613" w:rsidP="00BB6153">
            <w:pPr>
              <w:jc w:val="center"/>
              <w:rPr>
                <w:rFonts w:ascii="Arial" w:hAnsi="Arial" w:cs="Arial"/>
                <w:b/>
                <w:color w:val="000000"/>
              </w:rPr>
            </w:pPr>
            <w:r w:rsidRPr="00B14EE7">
              <w:rPr>
                <w:rFonts w:ascii="Arial" w:hAnsi="Arial" w:cs="Arial"/>
                <w:b/>
                <w:color w:val="000000"/>
              </w:rPr>
              <w:t>CH</w:t>
            </w:r>
            <w:r w:rsidRPr="00B14EE7">
              <w:rPr>
                <w:rFonts w:ascii="Arial" w:hAnsi="Arial" w:cs="Arial"/>
                <w:b/>
                <w:color w:val="000000"/>
                <w:vertAlign w:val="subscript"/>
              </w:rPr>
              <w:t>4</w:t>
            </w:r>
          </w:p>
        </w:tc>
        <w:tc>
          <w:tcPr>
            <w:tcW w:w="828" w:type="dxa"/>
            <w:tcBorders>
              <w:top w:val="nil"/>
              <w:left w:val="nil"/>
              <w:bottom w:val="single" w:sz="8" w:space="0" w:color="auto"/>
              <w:right w:val="nil"/>
            </w:tcBorders>
            <w:noWrap/>
            <w:vAlign w:val="center"/>
            <w:hideMark/>
          </w:tcPr>
          <w:p w14:paraId="7FAA48B7" w14:textId="77777777" w:rsidR="00944613" w:rsidRPr="00B14EE7" w:rsidRDefault="00944613" w:rsidP="00BB6153">
            <w:pPr>
              <w:jc w:val="center"/>
              <w:rPr>
                <w:rFonts w:ascii="Arial" w:hAnsi="Arial" w:cs="Arial"/>
                <w:b/>
                <w:color w:val="000000"/>
              </w:rPr>
            </w:pPr>
            <w:r w:rsidRPr="00B14EE7">
              <w:rPr>
                <w:rFonts w:ascii="Arial" w:hAnsi="Arial" w:cs="Arial"/>
                <w:b/>
                <w:color w:val="000000"/>
              </w:rPr>
              <w:t>C</w:t>
            </w:r>
            <w:r w:rsidRPr="00B14EE7">
              <w:rPr>
                <w:rFonts w:ascii="Arial" w:hAnsi="Arial" w:cs="Arial"/>
                <w:b/>
                <w:color w:val="000000"/>
                <w:vertAlign w:val="subscript"/>
              </w:rPr>
              <w:t>2</w:t>
            </w:r>
            <w:r w:rsidRPr="00B14EE7">
              <w:rPr>
                <w:rFonts w:ascii="Arial" w:hAnsi="Arial" w:cs="Arial"/>
                <w:b/>
                <w:color w:val="000000"/>
              </w:rPr>
              <w:t>H</w:t>
            </w:r>
            <w:r w:rsidRPr="00B14EE7">
              <w:rPr>
                <w:rFonts w:ascii="Arial" w:hAnsi="Arial" w:cs="Arial"/>
                <w:b/>
                <w:color w:val="000000"/>
                <w:vertAlign w:val="subscript"/>
              </w:rPr>
              <w:t>6</w:t>
            </w:r>
          </w:p>
        </w:tc>
        <w:tc>
          <w:tcPr>
            <w:tcW w:w="1014" w:type="dxa"/>
            <w:tcBorders>
              <w:top w:val="nil"/>
              <w:left w:val="nil"/>
              <w:bottom w:val="single" w:sz="8" w:space="0" w:color="auto"/>
              <w:right w:val="nil"/>
            </w:tcBorders>
            <w:noWrap/>
            <w:vAlign w:val="center"/>
            <w:hideMark/>
          </w:tcPr>
          <w:p w14:paraId="42B491FC" w14:textId="77777777" w:rsidR="00944613" w:rsidRPr="00B14EE7" w:rsidRDefault="00944613" w:rsidP="00BB6153">
            <w:pPr>
              <w:jc w:val="center"/>
              <w:rPr>
                <w:rFonts w:ascii="Arial" w:hAnsi="Arial" w:cs="Arial"/>
                <w:b/>
                <w:color w:val="000000"/>
              </w:rPr>
            </w:pPr>
            <w:r w:rsidRPr="00B14EE7">
              <w:rPr>
                <w:rFonts w:ascii="Arial" w:hAnsi="Arial" w:cs="Arial"/>
                <w:b/>
                <w:color w:val="000000"/>
              </w:rPr>
              <w:t>C</w:t>
            </w:r>
            <w:r w:rsidRPr="00B14EE7">
              <w:rPr>
                <w:rFonts w:ascii="Arial" w:hAnsi="Arial" w:cs="Arial"/>
                <w:b/>
                <w:color w:val="000000"/>
                <w:vertAlign w:val="subscript"/>
              </w:rPr>
              <w:t>3</w:t>
            </w:r>
            <w:r w:rsidRPr="00B14EE7">
              <w:rPr>
                <w:rFonts w:ascii="Arial" w:hAnsi="Arial" w:cs="Arial"/>
                <w:b/>
                <w:color w:val="000000"/>
              </w:rPr>
              <w:t>H</w:t>
            </w:r>
            <w:r w:rsidRPr="00B14EE7">
              <w:rPr>
                <w:rFonts w:ascii="Arial" w:hAnsi="Arial" w:cs="Arial"/>
                <w:b/>
                <w:color w:val="000000"/>
                <w:vertAlign w:val="subscript"/>
              </w:rPr>
              <w:t>8</w:t>
            </w:r>
          </w:p>
        </w:tc>
        <w:tc>
          <w:tcPr>
            <w:tcW w:w="851" w:type="dxa"/>
            <w:tcBorders>
              <w:top w:val="nil"/>
              <w:left w:val="nil"/>
              <w:bottom w:val="single" w:sz="8" w:space="0" w:color="auto"/>
              <w:right w:val="nil"/>
            </w:tcBorders>
            <w:noWrap/>
            <w:vAlign w:val="center"/>
            <w:hideMark/>
          </w:tcPr>
          <w:p w14:paraId="245153FB" w14:textId="77777777" w:rsidR="00944613" w:rsidRPr="00B14EE7" w:rsidRDefault="00944613" w:rsidP="00BB6153">
            <w:pPr>
              <w:jc w:val="center"/>
              <w:rPr>
                <w:rFonts w:ascii="Arial" w:hAnsi="Arial" w:cs="Arial"/>
                <w:b/>
                <w:color w:val="000000"/>
              </w:rPr>
            </w:pPr>
            <w:r w:rsidRPr="00B14EE7">
              <w:rPr>
                <w:rFonts w:ascii="Arial" w:hAnsi="Arial" w:cs="Arial"/>
                <w:b/>
                <w:color w:val="000000"/>
              </w:rPr>
              <w:t>I-C</w:t>
            </w:r>
            <w:r w:rsidRPr="00B14EE7">
              <w:rPr>
                <w:rFonts w:ascii="Arial" w:hAnsi="Arial" w:cs="Arial"/>
                <w:b/>
                <w:color w:val="000000"/>
                <w:vertAlign w:val="subscript"/>
              </w:rPr>
              <w:t>4</w:t>
            </w:r>
            <w:r w:rsidRPr="00B14EE7">
              <w:rPr>
                <w:rFonts w:ascii="Arial" w:hAnsi="Arial" w:cs="Arial"/>
                <w:b/>
                <w:color w:val="000000"/>
              </w:rPr>
              <w:t>H</w:t>
            </w:r>
            <w:r w:rsidRPr="00B14EE7">
              <w:rPr>
                <w:rFonts w:ascii="Arial" w:hAnsi="Arial" w:cs="Arial"/>
                <w:b/>
                <w:color w:val="000000"/>
                <w:vertAlign w:val="subscript"/>
              </w:rPr>
              <w:t>10</w:t>
            </w:r>
          </w:p>
        </w:tc>
        <w:tc>
          <w:tcPr>
            <w:tcW w:w="1134" w:type="dxa"/>
            <w:tcBorders>
              <w:top w:val="nil"/>
              <w:left w:val="nil"/>
              <w:bottom w:val="single" w:sz="8" w:space="0" w:color="auto"/>
              <w:right w:val="nil"/>
            </w:tcBorders>
            <w:noWrap/>
            <w:vAlign w:val="center"/>
            <w:hideMark/>
          </w:tcPr>
          <w:p w14:paraId="5F0F7915" w14:textId="77777777" w:rsidR="00944613" w:rsidRPr="00B14EE7" w:rsidRDefault="00944613" w:rsidP="00BB6153">
            <w:pPr>
              <w:jc w:val="center"/>
              <w:rPr>
                <w:rFonts w:ascii="Arial" w:hAnsi="Arial" w:cs="Arial"/>
                <w:b/>
                <w:color w:val="000000"/>
              </w:rPr>
            </w:pPr>
            <w:r w:rsidRPr="00B14EE7">
              <w:rPr>
                <w:rFonts w:ascii="Arial" w:hAnsi="Arial" w:cs="Arial"/>
                <w:b/>
                <w:color w:val="000000"/>
              </w:rPr>
              <w:t>N-C</w:t>
            </w:r>
            <w:r w:rsidRPr="00B14EE7">
              <w:rPr>
                <w:rFonts w:ascii="Arial" w:hAnsi="Arial" w:cs="Arial"/>
                <w:b/>
                <w:color w:val="000000"/>
                <w:vertAlign w:val="subscript"/>
              </w:rPr>
              <w:t>4</w:t>
            </w:r>
            <w:r w:rsidRPr="00B14EE7">
              <w:rPr>
                <w:rFonts w:ascii="Arial" w:hAnsi="Arial" w:cs="Arial"/>
                <w:b/>
                <w:color w:val="000000"/>
              </w:rPr>
              <w:t>H</w:t>
            </w:r>
            <w:r w:rsidRPr="00B14EE7">
              <w:rPr>
                <w:rFonts w:ascii="Arial" w:hAnsi="Arial" w:cs="Arial"/>
                <w:b/>
                <w:color w:val="000000"/>
                <w:vertAlign w:val="subscript"/>
              </w:rPr>
              <w:t>10</w:t>
            </w:r>
          </w:p>
        </w:tc>
      </w:tr>
      <w:tr w:rsidR="00944613" w:rsidRPr="00855BAA" w14:paraId="3AFECF29" w14:textId="77777777" w:rsidTr="006743A7">
        <w:trPr>
          <w:trHeight w:val="391"/>
        </w:trPr>
        <w:tc>
          <w:tcPr>
            <w:tcW w:w="1017" w:type="dxa"/>
            <w:tcBorders>
              <w:top w:val="nil"/>
              <w:left w:val="nil"/>
              <w:bottom w:val="nil"/>
              <w:right w:val="single" w:sz="4" w:space="0" w:color="auto"/>
            </w:tcBorders>
            <w:noWrap/>
            <w:vAlign w:val="center"/>
            <w:hideMark/>
          </w:tcPr>
          <w:p w14:paraId="27A2217D" w14:textId="77777777" w:rsidR="00944613" w:rsidRPr="00B14EE7" w:rsidRDefault="00944613" w:rsidP="00BB6153">
            <w:pPr>
              <w:jc w:val="center"/>
              <w:rPr>
                <w:rFonts w:ascii="Arial" w:hAnsi="Arial" w:cs="Arial"/>
                <w:color w:val="000000"/>
              </w:rPr>
            </w:pPr>
            <w:r w:rsidRPr="00B14EE7">
              <w:rPr>
                <w:rFonts w:ascii="Arial" w:hAnsi="Arial" w:cs="Arial"/>
                <w:color w:val="000000"/>
              </w:rPr>
              <w:t>0</w:t>
            </w:r>
          </w:p>
        </w:tc>
        <w:tc>
          <w:tcPr>
            <w:tcW w:w="1167" w:type="dxa"/>
            <w:tcBorders>
              <w:top w:val="nil"/>
              <w:left w:val="nil"/>
              <w:bottom w:val="nil"/>
              <w:right w:val="nil"/>
            </w:tcBorders>
            <w:noWrap/>
            <w:vAlign w:val="center"/>
            <w:hideMark/>
          </w:tcPr>
          <w:p w14:paraId="11EB8DC2" w14:textId="77777777" w:rsidR="00944613" w:rsidRPr="00B14EE7" w:rsidRDefault="00944613" w:rsidP="00BB6153">
            <w:pPr>
              <w:jc w:val="center"/>
              <w:rPr>
                <w:rFonts w:ascii="Arial" w:hAnsi="Arial" w:cs="Arial"/>
                <w:color w:val="000000"/>
              </w:rPr>
            </w:pPr>
            <w:r w:rsidRPr="00B14EE7">
              <w:rPr>
                <w:rFonts w:ascii="Arial" w:hAnsi="Arial" w:cs="Arial"/>
                <w:color w:val="000000"/>
              </w:rPr>
              <w:t>0.764</w:t>
            </w:r>
          </w:p>
        </w:tc>
        <w:tc>
          <w:tcPr>
            <w:tcW w:w="1043" w:type="dxa"/>
            <w:tcBorders>
              <w:top w:val="nil"/>
              <w:left w:val="nil"/>
              <w:bottom w:val="nil"/>
              <w:right w:val="nil"/>
            </w:tcBorders>
            <w:noWrap/>
            <w:vAlign w:val="center"/>
            <w:hideMark/>
          </w:tcPr>
          <w:p w14:paraId="14A9FAAF" w14:textId="77777777" w:rsidR="00944613" w:rsidRPr="00B14EE7" w:rsidRDefault="00944613" w:rsidP="00BB6153">
            <w:pPr>
              <w:jc w:val="center"/>
              <w:rPr>
                <w:rFonts w:ascii="Arial" w:hAnsi="Arial" w:cs="Arial"/>
                <w:color w:val="000000"/>
              </w:rPr>
            </w:pPr>
            <w:r w:rsidRPr="00B14EE7">
              <w:rPr>
                <w:rFonts w:ascii="Arial" w:hAnsi="Arial" w:cs="Arial"/>
                <w:color w:val="000000"/>
              </w:rPr>
              <w:t>2.582</w:t>
            </w:r>
          </w:p>
        </w:tc>
        <w:tc>
          <w:tcPr>
            <w:tcW w:w="709" w:type="dxa"/>
            <w:tcBorders>
              <w:top w:val="nil"/>
              <w:left w:val="nil"/>
              <w:bottom w:val="nil"/>
              <w:right w:val="nil"/>
            </w:tcBorders>
            <w:noWrap/>
            <w:vAlign w:val="center"/>
            <w:hideMark/>
          </w:tcPr>
          <w:p w14:paraId="5802CFAF" w14:textId="77777777" w:rsidR="00944613" w:rsidRPr="00B14EE7" w:rsidRDefault="00944613" w:rsidP="00BB6153">
            <w:pPr>
              <w:jc w:val="center"/>
              <w:rPr>
                <w:rFonts w:ascii="Arial" w:hAnsi="Arial" w:cs="Arial"/>
                <w:color w:val="000000"/>
              </w:rPr>
            </w:pPr>
            <w:r w:rsidRPr="00B14EE7">
              <w:rPr>
                <w:rFonts w:ascii="Arial" w:hAnsi="Arial" w:cs="Arial"/>
                <w:color w:val="000000"/>
              </w:rPr>
              <w:t>88.959</w:t>
            </w:r>
          </w:p>
        </w:tc>
        <w:tc>
          <w:tcPr>
            <w:tcW w:w="828" w:type="dxa"/>
            <w:tcBorders>
              <w:top w:val="nil"/>
              <w:left w:val="nil"/>
              <w:bottom w:val="nil"/>
              <w:right w:val="nil"/>
            </w:tcBorders>
            <w:noWrap/>
            <w:vAlign w:val="center"/>
            <w:hideMark/>
          </w:tcPr>
          <w:p w14:paraId="7EE64AAE" w14:textId="77777777" w:rsidR="00944613" w:rsidRPr="00B14EE7" w:rsidRDefault="00944613" w:rsidP="00BB6153">
            <w:pPr>
              <w:jc w:val="center"/>
              <w:rPr>
                <w:rFonts w:ascii="Arial" w:hAnsi="Arial" w:cs="Arial"/>
                <w:color w:val="000000"/>
              </w:rPr>
            </w:pPr>
            <w:r w:rsidRPr="00B14EE7">
              <w:rPr>
                <w:rFonts w:ascii="Arial" w:hAnsi="Arial" w:cs="Arial"/>
                <w:color w:val="000000"/>
              </w:rPr>
              <w:t>5.231</w:t>
            </w:r>
          </w:p>
        </w:tc>
        <w:tc>
          <w:tcPr>
            <w:tcW w:w="1014" w:type="dxa"/>
            <w:tcBorders>
              <w:top w:val="nil"/>
              <w:left w:val="nil"/>
              <w:bottom w:val="nil"/>
              <w:right w:val="nil"/>
            </w:tcBorders>
            <w:noWrap/>
            <w:vAlign w:val="center"/>
            <w:hideMark/>
          </w:tcPr>
          <w:p w14:paraId="63CBFACE" w14:textId="77777777" w:rsidR="00944613" w:rsidRPr="00B14EE7" w:rsidRDefault="00944613" w:rsidP="00BB6153">
            <w:pPr>
              <w:jc w:val="center"/>
              <w:rPr>
                <w:rFonts w:ascii="Arial" w:hAnsi="Arial" w:cs="Arial"/>
                <w:color w:val="000000"/>
              </w:rPr>
            </w:pPr>
            <w:r w:rsidRPr="00B14EE7">
              <w:rPr>
                <w:rFonts w:ascii="Arial" w:hAnsi="Arial" w:cs="Arial"/>
                <w:color w:val="000000"/>
              </w:rPr>
              <w:t>1.220</w:t>
            </w:r>
          </w:p>
        </w:tc>
        <w:tc>
          <w:tcPr>
            <w:tcW w:w="851" w:type="dxa"/>
            <w:tcBorders>
              <w:top w:val="nil"/>
              <w:left w:val="nil"/>
              <w:bottom w:val="nil"/>
              <w:right w:val="nil"/>
            </w:tcBorders>
            <w:noWrap/>
            <w:vAlign w:val="center"/>
            <w:hideMark/>
          </w:tcPr>
          <w:p w14:paraId="2361ABF2" w14:textId="77777777" w:rsidR="00944613" w:rsidRPr="00B14EE7" w:rsidRDefault="00944613" w:rsidP="00BB6153">
            <w:pPr>
              <w:jc w:val="center"/>
              <w:rPr>
                <w:rFonts w:ascii="Arial" w:hAnsi="Arial" w:cs="Arial"/>
                <w:color w:val="000000"/>
              </w:rPr>
            </w:pPr>
            <w:r w:rsidRPr="00B14EE7">
              <w:rPr>
                <w:rFonts w:ascii="Arial" w:hAnsi="Arial" w:cs="Arial"/>
                <w:color w:val="000000"/>
              </w:rPr>
              <w:t>0.383</w:t>
            </w:r>
          </w:p>
        </w:tc>
        <w:tc>
          <w:tcPr>
            <w:tcW w:w="1134" w:type="dxa"/>
            <w:tcBorders>
              <w:top w:val="nil"/>
              <w:left w:val="nil"/>
              <w:bottom w:val="nil"/>
              <w:right w:val="nil"/>
            </w:tcBorders>
            <w:noWrap/>
            <w:vAlign w:val="center"/>
            <w:hideMark/>
          </w:tcPr>
          <w:p w14:paraId="750E2719" w14:textId="77777777" w:rsidR="00944613" w:rsidRPr="00B14EE7" w:rsidRDefault="00944613" w:rsidP="00BB6153">
            <w:pPr>
              <w:jc w:val="center"/>
              <w:rPr>
                <w:rFonts w:ascii="Arial" w:hAnsi="Arial" w:cs="Arial"/>
                <w:color w:val="000000"/>
              </w:rPr>
            </w:pPr>
            <w:r w:rsidRPr="00B14EE7">
              <w:rPr>
                <w:rFonts w:ascii="Arial" w:hAnsi="Arial" w:cs="Arial"/>
                <w:color w:val="000000"/>
              </w:rPr>
              <w:t>0.385</w:t>
            </w:r>
          </w:p>
        </w:tc>
      </w:tr>
      <w:tr w:rsidR="00944613" w:rsidRPr="00855BAA" w14:paraId="516482C2" w14:textId="77777777" w:rsidTr="006743A7">
        <w:trPr>
          <w:trHeight w:val="431"/>
        </w:trPr>
        <w:tc>
          <w:tcPr>
            <w:tcW w:w="1017" w:type="dxa"/>
            <w:tcBorders>
              <w:top w:val="nil"/>
              <w:left w:val="nil"/>
              <w:bottom w:val="nil"/>
              <w:right w:val="single" w:sz="4" w:space="0" w:color="auto"/>
            </w:tcBorders>
            <w:noWrap/>
            <w:vAlign w:val="center"/>
            <w:hideMark/>
          </w:tcPr>
          <w:p w14:paraId="5C5E3315" w14:textId="77777777" w:rsidR="00944613" w:rsidRPr="00B14EE7" w:rsidRDefault="00944613" w:rsidP="00BB6153">
            <w:pPr>
              <w:jc w:val="center"/>
              <w:rPr>
                <w:rFonts w:ascii="Arial" w:hAnsi="Arial" w:cs="Arial"/>
                <w:color w:val="000000"/>
              </w:rPr>
            </w:pPr>
            <w:r w:rsidRPr="00B14EE7">
              <w:rPr>
                <w:rFonts w:ascii="Arial" w:hAnsi="Arial" w:cs="Arial"/>
                <w:color w:val="000000"/>
              </w:rPr>
              <w:t>1</w:t>
            </w:r>
          </w:p>
        </w:tc>
        <w:tc>
          <w:tcPr>
            <w:tcW w:w="1167" w:type="dxa"/>
            <w:tcBorders>
              <w:top w:val="nil"/>
              <w:left w:val="nil"/>
              <w:bottom w:val="nil"/>
              <w:right w:val="nil"/>
            </w:tcBorders>
            <w:noWrap/>
            <w:vAlign w:val="center"/>
            <w:hideMark/>
          </w:tcPr>
          <w:p w14:paraId="24DA88A5" w14:textId="77777777" w:rsidR="00944613" w:rsidRPr="00B14EE7" w:rsidRDefault="00944613" w:rsidP="00BB6153">
            <w:pPr>
              <w:jc w:val="center"/>
              <w:rPr>
                <w:rFonts w:ascii="Arial" w:hAnsi="Arial" w:cs="Arial"/>
                <w:color w:val="000000"/>
              </w:rPr>
            </w:pPr>
            <w:r w:rsidRPr="00B14EE7">
              <w:rPr>
                <w:rFonts w:ascii="Arial" w:hAnsi="Arial" w:cs="Arial"/>
                <w:color w:val="000000"/>
              </w:rPr>
              <w:t>0.037</w:t>
            </w:r>
          </w:p>
        </w:tc>
        <w:tc>
          <w:tcPr>
            <w:tcW w:w="1043" w:type="dxa"/>
            <w:tcBorders>
              <w:top w:val="nil"/>
              <w:left w:val="nil"/>
              <w:bottom w:val="nil"/>
              <w:right w:val="nil"/>
            </w:tcBorders>
            <w:noWrap/>
            <w:vAlign w:val="center"/>
            <w:hideMark/>
          </w:tcPr>
          <w:p w14:paraId="6EB8D783" w14:textId="77777777" w:rsidR="00944613" w:rsidRPr="00B14EE7" w:rsidRDefault="00944613" w:rsidP="00BB6153">
            <w:pPr>
              <w:jc w:val="center"/>
              <w:rPr>
                <w:rFonts w:ascii="Arial" w:hAnsi="Arial" w:cs="Arial"/>
                <w:color w:val="000000"/>
              </w:rPr>
            </w:pPr>
            <w:r w:rsidRPr="00B14EE7">
              <w:rPr>
                <w:rFonts w:ascii="Arial" w:hAnsi="Arial" w:cs="Arial"/>
                <w:color w:val="000000"/>
              </w:rPr>
              <w:t>1.923</w:t>
            </w:r>
          </w:p>
        </w:tc>
        <w:tc>
          <w:tcPr>
            <w:tcW w:w="709" w:type="dxa"/>
            <w:tcBorders>
              <w:top w:val="nil"/>
              <w:left w:val="nil"/>
              <w:bottom w:val="nil"/>
              <w:right w:val="nil"/>
            </w:tcBorders>
            <w:noWrap/>
            <w:vAlign w:val="center"/>
            <w:hideMark/>
          </w:tcPr>
          <w:p w14:paraId="4430B7EC" w14:textId="77777777" w:rsidR="00944613" w:rsidRPr="00B14EE7" w:rsidRDefault="00944613" w:rsidP="00BB6153">
            <w:pPr>
              <w:jc w:val="center"/>
              <w:rPr>
                <w:rFonts w:ascii="Arial" w:hAnsi="Arial" w:cs="Arial"/>
                <w:color w:val="000000"/>
              </w:rPr>
            </w:pPr>
            <w:r w:rsidRPr="00B14EE7">
              <w:rPr>
                <w:rFonts w:ascii="Arial" w:hAnsi="Arial" w:cs="Arial"/>
                <w:color w:val="000000"/>
              </w:rPr>
              <w:t>77.514</w:t>
            </w:r>
          </w:p>
        </w:tc>
        <w:tc>
          <w:tcPr>
            <w:tcW w:w="828" w:type="dxa"/>
            <w:tcBorders>
              <w:top w:val="nil"/>
              <w:left w:val="nil"/>
              <w:bottom w:val="nil"/>
              <w:right w:val="nil"/>
            </w:tcBorders>
            <w:noWrap/>
            <w:vAlign w:val="center"/>
            <w:hideMark/>
          </w:tcPr>
          <w:p w14:paraId="1C0CB1FA" w14:textId="77777777" w:rsidR="00944613" w:rsidRPr="00B14EE7" w:rsidRDefault="00944613" w:rsidP="00BB6153">
            <w:pPr>
              <w:jc w:val="center"/>
              <w:rPr>
                <w:rFonts w:ascii="Arial" w:hAnsi="Arial" w:cs="Arial"/>
                <w:color w:val="000000"/>
              </w:rPr>
            </w:pPr>
            <w:r w:rsidRPr="00B14EE7">
              <w:rPr>
                <w:rFonts w:ascii="Arial" w:hAnsi="Arial" w:cs="Arial"/>
                <w:color w:val="000000"/>
              </w:rPr>
              <w:t>8.605</w:t>
            </w:r>
          </w:p>
        </w:tc>
        <w:tc>
          <w:tcPr>
            <w:tcW w:w="1014" w:type="dxa"/>
            <w:tcBorders>
              <w:top w:val="nil"/>
              <w:left w:val="nil"/>
              <w:bottom w:val="nil"/>
              <w:right w:val="nil"/>
            </w:tcBorders>
            <w:noWrap/>
            <w:vAlign w:val="center"/>
            <w:hideMark/>
          </w:tcPr>
          <w:p w14:paraId="2E14841C" w14:textId="77777777" w:rsidR="00944613" w:rsidRPr="00B14EE7" w:rsidRDefault="00944613" w:rsidP="00BB6153">
            <w:pPr>
              <w:jc w:val="center"/>
              <w:rPr>
                <w:rFonts w:ascii="Arial" w:hAnsi="Arial" w:cs="Arial"/>
                <w:color w:val="000000"/>
              </w:rPr>
            </w:pPr>
            <w:r w:rsidRPr="00B14EE7">
              <w:rPr>
                <w:rFonts w:ascii="Arial" w:hAnsi="Arial" w:cs="Arial"/>
                <w:color w:val="000000"/>
              </w:rPr>
              <w:t>6.934</w:t>
            </w:r>
          </w:p>
        </w:tc>
        <w:tc>
          <w:tcPr>
            <w:tcW w:w="851" w:type="dxa"/>
            <w:tcBorders>
              <w:top w:val="nil"/>
              <w:left w:val="nil"/>
              <w:bottom w:val="nil"/>
              <w:right w:val="nil"/>
            </w:tcBorders>
            <w:noWrap/>
            <w:vAlign w:val="center"/>
            <w:hideMark/>
          </w:tcPr>
          <w:p w14:paraId="641CFA2A" w14:textId="77777777" w:rsidR="00944613" w:rsidRPr="00B14EE7" w:rsidRDefault="00944613" w:rsidP="00BB6153">
            <w:pPr>
              <w:jc w:val="center"/>
              <w:rPr>
                <w:rFonts w:ascii="Arial" w:hAnsi="Arial" w:cs="Arial"/>
                <w:color w:val="000000"/>
              </w:rPr>
            </w:pPr>
            <w:r w:rsidRPr="00B14EE7">
              <w:rPr>
                <w:rFonts w:ascii="Arial" w:hAnsi="Arial" w:cs="Arial"/>
                <w:color w:val="000000"/>
              </w:rPr>
              <w:t>1.465</w:t>
            </w:r>
          </w:p>
        </w:tc>
        <w:tc>
          <w:tcPr>
            <w:tcW w:w="1134" w:type="dxa"/>
            <w:tcBorders>
              <w:top w:val="nil"/>
              <w:left w:val="nil"/>
              <w:bottom w:val="nil"/>
              <w:right w:val="nil"/>
            </w:tcBorders>
            <w:noWrap/>
            <w:vAlign w:val="center"/>
            <w:hideMark/>
          </w:tcPr>
          <w:p w14:paraId="46B60ED9" w14:textId="77777777" w:rsidR="00944613" w:rsidRPr="00B14EE7" w:rsidRDefault="00944613" w:rsidP="00BB6153">
            <w:pPr>
              <w:jc w:val="center"/>
              <w:rPr>
                <w:rFonts w:ascii="Arial" w:hAnsi="Arial" w:cs="Arial"/>
                <w:color w:val="000000"/>
              </w:rPr>
            </w:pPr>
            <w:r w:rsidRPr="00B14EE7">
              <w:rPr>
                <w:rFonts w:ascii="Arial" w:hAnsi="Arial" w:cs="Arial"/>
                <w:color w:val="000000"/>
              </w:rPr>
              <w:t>2.001</w:t>
            </w:r>
          </w:p>
        </w:tc>
      </w:tr>
      <w:tr w:rsidR="00944613" w:rsidRPr="00855BAA" w14:paraId="373F960A" w14:textId="77777777" w:rsidTr="006743A7">
        <w:trPr>
          <w:trHeight w:val="276"/>
        </w:trPr>
        <w:tc>
          <w:tcPr>
            <w:tcW w:w="1017" w:type="dxa"/>
            <w:tcBorders>
              <w:top w:val="nil"/>
              <w:left w:val="nil"/>
              <w:bottom w:val="nil"/>
              <w:right w:val="single" w:sz="4" w:space="0" w:color="auto"/>
            </w:tcBorders>
            <w:noWrap/>
            <w:vAlign w:val="center"/>
            <w:hideMark/>
          </w:tcPr>
          <w:p w14:paraId="17F923D9" w14:textId="77777777" w:rsidR="00944613" w:rsidRPr="00B14EE7" w:rsidRDefault="00944613" w:rsidP="00BB6153">
            <w:pPr>
              <w:jc w:val="center"/>
              <w:rPr>
                <w:rFonts w:ascii="Arial" w:hAnsi="Arial" w:cs="Arial"/>
                <w:color w:val="000000"/>
              </w:rPr>
            </w:pPr>
            <w:r w:rsidRPr="00B14EE7">
              <w:rPr>
                <w:rFonts w:ascii="Arial" w:hAnsi="Arial" w:cs="Arial"/>
                <w:color w:val="000000"/>
              </w:rPr>
              <w:t>2</w:t>
            </w:r>
          </w:p>
        </w:tc>
        <w:tc>
          <w:tcPr>
            <w:tcW w:w="1167" w:type="dxa"/>
            <w:tcBorders>
              <w:top w:val="nil"/>
              <w:left w:val="nil"/>
              <w:bottom w:val="nil"/>
              <w:right w:val="nil"/>
            </w:tcBorders>
            <w:noWrap/>
            <w:vAlign w:val="center"/>
            <w:hideMark/>
          </w:tcPr>
          <w:p w14:paraId="4BE0E75D" w14:textId="77777777" w:rsidR="00944613" w:rsidRPr="00B14EE7" w:rsidRDefault="00944613" w:rsidP="00BB6153">
            <w:pPr>
              <w:jc w:val="center"/>
              <w:rPr>
                <w:rFonts w:ascii="Arial" w:hAnsi="Arial" w:cs="Arial"/>
                <w:color w:val="000000"/>
              </w:rPr>
            </w:pPr>
            <w:r w:rsidRPr="00B14EE7">
              <w:rPr>
                <w:rFonts w:ascii="Arial" w:hAnsi="Arial" w:cs="Arial"/>
                <w:color w:val="000000"/>
              </w:rPr>
              <w:t>1.932</w:t>
            </w:r>
          </w:p>
        </w:tc>
        <w:tc>
          <w:tcPr>
            <w:tcW w:w="1043" w:type="dxa"/>
            <w:tcBorders>
              <w:top w:val="nil"/>
              <w:left w:val="nil"/>
              <w:bottom w:val="nil"/>
              <w:right w:val="nil"/>
            </w:tcBorders>
            <w:noWrap/>
            <w:vAlign w:val="center"/>
            <w:hideMark/>
          </w:tcPr>
          <w:p w14:paraId="0E18C915" w14:textId="77777777" w:rsidR="00944613" w:rsidRPr="00B14EE7" w:rsidRDefault="00944613" w:rsidP="00BB6153">
            <w:pPr>
              <w:jc w:val="center"/>
              <w:rPr>
                <w:rFonts w:ascii="Arial" w:hAnsi="Arial" w:cs="Arial"/>
                <w:color w:val="000000"/>
              </w:rPr>
            </w:pPr>
            <w:r w:rsidRPr="00B14EE7">
              <w:rPr>
                <w:rFonts w:ascii="Arial" w:hAnsi="Arial" w:cs="Arial"/>
                <w:color w:val="000000"/>
              </w:rPr>
              <w:t>1.354</w:t>
            </w:r>
          </w:p>
        </w:tc>
        <w:tc>
          <w:tcPr>
            <w:tcW w:w="709" w:type="dxa"/>
            <w:tcBorders>
              <w:top w:val="nil"/>
              <w:left w:val="nil"/>
              <w:bottom w:val="nil"/>
              <w:right w:val="nil"/>
            </w:tcBorders>
            <w:noWrap/>
            <w:vAlign w:val="center"/>
            <w:hideMark/>
          </w:tcPr>
          <w:p w14:paraId="67E6EC7D" w14:textId="77777777" w:rsidR="00944613" w:rsidRPr="00B14EE7" w:rsidRDefault="00944613" w:rsidP="00BB6153">
            <w:pPr>
              <w:jc w:val="center"/>
              <w:rPr>
                <w:rFonts w:ascii="Arial" w:hAnsi="Arial" w:cs="Arial"/>
                <w:color w:val="000000"/>
              </w:rPr>
            </w:pPr>
            <w:r w:rsidRPr="00B14EE7">
              <w:rPr>
                <w:rFonts w:ascii="Arial" w:hAnsi="Arial" w:cs="Arial"/>
                <w:color w:val="000000"/>
              </w:rPr>
              <w:t>62.276</w:t>
            </w:r>
          </w:p>
        </w:tc>
        <w:tc>
          <w:tcPr>
            <w:tcW w:w="828" w:type="dxa"/>
            <w:tcBorders>
              <w:top w:val="nil"/>
              <w:left w:val="nil"/>
              <w:bottom w:val="nil"/>
              <w:right w:val="nil"/>
            </w:tcBorders>
            <w:noWrap/>
            <w:vAlign w:val="center"/>
            <w:hideMark/>
          </w:tcPr>
          <w:p w14:paraId="210B6AA7" w14:textId="77777777" w:rsidR="00944613" w:rsidRPr="00B14EE7" w:rsidRDefault="00944613" w:rsidP="00BB6153">
            <w:pPr>
              <w:jc w:val="center"/>
              <w:rPr>
                <w:rFonts w:ascii="Arial" w:hAnsi="Arial" w:cs="Arial"/>
                <w:color w:val="000000"/>
              </w:rPr>
            </w:pPr>
            <w:r w:rsidRPr="00B14EE7">
              <w:rPr>
                <w:rFonts w:ascii="Arial" w:hAnsi="Arial" w:cs="Arial"/>
                <w:color w:val="000000"/>
              </w:rPr>
              <w:t>12.679</w:t>
            </w:r>
          </w:p>
        </w:tc>
        <w:tc>
          <w:tcPr>
            <w:tcW w:w="1014" w:type="dxa"/>
            <w:tcBorders>
              <w:top w:val="nil"/>
              <w:left w:val="nil"/>
              <w:bottom w:val="nil"/>
              <w:right w:val="nil"/>
            </w:tcBorders>
            <w:noWrap/>
            <w:vAlign w:val="center"/>
            <w:hideMark/>
          </w:tcPr>
          <w:p w14:paraId="4E074A14" w14:textId="77777777" w:rsidR="00944613" w:rsidRPr="00B14EE7" w:rsidRDefault="00944613" w:rsidP="00BB6153">
            <w:pPr>
              <w:jc w:val="center"/>
              <w:rPr>
                <w:rFonts w:ascii="Arial" w:hAnsi="Arial" w:cs="Arial"/>
                <w:color w:val="000000"/>
              </w:rPr>
            </w:pPr>
            <w:r w:rsidRPr="00B14EE7">
              <w:rPr>
                <w:rFonts w:ascii="Arial" w:hAnsi="Arial" w:cs="Arial"/>
                <w:color w:val="000000"/>
              </w:rPr>
              <w:t>9.212</w:t>
            </w:r>
          </w:p>
        </w:tc>
        <w:tc>
          <w:tcPr>
            <w:tcW w:w="851" w:type="dxa"/>
            <w:tcBorders>
              <w:top w:val="nil"/>
              <w:left w:val="nil"/>
              <w:bottom w:val="nil"/>
              <w:right w:val="nil"/>
            </w:tcBorders>
            <w:noWrap/>
            <w:vAlign w:val="center"/>
            <w:hideMark/>
          </w:tcPr>
          <w:p w14:paraId="08B1D110" w14:textId="77777777" w:rsidR="00944613" w:rsidRPr="00B14EE7" w:rsidRDefault="00944613" w:rsidP="00BB6153">
            <w:pPr>
              <w:jc w:val="center"/>
              <w:rPr>
                <w:rFonts w:ascii="Arial" w:hAnsi="Arial" w:cs="Arial"/>
                <w:color w:val="000000"/>
              </w:rPr>
            </w:pPr>
            <w:r w:rsidRPr="00B14EE7">
              <w:rPr>
                <w:rFonts w:ascii="Arial" w:hAnsi="Arial" w:cs="Arial"/>
                <w:color w:val="000000"/>
              </w:rPr>
              <w:t>3.616</w:t>
            </w:r>
          </w:p>
        </w:tc>
        <w:tc>
          <w:tcPr>
            <w:tcW w:w="1134" w:type="dxa"/>
            <w:tcBorders>
              <w:top w:val="nil"/>
              <w:left w:val="nil"/>
              <w:bottom w:val="nil"/>
              <w:right w:val="nil"/>
            </w:tcBorders>
            <w:noWrap/>
            <w:vAlign w:val="center"/>
            <w:hideMark/>
          </w:tcPr>
          <w:p w14:paraId="28AE0697" w14:textId="77777777" w:rsidR="00944613" w:rsidRPr="00B14EE7" w:rsidRDefault="00944613" w:rsidP="00BB6153">
            <w:pPr>
              <w:jc w:val="center"/>
              <w:rPr>
                <w:rFonts w:ascii="Arial" w:hAnsi="Arial" w:cs="Arial"/>
                <w:color w:val="000000"/>
              </w:rPr>
            </w:pPr>
            <w:r w:rsidRPr="00B14EE7">
              <w:rPr>
                <w:rFonts w:ascii="Arial" w:hAnsi="Arial" w:cs="Arial"/>
                <w:color w:val="000000"/>
              </w:rPr>
              <w:t>4.260</w:t>
            </w:r>
          </w:p>
        </w:tc>
      </w:tr>
      <w:tr w:rsidR="00944613" w:rsidRPr="00855BAA" w14:paraId="7AB98136" w14:textId="77777777" w:rsidTr="006743A7">
        <w:trPr>
          <w:trHeight w:val="422"/>
        </w:trPr>
        <w:tc>
          <w:tcPr>
            <w:tcW w:w="1017" w:type="dxa"/>
            <w:tcBorders>
              <w:top w:val="nil"/>
              <w:left w:val="nil"/>
              <w:bottom w:val="nil"/>
              <w:right w:val="single" w:sz="4" w:space="0" w:color="auto"/>
            </w:tcBorders>
            <w:noWrap/>
            <w:vAlign w:val="center"/>
            <w:hideMark/>
          </w:tcPr>
          <w:p w14:paraId="1D6BC68A" w14:textId="77777777" w:rsidR="00944613" w:rsidRPr="00B14EE7" w:rsidRDefault="00944613" w:rsidP="00BB6153">
            <w:pPr>
              <w:jc w:val="center"/>
              <w:rPr>
                <w:rFonts w:ascii="Arial" w:hAnsi="Arial" w:cs="Arial"/>
                <w:color w:val="000000"/>
              </w:rPr>
            </w:pPr>
            <w:r w:rsidRPr="00B14EE7">
              <w:rPr>
                <w:rFonts w:ascii="Arial" w:hAnsi="Arial" w:cs="Arial"/>
                <w:color w:val="000000"/>
              </w:rPr>
              <w:t>3</w:t>
            </w:r>
          </w:p>
        </w:tc>
        <w:tc>
          <w:tcPr>
            <w:tcW w:w="1167" w:type="dxa"/>
            <w:tcBorders>
              <w:top w:val="nil"/>
              <w:left w:val="nil"/>
              <w:bottom w:val="nil"/>
              <w:right w:val="nil"/>
            </w:tcBorders>
            <w:noWrap/>
            <w:vAlign w:val="center"/>
            <w:hideMark/>
          </w:tcPr>
          <w:p w14:paraId="4AAC6BDB" w14:textId="77777777" w:rsidR="00944613" w:rsidRPr="00B14EE7" w:rsidRDefault="00944613" w:rsidP="00BB6153">
            <w:pPr>
              <w:jc w:val="center"/>
              <w:rPr>
                <w:rFonts w:ascii="Arial" w:hAnsi="Arial" w:cs="Arial"/>
                <w:color w:val="000000"/>
              </w:rPr>
            </w:pPr>
            <w:r w:rsidRPr="00B14EE7">
              <w:rPr>
                <w:rFonts w:ascii="Arial" w:hAnsi="Arial" w:cs="Arial"/>
                <w:color w:val="000000"/>
              </w:rPr>
              <w:t>0.337</w:t>
            </w:r>
          </w:p>
        </w:tc>
        <w:tc>
          <w:tcPr>
            <w:tcW w:w="1043" w:type="dxa"/>
            <w:tcBorders>
              <w:top w:val="nil"/>
              <w:left w:val="nil"/>
              <w:bottom w:val="nil"/>
              <w:right w:val="nil"/>
            </w:tcBorders>
            <w:noWrap/>
            <w:vAlign w:val="center"/>
            <w:hideMark/>
          </w:tcPr>
          <w:p w14:paraId="53B29496" w14:textId="77777777" w:rsidR="00944613" w:rsidRPr="00B14EE7" w:rsidRDefault="00944613" w:rsidP="00BB6153">
            <w:pPr>
              <w:jc w:val="center"/>
              <w:rPr>
                <w:rFonts w:ascii="Arial" w:hAnsi="Arial" w:cs="Arial"/>
                <w:color w:val="000000"/>
              </w:rPr>
            </w:pPr>
            <w:r w:rsidRPr="00B14EE7">
              <w:rPr>
                <w:rFonts w:ascii="Arial" w:hAnsi="Arial" w:cs="Arial"/>
                <w:color w:val="000000"/>
              </w:rPr>
              <w:t>1.044</w:t>
            </w:r>
          </w:p>
        </w:tc>
        <w:tc>
          <w:tcPr>
            <w:tcW w:w="709" w:type="dxa"/>
            <w:tcBorders>
              <w:top w:val="nil"/>
              <w:left w:val="nil"/>
              <w:bottom w:val="nil"/>
              <w:right w:val="nil"/>
            </w:tcBorders>
            <w:noWrap/>
            <w:vAlign w:val="center"/>
            <w:hideMark/>
          </w:tcPr>
          <w:p w14:paraId="04FB2B24" w14:textId="77777777" w:rsidR="00944613" w:rsidRPr="00B14EE7" w:rsidRDefault="00944613" w:rsidP="00BB6153">
            <w:pPr>
              <w:jc w:val="center"/>
              <w:rPr>
                <w:rFonts w:ascii="Arial" w:hAnsi="Arial" w:cs="Arial"/>
                <w:color w:val="000000"/>
              </w:rPr>
            </w:pPr>
            <w:r w:rsidRPr="00B14EE7">
              <w:rPr>
                <w:rFonts w:ascii="Arial" w:hAnsi="Arial" w:cs="Arial"/>
                <w:color w:val="000000"/>
              </w:rPr>
              <w:t>88.924</w:t>
            </w:r>
          </w:p>
        </w:tc>
        <w:tc>
          <w:tcPr>
            <w:tcW w:w="828" w:type="dxa"/>
            <w:tcBorders>
              <w:top w:val="nil"/>
              <w:left w:val="nil"/>
              <w:bottom w:val="nil"/>
              <w:right w:val="nil"/>
            </w:tcBorders>
            <w:noWrap/>
            <w:vAlign w:val="center"/>
            <w:hideMark/>
          </w:tcPr>
          <w:p w14:paraId="32B2C617" w14:textId="77777777" w:rsidR="00944613" w:rsidRPr="00B14EE7" w:rsidRDefault="00944613" w:rsidP="00BB6153">
            <w:pPr>
              <w:jc w:val="center"/>
              <w:rPr>
                <w:rFonts w:ascii="Arial" w:hAnsi="Arial" w:cs="Arial"/>
                <w:color w:val="000000"/>
              </w:rPr>
            </w:pPr>
            <w:r w:rsidRPr="00B14EE7">
              <w:rPr>
                <w:rFonts w:ascii="Arial" w:hAnsi="Arial" w:cs="Arial"/>
                <w:color w:val="000000"/>
              </w:rPr>
              <w:t>5.713</w:t>
            </w:r>
          </w:p>
        </w:tc>
        <w:tc>
          <w:tcPr>
            <w:tcW w:w="1014" w:type="dxa"/>
            <w:tcBorders>
              <w:top w:val="nil"/>
              <w:left w:val="nil"/>
              <w:bottom w:val="nil"/>
              <w:right w:val="nil"/>
            </w:tcBorders>
            <w:noWrap/>
            <w:vAlign w:val="center"/>
            <w:hideMark/>
          </w:tcPr>
          <w:p w14:paraId="0F663B2C" w14:textId="77777777" w:rsidR="00944613" w:rsidRPr="00B14EE7" w:rsidRDefault="00944613" w:rsidP="00BB6153">
            <w:pPr>
              <w:jc w:val="center"/>
              <w:rPr>
                <w:rFonts w:ascii="Arial" w:hAnsi="Arial" w:cs="Arial"/>
                <w:color w:val="000000"/>
              </w:rPr>
            </w:pPr>
            <w:r w:rsidRPr="00B14EE7">
              <w:rPr>
                <w:rFonts w:ascii="Arial" w:hAnsi="Arial" w:cs="Arial"/>
                <w:color w:val="000000"/>
              </w:rPr>
              <w:t>2.205</w:t>
            </w:r>
          </w:p>
        </w:tc>
        <w:tc>
          <w:tcPr>
            <w:tcW w:w="851" w:type="dxa"/>
            <w:tcBorders>
              <w:top w:val="nil"/>
              <w:left w:val="nil"/>
              <w:bottom w:val="nil"/>
              <w:right w:val="nil"/>
            </w:tcBorders>
            <w:noWrap/>
            <w:vAlign w:val="center"/>
            <w:hideMark/>
          </w:tcPr>
          <w:p w14:paraId="5FF8C027" w14:textId="77777777" w:rsidR="00944613" w:rsidRPr="00B14EE7" w:rsidRDefault="00944613" w:rsidP="00BB6153">
            <w:pPr>
              <w:jc w:val="center"/>
              <w:rPr>
                <w:rFonts w:ascii="Arial" w:hAnsi="Arial" w:cs="Arial"/>
                <w:color w:val="000000"/>
              </w:rPr>
            </w:pPr>
            <w:r w:rsidRPr="00B14EE7">
              <w:rPr>
                <w:rFonts w:ascii="Arial" w:hAnsi="Arial" w:cs="Arial"/>
                <w:color w:val="000000"/>
              </w:rPr>
              <w:t>0.551</w:t>
            </w:r>
          </w:p>
        </w:tc>
        <w:tc>
          <w:tcPr>
            <w:tcW w:w="1134" w:type="dxa"/>
            <w:tcBorders>
              <w:top w:val="nil"/>
              <w:left w:val="nil"/>
              <w:bottom w:val="nil"/>
              <w:right w:val="nil"/>
            </w:tcBorders>
            <w:noWrap/>
            <w:vAlign w:val="center"/>
            <w:hideMark/>
          </w:tcPr>
          <w:p w14:paraId="64F088B5" w14:textId="77777777" w:rsidR="00944613" w:rsidRPr="00B14EE7" w:rsidRDefault="00944613" w:rsidP="00BB6153">
            <w:pPr>
              <w:jc w:val="center"/>
              <w:rPr>
                <w:rFonts w:ascii="Arial" w:hAnsi="Arial" w:cs="Arial"/>
                <w:color w:val="000000"/>
              </w:rPr>
            </w:pPr>
            <w:r w:rsidRPr="00B14EE7">
              <w:rPr>
                <w:rFonts w:ascii="Arial" w:hAnsi="Arial" w:cs="Arial"/>
                <w:color w:val="000000"/>
              </w:rPr>
              <w:t>0.703</w:t>
            </w:r>
          </w:p>
        </w:tc>
      </w:tr>
      <w:tr w:rsidR="00944613" w:rsidRPr="00855BAA" w14:paraId="04760C44" w14:textId="77777777" w:rsidTr="006743A7">
        <w:trPr>
          <w:trHeight w:val="49"/>
        </w:trPr>
        <w:tc>
          <w:tcPr>
            <w:tcW w:w="1017" w:type="dxa"/>
            <w:tcBorders>
              <w:top w:val="nil"/>
              <w:left w:val="nil"/>
              <w:bottom w:val="nil"/>
              <w:right w:val="single" w:sz="4" w:space="0" w:color="auto"/>
            </w:tcBorders>
            <w:noWrap/>
            <w:vAlign w:val="center"/>
            <w:hideMark/>
          </w:tcPr>
          <w:p w14:paraId="399EDF51" w14:textId="77777777" w:rsidR="00944613" w:rsidRPr="00B14EE7" w:rsidRDefault="00944613" w:rsidP="00BB6153">
            <w:pPr>
              <w:jc w:val="center"/>
              <w:rPr>
                <w:rFonts w:ascii="Arial" w:hAnsi="Arial" w:cs="Arial"/>
                <w:color w:val="000000"/>
              </w:rPr>
            </w:pPr>
            <w:r w:rsidRPr="00B14EE7">
              <w:rPr>
                <w:rFonts w:ascii="Arial" w:hAnsi="Arial" w:cs="Arial"/>
                <w:color w:val="000000"/>
              </w:rPr>
              <w:t> </w:t>
            </w:r>
          </w:p>
        </w:tc>
        <w:tc>
          <w:tcPr>
            <w:tcW w:w="1167" w:type="dxa"/>
            <w:tcBorders>
              <w:top w:val="nil"/>
              <w:left w:val="nil"/>
              <w:bottom w:val="nil"/>
              <w:right w:val="nil"/>
            </w:tcBorders>
            <w:noWrap/>
            <w:vAlign w:val="center"/>
            <w:hideMark/>
          </w:tcPr>
          <w:p w14:paraId="1EE9F314" w14:textId="77777777" w:rsidR="00944613" w:rsidRPr="00B14EE7" w:rsidRDefault="00944613" w:rsidP="00BB6153">
            <w:pPr>
              <w:jc w:val="center"/>
              <w:rPr>
                <w:rFonts w:ascii="Arial" w:hAnsi="Arial" w:cs="Arial"/>
                <w:color w:val="000000"/>
              </w:rPr>
            </w:pPr>
          </w:p>
        </w:tc>
        <w:tc>
          <w:tcPr>
            <w:tcW w:w="1043" w:type="dxa"/>
            <w:tcBorders>
              <w:top w:val="nil"/>
              <w:left w:val="nil"/>
              <w:bottom w:val="nil"/>
              <w:right w:val="nil"/>
            </w:tcBorders>
            <w:noWrap/>
            <w:vAlign w:val="center"/>
            <w:hideMark/>
          </w:tcPr>
          <w:p w14:paraId="101F1924" w14:textId="77777777" w:rsidR="00944613" w:rsidRPr="00B14EE7" w:rsidRDefault="00944613" w:rsidP="00BB6153">
            <w:pPr>
              <w:jc w:val="center"/>
              <w:rPr>
                <w:rFonts w:ascii="Arial" w:hAnsi="Arial" w:cs="Arial"/>
              </w:rPr>
            </w:pPr>
          </w:p>
        </w:tc>
        <w:tc>
          <w:tcPr>
            <w:tcW w:w="709" w:type="dxa"/>
            <w:tcBorders>
              <w:top w:val="nil"/>
              <w:left w:val="nil"/>
              <w:bottom w:val="nil"/>
              <w:right w:val="nil"/>
            </w:tcBorders>
            <w:noWrap/>
            <w:vAlign w:val="center"/>
            <w:hideMark/>
          </w:tcPr>
          <w:p w14:paraId="14142983" w14:textId="77777777" w:rsidR="00944613" w:rsidRPr="00B14EE7" w:rsidRDefault="00944613" w:rsidP="00BB6153">
            <w:pPr>
              <w:jc w:val="center"/>
              <w:rPr>
                <w:rFonts w:ascii="Arial" w:hAnsi="Arial" w:cs="Arial"/>
              </w:rPr>
            </w:pPr>
          </w:p>
        </w:tc>
        <w:tc>
          <w:tcPr>
            <w:tcW w:w="828" w:type="dxa"/>
            <w:tcBorders>
              <w:top w:val="nil"/>
              <w:left w:val="nil"/>
              <w:bottom w:val="nil"/>
              <w:right w:val="nil"/>
            </w:tcBorders>
            <w:noWrap/>
            <w:vAlign w:val="center"/>
            <w:hideMark/>
          </w:tcPr>
          <w:p w14:paraId="6489393D" w14:textId="77777777" w:rsidR="00944613" w:rsidRPr="00B14EE7" w:rsidRDefault="00944613" w:rsidP="00BB6153">
            <w:pPr>
              <w:jc w:val="center"/>
              <w:rPr>
                <w:rFonts w:ascii="Arial" w:hAnsi="Arial" w:cs="Arial"/>
              </w:rPr>
            </w:pPr>
          </w:p>
        </w:tc>
        <w:tc>
          <w:tcPr>
            <w:tcW w:w="1014" w:type="dxa"/>
            <w:tcBorders>
              <w:top w:val="nil"/>
              <w:left w:val="nil"/>
              <w:bottom w:val="nil"/>
              <w:right w:val="nil"/>
            </w:tcBorders>
            <w:noWrap/>
            <w:vAlign w:val="center"/>
            <w:hideMark/>
          </w:tcPr>
          <w:p w14:paraId="7F65D144" w14:textId="77777777" w:rsidR="00944613" w:rsidRPr="00B14EE7" w:rsidRDefault="00944613" w:rsidP="00BB6153">
            <w:pPr>
              <w:jc w:val="center"/>
              <w:rPr>
                <w:rFonts w:ascii="Arial" w:hAnsi="Arial" w:cs="Arial"/>
              </w:rPr>
            </w:pPr>
          </w:p>
        </w:tc>
        <w:tc>
          <w:tcPr>
            <w:tcW w:w="851" w:type="dxa"/>
            <w:tcBorders>
              <w:top w:val="nil"/>
              <w:left w:val="nil"/>
              <w:bottom w:val="nil"/>
              <w:right w:val="nil"/>
            </w:tcBorders>
            <w:noWrap/>
            <w:vAlign w:val="center"/>
            <w:hideMark/>
          </w:tcPr>
          <w:p w14:paraId="001A246E" w14:textId="77777777" w:rsidR="00944613" w:rsidRPr="00B14EE7" w:rsidRDefault="00944613" w:rsidP="00BB6153">
            <w:pPr>
              <w:jc w:val="center"/>
              <w:rPr>
                <w:rFonts w:ascii="Arial" w:hAnsi="Arial" w:cs="Arial"/>
              </w:rPr>
            </w:pPr>
          </w:p>
        </w:tc>
        <w:tc>
          <w:tcPr>
            <w:tcW w:w="1134" w:type="dxa"/>
            <w:tcBorders>
              <w:top w:val="nil"/>
              <w:left w:val="nil"/>
              <w:bottom w:val="nil"/>
              <w:right w:val="nil"/>
            </w:tcBorders>
            <w:noWrap/>
            <w:vAlign w:val="center"/>
            <w:hideMark/>
          </w:tcPr>
          <w:p w14:paraId="05F433DB" w14:textId="77777777" w:rsidR="00944613" w:rsidRPr="00B14EE7" w:rsidRDefault="00944613" w:rsidP="00BB6153">
            <w:pPr>
              <w:jc w:val="center"/>
              <w:rPr>
                <w:rFonts w:ascii="Arial" w:hAnsi="Arial" w:cs="Arial"/>
              </w:rPr>
            </w:pPr>
          </w:p>
        </w:tc>
      </w:tr>
      <w:tr w:rsidR="00944613" w:rsidRPr="00855BAA" w14:paraId="3DA8A774" w14:textId="77777777" w:rsidTr="006743A7">
        <w:trPr>
          <w:trHeight w:val="501"/>
        </w:trPr>
        <w:tc>
          <w:tcPr>
            <w:tcW w:w="1017" w:type="dxa"/>
            <w:tcBorders>
              <w:top w:val="nil"/>
              <w:left w:val="nil"/>
              <w:bottom w:val="single" w:sz="8" w:space="0" w:color="auto"/>
              <w:right w:val="single" w:sz="4" w:space="0" w:color="auto"/>
            </w:tcBorders>
            <w:noWrap/>
            <w:vAlign w:val="center"/>
            <w:hideMark/>
          </w:tcPr>
          <w:p w14:paraId="3FC134ED" w14:textId="77777777" w:rsidR="00944613" w:rsidRPr="00B14EE7" w:rsidRDefault="00944613" w:rsidP="00BB6153">
            <w:pPr>
              <w:jc w:val="center"/>
              <w:rPr>
                <w:rFonts w:ascii="Arial" w:hAnsi="Arial" w:cs="Arial"/>
                <w:b/>
                <w:color w:val="000000"/>
              </w:rPr>
            </w:pPr>
            <w:r w:rsidRPr="00B14EE7">
              <w:rPr>
                <w:rFonts w:ascii="Arial" w:hAnsi="Arial" w:cs="Arial"/>
                <w:b/>
                <w:color w:val="000000"/>
              </w:rPr>
              <w:t> </w:t>
            </w:r>
          </w:p>
        </w:tc>
        <w:tc>
          <w:tcPr>
            <w:tcW w:w="1167" w:type="dxa"/>
            <w:tcBorders>
              <w:top w:val="nil"/>
              <w:left w:val="nil"/>
              <w:bottom w:val="single" w:sz="8" w:space="0" w:color="auto"/>
              <w:right w:val="nil"/>
            </w:tcBorders>
            <w:noWrap/>
            <w:vAlign w:val="center"/>
            <w:hideMark/>
          </w:tcPr>
          <w:p w14:paraId="72183FCE" w14:textId="77777777" w:rsidR="00944613" w:rsidRPr="00B14EE7" w:rsidRDefault="00944613" w:rsidP="00BB6153">
            <w:pPr>
              <w:jc w:val="center"/>
              <w:rPr>
                <w:rFonts w:ascii="Arial" w:hAnsi="Arial" w:cs="Arial"/>
                <w:b/>
                <w:color w:val="000000"/>
              </w:rPr>
            </w:pPr>
            <w:r w:rsidRPr="00B14EE7">
              <w:rPr>
                <w:rFonts w:ascii="Arial" w:hAnsi="Arial" w:cs="Arial"/>
                <w:b/>
                <w:color w:val="000000"/>
              </w:rPr>
              <w:t>I-C</w:t>
            </w:r>
            <w:r w:rsidRPr="00B14EE7">
              <w:rPr>
                <w:rFonts w:ascii="Arial" w:hAnsi="Arial" w:cs="Arial"/>
                <w:b/>
                <w:color w:val="000000"/>
                <w:vertAlign w:val="subscript"/>
              </w:rPr>
              <w:t>5</w:t>
            </w:r>
            <w:r w:rsidRPr="00B14EE7">
              <w:rPr>
                <w:rFonts w:ascii="Arial" w:hAnsi="Arial" w:cs="Arial"/>
                <w:b/>
                <w:color w:val="000000"/>
              </w:rPr>
              <w:t>H</w:t>
            </w:r>
            <w:r w:rsidRPr="00B14EE7">
              <w:rPr>
                <w:rFonts w:ascii="Arial" w:hAnsi="Arial" w:cs="Arial"/>
                <w:b/>
                <w:color w:val="000000"/>
                <w:vertAlign w:val="subscript"/>
              </w:rPr>
              <w:t>12</w:t>
            </w:r>
          </w:p>
        </w:tc>
        <w:tc>
          <w:tcPr>
            <w:tcW w:w="1043" w:type="dxa"/>
            <w:tcBorders>
              <w:top w:val="nil"/>
              <w:left w:val="nil"/>
              <w:bottom w:val="single" w:sz="8" w:space="0" w:color="auto"/>
              <w:right w:val="nil"/>
            </w:tcBorders>
            <w:noWrap/>
            <w:vAlign w:val="center"/>
            <w:hideMark/>
          </w:tcPr>
          <w:p w14:paraId="2754A784" w14:textId="77777777" w:rsidR="00944613" w:rsidRPr="00B14EE7" w:rsidRDefault="00944613" w:rsidP="00BB6153">
            <w:pPr>
              <w:jc w:val="center"/>
              <w:rPr>
                <w:rFonts w:ascii="Arial" w:hAnsi="Arial" w:cs="Arial"/>
                <w:b/>
                <w:color w:val="000000"/>
              </w:rPr>
            </w:pPr>
            <w:r w:rsidRPr="00B14EE7">
              <w:rPr>
                <w:rFonts w:ascii="Arial" w:hAnsi="Arial" w:cs="Arial"/>
                <w:b/>
                <w:color w:val="000000"/>
              </w:rPr>
              <w:t>N-C</w:t>
            </w:r>
            <w:r w:rsidRPr="00B14EE7">
              <w:rPr>
                <w:rFonts w:ascii="Arial" w:hAnsi="Arial" w:cs="Arial"/>
                <w:b/>
                <w:color w:val="000000"/>
                <w:vertAlign w:val="subscript"/>
              </w:rPr>
              <w:t>5</w:t>
            </w:r>
            <w:r w:rsidRPr="00B14EE7">
              <w:rPr>
                <w:rFonts w:ascii="Arial" w:hAnsi="Arial" w:cs="Arial"/>
                <w:b/>
                <w:color w:val="000000"/>
              </w:rPr>
              <w:t>H</w:t>
            </w:r>
            <w:r w:rsidRPr="00B14EE7">
              <w:rPr>
                <w:rFonts w:ascii="Arial" w:hAnsi="Arial" w:cs="Arial"/>
                <w:b/>
                <w:color w:val="000000"/>
                <w:vertAlign w:val="subscript"/>
              </w:rPr>
              <w:t>12</w:t>
            </w:r>
          </w:p>
        </w:tc>
        <w:tc>
          <w:tcPr>
            <w:tcW w:w="709" w:type="dxa"/>
            <w:tcBorders>
              <w:top w:val="nil"/>
              <w:left w:val="nil"/>
              <w:bottom w:val="single" w:sz="8" w:space="0" w:color="auto"/>
              <w:right w:val="nil"/>
            </w:tcBorders>
            <w:noWrap/>
            <w:vAlign w:val="center"/>
            <w:hideMark/>
          </w:tcPr>
          <w:p w14:paraId="75AB3928" w14:textId="77777777" w:rsidR="00944613" w:rsidRPr="00B14EE7" w:rsidRDefault="00944613" w:rsidP="00BB6153">
            <w:pPr>
              <w:jc w:val="center"/>
              <w:rPr>
                <w:rFonts w:ascii="Arial" w:hAnsi="Arial" w:cs="Arial"/>
                <w:b/>
                <w:color w:val="000000"/>
              </w:rPr>
            </w:pPr>
            <w:r w:rsidRPr="00B14EE7">
              <w:rPr>
                <w:rFonts w:ascii="Arial" w:hAnsi="Arial" w:cs="Arial"/>
                <w:b/>
                <w:color w:val="000000"/>
              </w:rPr>
              <w:t>C</w:t>
            </w:r>
            <w:r w:rsidRPr="00B14EE7">
              <w:rPr>
                <w:rFonts w:ascii="Arial" w:hAnsi="Arial" w:cs="Arial"/>
                <w:b/>
                <w:color w:val="000000"/>
                <w:vertAlign w:val="subscript"/>
              </w:rPr>
              <w:t>6</w:t>
            </w:r>
            <w:r w:rsidRPr="00B14EE7">
              <w:rPr>
                <w:rFonts w:ascii="Arial" w:hAnsi="Arial" w:cs="Arial"/>
                <w:b/>
                <w:color w:val="000000"/>
              </w:rPr>
              <w:t>H</w:t>
            </w:r>
            <w:r w:rsidRPr="00B14EE7">
              <w:rPr>
                <w:rFonts w:ascii="Arial" w:hAnsi="Arial" w:cs="Arial"/>
                <w:b/>
                <w:color w:val="000000"/>
                <w:vertAlign w:val="subscript"/>
              </w:rPr>
              <w:t>14</w:t>
            </w:r>
          </w:p>
        </w:tc>
        <w:tc>
          <w:tcPr>
            <w:tcW w:w="828" w:type="dxa"/>
            <w:tcBorders>
              <w:top w:val="nil"/>
              <w:left w:val="nil"/>
              <w:bottom w:val="single" w:sz="8" w:space="0" w:color="auto"/>
              <w:right w:val="nil"/>
            </w:tcBorders>
            <w:noWrap/>
            <w:vAlign w:val="center"/>
            <w:hideMark/>
          </w:tcPr>
          <w:p w14:paraId="44BCBB4D" w14:textId="77777777" w:rsidR="00944613" w:rsidRPr="00B14EE7" w:rsidRDefault="00944613" w:rsidP="00BB6153">
            <w:pPr>
              <w:jc w:val="center"/>
              <w:rPr>
                <w:rFonts w:ascii="Arial" w:hAnsi="Arial" w:cs="Arial"/>
                <w:b/>
                <w:color w:val="000000"/>
              </w:rPr>
            </w:pPr>
            <w:r w:rsidRPr="00B14EE7">
              <w:rPr>
                <w:rFonts w:ascii="Arial" w:hAnsi="Arial" w:cs="Arial"/>
                <w:b/>
                <w:color w:val="000000"/>
              </w:rPr>
              <w:t>C</w:t>
            </w:r>
            <w:r w:rsidRPr="00B14EE7">
              <w:rPr>
                <w:rFonts w:ascii="Arial" w:hAnsi="Arial" w:cs="Arial"/>
                <w:b/>
                <w:color w:val="000000"/>
                <w:vertAlign w:val="subscript"/>
              </w:rPr>
              <w:t>7</w:t>
            </w:r>
            <w:r w:rsidRPr="00B14EE7">
              <w:rPr>
                <w:rFonts w:ascii="Arial" w:hAnsi="Arial" w:cs="Arial"/>
                <w:b/>
                <w:color w:val="000000"/>
              </w:rPr>
              <w:t>H</w:t>
            </w:r>
            <w:r w:rsidRPr="00B14EE7">
              <w:rPr>
                <w:rFonts w:ascii="Arial" w:hAnsi="Arial" w:cs="Arial"/>
                <w:b/>
                <w:color w:val="000000"/>
                <w:vertAlign w:val="subscript"/>
              </w:rPr>
              <w:t>16</w:t>
            </w:r>
          </w:p>
        </w:tc>
        <w:tc>
          <w:tcPr>
            <w:tcW w:w="1014" w:type="dxa"/>
            <w:tcBorders>
              <w:top w:val="nil"/>
              <w:left w:val="nil"/>
              <w:bottom w:val="single" w:sz="8" w:space="0" w:color="auto"/>
              <w:right w:val="nil"/>
            </w:tcBorders>
            <w:noWrap/>
            <w:vAlign w:val="center"/>
            <w:hideMark/>
          </w:tcPr>
          <w:p w14:paraId="176A57E9" w14:textId="77777777" w:rsidR="00944613" w:rsidRPr="00B14EE7" w:rsidRDefault="00944613" w:rsidP="00BB6153">
            <w:pPr>
              <w:jc w:val="center"/>
              <w:rPr>
                <w:rFonts w:ascii="Arial" w:hAnsi="Arial" w:cs="Arial"/>
                <w:b/>
                <w:color w:val="000000"/>
              </w:rPr>
            </w:pPr>
            <w:r w:rsidRPr="00B14EE7">
              <w:rPr>
                <w:rFonts w:ascii="Arial" w:hAnsi="Arial" w:cs="Arial"/>
                <w:b/>
                <w:color w:val="000000"/>
              </w:rPr>
              <w:t>C</w:t>
            </w:r>
            <w:r w:rsidRPr="00B14EE7">
              <w:rPr>
                <w:rFonts w:ascii="Arial" w:hAnsi="Arial" w:cs="Arial"/>
                <w:b/>
                <w:color w:val="000000"/>
                <w:vertAlign w:val="subscript"/>
              </w:rPr>
              <w:t>8</w:t>
            </w:r>
            <w:r w:rsidRPr="00B14EE7">
              <w:rPr>
                <w:rFonts w:ascii="Arial" w:hAnsi="Arial" w:cs="Arial"/>
                <w:b/>
                <w:color w:val="000000"/>
              </w:rPr>
              <w:t>H</w:t>
            </w:r>
            <w:r w:rsidRPr="00B14EE7">
              <w:rPr>
                <w:rFonts w:ascii="Arial" w:hAnsi="Arial" w:cs="Arial"/>
                <w:b/>
                <w:color w:val="000000"/>
                <w:vertAlign w:val="subscript"/>
              </w:rPr>
              <w:t>18</w:t>
            </w:r>
          </w:p>
        </w:tc>
        <w:tc>
          <w:tcPr>
            <w:tcW w:w="851" w:type="dxa"/>
            <w:tcBorders>
              <w:top w:val="nil"/>
              <w:left w:val="nil"/>
              <w:bottom w:val="single" w:sz="8" w:space="0" w:color="auto"/>
              <w:right w:val="nil"/>
            </w:tcBorders>
            <w:noWrap/>
            <w:vAlign w:val="center"/>
            <w:hideMark/>
          </w:tcPr>
          <w:p w14:paraId="65BB3E70" w14:textId="77777777" w:rsidR="00944613" w:rsidRPr="00B14EE7" w:rsidRDefault="00944613" w:rsidP="00BB6153">
            <w:pPr>
              <w:jc w:val="center"/>
              <w:rPr>
                <w:rFonts w:ascii="Arial" w:hAnsi="Arial" w:cs="Arial"/>
                <w:b/>
                <w:color w:val="000000"/>
              </w:rPr>
            </w:pPr>
            <w:r w:rsidRPr="00B14EE7">
              <w:rPr>
                <w:rFonts w:ascii="Arial" w:hAnsi="Arial" w:cs="Arial"/>
                <w:b/>
                <w:color w:val="000000"/>
              </w:rPr>
              <w:t>C</w:t>
            </w:r>
            <w:r w:rsidRPr="00B14EE7">
              <w:rPr>
                <w:rFonts w:ascii="Arial" w:hAnsi="Arial" w:cs="Arial"/>
                <w:b/>
                <w:color w:val="000000"/>
                <w:vertAlign w:val="subscript"/>
              </w:rPr>
              <w:t>9</w:t>
            </w:r>
            <w:r w:rsidRPr="00B14EE7">
              <w:rPr>
                <w:rFonts w:ascii="Arial" w:hAnsi="Arial" w:cs="Arial"/>
                <w:b/>
                <w:color w:val="000000"/>
              </w:rPr>
              <w:t>H</w:t>
            </w:r>
            <w:r w:rsidRPr="00B14EE7">
              <w:rPr>
                <w:rFonts w:ascii="Arial" w:hAnsi="Arial" w:cs="Arial"/>
                <w:b/>
                <w:color w:val="000000"/>
                <w:vertAlign w:val="subscript"/>
              </w:rPr>
              <w:t>20</w:t>
            </w:r>
          </w:p>
        </w:tc>
        <w:tc>
          <w:tcPr>
            <w:tcW w:w="1134" w:type="dxa"/>
            <w:tcBorders>
              <w:top w:val="nil"/>
              <w:left w:val="nil"/>
              <w:bottom w:val="single" w:sz="8" w:space="0" w:color="auto"/>
              <w:right w:val="nil"/>
            </w:tcBorders>
            <w:noWrap/>
            <w:vAlign w:val="center"/>
            <w:hideMark/>
          </w:tcPr>
          <w:p w14:paraId="5B5742C0" w14:textId="77777777" w:rsidR="00944613" w:rsidRPr="00B14EE7" w:rsidRDefault="00944613" w:rsidP="00BB6153">
            <w:pPr>
              <w:jc w:val="center"/>
              <w:rPr>
                <w:rFonts w:ascii="Arial" w:hAnsi="Arial" w:cs="Arial"/>
                <w:b/>
                <w:color w:val="000000"/>
              </w:rPr>
            </w:pPr>
            <w:r w:rsidRPr="00B14EE7">
              <w:rPr>
                <w:rFonts w:ascii="Arial" w:hAnsi="Arial" w:cs="Arial"/>
                <w:b/>
                <w:color w:val="000000"/>
              </w:rPr>
              <w:t>C</w:t>
            </w:r>
            <w:r w:rsidRPr="00B14EE7">
              <w:rPr>
                <w:rFonts w:ascii="Arial" w:hAnsi="Arial" w:cs="Arial"/>
                <w:b/>
                <w:color w:val="000000"/>
                <w:vertAlign w:val="subscript"/>
              </w:rPr>
              <w:t>10</w:t>
            </w:r>
            <w:r w:rsidRPr="00B14EE7">
              <w:rPr>
                <w:rFonts w:ascii="Arial" w:hAnsi="Arial" w:cs="Arial"/>
                <w:b/>
                <w:color w:val="000000"/>
              </w:rPr>
              <w:t>+</w:t>
            </w:r>
          </w:p>
        </w:tc>
      </w:tr>
      <w:tr w:rsidR="00944613" w:rsidRPr="00855BAA" w14:paraId="009D0245" w14:textId="77777777" w:rsidTr="006743A7">
        <w:trPr>
          <w:trHeight w:val="247"/>
        </w:trPr>
        <w:tc>
          <w:tcPr>
            <w:tcW w:w="1017" w:type="dxa"/>
            <w:tcBorders>
              <w:top w:val="nil"/>
              <w:left w:val="nil"/>
              <w:bottom w:val="nil"/>
              <w:right w:val="single" w:sz="4" w:space="0" w:color="auto"/>
            </w:tcBorders>
            <w:noWrap/>
            <w:vAlign w:val="center"/>
            <w:hideMark/>
          </w:tcPr>
          <w:p w14:paraId="0A2CCF9B" w14:textId="77777777" w:rsidR="00944613" w:rsidRPr="00B14EE7" w:rsidRDefault="00944613" w:rsidP="00BB6153">
            <w:pPr>
              <w:jc w:val="center"/>
              <w:rPr>
                <w:rFonts w:ascii="Arial" w:hAnsi="Arial" w:cs="Arial"/>
                <w:color w:val="000000"/>
              </w:rPr>
            </w:pPr>
            <w:r w:rsidRPr="00B14EE7">
              <w:rPr>
                <w:rFonts w:ascii="Arial" w:hAnsi="Arial" w:cs="Arial"/>
                <w:color w:val="000000"/>
              </w:rPr>
              <w:t>0</w:t>
            </w:r>
          </w:p>
        </w:tc>
        <w:tc>
          <w:tcPr>
            <w:tcW w:w="1167" w:type="dxa"/>
            <w:tcBorders>
              <w:top w:val="nil"/>
              <w:left w:val="nil"/>
              <w:bottom w:val="nil"/>
              <w:right w:val="nil"/>
            </w:tcBorders>
            <w:noWrap/>
            <w:vAlign w:val="center"/>
            <w:hideMark/>
          </w:tcPr>
          <w:p w14:paraId="74252534" w14:textId="77777777" w:rsidR="00944613" w:rsidRPr="00B14EE7" w:rsidRDefault="00944613" w:rsidP="00BB6153">
            <w:pPr>
              <w:jc w:val="center"/>
              <w:rPr>
                <w:rFonts w:ascii="Arial" w:hAnsi="Arial" w:cs="Arial"/>
                <w:color w:val="000000"/>
              </w:rPr>
            </w:pPr>
            <w:r w:rsidRPr="00B14EE7">
              <w:rPr>
                <w:rFonts w:ascii="Arial" w:hAnsi="Arial" w:cs="Arial"/>
                <w:color w:val="000000"/>
              </w:rPr>
              <w:t>0.168</w:t>
            </w:r>
          </w:p>
        </w:tc>
        <w:tc>
          <w:tcPr>
            <w:tcW w:w="1043" w:type="dxa"/>
            <w:tcBorders>
              <w:top w:val="nil"/>
              <w:left w:val="nil"/>
              <w:bottom w:val="nil"/>
              <w:right w:val="nil"/>
            </w:tcBorders>
            <w:noWrap/>
            <w:vAlign w:val="center"/>
            <w:hideMark/>
          </w:tcPr>
          <w:p w14:paraId="5011290F" w14:textId="77777777" w:rsidR="00944613" w:rsidRPr="00B14EE7" w:rsidRDefault="00944613" w:rsidP="00BB6153">
            <w:pPr>
              <w:jc w:val="center"/>
              <w:rPr>
                <w:rFonts w:ascii="Arial" w:hAnsi="Arial" w:cs="Arial"/>
                <w:color w:val="000000"/>
              </w:rPr>
            </w:pPr>
            <w:r w:rsidRPr="00B14EE7">
              <w:rPr>
                <w:rFonts w:ascii="Arial" w:hAnsi="Arial" w:cs="Arial"/>
                <w:color w:val="000000"/>
              </w:rPr>
              <w:t>0.119</w:t>
            </w:r>
          </w:p>
        </w:tc>
        <w:tc>
          <w:tcPr>
            <w:tcW w:w="709" w:type="dxa"/>
            <w:tcBorders>
              <w:top w:val="nil"/>
              <w:left w:val="nil"/>
              <w:bottom w:val="nil"/>
              <w:right w:val="nil"/>
            </w:tcBorders>
            <w:noWrap/>
            <w:vAlign w:val="center"/>
            <w:hideMark/>
          </w:tcPr>
          <w:p w14:paraId="3D611751" w14:textId="77777777" w:rsidR="00944613" w:rsidRPr="00B14EE7" w:rsidRDefault="00944613" w:rsidP="00BB6153">
            <w:pPr>
              <w:jc w:val="center"/>
              <w:rPr>
                <w:rFonts w:ascii="Arial" w:hAnsi="Arial" w:cs="Arial"/>
                <w:color w:val="000000"/>
              </w:rPr>
            </w:pPr>
            <w:r w:rsidRPr="00B14EE7">
              <w:rPr>
                <w:rFonts w:ascii="Arial" w:hAnsi="Arial" w:cs="Arial"/>
                <w:color w:val="000000"/>
              </w:rPr>
              <w:t>0.084</w:t>
            </w:r>
          </w:p>
        </w:tc>
        <w:tc>
          <w:tcPr>
            <w:tcW w:w="828" w:type="dxa"/>
            <w:tcBorders>
              <w:top w:val="nil"/>
              <w:left w:val="nil"/>
              <w:bottom w:val="nil"/>
              <w:right w:val="nil"/>
            </w:tcBorders>
            <w:noWrap/>
            <w:vAlign w:val="center"/>
            <w:hideMark/>
          </w:tcPr>
          <w:p w14:paraId="50C8435C" w14:textId="77777777" w:rsidR="00944613" w:rsidRPr="00B14EE7" w:rsidRDefault="00944613" w:rsidP="00BB6153">
            <w:pPr>
              <w:jc w:val="center"/>
              <w:rPr>
                <w:rFonts w:ascii="Arial" w:hAnsi="Arial" w:cs="Arial"/>
                <w:color w:val="000000"/>
              </w:rPr>
            </w:pPr>
            <w:r w:rsidRPr="00B14EE7">
              <w:rPr>
                <w:rFonts w:ascii="Arial" w:hAnsi="Arial" w:cs="Arial"/>
                <w:color w:val="000000"/>
              </w:rPr>
              <w:t>0.100</w:t>
            </w:r>
          </w:p>
        </w:tc>
        <w:tc>
          <w:tcPr>
            <w:tcW w:w="1014" w:type="dxa"/>
            <w:tcBorders>
              <w:top w:val="nil"/>
              <w:left w:val="nil"/>
              <w:bottom w:val="nil"/>
              <w:right w:val="nil"/>
            </w:tcBorders>
            <w:noWrap/>
            <w:vAlign w:val="center"/>
            <w:hideMark/>
          </w:tcPr>
          <w:p w14:paraId="2DCCFE75" w14:textId="77777777" w:rsidR="00944613" w:rsidRPr="00B14EE7" w:rsidRDefault="00944613" w:rsidP="00BB6153">
            <w:pPr>
              <w:jc w:val="center"/>
              <w:rPr>
                <w:rFonts w:ascii="Arial" w:hAnsi="Arial" w:cs="Arial"/>
                <w:color w:val="000000"/>
              </w:rPr>
            </w:pPr>
            <w:r w:rsidRPr="00B14EE7">
              <w:rPr>
                <w:rFonts w:ascii="Arial" w:hAnsi="Arial" w:cs="Arial"/>
                <w:color w:val="000000"/>
              </w:rPr>
              <w:t>0.005</w:t>
            </w:r>
          </w:p>
        </w:tc>
        <w:tc>
          <w:tcPr>
            <w:tcW w:w="851" w:type="dxa"/>
            <w:tcBorders>
              <w:top w:val="nil"/>
              <w:left w:val="nil"/>
              <w:bottom w:val="nil"/>
              <w:right w:val="nil"/>
            </w:tcBorders>
            <w:noWrap/>
            <w:vAlign w:val="center"/>
            <w:hideMark/>
          </w:tcPr>
          <w:p w14:paraId="2C4AA6C5" w14:textId="77777777" w:rsidR="00944613" w:rsidRPr="00B14EE7" w:rsidRDefault="00944613" w:rsidP="00BB6153">
            <w:pPr>
              <w:jc w:val="center"/>
              <w:rPr>
                <w:rFonts w:ascii="Arial" w:hAnsi="Arial" w:cs="Arial"/>
                <w:color w:val="000000"/>
              </w:rPr>
            </w:pPr>
            <w:r w:rsidRPr="00B14EE7">
              <w:rPr>
                <w:rFonts w:ascii="Arial" w:hAnsi="Arial" w:cs="Arial"/>
                <w:color w:val="000000"/>
              </w:rPr>
              <w:t>0.000</w:t>
            </w:r>
          </w:p>
        </w:tc>
        <w:tc>
          <w:tcPr>
            <w:tcW w:w="1134" w:type="dxa"/>
            <w:tcBorders>
              <w:top w:val="nil"/>
              <w:left w:val="nil"/>
              <w:bottom w:val="nil"/>
              <w:right w:val="nil"/>
            </w:tcBorders>
            <w:noWrap/>
            <w:vAlign w:val="center"/>
            <w:hideMark/>
          </w:tcPr>
          <w:p w14:paraId="46ECAC5B" w14:textId="77777777" w:rsidR="00944613" w:rsidRPr="00B14EE7" w:rsidRDefault="00944613" w:rsidP="00BB6153">
            <w:pPr>
              <w:jc w:val="center"/>
              <w:rPr>
                <w:rFonts w:ascii="Arial" w:hAnsi="Arial" w:cs="Arial"/>
                <w:color w:val="000000"/>
              </w:rPr>
            </w:pPr>
            <w:r w:rsidRPr="00B14EE7">
              <w:rPr>
                <w:rFonts w:ascii="Arial" w:hAnsi="Arial" w:cs="Arial"/>
                <w:color w:val="000000"/>
              </w:rPr>
              <w:t>0.000</w:t>
            </w:r>
          </w:p>
        </w:tc>
      </w:tr>
      <w:tr w:rsidR="00944613" w:rsidRPr="00855BAA" w14:paraId="36659D93" w14:textId="77777777" w:rsidTr="006743A7">
        <w:trPr>
          <w:trHeight w:val="427"/>
        </w:trPr>
        <w:tc>
          <w:tcPr>
            <w:tcW w:w="1017" w:type="dxa"/>
            <w:tcBorders>
              <w:top w:val="nil"/>
              <w:left w:val="nil"/>
              <w:bottom w:val="nil"/>
              <w:right w:val="single" w:sz="4" w:space="0" w:color="auto"/>
            </w:tcBorders>
            <w:noWrap/>
            <w:vAlign w:val="center"/>
            <w:hideMark/>
          </w:tcPr>
          <w:p w14:paraId="226CB110" w14:textId="77777777" w:rsidR="00944613" w:rsidRPr="00B14EE7" w:rsidRDefault="00944613" w:rsidP="00BB6153">
            <w:pPr>
              <w:jc w:val="center"/>
              <w:rPr>
                <w:rFonts w:ascii="Arial" w:hAnsi="Arial" w:cs="Arial"/>
                <w:color w:val="000000"/>
              </w:rPr>
            </w:pPr>
            <w:r w:rsidRPr="00B14EE7">
              <w:rPr>
                <w:rFonts w:ascii="Arial" w:hAnsi="Arial" w:cs="Arial"/>
                <w:color w:val="000000"/>
              </w:rPr>
              <w:t>1</w:t>
            </w:r>
          </w:p>
        </w:tc>
        <w:tc>
          <w:tcPr>
            <w:tcW w:w="1167" w:type="dxa"/>
            <w:tcBorders>
              <w:top w:val="nil"/>
              <w:left w:val="nil"/>
              <w:bottom w:val="nil"/>
              <w:right w:val="nil"/>
            </w:tcBorders>
            <w:noWrap/>
            <w:vAlign w:val="center"/>
            <w:hideMark/>
          </w:tcPr>
          <w:p w14:paraId="3ED17BCB" w14:textId="77777777" w:rsidR="00944613" w:rsidRPr="00B14EE7" w:rsidRDefault="00944613" w:rsidP="00BB6153">
            <w:pPr>
              <w:jc w:val="center"/>
              <w:rPr>
                <w:rFonts w:ascii="Arial" w:hAnsi="Arial" w:cs="Arial"/>
                <w:color w:val="000000"/>
              </w:rPr>
            </w:pPr>
            <w:r w:rsidRPr="00B14EE7">
              <w:rPr>
                <w:rFonts w:ascii="Arial" w:hAnsi="Arial" w:cs="Arial"/>
                <w:color w:val="000000"/>
              </w:rPr>
              <w:t>0.607</w:t>
            </w:r>
          </w:p>
        </w:tc>
        <w:tc>
          <w:tcPr>
            <w:tcW w:w="1043" w:type="dxa"/>
            <w:tcBorders>
              <w:top w:val="nil"/>
              <w:left w:val="nil"/>
              <w:bottom w:val="nil"/>
              <w:right w:val="nil"/>
            </w:tcBorders>
            <w:noWrap/>
            <w:vAlign w:val="center"/>
            <w:hideMark/>
          </w:tcPr>
          <w:p w14:paraId="0586FCF2" w14:textId="77777777" w:rsidR="00944613" w:rsidRPr="00B14EE7" w:rsidRDefault="00944613" w:rsidP="00BB6153">
            <w:pPr>
              <w:jc w:val="center"/>
              <w:rPr>
                <w:rFonts w:ascii="Arial" w:hAnsi="Arial" w:cs="Arial"/>
                <w:color w:val="000000"/>
              </w:rPr>
            </w:pPr>
            <w:r w:rsidRPr="00B14EE7">
              <w:rPr>
                <w:rFonts w:ascii="Arial" w:hAnsi="Arial" w:cs="Arial"/>
                <w:color w:val="000000"/>
              </w:rPr>
              <w:t>0.385</w:t>
            </w:r>
          </w:p>
        </w:tc>
        <w:tc>
          <w:tcPr>
            <w:tcW w:w="709" w:type="dxa"/>
            <w:tcBorders>
              <w:top w:val="nil"/>
              <w:left w:val="nil"/>
              <w:bottom w:val="nil"/>
              <w:right w:val="nil"/>
            </w:tcBorders>
            <w:noWrap/>
            <w:vAlign w:val="center"/>
            <w:hideMark/>
          </w:tcPr>
          <w:p w14:paraId="26A271C9" w14:textId="77777777" w:rsidR="00944613" w:rsidRPr="00B14EE7" w:rsidRDefault="00944613" w:rsidP="00BB6153">
            <w:pPr>
              <w:jc w:val="center"/>
              <w:rPr>
                <w:rFonts w:ascii="Arial" w:hAnsi="Arial" w:cs="Arial"/>
                <w:color w:val="000000"/>
              </w:rPr>
            </w:pPr>
            <w:r w:rsidRPr="00B14EE7">
              <w:rPr>
                <w:rFonts w:ascii="Arial" w:hAnsi="Arial" w:cs="Arial"/>
                <w:color w:val="000000"/>
              </w:rPr>
              <w:t>0.216</w:t>
            </w:r>
          </w:p>
        </w:tc>
        <w:tc>
          <w:tcPr>
            <w:tcW w:w="828" w:type="dxa"/>
            <w:tcBorders>
              <w:top w:val="nil"/>
              <w:left w:val="nil"/>
              <w:bottom w:val="nil"/>
              <w:right w:val="nil"/>
            </w:tcBorders>
            <w:noWrap/>
            <w:vAlign w:val="center"/>
            <w:hideMark/>
          </w:tcPr>
          <w:p w14:paraId="40F3E364" w14:textId="77777777" w:rsidR="00944613" w:rsidRPr="00B14EE7" w:rsidRDefault="00944613" w:rsidP="00BB6153">
            <w:pPr>
              <w:jc w:val="center"/>
              <w:rPr>
                <w:rFonts w:ascii="Arial" w:hAnsi="Arial" w:cs="Arial"/>
                <w:color w:val="000000"/>
              </w:rPr>
            </w:pPr>
            <w:r w:rsidRPr="00B14EE7">
              <w:rPr>
                <w:rFonts w:ascii="Arial" w:hAnsi="Arial" w:cs="Arial"/>
                <w:color w:val="000000"/>
              </w:rPr>
              <w:t>0.147</w:t>
            </w:r>
          </w:p>
        </w:tc>
        <w:tc>
          <w:tcPr>
            <w:tcW w:w="1014" w:type="dxa"/>
            <w:tcBorders>
              <w:top w:val="nil"/>
              <w:left w:val="nil"/>
              <w:bottom w:val="nil"/>
              <w:right w:val="nil"/>
            </w:tcBorders>
            <w:noWrap/>
            <w:vAlign w:val="center"/>
            <w:hideMark/>
          </w:tcPr>
          <w:p w14:paraId="67675615" w14:textId="77777777" w:rsidR="00944613" w:rsidRPr="00B14EE7" w:rsidRDefault="00944613" w:rsidP="00BB6153">
            <w:pPr>
              <w:jc w:val="center"/>
              <w:rPr>
                <w:rFonts w:ascii="Arial" w:hAnsi="Arial" w:cs="Arial"/>
                <w:color w:val="000000"/>
              </w:rPr>
            </w:pPr>
            <w:r w:rsidRPr="00B14EE7">
              <w:rPr>
                <w:rFonts w:ascii="Arial" w:hAnsi="Arial" w:cs="Arial"/>
                <w:color w:val="000000"/>
              </w:rPr>
              <w:t>0.110</w:t>
            </w:r>
          </w:p>
        </w:tc>
        <w:tc>
          <w:tcPr>
            <w:tcW w:w="851" w:type="dxa"/>
            <w:tcBorders>
              <w:top w:val="nil"/>
              <w:left w:val="nil"/>
              <w:bottom w:val="nil"/>
              <w:right w:val="nil"/>
            </w:tcBorders>
            <w:noWrap/>
            <w:vAlign w:val="center"/>
            <w:hideMark/>
          </w:tcPr>
          <w:p w14:paraId="025E4CE8" w14:textId="77777777" w:rsidR="00944613" w:rsidRPr="00B14EE7" w:rsidRDefault="00944613" w:rsidP="00BB6153">
            <w:pPr>
              <w:jc w:val="center"/>
              <w:rPr>
                <w:rFonts w:ascii="Arial" w:hAnsi="Arial" w:cs="Arial"/>
                <w:color w:val="000000"/>
              </w:rPr>
            </w:pPr>
            <w:r w:rsidRPr="00B14EE7">
              <w:rPr>
                <w:rFonts w:ascii="Arial" w:hAnsi="Arial" w:cs="Arial"/>
                <w:color w:val="000000"/>
              </w:rPr>
              <w:t>0.044</w:t>
            </w:r>
          </w:p>
        </w:tc>
        <w:tc>
          <w:tcPr>
            <w:tcW w:w="1134" w:type="dxa"/>
            <w:tcBorders>
              <w:top w:val="nil"/>
              <w:left w:val="nil"/>
              <w:bottom w:val="nil"/>
              <w:right w:val="nil"/>
            </w:tcBorders>
            <w:noWrap/>
            <w:vAlign w:val="center"/>
            <w:hideMark/>
          </w:tcPr>
          <w:p w14:paraId="76B91B9F" w14:textId="77777777" w:rsidR="00944613" w:rsidRPr="00B14EE7" w:rsidRDefault="00944613" w:rsidP="00BB6153">
            <w:pPr>
              <w:jc w:val="center"/>
              <w:rPr>
                <w:rFonts w:ascii="Arial" w:hAnsi="Arial" w:cs="Arial"/>
                <w:color w:val="000000"/>
              </w:rPr>
            </w:pPr>
            <w:r w:rsidRPr="00B14EE7">
              <w:rPr>
                <w:rFonts w:ascii="Arial" w:hAnsi="Arial" w:cs="Arial"/>
                <w:color w:val="000000"/>
              </w:rPr>
              <w:t>0.011</w:t>
            </w:r>
          </w:p>
        </w:tc>
      </w:tr>
      <w:tr w:rsidR="00944613" w:rsidRPr="00855BAA" w14:paraId="27A14DC9" w14:textId="77777777" w:rsidTr="006743A7">
        <w:trPr>
          <w:trHeight w:val="149"/>
        </w:trPr>
        <w:tc>
          <w:tcPr>
            <w:tcW w:w="1017" w:type="dxa"/>
            <w:tcBorders>
              <w:top w:val="nil"/>
              <w:left w:val="nil"/>
              <w:bottom w:val="nil"/>
              <w:right w:val="single" w:sz="4" w:space="0" w:color="auto"/>
            </w:tcBorders>
            <w:noWrap/>
            <w:vAlign w:val="center"/>
            <w:hideMark/>
          </w:tcPr>
          <w:p w14:paraId="735ACFB7" w14:textId="77777777" w:rsidR="00944613" w:rsidRPr="00B14EE7" w:rsidRDefault="00944613" w:rsidP="00BB6153">
            <w:pPr>
              <w:jc w:val="center"/>
              <w:rPr>
                <w:rFonts w:ascii="Arial" w:hAnsi="Arial" w:cs="Arial"/>
                <w:color w:val="000000"/>
              </w:rPr>
            </w:pPr>
            <w:r w:rsidRPr="00B14EE7">
              <w:rPr>
                <w:rFonts w:ascii="Arial" w:hAnsi="Arial" w:cs="Arial"/>
                <w:color w:val="000000"/>
              </w:rPr>
              <w:t>2</w:t>
            </w:r>
          </w:p>
        </w:tc>
        <w:tc>
          <w:tcPr>
            <w:tcW w:w="1167" w:type="dxa"/>
            <w:tcBorders>
              <w:top w:val="nil"/>
              <w:left w:val="nil"/>
              <w:bottom w:val="nil"/>
              <w:right w:val="nil"/>
            </w:tcBorders>
            <w:noWrap/>
            <w:vAlign w:val="center"/>
            <w:hideMark/>
          </w:tcPr>
          <w:p w14:paraId="7DDF8BF9" w14:textId="77777777" w:rsidR="00944613" w:rsidRPr="00B14EE7" w:rsidRDefault="00944613" w:rsidP="00BB6153">
            <w:pPr>
              <w:jc w:val="center"/>
              <w:rPr>
                <w:rFonts w:ascii="Arial" w:hAnsi="Arial" w:cs="Arial"/>
                <w:color w:val="000000"/>
              </w:rPr>
            </w:pPr>
            <w:r w:rsidRPr="00B14EE7">
              <w:rPr>
                <w:rFonts w:ascii="Arial" w:hAnsi="Arial" w:cs="Arial"/>
                <w:color w:val="000000"/>
              </w:rPr>
              <w:t>1.710</w:t>
            </w:r>
          </w:p>
        </w:tc>
        <w:tc>
          <w:tcPr>
            <w:tcW w:w="1043" w:type="dxa"/>
            <w:tcBorders>
              <w:top w:val="nil"/>
              <w:left w:val="nil"/>
              <w:bottom w:val="nil"/>
              <w:right w:val="nil"/>
            </w:tcBorders>
            <w:noWrap/>
            <w:vAlign w:val="center"/>
            <w:hideMark/>
          </w:tcPr>
          <w:p w14:paraId="0409D043" w14:textId="77777777" w:rsidR="00944613" w:rsidRPr="00B14EE7" w:rsidRDefault="00944613" w:rsidP="00BB6153">
            <w:pPr>
              <w:jc w:val="center"/>
              <w:rPr>
                <w:rFonts w:ascii="Arial" w:hAnsi="Arial" w:cs="Arial"/>
                <w:color w:val="000000"/>
              </w:rPr>
            </w:pPr>
            <w:r w:rsidRPr="00B14EE7">
              <w:rPr>
                <w:rFonts w:ascii="Arial" w:hAnsi="Arial" w:cs="Arial"/>
                <w:color w:val="000000"/>
              </w:rPr>
              <w:t>1.146</w:t>
            </w:r>
          </w:p>
        </w:tc>
        <w:tc>
          <w:tcPr>
            <w:tcW w:w="709" w:type="dxa"/>
            <w:tcBorders>
              <w:top w:val="nil"/>
              <w:left w:val="nil"/>
              <w:bottom w:val="nil"/>
              <w:right w:val="nil"/>
            </w:tcBorders>
            <w:noWrap/>
            <w:vAlign w:val="center"/>
            <w:hideMark/>
          </w:tcPr>
          <w:p w14:paraId="0787571C" w14:textId="77777777" w:rsidR="00944613" w:rsidRPr="00B14EE7" w:rsidRDefault="00944613" w:rsidP="00BB6153">
            <w:pPr>
              <w:jc w:val="center"/>
              <w:rPr>
                <w:rFonts w:ascii="Arial" w:hAnsi="Arial" w:cs="Arial"/>
                <w:color w:val="000000"/>
              </w:rPr>
            </w:pPr>
            <w:r w:rsidRPr="00B14EE7">
              <w:rPr>
                <w:rFonts w:ascii="Arial" w:hAnsi="Arial" w:cs="Arial"/>
                <w:color w:val="000000"/>
              </w:rPr>
              <w:t>0.935</w:t>
            </w:r>
          </w:p>
        </w:tc>
        <w:tc>
          <w:tcPr>
            <w:tcW w:w="828" w:type="dxa"/>
            <w:tcBorders>
              <w:top w:val="nil"/>
              <w:left w:val="nil"/>
              <w:bottom w:val="nil"/>
              <w:right w:val="nil"/>
            </w:tcBorders>
            <w:noWrap/>
            <w:vAlign w:val="center"/>
            <w:hideMark/>
          </w:tcPr>
          <w:p w14:paraId="6E258C8F" w14:textId="77777777" w:rsidR="00944613" w:rsidRPr="00B14EE7" w:rsidRDefault="00944613" w:rsidP="00BB6153">
            <w:pPr>
              <w:jc w:val="center"/>
              <w:rPr>
                <w:rFonts w:ascii="Arial" w:hAnsi="Arial" w:cs="Arial"/>
                <w:color w:val="000000"/>
              </w:rPr>
            </w:pPr>
            <w:r w:rsidRPr="00B14EE7">
              <w:rPr>
                <w:rFonts w:ascii="Arial" w:hAnsi="Arial" w:cs="Arial"/>
                <w:color w:val="000000"/>
              </w:rPr>
              <w:t>0.837</w:t>
            </w:r>
          </w:p>
        </w:tc>
        <w:tc>
          <w:tcPr>
            <w:tcW w:w="1014" w:type="dxa"/>
            <w:tcBorders>
              <w:top w:val="nil"/>
              <w:left w:val="nil"/>
              <w:bottom w:val="nil"/>
              <w:right w:val="nil"/>
            </w:tcBorders>
            <w:noWrap/>
            <w:vAlign w:val="center"/>
            <w:hideMark/>
          </w:tcPr>
          <w:p w14:paraId="318E3D6A" w14:textId="77777777" w:rsidR="00944613" w:rsidRPr="00B14EE7" w:rsidRDefault="00944613" w:rsidP="00BB6153">
            <w:pPr>
              <w:jc w:val="center"/>
              <w:rPr>
                <w:rFonts w:ascii="Arial" w:hAnsi="Arial" w:cs="Arial"/>
                <w:color w:val="000000"/>
              </w:rPr>
            </w:pPr>
            <w:r w:rsidRPr="00B14EE7">
              <w:rPr>
                <w:rFonts w:ascii="Arial" w:hAnsi="Arial" w:cs="Arial"/>
                <w:color w:val="000000"/>
              </w:rPr>
              <w:t>0.024</w:t>
            </w:r>
          </w:p>
        </w:tc>
        <w:tc>
          <w:tcPr>
            <w:tcW w:w="851" w:type="dxa"/>
            <w:tcBorders>
              <w:top w:val="nil"/>
              <w:left w:val="nil"/>
              <w:bottom w:val="nil"/>
              <w:right w:val="nil"/>
            </w:tcBorders>
            <w:noWrap/>
            <w:vAlign w:val="center"/>
            <w:hideMark/>
          </w:tcPr>
          <w:p w14:paraId="38D6E1E7" w14:textId="77777777" w:rsidR="00944613" w:rsidRPr="00B14EE7" w:rsidRDefault="00944613" w:rsidP="00BB6153">
            <w:pPr>
              <w:jc w:val="center"/>
              <w:rPr>
                <w:rFonts w:ascii="Arial" w:hAnsi="Arial" w:cs="Arial"/>
                <w:color w:val="000000"/>
              </w:rPr>
            </w:pPr>
            <w:r w:rsidRPr="00B14EE7">
              <w:rPr>
                <w:rFonts w:ascii="Arial" w:hAnsi="Arial" w:cs="Arial"/>
                <w:color w:val="000000"/>
              </w:rPr>
              <w:t>0.012</w:t>
            </w:r>
          </w:p>
        </w:tc>
        <w:tc>
          <w:tcPr>
            <w:tcW w:w="1134" w:type="dxa"/>
            <w:tcBorders>
              <w:top w:val="nil"/>
              <w:left w:val="nil"/>
              <w:bottom w:val="nil"/>
              <w:right w:val="nil"/>
            </w:tcBorders>
            <w:noWrap/>
            <w:vAlign w:val="center"/>
            <w:hideMark/>
          </w:tcPr>
          <w:p w14:paraId="26A51EF4" w14:textId="77777777" w:rsidR="00944613" w:rsidRPr="00B14EE7" w:rsidRDefault="00944613" w:rsidP="00BB6153">
            <w:pPr>
              <w:jc w:val="center"/>
              <w:rPr>
                <w:rFonts w:ascii="Arial" w:hAnsi="Arial" w:cs="Arial"/>
                <w:color w:val="000000"/>
              </w:rPr>
            </w:pPr>
            <w:r w:rsidRPr="00B14EE7">
              <w:rPr>
                <w:rFonts w:ascii="Arial" w:hAnsi="Arial" w:cs="Arial"/>
                <w:color w:val="000000"/>
              </w:rPr>
              <w:t>0.006</w:t>
            </w:r>
          </w:p>
        </w:tc>
      </w:tr>
      <w:tr w:rsidR="00944613" w:rsidRPr="00855BAA" w14:paraId="3CC6EAAE" w14:textId="77777777" w:rsidTr="006743A7">
        <w:trPr>
          <w:trHeight w:val="337"/>
        </w:trPr>
        <w:tc>
          <w:tcPr>
            <w:tcW w:w="1017" w:type="dxa"/>
            <w:tcBorders>
              <w:top w:val="nil"/>
              <w:left w:val="nil"/>
              <w:bottom w:val="nil"/>
              <w:right w:val="single" w:sz="4" w:space="0" w:color="auto"/>
            </w:tcBorders>
            <w:noWrap/>
            <w:vAlign w:val="center"/>
            <w:hideMark/>
          </w:tcPr>
          <w:p w14:paraId="7231D502" w14:textId="77777777" w:rsidR="00944613" w:rsidRPr="00B14EE7" w:rsidRDefault="00944613" w:rsidP="00BB6153">
            <w:pPr>
              <w:jc w:val="center"/>
              <w:rPr>
                <w:rFonts w:ascii="Arial" w:hAnsi="Arial" w:cs="Arial"/>
                <w:color w:val="000000"/>
              </w:rPr>
            </w:pPr>
            <w:r w:rsidRPr="00B14EE7">
              <w:rPr>
                <w:rFonts w:ascii="Arial" w:hAnsi="Arial" w:cs="Arial"/>
                <w:color w:val="000000"/>
              </w:rPr>
              <w:t>3</w:t>
            </w:r>
          </w:p>
        </w:tc>
        <w:tc>
          <w:tcPr>
            <w:tcW w:w="1167" w:type="dxa"/>
            <w:tcBorders>
              <w:top w:val="nil"/>
              <w:left w:val="nil"/>
              <w:bottom w:val="nil"/>
              <w:right w:val="nil"/>
            </w:tcBorders>
            <w:noWrap/>
            <w:vAlign w:val="center"/>
            <w:hideMark/>
          </w:tcPr>
          <w:p w14:paraId="7CC5A861" w14:textId="77777777" w:rsidR="00944613" w:rsidRPr="00B14EE7" w:rsidRDefault="00944613" w:rsidP="00BB6153">
            <w:pPr>
              <w:jc w:val="center"/>
              <w:rPr>
                <w:rFonts w:ascii="Arial" w:hAnsi="Arial" w:cs="Arial"/>
                <w:color w:val="000000"/>
              </w:rPr>
            </w:pPr>
            <w:r w:rsidRPr="00B14EE7">
              <w:rPr>
                <w:rFonts w:ascii="Arial" w:hAnsi="Arial" w:cs="Arial"/>
                <w:color w:val="000000"/>
              </w:rPr>
              <w:t>0.269</w:t>
            </w:r>
          </w:p>
        </w:tc>
        <w:tc>
          <w:tcPr>
            <w:tcW w:w="1043" w:type="dxa"/>
            <w:tcBorders>
              <w:top w:val="nil"/>
              <w:left w:val="nil"/>
              <w:bottom w:val="nil"/>
              <w:right w:val="nil"/>
            </w:tcBorders>
            <w:noWrap/>
            <w:vAlign w:val="center"/>
            <w:hideMark/>
          </w:tcPr>
          <w:p w14:paraId="45D99EC7" w14:textId="77777777" w:rsidR="00944613" w:rsidRPr="00B14EE7" w:rsidRDefault="00944613" w:rsidP="00BB6153">
            <w:pPr>
              <w:jc w:val="center"/>
              <w:rPr>
                <w:rFonts w:ascii="Arial" w:hAnsi="Arial" w:cs="Arial"/>
                <w:color w:val="000000"/>
              </w:rPr>
            </w:pPr>
            <w:r w:rsidRPr="00B14EE7">
              <w:rPr>
                <w:rFonts w:ascii="Arial" w:hAnsi="Arial" w:cs="Arial"/>
                <w:color w:val="000000"/>
              </w:rPr>
              <w:t>0.218</w:t>
            </w:r>
          </w:p>
        </w:tc>
        <w:tc>
          <w:tcPr>
            <w:tcW w:w="709" w:type="dxa"/>
            <w:tcBorders>
              <w:top w:val="nil"/>
              <w:left w:val="nil"/>
              <w:bottom w:val="nil"/>
              <w:right w:val="nil"/>
            </w:tcBorders>
            <w:noWrap/>
            <w:vAlign w:val="center"/>
            <w:hideMark/>
          </w:tcPr>
          <w:p w14:paraId="48AD16C7" w14:textId="77777777" w:rsidR="00944613" w:rsidRPr="00B14EE7" w:rsidRDefault="00944613" w:rsidP="00BB6153">
            <w:pPr>
              <w:jc w:val="center"/>
              <w:rPr>
                <w:rFonts w:ascii="Arial" w:hAnsi="Arial" w:cs="Arial"/>
                <w:color w:val="000000"/>
              </w:rPr>
            </w:pPr>
            <w:r w:rsidRPr="00B14EE7">
              <w:rPr>
                <w:rFonts w:ascii="Arial" w:hAnsi="Arial" w:cs="Arial"/>
                <w:color w:val="000000"/>
              </w:rPr>
              <w:t>0.028</w:t>
            </w:r>
          </w:p>
        </w:tc>
        <w:tc>
          <w:tcPr>
            <w:tcW w:w="828" w:type="dxa"/>
            <w:tcBorders>
              <w:top w:val="nil"/>
              <w:left w:val="nil"/>
              <w:bottom w:val="nil"/>
              <w:right w:val="nil"/>
            </w:tcBorders>
            <w:noWrap/>
            <w:vAlign w:val="center"/>
            <w:hideMark/>
          </w:tcPr>
          <w:p w14:paraId="334FAC02" w14:textId="77777777" w:rsidR="00944613" w:rsidRPr="00B14EE7" w:rsidRDefault="00944613" w:rsidP="00BB6153">
            <w:pPr>
              <w:jc w:val="center"/>
              <w:rPr>
                <w:rFonts w:ascii="Arial" w:hAnsi="Arial" w:cs="Arial"/>
                <w:color w:val="000000"/>
              </w:rPr>
            </w:pPr>
            <w:r w:rsidRPr="00B14EE7">
              <w:rPr>
                <w:rFonts w:ascii="Arial" w:hAnsi="Arial" w:cs="Arial"/>
                <w:color w:val="000000"/>
              </w:rPr>
              <w:t>0.009</w:t>
            </w:r>
          </w:p>
        </w:tc>
        <w:tc>
          <w:tcPr>
            <w:tcW w:w="1014" w:type="dxa"/>
            <w:tcBorders>
              <w:top w:val="nil"/>
              <w:left w:val="nil"/>
              <w:bottom w:val="nil"/>
              <w:right w:val="nil"/>
            </w:tcBorders>
            <w:noWrap/>
            <w:vAlign w:val="center"/>
            <w:hideMark/>
          </w:tcPr>
          <w:p w14:paraId="128688CB" w14:textId="77777777" w:rsidR="00944613" w:rsidRPr="00B14EE7" w:rsidRDefault="00944613" w:rsidP="00BB6153">
            <w:pPr>
              <w:jc w:val="center"/>
              <w:rPr>
                <w:rFonts w:ascii="Arial" w:hAnsi="Arial" w:cs="Arial"/>
                <w:color w:val="000000"/>
              </w:rPr>
            </w:pPr>
            <w:r w:rsidRPr="00B14EE7">
              <w:rPr>
                <w:rFonts w:ascii="Arial" w:hAnsi="Arial" w:cs="Arial"/>
                <w:color w:val="000000"/>
              </w:rPr>
              <w:t>0.000</w:t>
            </w:r>
          </w:p>
        </w:tc>
        <w:tc>
          <w:tcPr>
            <w:tcW w:w="851" w:type="dxa"/>
            <w:tcBorders>
              <w:top w:val="nil"/>
              <w:left w:val="nil"/>
              <w:bottom w:val="nil"/>
              <w:right w:val="nil"/>
            </w:tcBorders>
            <w:noWrap/>
            <w:vAlign w:val="center"/>
            <w:hideMark/>
          </w:tcPr>
          <w:p w14:paraId="4E3A92D6" w14:textId="77777777" w:rsidR="00944613" w:rsidRPr="00B14EE7" w:rsidRDefault="00944613" w:rsidP="00BB6153">
            <w:pPr>
              <w:jc w:val="center"/>
              <w:rPr>
                <w:rFonts w:ascii="Arial" w:hAnsi="Arial" w:cs="Arial"/>
                <w:color w:val="000000"/>
              </w:rPr>
            </w:pPr>
            <w:r w:rsidRPr="00B14EE7">
              <w:rPr>
                <w:rFonts w:ascii="Arial" w:hAnsi="Arial" w:cs="Arial"/>
                <w:color w:val="000000"/>
              </w:rPr>
              <w:t>0.000</w:t>
            </w:r>
          </w:p>
        </w:tc>
        <w:tc>
          <w:tcPr>
            <w:tcW w:w="1134" w:type="dxa"/>
            <w:tcBorders>
              <w:top w:val="nil"/>
              <w:left w:val="nil"/>
              <w:bottom w:val="nil"/>
              <w:right w:val="nil"/>
            </w:tcBorders>
            <w:noWrap/>
            <w:vAlign w:val="center"/>
            <w:hideMark/>
          </w:tcPr>
          <w:p w14:paraId="381FF356" w14:textId="77777777" w:rsidR="00944613" w:rsidRPr="00B14EE7" w:rsidRDefault="00944613" w:rsidP="00BB6153">
            <w:pPr>
              <w:jc w:val="center"/>
              <w:rPr>
                <w:rFonts w:ascii="Arial" w:hAnsi="Arial" w:cs="Arial"/>
                <w:color w:val="000000"/>
              </w:rPr>
            </w:pPr>
            <w:r w:rsidRPr="00B14EE7">
              <w:rPr>
                <w:rFonts w:ascii="Arial" w:hAnsi="Arial" w:cs="Arial"/>
                <w:color w:val="000000"/>
              </w:rPr>
              <w:t>0.000</w:t>
            </w:r>
          </w:p>
        </w:tc>
      </w:tr>
    </w:tbl>
    <w:p w14:paraId="3625F725" w14:textId="77777777" w:rsidR="00944613" w:rsidRPr="00855BAA" w:rsidRDefault="00944613" w:rsidP="00944613">
      <w:pPr>
        <w:rPr>
          <w:rFonts w:ascii="Arial" w:hAnsi="Arial" w:cs="Arial"/>
        </w:rPr>
      </w:pPr>
    </w:p>
    <w:p w14:paraId="6987096D" w14:textId="05B21786" w:rsidR="00944613" w:rsidRPr="00AC5FC4" w:rsidRDefault="00944613" w:rsidP="00AC5FC4">
      <w:pPr>
        <w:jc w:val="both"/>
        <w:rPr>
          <w:rFonts w:ascii="Arial" w:hAnsi="Arial" w:cs="Arial"/>
        </w:rPr>
      </w:pPr>
      <w:r w:rsidRPr="00855BAA">
        <w:rPr>
          <w:rFonts w:ascii="Arial" w:hAnsi="Arial" w:cs="Arial"/>
        </w:rPr>
        <w:t>The clustered gas compositions for the four clusters, as presented in Table 3, show that methane (CH</w:t>
      </w:r>
      <w:r w:rsidRPr="00855BAA">
        <w:rPr>
          <w:rFonts w:ascii="Cambria Math" w:hAnsi="Cambria Math" w:cs="Cambria Math"/>
        </w:rPr>
        <w:t>₄</w:t>
      </w:r>
      <w:r w:rsidRPr="00855BAA">
        <w:rPr>
          <w:rFonts w:ascii="Arial" w:hAnsi="Arial" w:cs="Arial"/>
        </w:rPr>
        <w:t xml:space="preserve">) is the predominant </w:t>
      </w:r>
      <w:r w:rsidRPr="00AC5FC4">
        <w:rPr>
          <w:rFonts w:ascii="Arial" w:hAnsi="Arial" w:cs="Arial"/>
        </w:rPr>
        <w:t>component across all clusters. This is consistent with the typical composition of associated gas from onshore Niger Delta reservoirs (</w:t>
      </w:r>
      <w:proofErr w:type="spellStart"/>
      <w:r w:rsidRPr="00AC5FC4">
        <w:rPr>
          <w:rFonts w:ascii="Arial" w:hAnsi="Arial" w:cs="Arial"/>
        </w:rPr>
        <w:t>Awulu</w:t>
      </w:r>
      <w:proofErr w:type="spellEnd"/>
      <w:r w:rsidRPr="00AC5FC4">
        <w:rPr>
          <w:rFonts w:ascii="Arial" w:hAnsi="Arial" w:cs="Arial"/>
        </w:rPr>
        <w:t xml:space="preserve">, 2021; </w:t>
      </w:r>
      <w:proofErr w:type="spellStart"/>
      <w:r w:rsidRPr="00AC5FC4">
        <w:rPr>
          <w:rFonts w:ascii="Arial" w:hAnsi="Arial" w:cs="Arial"/>
        </w:rPr>
        <w:t>Emekwuru</w:t>
      </w:r>
      <w:proofErr w:type="spellEnd"/>
      <w:r w:rsidRPr="00AC5FC4">
        <w:rPr>
          <w:rFonts w:ascii="Arial" w:hAnsi="Arial" w:cs="Arial"/>
        </w:rPr>
        <w:t xml:space="preserve">, 2024). Methane concentrations range from 77.51% in Cluster 1 to 88.96% in Cluster 0, reflecting moderate variability in reservoir characteristics and separation efficiency across the contributing </w:t>
      </w:r>
      <w:proofErr w:type="spellStart"/>
      <w:r w:rsidRPr="00AC5FC4">
        <w:rPr>
          <w:rFonts w:ascii="Arial" w:hAnsi="Arial" w:cs="Arial"/>
        </w:rPr>
        <w:t>flowstations</w:t>
      </w:r>
      <w:proofErr w:type="spellEnd"/>
      <w:r w:rsidRPr="00AC5FC4">
        <w:rPr>
          <w:rFonts w:ascii="Arial" w:hAnsi="Arial" w:cs="Arial"/>
        </w:rPr>
        <w:t>.</w:t>
      </w:r>
    </w:p>
    <w:p w14:paraId="7C818345" w14:textId="77777777" w:rsidR="00944613" w:rsidRPr="00AC5FC4" w:rsidRDefault="00944613" w:rsidP="00AC5FC4">
      <w:pPr>
        <w:jc w:val="both"/>
        <w:rPr>
          <w:rFonts w:ascii="Arial" w:hAnsi="Arial" w:cs="Arial"/>
        </w:rPr>
      </w:pPr>
      <w:r w:rsidRPr="00AC5FC4">
        <w:rPr>
          <w:rFonts w:ascii="Arial" w:hAnsi="Arial" w:cs="Arial"/>
        </w:rPr>
        <w:t>Carbon dioxide (CO</w:t>
      </w:r>
      <w:r w:rsidRPr="00AC5FC4">
        <w:rPr>
          <w:rFonts w:ascii="Cambria Math" w:hAnsi="Cambria Math" w:cs="Cambria Math"/>
        </w:rPr>
        <w:t>₂</w:t>
      </w:r>
      <w:r w:rsidRPr="00AC5FC4">
        <w:rPr>
          <w:rFonts w:ascii="Arial" w:hAnsi="Arial" w:cs="Arial"/>
        </w:rPr>
        <w:t>) occurs only in minor proportions, with concentrations ranging between 1.04% and 2.58%. The values fall within the expected limits for untreated associated gas in Nigerian onshore production systems (</w:t>
      </w:r>
      <w:proofErr w:type="spellStart"/>
      <w:r w:rsidRPr="00AC5FC4">
        <w:rPr>
          <w:rFonts w:ascii="Arial" w:hAnsi="Arial" w:cs="Arial"/>
        </w:rPr>
        <w:t>Olujobi</w:t>
      </w:r>
      <w:proofErr w:type="spellEnd"/>
      <w:r w:rsidRPr="00AC5FC4">
        <w:rPr>
          <w:rFonts w:ascii="Arial" w:hAnsi="Arial" w:cs="Arial"/>
        </w:rPr>
        <w:t xml:space="preserve"> et al., 2022; Fan et al., 2025). The relatively low CO</w:t>
      </w:r>
      <w:r w:rsidRPr="00AC5FC4">
        <w:rPr>
          <w:rFonts w:ascii="Cambria Math" w:hAnsi="Cambria Math" w:cs="Cambria Math"/>
        </w:rPr>
        <w:t>₂</w:t>
      </w:r>
      <w:r w:rsidRPr="00AC5FC4">
        <w:rPr>
          <w:rFonts w:ascii="Arial" w:hAnsi="Arial" w:cs="Arial"/>
        </w:rPr>
        <w:t xml:space="preserve"> content suggests </w:t>
      </w:r>
      <w:proofErr w:type="spellStart"/>
      <w:r w:rsidRPr="00AC5FC4">
        <w:rPr>
          <w:rFonts w:ascii="Arial" w:hAnsi="Arial" w:cs="Arial"/>
        </w:rPr>
        <w:t>favourable</w:t>
      </w:r>
      <w:proofErr w:type="spellEnd"/>
      <w:r w:rsidRPr="00AC5FC4">
        <w:rPr>
          <w:rFonts w:ascii="Arial" w:hAnsi="Arial" w:cs="Arial"/>
        </w:rPr>
        <w:t xml:space="preserve"> conditions for gas-to-power applications; as excessive CO</w:t>
      </w:r>
      <w:r w:rsidRPr="00AC5FC4">
        <w:rPr>
          <w:rFonts w:ascii="Cambria Math" w:hAnsi="Cambria Math" w:cs="Cambria Math"/>
        </w:rPr>
        <w:t>₂</w:t>
      </w:r>
      <w:r w:rsidRPr="00AC5FC4">
        <w:rPr>
          <w:rFonts w:ascii="Arial" w:hAnsi="Arial" w:cs="Arial"/>
        </w:rPr>
        <w:t xml:space="preserve"> is would reduce heating value and adversely affect combustion performance.</w:t>
      </w:r>
    </w:p>
    <w:p w14:paraId="0F95E4C2" w14:textId="77777777" w:rsidR="00944613" w:rsidRPr="00855BAA" w:rsidRDefault="00944613" w:rsidP="00AC5FC4">
      <w:pPr>
        <w:jc w:val="both"/>
        <w:rPr>
          <w:rFonts w:ascii="Arial" w:hAnsi="Arial" w:cs="Arial"/>
        </w:rPr>
      </w:pPr>
      <w:r w:rsidRPr="00AC5FC4">
        <w:rPr>
          <w:rFonts w:ascii="Arial" w:hAnsi="Arial" w:cs="Arial"/>
        </w:rPr>
        <w:t>Heavier hydrocarbons such as ethane (C</w:t>
      </w:r>
      <w:r w:rsidRPr="00AC5FC4">
        <w:rPr>
          <w:rFonts w:ascii="Cambria Math" w:hAnsi="Cambria Math" w:cs="Cambria Math"/>
        </w:rPr>
        <w:t>₂</w:t>
      </w:r>
      <w:r w:rsidRPr="00AC5FC4">
        <w:rPr>
          <w:rFonts w:ascii="Arial" w:hAnsi="Arial" w:cs="Arial"/>
        </w:rPr>
        <w:t>H</w:t>
      </w:r>
      <w:r w:rsidRPr="00AC5FC4">
        <w:rPr>
          <w:rFonts w:ascii="Cambria Math" w:hAnsi="Cambria Math" w:cs="Cambria Math"/>
        </w:rPr>
        <w:t>₆</w:t>
      </w:r>
      <w:r w:rsidRPr="00AC5FC4">
        <w:rPr>
          <w:rFonts w:ascii="Arial" w:hAnsi="Arial" w:cs="Arial"/>
        </w:rPr>
        <w:t>), propane (C</w:t>
      </w:r>
      <w:r w:rsidRPr="00AC5FC4">
        <w:rPr>
          <w:rFonts w:ascii="Cambria Math" w:hAnsi="Cambria Math" w:cs="Cambria Math"/>
        </w:rPr>
        <w:t>₃</w:t>
      </w:r>
      <w:r w:rsidRPr="00AC5FC4">
        <w:rPr>
          <w:rFonts w:ascii="Arial" w:hAnsi="Arial" w:cs="Arial"/>
        </w:rPr>
        <w:t>H</w:t>
      </w:r>
      <w:r w:rsidRPr="00AC5FC4">
        <w:rPr>
          <w:rFonts w:ascii="Cambria Math" w:hAnsi="Cambria Math" w:cs="Cambria Math"/>
        </w:rPr>
        <w:t>₈</w:t>
      </w:r>
      <w:r w:rsidRPr="00AC5FC4">
        <w:rPr>
          <w:rFonts w:ascii="Arial" w:hAnsi="Arial" w:cs="Arial"/>
        </w:rPr>
        <w:t>), and butanes (C</w:t>
      </w:r>
      <w:r w:rsidRPr="00AC5FC4">
        <w:rPr>
          <w:rFonts w:ascii="Cambria Math" w:hAnsi="Cambria Math" w:cs="Cambria Math"/>
        </w:rPr>
        <w:t>₄</w:t>
      </w:r>
      <w:r w:rsidRPr="00AC5FC4">
        <w:rPr>
          <w:rFonts w:ascii="Arial" w:hAnsi="Arial" w:cs="Arial"/>
        </w:rPr>
        <w:t>)—contribute modest fractions to the overall gas composition. The presence of these components is typical of AG streams and necessitates appropriate gas-conditioning measures to prevent condensation and ensure fuel-gas quality suitable for gas-turbine operation (Wu et al., 2022;</w:t>
      </w:r>
      <w:r w:rsidRPr="00855BAA">
        <w:rPr>
          <w:rFonts w:ascii="Arial" w:hAnsi="Arial" w:cs="Arial"/>
        </w:rPr>
        <w:t xml:space="preserve"> </w:t>
      </w:r>
      <w:proofErr w:type="spellStart"/>
      <w:r w:rsidRPr="00855BAA">
        <w:rPr>
          <w:rFonts w:ascii="Arial" w:hAnsi="Arial" w:cs="Arial"/>
        </w:rPr>
        <w:t>Fagbami</w:t>
      </w:r>
      <w:proofErr w:type="spellEnd"/>
      <w:r w:rsidRPr="00855BAA">
        <w:rPr>
          <w:rFonts w:ascii="Arial" w:hAnsi="Arial" w:cs="Arial"/>
        </w:rPr>
        <w:t xml:space="preserve"> et al., 2024).</w:t>
      </w:r>
    </w:p>
    <w:p w14:paraId="04758F2B" w14:textId="77777777" w:rsidR="00944613" w:rsidRPr="00944613" w:rsidRDefault="00944613" w:rsidP="00944613">
      <w:pPr>
        <w:rPr>
          <w:rFonts w:ascii="Arial" w:hAnsi="Arial" w:cs="Arial"/>
          <w:b/>
          <w:bCs/>
          <w:sz w:val="22"/>
          <w:szCs w:val="22"/>
        </w:rPr>
      </w:pPr>
      <w:r w:rsidRPr="00944613">
        <w:rPr>
          <w:rFonts w:ascii="Arial" w:hAnsi="Arial" w:cs="Arial"/>
          <w:b/>
          <w:bCs/>
          <w:sz w:val="22"/>
          <w:szCs w:val="22"/>
        </w:rPr>
        <w:lastRenderedPageBreak/>
        <w:t>3.2 Lean-Gas Output from Cluster-Level Gas Conditioning</w:t>
      </w:r>
    </w:p>
    <w:p w14:paraId="2D0209F0" w14:textId="22B6292F" w:rsidR="00944613" w:rsidRPr="00ED34AB" w:rsidRDefault="00944613" w:rsidP="00ED34AB">
      <w:pPr>
        <w:jc w:val="both"/>
        <w:rPr>
          <w:rFonts w:ascii="Arial" w:hAnsi="Arial" w:cs="Arial"/>
        </w:rPr>
      </w:pPr>
      <w:bookmarkStart w:id="4" w:name="_Toc215420304"/>
      <w:bookmarkStart w:id="5" w:name="_Toc215420305"/>
      <w:r w:rsidRPr="00855BAA">
        <w:rPr>
          <w:rFonts w:ascii="Arial" w:hAnsi="Arial" w:cs="Arial"/>
        </w:rPr>
        <w:t xml:space="preserve">Steady-state gas-conditioning simulations were successfully completed for all four </w:t>
      </w:r>
      <w:r w:rsidRPr="00ED34AB">
        <w:rPr>
          <w:rFonts w:ascii="Arial" w:hAnsi="Arial" w:cs="Arial"/>
        </w:rPr>
        <w:t xml:space="preserve">clusters using Aspen UniSim Design. It is an established practice in gas-processing studies in using steady-state simulation to evaluate dehydration/conditioning performance and compliance (Chong et al., 2023). The </w:t>
      </w:r>
      <w:proofErr w:type="spellStart"/>
      <w:r w:rsidRPr="00ED34AB">
        <w:rPr>
          <w:rFonts w:ascii="Arial" w:hAnsi="Arial" w:cs="Arial"/>
        </w:rPr>
        <w:t>demethanizer</w:t>
      </w:r>
      <w:proofErr w:type="spellEnd"/>
      <w:r w:rsidRPr="00ED34AB">
        <w:rPr>
          <w:rFonts w:ascii="Arial" w:hAnsi="Arial" w:cs="Arial"/>
        </w:rPr>
        <w:t xml:space="preserve"> operating conditions and the resulting lean-gas outputs are summarized in Table 4.</w:t>
      </w:r>
    </w:p>
    <w:p w14:paraId="42440132" w14:textId="6404B246" w:rsidR="00944613" w:rsidRDefault="00944613" w:rsidP="00ED34AB">
      <w:pPr>
        <w:jc w:val="both"/>
        <w:rPr>
          <w:rFonts w:ascii="Arial" w:hAnsi="Arial" w:cs="Arial"/>
        </w:rPr>
      </w:pPr>
      <w:r w:rsidRPr="00ED34AB">
        <w:rPr>
          <w:rFonts w:ascii="Arial" w:hAnsi="Arial" w:cs="Arial"/>
        </w:rPr>
        <w:t xml:space="preserve">Lean-gas flow rates obtained from the simulations range from 637.1 </w:t>
      </w:r>
      <w:proofErr w:type="spellStart"/>
      <w:r w:rsidRPr="00ED34AB">
        <w:rPr>
          <w:rFonts w:ascii="Arial" w:hAnsi="Arial" w:cs="Arial"/>
        </w:rPr>
        <w:t>kmol</w:t>
      </w:r>
      <w:proofErr w:type="spellEnd"/>
      <w:r w:rsidRPr="00ED34AB">
        <w:rPr>
          <w:rFonts w:ascii="Arial" w:hAnsi="Arial" w:cs="Arial"/>
        </w:rPr>
        <w:t xml:space="preserve">/h (Cluster 2) to 2,707 </w:t>
      </w:r>
      <w:proofErr w:type="spellStart"/>
      <w:r w:rsidRPr="00ED34AB">
        <w:rPr>
          <w:rFonts w:ascii="Arial" w:hAnsi="Arial" w:cs="Arial"/>
        </w:rPr>
        <w:t>kmol</w:t>
      </w:r>
      <w:proofErr w:type="spellEnd"/>
      <w:r w:rsidRPr="00ED34AB">
        <w:rPr>
          <w:rFonts w:ascii="Arial" w:hAnsi="Arial" w:cs="Arial"/>
        </w:rPr>
        <w:t xml:space="preserve">/h (Cluster 0). Table 5 presents the composition of the lean gas produced after processing. Methane purity of the conditioned gas is consistently high (95.0–96.0 mol %), which supports fuel-gas suitability for gas-turbine when assessed alongside interchangeability parameters such as Wobbe Index / methane number and related fuel-quality constraints (Welch, 2013; </w:t>
      </w:r>
      <w:proofErr w:type="spellStart"/>
      <w:r w:rsidRPr="00ED34AB">
        <w:rPr>
          <w:rFonts w:ascii="Arial" w:hAnsi="Arial" w:cs="Arial"/>
        </w:rPr>
        <w:t>Kuczyński</w:t>
      </w:r>
      <w:proofErr w:type="spellEnd"/>
      <w:r w:rsidRPr="00ED34AB">
        <w:rPr>
          <w:rFonts w:ascii="Arial" w:hAnsi="Arial" w:cs="Arial"/>
        </w:rPr>
        <w:t xml:space="preserve"> et al., 2020). These results indicate that aggregated flare gas from all clusters can be processed into turbine-suitable lean gas, consistent with practical cluster-gathering/processing case evidence (</w:t>
      </w:r>
      <w:proofErr w:type="spellStart"/>
      <w:r w:rsidRPr="00ED34AB">
        <w:rPr>
          <w:rFonts w:ascii="Arial" w:hAnsi="Arial" w:cs="Arial"/>
        </w:rPr>
        <w:t>Fagbami</w:t>
      </w:r>
      <w:proofErr w:type="spellEnd"/>
      <w:r w:rsidRPr="00ED34AB">
        <w:rPr>
          <w:rFonts w:ascii="Arial" w:hAnsi="Arial" w:cs="Arial"/>
        </w:rPr>
        <w:t xml:space="preserve"> et al., 2024). </w:t>
      </w:r>
    </w:p>
    <w:p w14:paraId="35E7D78E" w14:textId="77777777" w:rsidR="00086646" w:rsidRPr="00ED34AB" w:rsidRDefault="00086646" w:rsidP="00ED34AB">
      <w:pPr>
        <w:jc w:val="both"/>
        <w:rPr>
          <w:rFonts w:ascii="Arial" w:hAnsi="Arial" w:cs="Arial"/>
        </w:rPr>
      </w:pPr>
    </w:p>
    <w:p w14:paraId="45EEC02B" w14:textId="253D1B54" w:rsidR="00944613" w:rsidRPr="00086646" w:rsidRDefault="00944613" w:rsidP="00944613">
      <w:pPr>
        <w:pStyle w:val="Tables"/>
        <w:rPr>
          <w:rFonts w:ascii="Arial" w:hAnsi="Arial" w:cs="Arial"/>
          <w:sz w:val="20"/>
          <w:szCs w:val="20"/>
        </w:rPr>
      </w:pPr>
      <w:r w:rsidRPr="00086646">
        <w:rPr>
          <w:rFonts w:ascii="Arial" w:hAnsi="Arial" w:cs="Arial"/>
          <w:sz w:val="20"/>
          <w:szCs w:val="20"/>
        </w:rPr>
        <w:t xml:space="preserve">Table 4    </w:t>
      </w:r>
      <w:proofErr w:type="spellStart"/>
      <w:r w:rsidRPr="00086646">
        <w:rPr>
          <w:rFonts w:ascii="Arial" w:hAnsi="Arial" w:cs="Arial"/>
          <w:sz w:val="20"/>
          <w:szCs w:val="20"/>
        </w:rPr>
        <w:t>Demethanizer</w:t>
      </w:r>
      <w:proofErr w:type="spellEnd"/>
      <w:r w:rsidRPr="00086646">
        <w:rPr>
          <w:rFonts w:ascii="Arial" w:hAnsi="Arial" w:cs="Arial"/>
          <w:sz w:val="20"/>
          <w:szCs w:val="20"/>
        </w:rPr>
        <w:t xml:space="preserve"> boundary conditions and lean-gas recovery (UniSim results)</w:t>
      </w:r>
      <w:bookmarkEnd w:id="4"/>
    </w:p>
    <w:tbl>
      <w:tblPr>
        <w:tblW w:w="8209" w:type="dxa"/>
        <w:tblLook w:val="04A0" w:firstRow="1" w:lastRow="0" w:firstColumn="1" w:lastColumn="0" w:noHBand="0" w:noVBand="1"/>
      </w:tblPr>
      <w:tblGrid>
        <w:gridCol w:w="1093"/>
        <w:gridCol w:w="1034"/>
        <w:gridCol w:w="983"/>
        <w:gridCol w:w="956"/>
        <w:gridCol w:w="992"/>
        <w:gridCol w:w="991"/>
        <w:gridCol w:w="1265"/>
        <w:gridCol w:w="895"/>
      </w:tblGrid>
      <w:tr w:rsidR="00944613" w:rsidRPr="00855BAA" w14:paraId="250AB12F" w14:textId="77777777" w:rsidTr="00E571BE">
        <w:trPr>
          <w:trHeight w:val="624"/>
        </w:trPr>
        <w:tc>
          <w:tcPr>
            <w:tcW w:w="1100" w:type="dxa"/>
            <w:tcBorders>
              <w:top w:val="nil"/>
              <w:left w:val="nil"/>
              <w:bottom w:val="single" w:sz="4" w:space="0" w:color="auto"/>
              <w:right w:val="single" w:sz="4" w:space="0" w:color="auto"/>
            </w:tcBorders>
            <w:vAlign w:val="center"/>
            <w:hideMark/>
          </w:tcPr>
          <w:p w14:paraId="734F05C3" w14:textId="77777777" w:rsidR="00944613" w:rsidRPr="00086646" w:rsidRDefault="00944613" w:rsidP="00BB6153">
            <w:pPr>
              <w:jc w:val="center"/>
              <w:rPr>
                <w:rFonts w:ascii="Arial" w:hAnsi="Arial" w:cs="Arial"/>
                <w:b/>
                <w:color w:val="000000"/>
              </w:rPr>
            </w:pPr>
            <w:r w:rsidRPr="00086646">
              <w:rPr>
                <w:rFonts w:ascii="Arial" w:hAnsi="Arial" w:cs="Arial"/>
                <w:b/>
                <w:color w:val="000000"/>
              </w:rPr>
              <w:t>Cluster</w:t>
            </w:r>
          </w:p>
        </w:tc>
        <w:tc>
          <w:tcPr>
            <w:tcW w:w="1036" w:type="dxa"/>
            <w:tcBorders>
              <w:top w:val="nil"/>
              <w:left w:val="nil"/>
              <w:bottom w:val="single" w:sz="4" w:space="0" w:color="auto"/>
              <w:right w:val="nil"/>
            </w:tcBorders>
            <w:vAlign w:val="center"/>
            <w:hideMark/>
          </w:tcPr>
          <w:p w14:paraId="399D095E" w14:textId="77777777" w:rsidR="00944613" w:rsidRPr="00086646" w:rsidRDefault="00944613" w:rsidP="00BB6153">
            <w:pPr>
              <w:jc w:val="center"/>
              <w:rPr>
                <w:rFonts w:ascii="Arial" w:hAnsi="Arial" w:cs="Arial"/>
                <w:b/>
                <w:color w:val="000000"/>
              </w:rPr>
            </w:pPr>
            <w:r w:rsidRPr="00086646">
              <w:rPr>
                <w:rFonts w:ascii="Arial" w:hAnsi="Arial" w:cs="Arial"/>
                <w:b/>
                <w:color w:val="000000"/>
              </w:rPr>
              <w:t>Pre-</w:t>
            </w:r>
            <w:proofErr w:type="spellStart"/>
            <w:r w:rsidRPr="00086646">
              <w:rPr>
                <w:rFonts w:ascii="Arial" w:hAnsi="Arial" w:cs="Arial"/>
                <w:b/>
                <w:color w:val="000000"/>
              </w:rPr>
              <w:t>demeth</w:t>
            </w:r>
            <w:proofErr w:type="spellEnd"/>
            <w:r w:rsidRPr="00086646">
              <w:rPr>
                <w:rFonts w:ascii="Arial" w:hAnsi="Arial" w:cs="Arial"/>
                <w:b/>
                <w:color w:val="000000"/>
              </w:rPr>
              <w:t>. feed P (kPa)</w:t>
            </w:r>
          </w:p>
        </w:tc>
        <w:tc>
          <w:tcPr>
            <w:tcW w:w="983" w:type="dxa"/>
            <w:tcBorders>
              <w:top w:val="nil"/>
              <w:left w:val="nil"/>
              <w:bottom w:val="single" w:sz="4" w:space="0" w:color="auto"/>
              <w:right w:val="nil"/>
            </w:tcBorders>
            <w:vAlign w:val="center"/>
            <w:hideMark/>
          </w:tcPr>
          <w:p w14:paraId="587D3AFB" w14:textId="77777777" w:rsidR="00944613" w:rsidRPr="00086646" w:rsidRDefault="00944613" w:rsidP="00BB6153">
            <w:pPr>
              <w:jc w:val="center"/>
              <w:rPr>
                <w:rFonts w:ascii="Arial" w:hAnsi="Arial" w:cs="Arial"/>
                <w:b/>
                <w:color w:val="000000"/>
              </w:rPr>
            </w:pPr>
            <w:r w:rsidRPr="00086646">
              <w:rPr>
                <w:rFonts w:ascii="Arial" w:hAnsi="Arial" w:cs="Arial"/>
                <w:b/>
                <w:color w:val="000000"/>
              </w:rPr>
              <w:t>Pre-</w:t>
            </w:r>
            <w:proofErr w:type="spellStart"/>
            <w:r w:rsidRPr="00086646">
              <w:rPr>
                <w:rFonts w:ascii="Arial" w:hAnsi="Arial" w:cs="Arial"/>
                <w:b/>
                <w:color w:val="000000"/>
              </w:rPr>
              <w:t>demeth</w:t>
            </w:r>
            <w:proofErr w:type="spellEnd"/>
            <w:r w:rsidRPr="00086646">
              <w:rPr>
                <w:rFonts w:ascii="Arial" w:hAnsi="Arial" w:cs="Arial"/>
                <w:b/>
                <w:color w:val="000000"/>
              </w:rPr>
              <w:t>. feed T (°C)</w:t>
            </w:r>
          </w:p>
        </w:tc>
        <w:tc>
          <w:tcPr>
            <w:tcW w:w="958" w:type="dxa"/>
            <w:tcBorders>
              <w:top w:val="nil"/>
              <w:left w:val="nil"/>
              <w:bottom w:val="single" w:sz="4" w:space="0" w:color="auto"/>
              <w:right w:val="nil"/>
            </w:tcBorders>
            <w:vAlign w:val="center"/>
            <w:hideMark/>
          </w:tcPr>
          <w:p w14:paraId="574C953C" w14:textId="77777777" w:rsidR="00944613" w:rsidRPr="00086646" w:rsidRDefault="00944613" w:rsidP="00BB6153">
            <w:pPr>
              <w:jc w:val="center"/>
              <w:rPr>
                <w:rFonts w:ascii="Arial" w:hAnsi="Arial" w:cs="Arial"/>
                <w:b/>
                <w:color w:val="000000"/>
              </w:rPr>
            </w:pPr>
            <w:r w:rsidRPr="00086646">
              <w:rPr>
                <w:rFonts w:ascii="Arial" w:hAnsi="Arial" w:cs="Arial"/>
                <w:b/>
                <w:color w:val="000000"/>
              </w:rPr>
              <w:t>Bottom (kettle) T (°C)</w:t>
            </w:r>
          </w:p>
        </w:tc>
        <w:tc>
          <w:tcPr>
            <w:tcW w:w="993" w:type="dxa"/>
            <w:tcBorders>
              <w:top w:val="nil"/>
              <w:left w:val="nil"/>
              <w:bottom w:val="single" w:sz="4" w:space="0" w:color="auto"/>
              <w:right w:val="nil"/>
            </w:tcBorders>
            <w:vAlign w:val="center"/>
            <w:hideMark/>
          </w:tcPr>
          <w:p w14:paraId="300607C6" w14:textId="77777777" w:rsidR="00944613" w:rsidRPr="00086646" w:rsidRDefault="00944613" w:rsidP="00BB6153">
            <w:pPr>
              <w:jc w:val="center"/>
              <w:rPr>
                <w:rFonts w:ascii="Arial" w:hAnsi="Arial" w:cs="Arial"/>
                <w:b/>
                <w:color w:val="000000"/>
              </w:rPr>
            </w:pPr>
            <w:r w:rsidRPr="00086646">
              <w:rPr>
                <w:rFonts w:ascii="Arial" w:hAnsi="Arial" w:cs="Arial"/>
                <w:b/>
                <w:color w:val="000000"/>
              </w:rPr>
              <w:t>Lean-gas product P (kPa)</w:t>
            </w:r>
          </w:p>
        </w:tc>
        <w:tc>
          <w:tcPr>
            <w:tcW w:w="992" w:type="dxa"/>
            <w:tcBorders>
              <w:top w:val="nil"/>
              <w:left w:val="nil"/>
              <w:bottom w:val="single" w:sz="4" w:space="0" w:color="auto"/>
              <w:right w:val="nil"/>
            </w:tcBorders>
            <w:vAlign w:val="center"/>
            <w:hideMark/>
          </w:tcPr>
          <w:p w14:paraId="7264FCC3" w14:textId="77777777" w:rsidR="00944613" w:rsidRPr="00086646" w:rsidRDefault="00944613" w:rsidP="00BB6153">
            <w:pPr>
              <w:jc w:val="center"/>
              <w:rPr>
                <w:rFonts w:ascii="Arial" w:hAnsi="Arial" w:cs="Arial"/>
                <w:b/>
                <w:color w:val="000000"/>
              </w:rPr>
            </w:pPr>
            <w:r w:rsidRPr="00086646">
              <w:rPr>
                <w:rFonts w:ascii="Arial" w:hAnsi="Arial" w:cs="Arial"/>
                <w:b/>
                <w:color w:val="000000"/>
              </w:rPr>
              <w:t>Lean-gas product T (°C)</w:t>
            </w:r>
          </w:p>
        </w:tc>
        <w:tc>
          <w:tcPr>
            <w:tcW w:w="1276" w:type="dxa"/>
            <w:tcBorders>
              <w:top w:val="nil"/>
              <w:left w:val="nil"/>
              <w:bottom w:val="single" w:sz="4" w:space="0" w:color="auto"/>
              <w:right w:val="nil"/>
            </w:tcBorders>
            <w:vAlign w:val="center"/>
            <w:hideMark/>
          </w:tcPr>
          <w:p w14:paraId="2741A9C5" w14:textId="77777777" w:rsidR="00944613" w:rsidRPr="00086646" w:rsidRDefault="00944613" w:rsidP="00BB6153">
            <w:pPr>
              <w:jc w:val="center"/>
              <w:rPr>
                <w:rFonts w:ascii="Arial" w:hAnsi="Arial" w:cs="Arial"/>
                <w:b/>
                <w:color w:val="000000"/>
              </w:rPr>
            </w:pPr>
            <w:r w:rsidRPr="00086646">
              <w:rPr>
                <w:rFonts w:ascii="Arial" w:hAnsi="Arial" w:cs="Arial"/>
                <w:b/>
                <w:color w:val="000000"/>
              </w:rPr>
              <w:t>Lean-gas flow (</w:t>
            </w:r>
            <w:proofErr w:type="spellStart"/>
            <w:r w:rsidRPr="00086646">
              <w:rPr>
                <w:rFonts w:ascii="Arial" w:hAnsi="Arial" w:cs="Arial"/>
                <w:b/>
                <w:color w:val="000000"/>
              </w:rPr>
              <w:t>kmol</w:t>
            </w:r>
            <w:proofErr w:type="spellEnd"/>
            <w:r w:rsidRPr="00086646">
              <w:rPr>
                <w:rFonts w:ascii="Arial" w:hAnsi="Arial" w:cs="Arial"/>
                <w:b/>
                <w:color w:val="000000"/>
              </w:rPr>
              <w:t>/h)</w:t>
            </w:r>
          </w:p>
        </w:tc>
        <w:tc>
          <w:tcPr>
            <w:tcW w:w="871" w:type="dxa"/>
            <w:tcBorders>
              <w:top w:val="nil"/>
              <w:left w:val="nil"/>
              <w:bottom w:val="single" w:sz="4" w:space="0" w:color="auto"/>
              <w:right w:val="nil"/>
            </w:tcBorders>
            <w:vAlign w:val="center"/>
            <w:hideMark/>
          </w:tcPr>
          <w:p w14:paraId="1D1AB7D2" w14:textId="77777777" w:rsidR="00944613" w:rsidRPr="00086646" w:rsidRDefault="00944613" w:rsidP="00BB6153">
            <w:pPr>
              <w:jc w:val="center"/>
              <w:rPr>
                <w:rFonts w:ascii="Arial" w:hAnsi="Arial" w:cs="Arial"/>
                <w:b/>
                <w:color w:val="000000"/>
              </w:rPr>
            </w:pPr>
            <w:r w:rsidRPr="00086646">
              <w:rPr>
                <w:rFonts w:ascii="Arial" w:hAnsi="Arial" w:cs="Arial"/>
                <w:b/>
                <w:color w:val="000000"/>
              </w:rPr>
              <w:t>CH4 purity (Mol%)</w:t>
            </w:r>
          </w:p>
        </w:tc>
      </w:tr>
      <w:tr w:rsidR="00944613" w:rsidRPr="00855BAA" w14:paraId="711A2875" w14:textId="77777777" w:rsidTr="00E571BE">
        <w:trPr>
          <w:trHeight w:val="516"/>
        </w:trPr>
        <w:tc>
          <w:tcPr>
            <w:tcW w:w="1100" w:type="dxa"/>
            <w:tcBorders>
              <w:top w:val="nil"/>
              <w:left w:val="nil"/>
              <w:bottom w:val="nil"/>
              <w:right w:val="single" w:sz="4" w:space="0" w:color="auto"/>
            </w:tcBorders>
            <w:vAlign w:val="center"/>
            <w:hideMark/>
          </w:tcPr>
          <w:p w14:paraId="263C0CE7" w14:textId="77777777" w:rsidR="00944613" w:rsidRPr="00086646" w:rsidRDefault="00944613" w:rsidP="00BB6153">
            <w:pPr>
              <w:jc w:val="center"/>
              <w:rPr>
                <w:rFonts w:ascii="Arial" w:hAnsi="Arial" w:cs="Arial"/>
                <w:color w:val="000000"/>
              </w:rPr>
            </w:pPr>
            <w:r w:rsidRPr="00086646">
              <w:rPr>
                <w:rFonts w:ascii="Arial" w:hAnsi="Arial" w:cs="Arial"/>
                <w:color w:val="000000"/>
              </w:rPr>
              <w:t>0</w:t>
            </w:r>
          </w:p>
        </w:tc>
        <w:tc>
          <w:tcPr>
            <w:tcW w:w="1036" w:type="dxa"/>
            <w:tcBorders>
              <w:top w:val="nil"/>
              <w:left w:val="nil"/>
              <w:bottom w:val="nil"/>
              <w:right w:val="nil"/>
            </w:tcBorders>
            <w:vAlign w:val="center"/>
            <w:hideMark/>
          </w:tcPr>
          <w:p w14:paraId="68C7AF91" w14:textId="77777777" w:rsidR="00944613" w:rsidRPr="00086646" w:rsidRDefault="00944613" w:rsidP="00BB6153">
            <w:pPr>
              <w:jc w:val="center"/>
              <w:rPr>
                <w:rFonts w:ascii="Arial" w:hAnsi="Arial" w:cs="Arial"/>
                <w:color w:val="000000"/>
              </w:rPr>
            </w:pPr>
            <w:r w:rsidRPr="00086646">
              <w:rPr>
                <w:rFonts w:ascii="Arial" w:hAnsi="Arial" w:cs="Arial"/>
                <w:color w:val="000000"/>
              </w:rPr>
              <w:t>3,000</w:t>
            </w:r>
          </w:p>
        </w:tc>
        <w:tc>
          <w:tcPr>
            <w:tcW w:w="983" w:type="dxa"/>
            <w:tcBorders>
              <w:top w:val="nil"/>
              <w:left w:val="nil"/>
              <w:bottom w:val="nil"/>
              <w:right w:val="nil"/>
            </w:tcBorders>
            <w:vAlign w:val="center"/>
            <w:hideMark/>
          </w:tcPr>
          <w:p w14:paraId="4FA7299D" w14:textId="77777777" w:rsidR="00944613" w:rsidRPr="00086646" w:rsidRDefault="00944613" w:rsidP="00BB6153">
            <w:pPr>
              <w:jc w:val="center"/>
              <w:rPr>
                <w:rFonts w:ascii="Arial" w:hAnsi="Arial" w:cs="Arial"/>
                <w:color w:val="000000"/>
              </w:rPr>
            </w:pPr>
            <w:r w:rsidRPr="00086646">
              <w:rPr>
                <w:rFonts w:ascii="Arial" w:hAnsi="Arial" w:cs="Arial"/>
                <w:color w:val="000000"/>
              </w:rPr>
              <w:t>−95</w:t>
            </w:r>
          </w:p>
        </w:tc>
        <w:tc>
          <w:tcPr>
            <w:tcW w:w="958" w:type="dxa"/>
            <w:tcBorders>
              <w:top w:val="nil"/>
              <w:left w:val="nil"/>
              <w:bottom w:val="nil"/>
              <w:right w:val="nil"/>
            </w:tcBorders>
            <w:vAlign w:val="center"/>
            <w:hideMark/>
          </w:tcPr>
          <w:p w14:paraId="5AF44101" w14:textId="77777777" w:rsidR="00944613" w:rsidRPr="00086646" w:rsidRDefault="00944613" w:rsidP="00BB6153">
            <w:pPr>
              <w:jc w:val="center"/>
              <w:rPr>
                <w:rFonts w:ascii="Arial" w:hAnsi="Arial" w:cs="Arial"/>
                <w:color w:val="000000"/>
              </w:rPr>
            </w:pPr>
            <w:r w:rsidRPr="00086646">
              <w:rPr>
                <w:rFonts w:ascii="Arial" w:hAnsi="Arial" w:cs="Arial"/>
                <w:color w:val="000000"/>
              </w:rPr>
              <w:t>10.43</w:t>
            </w:r>
          </w:p>
        </w:tc>
        <w:tc>
          <w:tcPr>
            <w:tcW w:w="993" w:type="dxa"/>
            <w:tcBorders>
              <w:top w:val="nil"/>
              <w:left w:val="nil"/>
              <w:bottom w:val="nil"/>
              <w:right w:val="nil"/>
            </w:tcBorders>
            <w:vAlign w:val="center"/>
            <w:hideMark/>
          </w:tcPr>
          <w:p w14:paraId="676E9C73" w14:textId="77777777" w:rsidR="00944613" w:rsidRPr="00086646" w:rsidRDefault="00944613" w:rsidP="00BB6153">
            <w:pPr>
              <w:jc w:val="center"/>
              <w:rPr>
                <w:rFonts w:ascii="Arial" w:hAnsi="Arial" w:cs="Arial"/>
                <w:color w:val="000000"/>
              </w:rPr>
            </w:pPr>
            <w:r w:rsidRPr="00086646">
              <w:rPr>
                <w:rFonts w:ascii="Arial" w:hAnsi="Arial" w:cs="Arial"/>
                <w:color w:val="000000"/>
              </w:rPr>
              <w:t>2,275</w:t>
            </w:r>
          </w:p>
        </w:tc>
        <w:tc>
          <w:tcPr>
            <w:tcW w:w="992" w:type="dxa"/>
            <w:tcBorders>
              <w:top w:val="nil"/>
              <w:left w:val="nil"/>
              <w:bottom w:val="nil"/>
              <w:right w:val="nil"/>
            </w:tcBorders>
            <w:vAlign w:val="center"/>
            <w:hideMark/>
          </w:tcPr>
          <w:p w14:paraId="1974E6DC" w14:textId="77777777" w:rsidR="00944613" w:rsidRPr="00086646" w:rsidRDefault="00944613" w:rsidP="00BB6153">
            <w:pPr>
              <w:jc w:val="center"/>
              <w:rPr>
                <w:rFonts w:ascii="Arial" w:hAnsi="Arial" w:cs="Arial"/>
                <w:color w:val="000000"/>
              </w:rPr>
            </w:pPr>
            <w:r w:rsidRPr="00086646">
              <w:rPr>
                <w:rFonts w:ascii="Arial" w:hAnsi="Arial" w:cs="Arial"/>
                <w:color w:val="000000"/>
              </w:rPr>
              <w:t>−95.30</w:t>
            </w:r>
          </w:p>
        </w:tc>
        <w:tc>
          <w:tcPr>
            <w:tcW w:w="1276" w:type="dxa"/>
            <w:tcBorders>
              <w:top w:val="nil"/>
              <w:left w:val="nil"/>
              <w:bottom w:val="nil"/>
              <w:right w:val="nil"/>
            </w:tcBorders>
            <w:vAlign w:val="center"/>
            <w:hideMark/>
          </w:tcPr>
          <w:p w14:paraId="34C93BCC" w14:textId="77777777" w:rsidR="00944613" w:rsidRPr="00086646" w:rsidRDefault="00944613" w:rsidP="00BB6153">
            <w:pPr>
              <w:jc w:val="center"/>
              <w:rPr>
                <w:rFonts w:ascii="Arial" w:hAnsi="Arial" w:cs="Arial"/>
                <w:color w:val="000000"/>
              </w:rPr>
            </w:pPr>
            <w:r w:rsidRPr="00086646">
              <w:rPr>
                <w:rFonts w:ascii="Arial" w:hAnsi="Arial" w:cs="Arial"/>
                <w:color w:val="000000"/>
              </w:rPr>
              <w:t>2,707</w:t>
            </w:r>
          </w:p>
        </w:tc>
        <w:tc>
          <w:tcPr>
            <w:tcW w:w="871" w:type="dxa"/>
            <w:tcBorders>
              <w:top w:val="nil"/>
              <w:left w:val="nil"/>
              <w:bottom w:val="nil"/>
              <w:right w:val="nil"/>
            </w:tcBorders>
            <w:noWrap/>
            <w:vAlign w:val="center"/>
            <w:hideMark/>
          </w:tcPr>
          <w:p w14:paraId="2707CB97" w14:textId="77777777" w:rsidR="00944613" w:rsidRPr="00086646" w:rsidRDefault="00944613" w:rsidP="00BB6153">
            <w:pPr>
              <w:jc w:val="center"/>
              <w:rPr>
                <w:rFonts w:ascii="Arial" w:hAnsi="Arial" w:cs="Arial"/>
                <w:color w:val="000000"/>
              </w:rPr>
            </w:pPr>
            <w:r w:rsidRPr="00086646">
              <w:rPr>
                <w:rFonts w:ascii="Arial" w:hAnsi="Arial" w:cs="Arial"/>
                <w:color w:val="000000"/>
              </w:rPr>
              <w:t>95.99%</w:t>
            </w:r>
          </w:p>
        </w:tc>
      </w:tr>
      <w:tr w:rsidR="00944613" w:rsidRPr="00855BAA" w14:paraId="3C47D86E" w14:textId="77777777" w:rsidTr="00E571BE">
        <w:trPr>
          <w:trHeight w:val="516"/>
        </w:trPr>
        <w:tc>
          <w:tcPr>
            <w:tcW w:w="1100" w:type="dxa"/>
            <w:tcBorders>
              <w:top w:val="nil"/>
              <w:left w:val="nil"/>
              <w:bottom w:val="nil"/>
              <w:right w:val="single" w:sz="4" w:space="0" w:color="auto"/>
            </w:tcBorders>
            <w:vAlign w:val="center"/>
            <w:hideMark/>
          </w:tcPr>
          <w:p w14:paraId="138F1115" w14:textId="77777777" w:rsidR="00944613" w:rsidRPr="00086646" w:rsidRDefault="00944613" w:rsidP="00BB6153">
            <w:pPr>
              <w:jc w:val="center"/>
              <w:rPr>
                <w:rFonts w:ascii="Arial" w:hAnsi="Arial" w:cs="Arial"/>
                <w:color w:val="000000"/>
              </w:rPr>
            </w:pPr>
            <w:r w:rsidRPr="00086646">
              <w:rPr>
                <w:rFonts w:ascii="Arial" w:hAnsi="Arial" w:cs="Arial"/>
                <w:color w:val="000000"/>
              </w:rPr>
              <w:t>1</w:t>
            </w:r>
          </w:p>
        </w:tc>
        <w:tc>
          <w:tcPr>
            <w:tcW w:w="1036" w:type="dxa"/>
            <w:tcBorders>
              <w:top w:val="nil"/>
              <w:left w:val="nil"/>
              <w:bottom w:val="nil"/>
              <w:right w:val="nil"/>
            </w:tcBorders>
            <w:vAlign w:val="center"/>
            <w:hideMark/>
          </w:tcPr>
          <w:p w14:paraId="728F20C7" w14:textId="77777777" w:rsidR="00944613" w:rsidRPr="00086646" w:rsidRDefault="00944613" w:rsidP="00BB6153">
            <w:pPr>
              <w:jc w:val="center"/>
              <w:rPr>
                <w:rFonts w:ascii="Arial" w:hAnsi="Arial" w:cs="Arial"/>
                <w:color w:val="000000"/>
              </w:rPr>
            </w:pPr>
            <w:r w:rsidRPr="00086646">
              <w:rPr>
                <w:rFonts w:ascii="Arial" w:hAnsi="Arial" w:cs="Arial"/>
                <w:color w:val="000000"/>
              </w:rPr>
              <w:t>3,000</w:t>
            </w:r>
          </w:p>
        </w:tc>
        <w:tc>
          <w:tcPr>
            <w:tcW w:w="983" w:type="dxa"/>
            <w:tcBorders>
              <w:top w:val="nil"/>
              <w:left w:val="nil"/>
              <w:bottom w:val="nil"/>
              <w:right w:val="nil"/>
            </w:tcBorders>
            <w:vAlign w:val="center"/>
            <w:hideMark/>
          </w:tcPr>
          <w:p w14:paraId="77E95D70" w14:textId="77777777" w:rsidR="00944613" w:rsidRPr="00086646" w:rsidRDefault="00944613" w:rsidP="00BB6153">
            <w:pPr>
              <w:jc w:val="center"/>
              <w:rPr>
                <w:rFonts w:ascii="Arial" w:hAnsi="Arial" w:cs="Arial"/>
                <w:color w:val="000000"/>
              </w:rPr>
            </w:pPr>
            <w:r w:rsidRPr="00086646">
              <w:rPr>
                <w:rFonts w:ascii="Arial" w:hAnsi="Arial" w:cs="Arial"/>
                <w:color w:val="000000"/>
              </w:rPr>
              <w:t>−95</w:t>
            </w:r>
          </w:p>
        </w:tc>
        <w:tc>
          <w:tcPr>
            <w:tcW w:w="958" w:type="dxa"/>
            <w:tcBorders>
              <w:top w:val="nil"/>
              <w:left w:val="nil"/>
              <w:bottom w:val="nil"/>
              <w:right w:val="nil"/>
            </w:tcBorders>
            <w:vAlign w:val="center"/>
            <w:hideMark/>
          </w:tcPr>
          <w:p w14:paraId="4EB2884C" w14:textId="77777777" w:rsidR="00944613" w:rsidRPr="00086646" w:rsidRDefault="00944613" w:rsidP="00BB6153">
            <w:pPr>
              <w:jc w:val="center"/>
              <w:rPr>
                <w:rFonts w:ascii="Arial" w:hAnsi="Arial" w:cs="Arial"/>
                <w:color w:val="000000"/>
              </w:rPr>
            </w:pPr>
            <w:r w:rsidRPr="00086646">
              <w:rPr>
                <w:rFonts w:ascii="Arial" w:hAnsi="Arial" w:cs="Arial"/>
                <w:color w:val="000000"/>
              </w:rPr>
              <w:t>39.85</w:t>
            </w:r>
          </w:p>
        </w:tc>
        <w:tc>
          <w:tcPr>
            <w:tcW w:w="993" w:type="dxa"/>
            <w:tcBorders>
              <w:top w:val="nil"/>
              <w:left w:val="nil"/>
              <w:bottom w:val="nil"/>
              <w:right w:val="nil"/>
            </w:tcBorders>
            <w:vAlign w:val="center"/>
            <w:hideMark/>
          </w:tcPr>
          <w:p w14:paraId="3223BA21" w14:textId="77777777" w:rsidR="00944613" w:rsidRPr="00086646" w:rsidRDefault="00944613" w:rsidP="00BB6153">
            <w:pPr>
              <w:jc w:val="center"/>
              <w:rPr>
                <w:rFonts w:ascii="Arial" w:hAnsi="Arial" w:cs="Arial"/>
                <w:color w:val="000000"/>
              </w:rPr>
            </w:pPr>
            <w:r w:rsidRPr="00086646">
              <w:rPr>
                <w:rFonts w:ascii="Arial" w:hAnsi="Arial" w:cs="Arial"/>
                <w:color w:val="000000"/>
              </w:rPr>
              <w:t>2,275</w:t>
            </w:r>
          </w:p>
        </w:tc>
        <w:tc>
          <w:tcPr>
            <w:tcW w:w="992" w:type="dxa"/>
            <w:tcBorders>
              <w:top w:val="nil"/>
              <w:left w:val="nil"/>
              <w:bottom w:val="nil"/>
              <w:right w:val="nil"/>
            </w:tcBorders>
            <w:vAlign w:val="center"/>
            <w:hideMark/>
          </w:tcPr>
          <w:p w14:paraId="1FA85AC2" w14:textId="77777777" w:rsidR="00944613" w:rsidRPr="00086646" w:rsidRDefault="00944613" w:rsidP="00BB6153">
            <w:pPr>
              <w:jc w:val="center"/>
              <w:rPr>
                <w:rFonts w:ascii="Arial" w:hAnsi="Arial" w:cs="Arial"/>
                <w:color w:val="000000"/>
              </w:rPr>
            </w:pPr>
            <w:r w:rsidRPr="00086646">
              <w:rPr>
                <w:rFonts w:ascii="Arial" w:hAnsi="Arial" w:cs="Arial"/>
                <w:color w:val="000000"/>
              </w:rPr>
              <w:t>−88.54</w:t>
            </w:r>
          </w:p>
        </w:tc>
        <w:tc>
          <w:tcPr>
            <w:tcW w:w="1276" w:type="dxa"/>
            <w:tcBorders>
              <w:top w:val="nil"/>
              <w:left w:val="nil"/>
              <w:bottom w:val="nil"/>
              <w:right w:val="nil"/>
            </w:tcBorders>
            <w:vAlign w:val="center"/>
            <w:hideMark/>
          </w:tcPr>
          <w:p w14:paraId="18AE84FE" w14:textId="77777777" w:rsidR="00944613" w:rsidRPr="00086646" w:rsidRDefault="00944613" w:rsidP="00BB6153">
            <w:pPr>
              <w:jc w:val="center"/>
              <w:rPr>
                <w:rFonts w:ascii="Arial" w:hAnsi="Arial" w:cs="Arial"/>
                <w:color w:val="000000"/>
              </w:rPr>
            </w:pPr>
            <w:r w:rsidRPr="00086646">
              <w:rPr>
                <w:rFonts w:ascii="Arial" w:hAnsi="Arial" w:cs="Arial"/>
                <w:color w:val="000000"/>
              </w:rPr>
              <w:t>1,053</w:t>
            </w:r>
          </w:p>
        </w:tc>
        <w:tc>
          <w:tcPr>
            <w:tcW w:w="871" w:type="dxa"/>
            <w:tcBorders>
              <w:top w:val="nil"/>
              <w:left w:val="nil"/>
              <w:bottom w:val="nil"/>
              <w:right w:val="nil"/>
            </w:tcBorders>
            <w:noWrap/>
            <w:vAlign w:val="center"/>
            <w:hideMark/>
          </w:tcPr>
          <w:p w14:paraId="7A30C6CE" w14:textId="77777777" w:rsidR="00944613" w:rsidRPr="00086646" w:rsidRDefault="00944613" w:rsidP="00BB6153">
            <w:pPr>
              <w:jc w:val="center"/>
              <w:rPr>
                <w:rFonts w:ascii="Arial" w:hAnsi="Arial" w:cs="Arial"/>
                <w:color w:val="000000"/>
              </w:rPr>
            </w:pPr>
            <w:r w:rsidRPr="00086646">
              <w:rPr>
                <w:rFonts w:ascii="Arial" w:hAnsi="Arial" w:cs="Arial"/>
                <w:color w:val="000000"/>
              </w:rPr>
              <w:t>96.00%</w:t>
            </w:r>
          </w:p>
        </w:tc>
      </w:tr>
      <w:tr w:rsidR="00944613" w:rsidRPr="00855BAA" w14:paraId="72B7B09E" w14:textId="77777777" w:rsidTr="00E571BE">
        <w:trPr>
          <w:trHeight w:val="516"/>
        </w:trPr>
        <w:tc>
          <w:tcPr>
            <w:tcW w:w="1100" w:type="dxa"/>
            <w:tcBorders>
              <w:top w:val="nil"/>
              <w:left w:val="nil"/>
              <w:bottom w:val="nil"/>
              <w:right w:val="single" w:sz="4" w:space="0" w:color="auto"/>
            </w:tcBorders>
            <w:vAlign w:val="center"/>
            <w:hideMark/>
          </w:tcPr>
          <w:p w14:paraId="2B46B6B9" w14:textId="77777777" w:rsidR="00944613" w:rsidRPr="00086646" w:rsidRDefault="00944613" w:rsidP="00BB6153">
            <w:pPr>
              <w:jc w:val="center"/>
              <w:rPr>
                <w:rFonts w:ascii="Arial" w:hAnsi="Arial" w:cs="Arial"/>
                <w:color w:val="000000"/>
              </w:rPr>
            </w:pPr>
            <w:r w:rsidRPr="00086646">
              <w:rPr>
                <w:rFonts w:ascii="Arial" w:hAnsi="Arial" w:cs="Arial"/>
                <w:color w:val="000000"/>
              </w:rPr>
              <w:t>2</w:t>
            </w:r>
          </w:p>
        </w:tc>
        <w:tc>
          <w:tcPr>
            <w:tcW w:w="1036" w:type="dxa"/>
            <w:tcBorders>
              <w:top w:val="nil"/>
              <w:left w:val="nil"/>
              <w:bottom w:val="nil"/>
              <w:right w:val="nil"/>
            </w:tcBorders>
            <w:vAlign w:val="center"/>
            <w:hideMark/>
          </w:tcPr>
          <w:p w14:paraId="52DCAAFA" w14:textId="77777777" w:rsidR="00944613" w:rsidRPr="00086646" w:rsidRDefault="00944613" w:rsidP="00BB6153">
            <w:pPr>
              <w:jc w:val="center"/>
              <w:rPr>
                <w:rFonts w:ascii="Arial" w:hAnsi="Arial" w:cs="Arial"/>
                <w:color w:val="000000"/>
              </w:rPr>
            </w:pPr>
            <w:r w:rsidRPr="00086646">
              <w:rPr>
                <w:rFonts w:ascii="Arial" w:hAnsi="Arial" w:cs="Arial"/>
                <w:color w:val="000000"/>
              </w:rPr>
              <w:t>3,000</w:t>
            </w:r>
          </w:p>
        </w:tc>
        <w:tc>
          <w:tcPr>
            <w:tcW w:w="983" w:type="dxa"/>
            <w:tcBorders>
              <w:top w:val="nil"/>
              <w:left w:val="nil"/>
              <w:bottom w:val="nil"/>
              <w:right w:val="nil"/>
            </w:tcBorders>
            <w:vAlign w:val="center"/>
            <w:hideMark/>
          </w:tcPr>
          <w:p w14:paraId="76981581" w14:textId="77777777" w:rsidR="00944613" w:rsidRPr="00086646" w:rsidRDefault="00944613" w:rsidP="00BB6153">
            <w:pPr>
              <w:jc w:val="center"/>
              <w:rPr>
                <w:rFonts w:ascii="Arial" w:hAnsi="Arial" w:cs="Arial"/>
                <w:color w:val="000000"/>
              </w:rPr>
            </w:pPr>
            <w:r w:rsidRPr="00086646">
              <w:rPr>
                <w:rFonts w:ascii="Arial" w:hAnsi="Arial" w:cs="Arial"/>
                <w:color w:val="000000"/>
              </w:rPr>
              <w:t>−95</w:t>
            </w:r>
          </w:p>
        </w:tc>
        <w:tc>
          <w:tcPr>
            <w:tcW w:w="958" w:type="dxa"/>
            <w:tcBorders>
              <w:top w:val="nil"/>
              <w:left w:val="nil"/>
              <w:bottom w:val="nil"/>
              <w:right w:val="nil"/>
            </w:tcBorders>
            <w:vAlign w:val="center"/>
            <w:hideMark/>
          </w:tcPr>
          <w:p w14:paraId="437DEA27" w14:textId="77777777" w:rsidR="00944613" w:rsidRPr="00086646" w:rsidRDefault="00944613" w:rsidP="00BB6153">
            <w:pPr>
              <w:jc w:val="center"/>
              <w:rPr>
                <w:rFonts w:ascii="Arial" w:hAnsi="Arial" w:cs="Arial"/>
                <w:color w:val="000000"/>
              </w:rPr>
            </w:pPr>
            <w:r w:rsidRPr="00086646">
              <w:rPr>
                <w:rFonts w:ascii="Arial" w:hAnsi="Arial" w:cs="Arial"/>
                <w:color w:val="000000"/>
              </w:rPr>
              <w:t>41.57</w:t>
            </w:r>
          </w:p>
        </w:tc>
        <w:tc>
          <w:tcPr>
            <w:tcW w:w="993" w:type="dxa"/>
            <w:tcBorders>
              <w:top w:val="nil"/>
              <w:left w:val="nil"/>
              <w:bottom w:val="nil"/>
              <w:right w:val="nil"/>
            </w:tcBorders>
            <w:vAlign w:val="center"/>
            <w:hideMark/>
          </w:tcPr>
          <w:p w14:paraId="508CB069" w14:textId="77777777" w:rsidR="00944613" w:rsidRPr="00086646" w:rsidRDefault="00944613" w:rsidP="00BB6153">
            <w:pPr>
              <w:jc w:val="center"/>
              <w:rPr>
                <w:rFonts w:ascii="Arial" w:hAnsi="Arial" w:cs="Arial"/>
                <w:color w:val="000000"/>
              </w:rPr>
            </w:pPr>
            <w:r w:rsidRPr="00086646">
              <w:rPr>
                <w:rFonts w:ascii="Arial" w:hAnsi="Arial" w:cs="Arial"/>
                <w:color w:val="000000"/>
              </w:rPr>
              <w:t>2,275</w:t>
            </w:r>
          </w:p>
        </w:tc>
        <w:tc>
          <w:tcPr>
            <w:tcW w:w="992" w:type="dxa"/>
            <w:tcBorders>
              <w:top w:val="nil"/>
              <w:left w:val="nil"/>
              <w:bottom w:val="nil"/>
              <w:right w:val="nil"/>
            </w:tcBorders>
            <w:vAlign w:val="center"/>
            <w:hideMark/>
          </w:tcPr>
          <w:p w14:paraId="4058889B" w14:textId="77777777" w:rsidR="00944613" w:rsidRPr="00086646" w:rsidRDefault="00944613" w:rsidP="00BB6153">
            <w:pPr>
              <w:jc w:val="center"/>
              <w:rPr>
                <w:rFonts w:ascii="Arial" w:hAnsi="Arial" w:cs="Arial"/>
                <w:color w:val="000000"/>
              </w:rPr>
            </w:pPr>
            <w:r w:rsidRPr="00086646">
              <w:rPr>
                <w:rFonts w:ascii="Arial" w:hAnsi="Arial" w:cs="Arial"/>
                <w:color w:val="000000"/>
              </w:rPr>
              <w:t>−91.09</w:t>
            </w:r>
          </w:p>
        </w:tc>
        <w:tc>
          <w:tcPr>
            <w:tcW w:w="1276" w:type="dxa"/>
            <w:tcBorders>
              <w:top w:val="nil"/>
              <w:left w:val="nil"/>
              <w:bottom w:val="nil"/>
              <w:right w:val="nil"/>
            </w:tcBorders>
            <w:vAlign w:val="center"/>
            <w:hideMark/>
          </w:tcPr>
          <w:p w14:paraId="1F7D81B2" w14:textId="77777777" w:rsidR="00944613" w:rsidRPr="00086646" w:rsidRDefault="00944613" w:rsidP="00BB6153">
            <w:pPr>
              <w:jc w:val="center"/>
              <w:rPr>
                <w:rFonts w:ascii="Arial" w:hAnsi="Arial" w:cs="Arial"/>
                <w:color w:val="000000"/>
              </w:rPr>
            </w:pPr>
            <w:r w:rsidRPr="00086646">
              <w:rPr>
                <w:rFonts w:ascii="Arial" w:hAnsi="Arial" w:cs="Arial"/>
                <w:color w:val="000000"/>
              </w:rPr>
              <w:t>637.1</w:t>
            </w:r>
          </w:p>
        </w:tc>
        <w:tc>
          <w:tcPr>
            <w:tcW w:w="871" w:type="dxa"/>
            <w:tcBorders>
              <w:top w:val="nil"/>
              <w:left w:val="nil"/>
              <w:bottom w:val="nil"/>
              <w:right w:val="nil"/>
            </w:tcBorders>
            <w:noWrap/>
            <w:vAlign w:val="center"/>
            <w:hideMark/>
          </w:tcPr>
          <w:p w14:paraId="2CE545E8" w14:textId="77777777" w:rsidR="00944613" w:rsidRPr="00086646" w:rsidRDefault="00944613" w:rsidP="00BB6153">
            <w:pPr>
              <w:jc w:val="center"/>
              <w:rPr>
                <w:rFonts w:ascii="Arial" w:hAnsi="Arial" w:cs="Arial"/>
                <w:color w:val="000000"/>
              </w:rPr>
            </w:pPr>
            <w:r w:rsidRPr="00086646">
              <w:rPr>
                <w:rFonts w:ascii="Arial" w:hAnsi="Arial" w:cs="Arial"/>
                <w:color w:val="000000"/>
              </w:rPr>
              <w:t>95.00%</w:t>
            </w:r>
          </w:p>
        </w:tc>
      </w:tr>
      <w:tr w:rsidR="00944613" w:rsidRPr="00855BAA" w14:paraId="69AF51E8" w14:textId="77777777" w:rsidTr="00E571BE">
        <w:trPr>
          <w:trHeight w:val="516"/>
        </w:trPr>
        <w:tc>
          <w:tcPr>
            <w:tcW w:w="1100" w:type="dxa"/>
            <w:tcBorders>
              <w:top w:val="nil"/>
              <w:left w:val="nil"/>
              <w:bottom w:val="nil"/>
              <w:right w:val="single" w:sz="4" w:space="0" w:color="auto"/>
            </w:tcBorders>
            <w:vAlign w:val="center"/>
            <w:hideMark/>
          </w:tcPr>
          <w:p w14:paraId="0BFF875A" w14:textId="77777777" w:rsidR="00944613" w:rsidRPr="00086646" w:rsidRDefault="00944613" w:rsidP="00BB6153">
            <w:pPr>
              <w:jc w:val="center"/>
              <w:rPr>
                <w:rFonts w:ascii="Arial" w:hAnsi="Arial" w:cs="Arial"/>
                <w:color w:val="000000"/>
              </w:rPr>
            </w:pPr>
            <w:r w:rsidRPr="00086646">
              <w:rPr>
                <w:rFonts w:ascii="Arial" w:hAnsi="Arial" w:cs="Arial"/>
                <w:color w:val="000000"/>
              </w:rPr>
              <w:t>3</w:t>
            </w:r>
          </w:p>
        </w:tc>
        <w:tc>
          <w:tcPr>
            <w:tcW w:w="1036" w:type="dxa"/>
            <w:tcBorders>
              <w:top w:val="nil"/>
              <w:left w:val="nil"/>
              <w:bottom w:val="nil"/>
              <w:right w:val="nil"/>
            </w:tcBorders>
            <w:vAlign w:val="center"/>
            <w:hideMark/>
          </w:tcPr>
          <w:p w14:paraId="64F8352D" w14:textId="77777777" w:rsidR="00944613" w:rsidRPr="00086646" w:rsidRDefault="00944613" w:rsidP="00BB6153">
            <w:pPr>
              <w:jc w:val="center"/>
              <w:rPr>
                <w:rFonts w:ascii="Arial" w:hAnsi="Arial" w:cs="Arial"/>
                <w:color w:val="000000"/>
              </w:rPr>
            </w:pPr>
            <w:r w:rsidRPr="00086646">
              <w:rPr>
                <w:rFonts w:ascii="Arial" w:hAnsi="Arial" w:cs="Arial"/>
                <w:color w:val="000000"/>
              </w:rPr>
              <w:t>3,000</w:t>
            </w:r>
          </w:p>
        </w:tc>
        <w:tc>
          <w:tcPr>
            <w:tcW w:w="983" w:type="dxa"/>
            <w:tcBorders>
              <w:top w:val="nil"/>
              <w:left w:val="nil"/>
              <w:bottom w:val="nil"/>
              <w:right w:val="nil"/>
            </w:tcBorders>
            <w:vAlign w:val="center"/>
            <w:hideMark/>
          </w:tcPr>
          <w:p w14:paraId="211CE301" w14:textId="77777777" w:rsidR="00944613" w:rsidRPr="00086646" w:rsidRDefault="00944613" w:rsidP="00BB6153">
            <w:pPr>
              <w:jc w:val="center"/>
              <w:rPr>
                <w:rFonts w:ascii="Arial" w:hAnsi="Arial" w:cs="Arial"/>
                <w:color w:val="000000"/>
              </w:rPr>
            </w:pPr>
            <w:r w:rsidRPr="00086646">
              <w:rPr>
                <w:rFonts w:ascii="Arial" w:hAnsi="Arial" w:cs="Arial"/>
                <w:color w:val="000000"/>
              </w:rPr>
              <w:t>−95</w:t>
            </w:r>
          </w:p>
        </w:tc>
        <w:tc>
          <w:tcPr>
            <w:tcW w:w="958" w:type="dxa"/>
            <w:tcBorders>
              <w:top w:val="nil"/>
              <w:left w:val="nil"/>
              <w:bottom w:val="nil"/>
              <w:right w:val="nil"/>
            </w:tcBorders>
            <w:vAlign w:val="center"/>
            <w:hideMark/>
          </w:tcPr>
          <w:p w14:paraId="6C3D672A" w14:textId="77777777" w:rsidR="00944613" w:rsidRPr="00086646" w:rsidRDefault="00944613" w:rsidP="00BB6153">
            <w:pPr>
              <w:jc w:val="center"/>
              <w:rPr>
                <w:rFonts w:ascii="Arial" w:hAnsi="Arial" w:cs="Arial"/>
                <w:color w:val="000000"/>
              </w:rPr>
            </w:pPr>
            <w:r w:rsidRPr="00086646">
              <w:rPr>
                <w:rFonts w:ascii="Arial" w:hAnsi="Arial" w:cs="Arial"/>
                <w:color w:val="000000"/>
              </w:rPr>
              <w:t>33.17</w:t>
            </w:r>
          </w:p>
        </w:tc>
        <w:tc>
          <w:tcPr>
            <w:tcW w:w="993" w:type="dxa"/>
            <w:tcBorders>
              <w:top w:val="nil"/>
              <w:left w:val="nil"/>
              <w:bottom w:val="nil"/>
              <w:right w:val="nil"/>
            </w:tcBorders>
            <w:vAlign w:val="center"/>
            <w:hideMark/>
          </w:tcPr>
          <w:p w14:paraId="0AABB33E" w14:textId="77777777" w:rsidR="00944613" w:rsidRPr="00086646" w:rsidRDefault="00944613" w:rsidP="00BB6153">
            <w:pPr>
              <w:jc w:val="center"/>
              <w:rPr>
                <w:rFonts w:ascii="Arial" w:hAnsi="Arial" w:cs="Arial"/>
                <w:color w:val="000000"/>
              </w:rPr>
            </w:pPr>
            <w:r w:rsidRPr="00086646">
              <w:rPr>
                <w:rFonts w:ascii="Arial" w:hAnsi="Arial" w:cs="Arial"/>
                <w:color w:val="000000"/>
              </w:rPr>
              <w:t>2,275</w:t>
            </w:r>
          </w:p>
        </w:tc>
        <w:tc>
          <w:tcPr>
            <w:tcW w:w="992" w:type="dxa"/>
            <w:tcBorders>
              <w:top w:val="nil"/>
              <w:left w:val="nil"/>
              <w:bottom w:val="nil"/>
              <w:right w:val="nil"/>
            </w:tcBorders>
            <w:vAlign w:val="center"/>
            <w:hideMark/>
          </w:tcPr>
          <w:p w14:paraId="78080419" w14:textId="77777777" w:rsidR="00944613" w:rsidRPr="00086646" w:rsidRDefault="00944613" w:rsidP="00BB6153">
            <w:pPr>
              <w:jc w:val="center"/>
              <w:rPr>
                <w:rFonts w:ascii="Arial" w:hAnsi="Arial" w:cs="Arial"/>
                <w:color w:val="000000"/>
              </w:rPr>
            </w:pPr>
            <w:r w:rsidRPr="00086646">
              <w:rPr>
                <w:rFonts w:ascii="Arial" w:hAnsi="Arial" w:cs="Arial"/>
                <w:color w:val="000000"/>
              </w:rPr>
              <w:t>−89.86</w:t>
            </w:r>
          </w:p>
        </w:tc>
        <w:tc>
          <w:tcPr>
            <w:tcW w:w="1276" w:type="dxa"/>
            <w:tcBorders>
              <w:top w:val="nil"/>
              <w:left w:val="nil"/>
              <w:bottom w:val="nil"/>
              <w:right w:val="nil"/>
            </w:tcBorders>
            <w:vAlign w:val="center"/>
            <w:hideMark/>
          </w:tcPr>
          <w:p w14:paraId="66922439" w14:textId="77777777" w:rsidR="00944613" w:rsidRPr="00086646" w:rsidRDefault="00944613" w:rsidP="00BB6153">
            <w:pPr>
              <w:jc w:val="center"/>
              <w:rPr>
                <w:rFonts w:ascii="Arial" w:hAnsi="Arial" w:cs="Arial"/>
                <w:color w:val="000000"/>
              </w:rPr>
            </w:pPr>
            <w:r w:rsidRPr="00086646">
              <w:rPr>
                <w:rFonts w:ascii="Arial" w:hAnsi="Arial" w:cs="Arial"/>
                <w:color w:val="000000"/>
              </w:rPr>
              <w:t>1,772</w:t>
            </w:r>
          </w:p>
        </w:tc>
        <w:tc>
          <w:tcPr>
            <w:tcW w:w="871" w:type="dxa"/>
            <w:tcBorders>
              <w:top w:val="nil"/>
              <w:left w:val="nil"/>
              <w:bottom w:val="nil"/>
              <w:right w:val="nil"/>
            </w:tcBorders>
            <w:noWrap/>
            <w:vAlign w:val="center"/>
            <w:hideMark/>
          </w:tcPr>
          <w:p w14:paraId="0F848357" w14:textId="77777777" w:rsidR="00944613" w:rsidRPr="00086646" w:rsidRDefault="00944613" w:rsidP="00BB6153">
            <w:pPr>
              <w:jc w:val="center"/>
              <w:rPr>
                <w:rFonts w:ascii="Arial" w:hAnsi="Arial" w:cs="Arial"/>
                <w:color w:val="000000"/>
              </w:rPr>
            </w:pPr>
            <w:r w:rsidRPr="00086646">
              <w:rPr>
                <w:rFonts w:ascii="Arial" w:hAnsi="Arial" w:cs="Arial"/>
                <w:color w:val="000000"/>
              </w:rPr>
              <w:t>96.00%</w:t>
            </w:r>
          </w:p>
        </w:tc>
      </w:tr>
    </w:tbl>
    <w:p w14:paraId="05E61F0E" w14:textId="77777777" w:rsidR="00944613" w:rsidRPr="00855BAA" w:rsidRDefault="00944613" w:rsidP="00944613">
      <w:pPr>
        <w:rPr>
          <w:rFonts w:ascii="Arial" w:hAnsi="Arial" w:cs="Arial"/>
        </w:rPr>
      </w:pPr>
    </w:p>
    <w:p w14:paraId="68421388" w14:textId="21FD6B04" w:rsidR="00944613" w:rsidRPr="00E571BE" w:rsidRDefault="00944613" w:rsidP="00944613">
      <w:pPr>
        <w:pStyle w:val="Tables"/>
        <w:rPr>
          <w:rFonts w:ascii="Arial" w:hAnsi="Arial" w:cs="Arial"/>
          <w:sz w:val="20"/>
          <w:szCs w:val="20"/>
        </w:rPr>
      </w:pPr>
      <w:r w:rsidRPr="00E571BE">
        <w:rPr>
          <w:rFonts w:ascii="Arial" w:hAnsi="Arial" w:cs="Arial"/>
          <w:sz w:val="20"/>
          <w:szCs w:val="20"/>
        </w:rPr>
        <w:t xml:space="preserve">Table </w:t>
      </w:r>
      <w:proofErr w:type="gramStart"/>
      <w:r w:rsidRPr="00E571BE">
        <w:rPr>
          <w:rFonts w:ascii="Arial" w:hAnsi="Arial" w:cs="Arial"/>
          <w:sz w:val="20"/>
          <w:szCs w:val="20"/>
        </w:rPr>
        <w:t>5  Lean</w:t>
      </w:r>
      <w:proofErr w:type="gramEnd"/>
      <w:r w:rsidRPr="00E571BE">
        <w:rPr>
          <w:rFonts w:ascii="Arial" w:hAnsi="Arial" w:cs="Arial"/>
          <w:sz w:val="20"/>
          <w:szCs w:val="20"/>
        </w:rPr>
        <w:t xml:space="preserve"> Gas Compositions of the Clusters (Mole Fractions) – from UniSim Design</w:t>
      </w:r>
      <w:bookmarkEnd w:id="5"/>
    </w:p>
    <w:tbl>
      <w:tblPr>
        <w:tblW w:w="6771" w:type="dxa"/>
        <w:tblLook w:val="04A0" w:firstRow="1" w:lastRow="0" w:firstColumn="1" w:lastColumn="0" w:noHBand="0" w:noVBand="1"/>
      </w:tblPr>
      <w:tblGrid>
        <w:gridCol w:w="1360"/>
        <w:gridCol w:w="875"/>
        <w:gridCol w:w="850"/>
        <w:gridCol w:w="992"/>
        <w:gridCol w:w="993"/>
        <w:gridCol w:w="717"/>
        <w:gridCol w:w="984"/>
      </w:tblGrid>
      <w:tr w:rsidR="00944613" w:rsidRPr="00855BAA" w14:paraId="0F4A0B2A" w14:textId="77777777" w:rsidTr="00E571BE">
        <w:trPr>
          <w:trHeight w:val="276"/>
        </w:trPr>
        <w:tc>
          <w:tcPr>
            <w:tcW w:w="1360" w:type="dxa"/>
            <w:tcBorders>
              <w:top w:val="nil"/>
              <w:left w:val="nil"/>
              <w:bottom w:val="single" w:sz="8" w:space="0" w:color="auto"/>
              <w:right w:val="single" w:sz="4" w:space="0" w:color="auto"/>
            </w:tcBorders>
            <w:noWrap/>
            <w:vAlign w:val="bottom"/>
            <w:hideMark/>
          </w:tcPr>
          <w:p w14:paraId="49F43221" w14:textId="77777777" w:rsidR="00944613" w:rsidRPr="00855BAA" w:rsidRDefault="00944613" w:rsidP="00BB6153">
            <w:pPr>
              <w:jc w:val="center"/>
              <w:rPr>
                <w:rFonts w:ascii="Arial" w:hAnsi="Arial" w:cs="Arial"/>
                <w:b/>
                <w:color w:val="000000"/>
              </w:rPr>
            </w:pPr>
            <w:r w:rsidRPr="00855BAA">
              <w:rPr>
                <w:rFonts w:ascii="Arial" w:hAnsi="Arial" w:cs="Arial"/>
                <w:b/>
                <w:color w:val="000000"/>
              </w:rPr>
              <w:t>Cluster</w:t>
            </w:r>
          </w:p>
        </w:tc>
        <w:tc>
          <w:tcPr>
            <w:tcW w:w="875" w:type="dxa"/>
            <w:tcBorders>
              <w:top w:val="nil"/>
              <w:left w:val="nil"/>
              <w:bottom w:val="single" w:sz="8" w:space="0" w:color="auto"/>
              <w:right w:val="nil"/>
            </w:tcBorders>
            <w:noWrap/>
            <w:vAlign w:val="bottom"/>
            <w:hideMark/>
          </w:tcPr>
          <w:p w14:paraId="38340124" w14:textId="77777777" w:rsidR="00944613" w:rsidRPr="00855BAA" w:rsidRDefault="00944613" w:rsidP="00BB6153">
            <w:pPr>
              <w:jc w:val="center"/>
              <w:rPr>
                <w:rFonts w:ascii="Arial" w:hAnsi="Arial" w:cs="Arial"/>
                <w:b/>
                <w:color w:val="000000"/>
              </w:rPr>
            </w:pPr>
            <w:r w:rsidRPr="00855BAA">
              <w:rPr>
                <w:rFonts w:ascii="Arial" w:hAnsi="Arial" w:cs="Arial"/>
                <w:b/>
                <w:color w:val="000000"/>
              </w:rPr>
              <w:t>N</w:t>
            </w:r>
            <w:r w:rsidRPr="00855BAA">
              <w:rPr>
                <w:rFonts w:ascii="Arial" w:hAnsi="Arial" w:cs="Arial"/>
                <w:b/>
                <w:color w:val="000000"/>
                <w:vertAlign w:val="subscript"/>
              </w:rPr>
              <w:t>2</w:t>
            </w:r>
          </w:p>
        </w:tc>
        <w:tc>
          <w:tcPr>
            <w:tcW w:w="850" w:type="dxa"/>
            <w:tcBorders>
              <w:top w:val="nil"/>
              <w:left w:val="nil"/>
              <w:bottom w:val="single" w:sz="8" w:space="0" w:color="auto"/>
              <w:right w:val="nil"/>
            </w:tcBorders>
            <w:noWrap/>
            <w:vAlign w:val="bottom"/>
            <w:hideMark/>
          </w:tcPr>
          <w:p w14:paraId="3E1CA429" w14:textId="77777777" w:rsidR="00944613" w:rsidRPr="00855BAA" w:rsidRDefault="00944613" w:rsidP="00BB6153">
            <w:pPr>
              <w:jc w:val="center"/>
              <w:rPr>
                <w:rFonts w:ascii="Arial" w:hAnsi="Arial" w:cs="Arial"/>
                <w:b/>
                <w:color w:val="000000"/>
              </w:rPr>
            </w:pPr>
            <w:r w:rsidRPr="00855BAA">
              <w:rPr>
                <w:rFonts w:ascii="Arial" w:hAnsi="Arial" w:cs="Arial"/>
                <w:b/>
                <w:color w:val="000000"/>
              </w:rPr>
              <w:t>CO</w:t>
            </w:r>
            <w:r w:rsidRPr="00855BAA">
              <w:rPr>
                <w:rFonts w:ascii="Arial" w:hAnsi="Arial" w:cs="Arial"/>
                <w:b/>
                <w:color w:val="000000"/>
                <w:vertAlign w:val="subscript"/>
              </w:rPr>
              <w:t>2</w:t>
            </w:r>
          </w:p>
        </w:tc>
        <w:tc>
          <w:tcPr>
            <w:tcW w:w="992" w:type="dxa"/>
            <w:tcBorders>
              <w:top w:val="nil"/>
              <w:left w:val="nil"/>
              <w:bottom w:val="single" w:sz="8" w:space="0" w:color="auto"/>
              <w:right w:val="nil"/>
            </w:tcBorders>
            <w:noWrap/>
            <w:vAlign w:val="bottom"/>
            <w:hideMark/>
          </w:tcPr>
          <w:p w14:paraId="6BD289D1" w14:textId="77777777" w:rsidR="00944613" w:rsidRPr="00855BAA" w:rsidRDefault="00944613" w:rsidP="00BB6153">
            <w:pPr>
              <w:jc w:val="center"/>
              <w:rPr>
                <w:rFonts w:ascii="Arial" w:hAnsi="Arial" w:cs="Arial"/>
                <w:b/>
                <w:color w:val="000000"/>
              </w:rPr>
            </w:pPr>
            <w:r w:rsidRPr="00855BAA">
              <w:rPr>
                <w:rFonts w:ascii="Arial" w:hAnsi="Arial" w:cs="Arial"/>
                <w:b/>
                <w:color w:val="000000"/>
              </w:rPr>
              <w:t>CH</w:t>
            </w:r>
            <w:r w:rsidRPr="00855BAA">
              <w:rPr>
                <w:rFonts w:ascii="Arial" w:hAnsi="Arial" w:cs="Arial"/>
                <w:b/>
                <w:color w:val="000000"/>
                <w:vertAlign w:val="subscript"/>
              </w:rPr>
              <w:t>4</w:t>
            </w:r>
          </w:p>
        </w:tc>
        <w:tc>
          <w:tcPr>
            <w:tcW w:w="993" w:type="dxa"/>
            <w:tcBorders>
              <w:top w:val="nil"/>
              <w:left w:val="nil"/>
              <w:bottom w:val="single" w:sz="8" w:space="0" w:color="auto"/>
              <w:right w:val="nil"/>
            </w:tcBorders>
            <w:noWrap/>
            <w:vAlign w:val="bottom"/>
            <w:hideMark/>
          </w:tcPr>
          <w:p w14:paraId="06FDF75D" w14:textId="77777777" w:rsidR="00944613" w:rsidRPr="00855BAA" w:rsidRDefault="00944613" w:rsidP="00BB6153">
            <w:pPr>
              <w:jc w:val="center"/>
              <w:rPr>
                <w:rFonts w:ascii="Arial" w:hAnsi="Arial" w:cs="Arial"/>
                <w:b/>
                <w:color w:val="000000"/>
              </w:rPr>
            </w:pPr>
            <w:r w:rsidRPr="00855BAA">
              <w:rPr>
                <w:rFonts w:ascii="Arial" w:hAnsi="Arial" w:cs="Arial"/>
                <w:b/>
                <w:color w:val="000000"/>
              </w:rPr>
              <w:t>C</w:t>
            </w:r>
            <w:r w:rsidRPr="00855BAA">
              <w:rPr>
                <w:rFonts w:ascii="Arial" w:hAnsi="Arial" w:cs="Arial"/>
                <w:b/>
                <w:color w:val="000000"/>
                <w:vertAlign w:val="subscript"/>
              </w:rPr>
              <w:t>2</w:t>
            </w:r>
            <w:r w:rsidRPr="00855BAA">
              <w:rPr>
                <w:rFonts w:ascii="Arial" w:hAnsi="Arial" w:cs="Arial"/>
                <w:b/>
                <w:color w:val="000000"/>
              </w:rPr>
              <w:t>H</w:t>
            </w:r>
            <w:r w:rsidRPr="00855BAA">
              <w:rPr>
                <w:rFonts w:ascii="Arial" w:hAnsi="Arial" w:cs="Arial"/>
                <w:b/>
                <w:color w:val="000000"/>
                <w:vertAlign w:val="subscript"/>
              </w:rPr>
              <w:t>6</w:t>
            </w:r>
          </w:p>
        </w:tc>
        <w:tc>
          <w:tcPr>
            <w:tcW w:w="717" w:type="dxa"/>
            <w:tcBorders>
              <w:top w:val="nil"/>
              <w:left w:val="nil"/>
              <w:bottom w:val="single" w:sz="8" w:space="0" w:color="auto"/>
              <w:right w:val="nil"/>
            </w:tcBorders>
            <w:noWrap/>
            <w:vAlign w:val="bottom"/>
            <w:hideMark/>
          </w:tcPr>
          <w:p w14:paraId="58075591" w14:textId="77777777" w:rsidR="00944613" w:rsidRPr="00855BAA" w:rsidRDefault="00944613" w:rsidP="00BB6153">
            <w:pPr>
              <w:jc w:val="center"/>
              <w:rPr>
                <w:rFonts w:ascii="Arial" w:hAnsi="Arial" w:cs="Arial"/>
                <w:b/>
                <w:color w:val="000000"/>
              </w:rPr>
            </w:pPr>
            <w:r w:rsidRPr="00855BAA">
              <w:rPr>
                <w:rFonts w:ascii="Arial" w:hAnsi="Arial" w:cs="Arial"/>
                <w:b/>
                <w:color w:val="000000"/>
              </w:rPr>
              <w:t>C</w:t>
            </w:r>
            <w:r w:rsidRPr="00855BAA">
              <w:rPr>
                <w:rFonts w:ascii="Arial" w:hAnsi="Arial" w:cs="Arial"/>
                <w:b/>
                <w:color w:val="000000"/>
                <w:vertAlign w:val="subscript"/>
              </w:rPr>
              <w:t>3</w:t>
            </w:r>
            <w:r w:rsidRPr="00855BAA">
              <w:rPr>
                <w:rFonts w:ascii="Arial" w:hAnsi="Arial" w:cs="Arial"/>
                <w:b/>
                <w:color w:val="000000"/>
              </w:rPr>
              <w:t>H</w:t>
            </w:r>
            <w:r w:rsidRPr="00855BAA">
              <w:rPr>
                <w:rFonts w:ascii="Arial" w:hAnsi="Arial" w:cs="Arial"/>
                <w:b/>
                <w:color w:val="000000"/>
                <w:vertAlign w:val="subscript"/>
              </w:rPr>
              <w:t>8</w:t>
            </w:r>
          </w:p>
        </w:tc>
        <w:tc>
          <w:tcPr>
            <w:tcW w:w="984" w:type="dxa"/>
            <w:tcBorders>
              <w:top w:val="nil"/>
              <w:left w:val="nil"/>
              <w:bottom w:val="single" w:sz="8" w:space="0" w:color="auto"/>
              <w:right w:val="nil"/>
            </w:tcBorders>
            <w:noWrap/>
            <w:vAlign w:val="bottom"/>
            <w:hideMark/>
          </w:tcPr>
          <w:p w14:paraId="2C6A9104" w14:textId="77777777" w:rsidR="00944613" w:rsidRPr="00855BAA" w:rsidRDefault="00944613" w:rsidP="00BB6153">
            <w:pPr>
              <w:jc w:val="center"/>
              <w:rPr>
                <w:rFonts w:ascii="Arial" w:hAnsi="Arial" w:cs="Arial"/>
                <w:b/>
                <w:color w:val="000000"/>
              </w:rPr>
            </w:pPr>
            <w:r w:rsidRPr="00855BAA">
              <w:rPr>
                <w:rFonts w:ascii="Arial" w:hAnsi="Arial" w:cs="Arial"/>
                <w:b/>
                <w:color w:val="000000"/>
              </w:rPr>
              <w:t>C</w:t>
            </w:r>
            <w:r w:rsidRPr="00855BAA">
              <w:rPr>
                <w:rFonts w:ascii="Arial" w:hAnsi="Arial" w:cs="Arial"/>
                <w:b/>
                <w:color w:val="000000"/>
                <w:vertAlign w:val="subscript"/>
              </w:rPr>
              <w:t>4</w:t>
            </w:r>
            <w:r w:rsidRPr="00855BAA">
              <w:rPr>
                <w:rFonts w:ascii="Arial" w:hAnsi="Arial" w:cs="Arial"/>
                <w:b/>
                <w:color w:val="000000"/>
              </w:rPr>
              <w:t xml:space="preserve"> +</w:t>
            </w:r>
          </w:p>
        </w:tc>
      </w:tr>
      <w:tr w:rsidR="00944613" w:rsidRPr="00855BAA" w14:paraId="0FA6389C" w14:textId="77777777" w:rsidTr="00E571BE">
        <w:trPr>
          <w:trHeight w:val="501"/>
        </w:trPr>
        <w:tc>
          <w:tcPr>
            <w:tcW w:w="1360" w:type="dxa"/>
            <w:tcBorders>
              <w:top w:val="nil"/>
              <w:left w:val="nil"/>
              <w:bottom w:val="nil"/>
              <w:right w:val="single" w:sz="4" w:space="0" w:color="auto"/>
            </w:tcBorders>
            <w:noWrap/>
            <w:vAlign w:val="bottom"/>
            <w:hideMark/>
          </w:tcPr>
          <w:p w14:paraId="269B1364" w14:textId="77777777" w:rsidR="00944613" w:rsidRPr="00855BAA" w:rsidRDefault="00944613" w:rsidP="00BB6153">
            <w:pPr>
              <w:jc w:val="center"/>
              <w:rPr>
                <w:rFonts w:ascii="Arial" w:hAnsi="Arial" w:cs="Arial"/>
                <w:color w:val="000000"/>
              </w:rPr>
            </w:pPr>
            <w:r w:rsidRPr="00855BAA">
              <w:rPr>
                <w:rFonts w:ascii="Arial" w:hAnsi="Arial" w:cs="Arial"/>
                <w:color w:val="000000"/>
              </w:rPr>
              <w:t>Cluster 0</w:t>
            </w:r>
          </w:p>
        </w:tc>
        <w:tc>
          <w:tcPr>
            <w:tcW w:w="875" w:type="dxa"/>
            <w:tcBorders>
              <w:top w:val="nil"/>
              <w:left w:val="nil"/>
              <w:bottom w:val="nil"/>
              <w:right w:val="nil"/>
            </w:tcBorders>
            <w:noWrap/>
            <w:vAlign w:val="bottom"/>
            <w:hideMark/>
          </w:tcPr>
          <w:p w14:paraId="2643A198" w14:textId="77777777" w:rsidR="00944613" w:rsidRPr="00855BAA" w:rsidRDefault="00944613" w:rsidP="00BB6153">
            <w:pPr>
              <w:jc w:val="center"/>
              <w:rPr>
                <w:rFonts w:ascii="Arial" w:hAnsi="Arial" w:cs="Arial"/>
                <w:color w:val="000000"/>
              </w:rPr>
            </w:pPr>
            <w:r w:rsidRPr="00855BAA">
              <w:rPr>
                <w:rFonts w:ascii="Arial" w:hAnsi="Arial" w:cs="Arial"/>
                <w:color w:val="000000"/>
              </w:rPr>
              <w:t>0.008</w:t>
            </w:r>
          </w:p>
        </w:tc>
        <w:tc>
          <w:tcPr>
            <w:tcW w:w="850" w:type="dxa"/>
            <w:tcBorders>
              <w:top w:val="nil"/>
              <w:left w:val="nil"/>
              <w:bottom w:val="nil"/>
              <w:right w:val="nil"/>
            </w:tcBorders>
            <w:noWrap/>
            <w:vAlign w:val="bottom"/>
            <w:hideMark/>
          </w:tcPr>
          <w:p w14:paraId="0B9B1BE3" w14:textId="77777777" w:rsidR="00944613" w:rsidRPr="00855BAA" w:rsidRDefault="00944613" w:rsidP="00BB6153">
            <w:pPr>
              <w:jc w:val="center"/>
              <w:rPr>
                <w:rFonts w:ascii="Arial" w:hAnsi="Arial" w:cs="Arial"/>
                <w:color w:val="000000"/>
              </w:rPr>
            </w:pPr>
            <w:r w:rsidRPr="00855BAA">
              <w:rPr>
                <w:rFonts w:ascii="Arial" w:hAnsi="Arial" w:cs="Arial"/>
                <w:color w:val="000000"/>
              </w:rPr>
              <w:t>0.022</w:t>
            </w:r>
          </w:p>
        </w:tc>
        <w:tc>
          <w:tcPr>
            <w:tcW w:w="992" w:type="dxa"/>
            <w:tcBorders>
              <w:top w:val="nil"/>
              <w:left w:val="nil"/>
              <w:bottom w:val="nil"/>
              <w:right w:val="nil"/>
            </w:tcBorders>
            <w:noWrap/>
            <w:vAlign w:val="bottom"/>
            <w:hideMark/>
          </w:tcPr>
          <w:p w14:paraId="58899ADF" w14:textId="77777777" w:rsidR="00944613" w:rsidRPr="00855BAA" w:rsidRDefault="00944613" w:rsidP="00BB6153">
            <w:pPr>
              <w:jc w:val="center"/>
              <w:rPr>
                <w:rFonts w:ascii="Arial" w:hAnsi="Arial" w:cs="Arial"/>
                <w:color w:val="000000"/>
              </w:rPr>
            </w:pPr>
            <w:r w:rsidRPr="00855BAA">
              <w:rPr>
                <w:rFonts w:ascii="Arial" w:hAnsi="Arial" w:cs="Arial"/>
                <w:color w:val="000000"/>
              </w:rPr>
              <w:t>0.96</w:t>
            </w:r>
          </w:p>
        </w:tc>
        <w:tc>
          <w:tcPr>
            <w:tcW w:w="993" w:type="dxa"/>
            <w:tcBorders>
              <w:top w:val="nil"/>
              <w:left w:val="nil"/>
              <w:bottom w:val="nil"/>
              <w:right w:val="nil"/>
            </w:tcBorders>
            <w:noWrap/>
            <w:vAlign w:val="bottom"/>
            <w:hideMark/>
          </w:tcPr>
          <w:p w14:paraId="32073AD3" w14:textId="77777777" w:rsidR="00944613" w:rsidRPr="00855BAA" w:rsidRDefault="00944613" w:rsidP="00BB6153">
            <w:pPr>
              <w:jc w:val="center"/>
              <w:rPr>
                <w:rFonts w:ascii="Arial" w:hAnsi="Arial" w:cs="Arial"/>
                <w:color w:val="000000"/>
              </w:rPr>
            </w:pPr>
            <w:r w:rsidRPr="00855BAA">
              <w:rPr>
                <w:rFonts w:ascii="Arial" w:hAnsi="Arial" w:cs="Arial"/>
                <w:color w:val="000000"/>
              </w:rPr>
              <w:t>0.01</w:t>
            </w:r>
          </w:p>
        </w:tc>
        <w:tc>
          <w:tcPr>
            <w:tcW w:w="717" w:type="dxa"/>
            <w:tcBorders>
              <w:top w:val="nil"/>
              <w:left w:val="nil"/>
              <w:bottom w:val="nil"/>
              <w:right w:val="nil"/>
            </w:tcBorders>
            <w:noWrap/>
            <w:vAlign w:val="bottom"/>
            <w:hideMark/>
          </w:tcPr>
          <w:p w14:paraId="5A687403" w14:textId="77777777" w:rsidR="00944613" w:rsidRPr="00855BAA" w:rsidRDefault="00944613" w:rsidP="00BB6153">
            <w:pPr>
              <w:jc w:val="center"/>
              <w:rPr>
                <w:rFonts w:ascii="Arial" w:hAnsi="Arial" w:cs="Arial"/>
                <w:color w:val="000000"/>
              </w:rPr>
            </w:pPr>
            <w:r w:rsidRPr="00855BAA">
              <w:rPr>
                <w:rFonts w:ascii="Arial" w:hAnsi="Arial" w:cs="Arial"/>
                <w:color w:val="000000"/>
              </w:rPr>
              <w:t>0.000</w:t>
            </w:r>
          </w:p>
        </w:tc>
        <w:tc>
          <w:tcPr>
            <w:tcW w:w="984" w:type="dxa"/>
            <w:tcBorders>
              <w:top w:val="nil"/>
              <w:left w:val="nil"/>
              <w:bottom w:val="nil"/>
              <w:right w:val="nil"/>
            </w:tcBorders>
            <w:noWrap/>
            <w:vAlign w:val="bottom"/>
            <w:hideMark/>
          </w:tcPr>
          <w:p w14:paraId="74377C3D" w14:textId="77777777" w:rsidR="00944613" w:rsidRPr="00855BAA" w:rsidRDefault="00944613" w:rsidP="00BB6153">
            <w:pPr>
              <w:jc w:val="center"/>
              <w:rPr>
                <w:rFonts w:ascii="Arial" w:hAnsi="Arial" w:cs="Arial"/>
                <w:color w:val="000000"/>
              </w:rPr>
            </w:pPr>
            <w:r w:rsidRPr="00855BAA">
              <w:rPr>
                <w:rFonts w:ascii="Arial" w:hAnsi="Arial" w:cs="Arial"/>
                <w:color w:val="000000"/>
              </w:rPr>
              <w:t>0</w:t>
            </w:r>
          </w:p>
        </w:tc>
      </w:tr>
      <w:tr w:rsidR="00944613" w:rsidRPr="00855BAA" w14:paraId="54AD1199" w14:textId="77777777" w:rsidTr="00E571BE">
        <w:trPr>
          <w:trHeight w:val="501"/>
        </w:trPr>
        <w:tc>
          <w:tcPr>
            <w:tcW w:w="1360" w:type="dxa"/>
            <w:tcBorders>
              <w:top w:val="nil"/>
              <w:left w:val="nil"/>
              <w:bottom w:val="nil"/>
              <w:right w:val="single" w:sz="4" w:space="0" w:color="auto"/>
            </w:tcBorders>
            <w:noWrap/>
            <w:vAlign w:val="bottom"/>
            <w:hideMark/>
          </w:tcPr>
          <w:p w14:paraId="76D6634E" w14:textId="77777777" w:rsidR="00944613" w:rsidRPr="00855BAA" w:rsidRDefault="00944613" w:rsidP="00BB6153">
            <w:pPr>
              <w:jc w:val="center"/>
              <w:rPr>
                <w:rFonts w:ascii="Arial" w:hAnsi="Arial" w:cs="Arial"/>
                <w:color w:val="000000"/>
              </w:rPr>
            </w:pPr>
            <w:r w:rsidRPr="00855BAA">
              <w:rPr>
                <w:rFonts w:ascii="Arial" w:hAnsi="Arial" w:cs="Arial"/>
                <w:color w:val="000000"/>
              </w:rPr>
              <w:t>Cluster 1</w:t>
            </w:r>
          </w:p>
        </w:tc>
        <w:tc>
          <w:tcPr>
            <w:tcW w:w="875" w:type="dxa"/>
            <w:tcBorders>
              <w:top w:val="nil"/>
              <w:left w:val="nil"/>
              <w:bottom w:val="nil"/>
              <w:right w:val="nil"/>
            </w:tcBorders>
            <w:noWrap/>
            <w:vAlign w:val="bottom"/>
            <w:hideMark/>
          </w:tcPr>
          <w:p w14:paraId="19AC8EBD" w14:textId="77777777" w:rsidR="00944613" w:rsidRPr="00855BAA" w:rsidRDefault="00944613" w:rsidP="00BB6153">
            <w:pPr>
              <w:jc w:val="center"/>
              <w:rPr>
                <w:rFonts w:ascii="Arial" w:hAnsi="Arial" w:cs="Arial"/>
                <w:color w:val="000000"/>
              </w:rPr>
            </w:pPr>
            <w:r w:rsidRPr="00855BAA">
              <w:rPr>
                <w:rFonts w:ascii="Arial" w:hAnsi="Arial" w:cs="Arial"/>
                <w:color w:val="000000"/>
              </w:rPr>
              <w:t>0.000</w:t>
            </w:r>
          </w:p>
        </w:tc>
        <w:tc>
          <w:tcPr>
            <w:tcW w:w="850" w:type="dxa"/>
            <w:tcBorders>
              <w:top w:val="nil"/>
              <w:left w:val="nil"/>
              <w:bottom w:val="nil"/>
              <w:right w:val="nil"/>
            </w:tcBorders>
            <w:noWrap/>
            <w:vAlign w:val="bottom"/>
            <w:hideMark/>
          </w:tcPr>
          <w:p w14:paraId="0BECB59D" w14:textId="77777777" w:rsidR="00944613" w:rsidRPr="00855BAA" w:rsidRDefault="00944613" w:rsidP="00BB6153">
            <w:pPr>
              <w:jc w:val="center"/>
              <w:rPr>
                <w:rFonts w:ascii="Arial" w:hAnsi="Arial" w:cs="Arial"/>
                <w:color w:val="000000"/>
              </w:rPr>
            </w:pPr>
            <w:r w:rsidRPr="00855BAA">
              <w:rPr>
                <w:rFonts w:ascii="Arial" w:hAnsi="Arial" w:cs="Arial"/>
                <w:color w:val="000000"/>
              </w:rPr>
              <w:t>0.023</w:t>
            </w:r>
          </w:p>
        </w:tc>
        <w:tc>
          <w:tcPr>
            <w:tcW w:w="992" w:type="dxa"/>
            <w:tcBorders>
              <w:top w:val="nil"/>
              <w:left w:val="nil"/>
              <w:bottom w:val="nil"/>
              <w:right w:val="nil"/>
            </w:tcBorders>
            <w:noWrap/>
            <w:vAlign w:val="bottom"/>
            <w:hideMark/>
          </w:tcPr>
          <w:p w14:paraId="1300106B" w14:textId="77777777" w:rsidR="00944613" w:rsidRPr="00855BAA" w:rsidRDefault="00944613" w:rsidP="00BB6153">
            <w:pPr>
              <w:jc w:val="center"/>
              <w:rPr>
                <w:rFonts w:ascii="Arial" w:hAnsi="Arial" w:cs="Arial"/>
                <w:color w:val="000000"/>
              </w:rPr>
            </w:pPr>
            <w:r w:rsidRPr="00855BAA">
              <w:rPr>
                <w:rFonts w:ascii="Arial" w:hAnsi="Arial" w:cs="Arial"/>
                <w:color w:val="000000"/>
              </w:rPr>
              <w:t>0.96</w:t>
            </w:r>
          </w:p>
        </w:tc>
        <w:tc>
          <w:tcPr>
            <w:tcW w:w="993" w:type="dxa"/>
            <w:tcBorders>
              <w:top w:val="nil"/>
              <w:left w:val="nil"/>
              <w:bottom w:val="nil"/>
              <w:right w:val="nil"/>
            </w:tcBorders>
            <w:noWrap/>
            <w:vAlign w:val="bottom"/>
            <w:hideMark/>
          </w:tcPr>
          <w:p w14:paraId="04829E2F" w14:textId="77777777" w:rsidR="00944613" w:rsidRPr="00855BAA" w:rsidRDefault="00944613" w:rsidP="00BB6153">
            <w:pPr>
              <w:jc w:val="center"/>
              <w:rPr>
                <w:rFonts w:ascii="Arial" w:hAnsi="Arial" w:cs="Arial"/>
                <w:color w:val="000000"/>
              </w:rPr>
            </w:pPr>
            <w:r w:rsidRPr="00855BAA">
              <w:rPr>
                <w:rFonts w:ascii="Arial" w:hAnsi="Arial" w:cs="Arial"/>
                <w:color w:val="000000"/>
              </w:rPr>
              <w:t>0.015</w:t>
            </w:r>
          </w:p>
        </w:tc>
        <w:tc>
          <w:tcPr>
            <w:tcW w:w="717" w:type="dxa"/>
            <w:tcBorders>
              <w:top w:val="nil"/>
              <w:left w:val="nil"/>
              <w:bottom w:val="nil"/>
              <w:right w:val="nil"/>
            </w:tcBorders>
            <w:noWrap/>
            <w:vAlign w:val="bottom"/>
            <w:hideMark/>
          </w:tcPr>
          <w:p w14:paraId="21FB253A" w14:textId="77777777" w:rsidR="00944613" w:rsidRPr="00855BAA" w:rsidRDefault="00944613" w:rsidP="00BB6153">
            <w:pPr>
              <w:jc w:val="center"/>
              <w:rPr>
                <w:rFonts w:ascii="Arial" w:hAnsi="Arial" w:cs="Arial"/>
                <w:color w:val="000000"/>
              </w:rPr>
            </w:pPr>
            <w:r w:rsidRPr="00855BAA">
              <w:rPr>
                <w:rFonts w:ascii="Arial" w:hAnsi="Arial" w:cs="Arial"/>
                <w:color w:val="000000"/>
              </w:rPr>
              <w:t>0.001</w:t>
            </w:r>
          </w:p>
        </w:tc>
        <w:tc>
          <w:tcPr>
            <w:tcW w:w="984" w:type="dxa"/>
            <w:tcBorders>
              <w:top w:val="nil"/>
              <w:left w:val="nil"/>
              <w:bottom w:val="nil"/>
              <w:right w:val="nil"/>
            </w:tcBorders>
            <w:noWrap/>
            <w:vAlign w:val="bottom"/>
            <w:hideMark/>
          </w:tcPr>
          <w:p w14:paraId="3ACFE5BB" w14:textId="77777777" w:rsidR="00944613" w:rsidRPr="00855BAA" w:rsidRDefault="00944613" w:rsidP="00BB6153">
            <w:pPr>
              <w:jc w:val="center"/>
              <w:rPr>
                <w:rFonts w:ascii="Arial" w:hAnsi="Arial" w:cs="Arial"/>
                <w:color w:val="000000"/>
              </w:rPr>
            </w:pPr>
            <w:r w:rsidRPr="00855BAA">
              <w:rPr>
                <w:rFonts w:ascii="Arial" w:hAnsi="Arial" w:cs="Arial"/>
                <w:color w:val="000000"/>
              </w:rPr>
              <w:t>0</w:t>
            </w:r>
          </w:p>
        </w:tc>
      </w:tr>
      <w:tr w:rsidR="00944613" w:rsidRPr="00855BAA" w14:paraId="1675E122" w14:textId="77777777" w:rsidTr="00E571BE">
        <w:trPr>
          <w:trHeight w:val="501"/>
        </w:trPr>
        <w:tc>
          <w:tcPr>
            <w:tcW w:w="1360" w:type="dxa"/>
            <w:tcBorders>
              <w:top w:val="nil"/>
              <w:left w:val="nil"/>
              <w:bottom w:val="nil"/>
              <w:right w:val="single" w:sz="4" w:space="0" w:color="auto"/>
            </w:tcBorders>
            <w:noWrap/>
            <w:vAlign w:val="bottom"/>
            <w:hideMark/>
          </w:tcPr>
          <w:p w14:paraId="0E88EC2F" w14:textId="77777777" w:rsidR="00944613" w:rsidRPr="00855BAA" w:rsidRDefault="00944613" w:rsidP="00BB6153">
            <w:pPr>
              <w:jc w:val="center"/>
              <w:rPr>
                <w:rFonts w:ascii="Arial" w:hAnsi="Arial" w:cs="Arial"/>
                <w:color w:val="000000"/>
              </w:rPr>
            </w:pPr>
            <w:r w:rsidRPr="00855BAA">
              <w:rPr>
                <w:rFonts w:ascii="Arial" w:hAnsi="Arial" w:cs="Arial"/>
                <w:color w:val="000000"/>
              </w:rPr>
              <w:t>Cluster 2</w:t>
            </w:r>
          </w:p>
        </w:tc>
        <w:tc>
          <w:tcPr>
            <w:tcW w:w="875" w:type="dxa"/>
            <w:tcBorders>
              <w:top w:val="nil"/>
              <w:left w:val="nil"/>
              <w:bottom w:val="nil"/>
              <w:right w:val="nil"/>
            </w:tcBorders>
            <w:noWrap/>
            <w:vAlign w:val="bottom"/>
            <w:hideMark/>
          </w:tcPr>
          <w:p w14:paraId="35D97322" w14:textId="77777777" w:rsidR="00944613" w:rsidRPr="00855BAA" w:rsidRDefault="00944613" w:rsidP="00BB6153">
            <w:pPr>
              <w:jc w:val="center"/>
              <w:rPr>
                <w:rFonts w:ascii="Arial" w:hAnsi="Arial" w:cs="Arial"/>
                <w:color w:val="000000"/>
              </w:rPr>
            </w:pPr>
            <w:r w:rsidRPr="00855BAA">
              <w:rPr>
                <w:rFonts w:ascii="Arial" w:hAnsi="Arial" w:cs="Arial"/>
                <w:color w:val="000000"/>
              </w:rPr>
              <w:t>0.029</w:t>
            </w:r>
          </w:p>
        </w:tc>
        <w:tc>
          <w:tcPr>
            <w:tcW w:w="850" w:type="dxa"/>
            <w:tcBorders>
              <w:top w:val="nil"/>
              <w:left w:val="nil"/>
              <w:bottom w:val="nil"/>
              <w:right w:val="nil"/>
            </w:tcBorders>
            <w:noWrap/>
            <w:vAlign w:val="bottom"/>
            <w:hideMark/>
          </w:tcPr>
          <w:p w14:paraId="7222B1B2" w14:textId="77777777" w:rsidR="00944613" w:rsidRPr="00855BAA" w:rsidRDefault="00944613" w:rsidP="00BB6153">
            <w:pPr>
              <w:jc w:val="center"/>
              <w:rPr>
                <w:rFonts w:ascii="Arial" w:hAnsi="Arial" w:cs="Arial"/>
                <w:color w:val="000000"/>
              </w:rPr>
            </w:pPr>
            <w:r w:rsidRPr="00855BAA">
              <w:rPr>
                <w:rFonts w:ascii="Arial" w:hAnsi="Arial" w:cs="Arial"/>
                <w:color w:val="000000"/>
              </w:rPr>
              <w:t>0.008</w:t>
            </w:r>
          </w:p>
        </w:tc>
        <w:tc>
          <w:tcPr>
            <w:tcW w:w="992" w:type="dxa"/>
            <w:tcBorders>
              <w:top w:val="nil"/>
              <w:left w:val="nil"/>
              <w:bottom w:val="nil"/>
              <w:right w:val="nil"/>
            </w:tcBorders>
            <w:noWrap/>
            <w:vAlign w:val="bottom"/>
            <w:hideMark/>
          </w:tcPr>
          <w:p w14:paraId="3807EB68" w14:textId="77777777" w:rsidR="00944613" w:rsidRPr="00855BAA" w:rsidRDefault="00944613" w:rsidP="00BB6153">
            <w:pPr>
              <w:jc w:val="center"/>
              <w:rPr>
                <w:rFonts w:ascii="Arial" w:hAnsi="Arial" w:cs="Arial"/>
                <w:color w:val="000000"/>
              </w:rPr>
            </w:pPr>
            <w:r w:rsidRPr="00855BAA">
              <w:rPr>
                <w:rFonts w:ascii="Arial" w:hAnsi="Arial" w:cs="Arial"/>
                <w:color w:val="000000"/>
              </w:rPr>
              <w:t>0.95</w:t>
            </w:r>
          </w:p>
        </w:tc>
        <w:tc>
          <w:tcPr>
            <w:tcW w:w="993" w:type="dxa"/>
            <w:tcBorders>
              <w:top w:val="nil"/>
              <w:left w:val="nil"/>
              <w:bottom w:val="nil"/>
              <w:right w:val="nil"/>
            </w:tcBorders>
            <w:noWrap/>
            <w:vAlign w:val="bottom"/>
            <w:hideMark/>
          </w:tcPr>
          <w:p w14:paraId="22DEC46F" w14:textId="77777777" w:rsidR="00944613" w:rsidRPr="00855BAA" w:rsidRDefault="00944613" w:rsidP="00BB6153">
            <w:pPr>
              <w:jc w:val="center"/>
              <w:rPr>
                <w:rFonts w:ascii="Arial" w:hAnsi="Arial" w:cs="Arial"/>
                <w:color w:val="000000"/>
              </w:rPr>
            </w:pPr>
            <w:r w:rsidRPr="00855BAA">
              <w:rPr>
                <w:rFonts w:ascii="Arial" w:hAnsi="Arial" w:cs="Arial"/>
                <w:color w:val="000000"/>
              </w:rPr>
              <w:t>0.012</w:t>
            </w:r>
          </w:p>
        </w:tc>
        <w:tc>
          <w:tcPr>
            <w:tcW w:w="717" w:type="dxa"/>
            <w:tcBorders>
              <w:top w:val="nil"/>
              <w:left w:val="nil"/>
              <w:bottom w:val="nil"/>
              <w:right w:val="nil"/>
            </w:tcBorders>
            <w:noWrap/>
            <w:vAlign w:val="bottom"/>
            <w:hideMark/>
          </w:tcPr>
          <w:p w14:paraId="57228D05" w14:textId="77777777" w:rsidR="00944613" w:rsidRPr="00855BAA" w:rsidRDefault="00944613" w:rsidP="00BB6153">
            <w:pPr>
              <w:jc w:val="center"/>
              <w:rPr>
                <w:rFonts w:ascii="Arial" w:hAnsi="Arial" w:cs="Arial"/>
                <w:color w:val="000000"/>
              </w:rPr>
            </w:pPr>
            <w:r w:rsidRPr="00855BAA">
              <w:rPr>
                <w:rFonts w:ascii="Arial" w:hAnsi="Arial" w:cs="Arial"/>
                <w:color w:val="000000"/>
              </w:rPr>
              <w:t>0.001</w:t>
            </w:r>
          </w:p>
        </w:tc>
        <w:tc>
          <w:tcPr>
            <w:tcW w:w="984" w:type="dxa"/>
            <w:tcBorders>
              <w:top w:val="nil"/>
              <w:left w:val="nil"/>
              <w:bottom w:val="nil"/>
              <w:right w:val="nil"/>
            </w:tcBorders>
            <w:noWrap/>
            <w:vAlign w:val="bottom"/>
            <w:hideMark/>
          </w:tcPr>
          <w:p w14:paraId="6388E995" w14:textId="77777777" w:rsidR="00944613" w:rsidRPr="00855BAA" w:rsidRDefault="00944613" w:rsidP="00BB6153">
            <w:pPr>
              <w:jc w:val="center"/>
              <w:rPr>
                <w:rFonts w:ascii="Arial" w:hAnsi="Arial" w:cs="Arial"/>
                <w:color w:val="000000"/>
              </w:rPr>
            </w:pPr>
            <w:r w:rsidRPr="00855BAA">
              <w:rPr>
                <w:rFonts w:ascii="Arial" w:hAnsi="Arial" w:cs="Arial"/>
                <w:color w:val="000000"/>
              </w:rPr>
              <w:t>0</w:t>
            </w:r>
          </w:p>
        </w:tc>
      </w:tr>
      <w:tr w:rsidR="00944613" w:rsidRPr="00855BAA" w14:paraId="54F919EC" w14:textId="77777777" w:rsidTr="00E571BE">
        <w:trPr>
          <w:trHeight w:val="501"/>
        </w:trPr>
        <w:tc>
          <w:tcPr>
            <w:tcW w:w="1360" w:type="dxa"/>
            <w:tcBorders>
              <w:top w:val="nil"/>
              <w:left w:val="nil"/>
              <w:bottom w:val="nil"/>
              <w:right w:val="single" w:sz="4" w:space="0" w:color="auto"/>
            </w:tcBorders>
            <w:noWrap/>
            <w:vAlign w:val="bottom"/>
            <w:hideMark/>
          </w:tcPr>
          <w:p w14:paraId="434A8D53" w14:textId="77777777" w:rsidR="00944613" w:rsidRPr="00855BAA" w:rsidRDefault="00944613" w:rsidP="00BB6153">
            <w:pPr>
              <w:jc w:val="center"/>
              <w:rPr>
                <w:rFonts w:ascii="Arial" w:hAnsi="Arial" w:cs="Arial"/>
                <w:color w:val="000000"/>
              </w:rPr>
            </w:pPr>
            <w:r w:rsidRPr="00855BAA">
              <w:rPr>
                <w:rFonts w:ascii="Arial" w:hAnsi="Arial" w:cs="Arial"/>
                <w:color w:val="000000"/>
              </w:rPr>
              <w:t>Cluster 3</w:t>
            </w:r>
          </w:p>
        </w:tc>
        <w:tc>
          <w:tcPr>
            <w:tcW w:w="875" w:type="dxa"/>
            <w:tcBorders>
              <w:top w:val="nil"/>
              <w:left w:val="nil"/>
              <w:bottom w:val="nil"/>
              <w:right w:val="nil"/>
            </w:tcBorders>
            <w:noWrap/>
            <w:vAlign w:val="bottom"/>
            <w:hideMark/>
          </w:tcPr>
          <w:p w14:paraId="1E1C76EE" w14:textId="77777777" w:rsidR="00944613" w:rsidRPr="00855BAA" w:rsidRDefault="00944613" w:rsidP="00BB6153">
            <w:pPr>
              <w:jc w:val="center"/>
              <w:rPr>
                <w:rFonts w:ascii="Arial" w:hAnsi="Arial" w:cs="Arial"/>
                <w:color w:val="000000"/>
              </w:rPr>
            </w:pPr>
            <w:r w:rsidRPr="00855BAA">
              <w:rPr>
                <w:rFonts w:ascii="Arial" w:hAnsi="Arial" w:cs="Arial"/>
                <w:color w:val="000000"/>
              </w:rPr>
              <w:t>0.004</w:t>
            </w:r>
          </w:p>
        </w:tc>
        <w:tc>
          <w:tcPr>
            <w:tcW w:w="850" w:type="dxa"/>
            <w:tcBorders>
              <w:top w:val="nil"/>
              <w:left w:val="nil"/>
              <w:bottom w:val="nil"/>
              <w:right w:val="nil"/>
            </w:tcBorders>
            <w:noWrap/>
            <w:vAlign w:val="bottom"/>
            <w:hideMark/>
          </w:tcPr>
          <w:p w14:paraId="450B50C4" w14:textId="77777777" w:rsidR="00944613" w:rsidRPr="00855BAA" w:rsidRDefault="00944613" w:rsidP="00BB6153">
            <w:pPr>
              <w:jc w:val="center"/>
              <w:rPr>
                <w:rFonts w:ascii="Arial" w:hAnsi="Arial" w:cs="Arial"/>
                <w:color w:val="000000"/>
              </w:rPr>
            </w:pPr>
            <w:r w:rsidRPr="00855BAA">
              <w:rPr>
                <w:rFonts w:ascii="Arial" w:hAnsi="Arial" w:cs="Arial"/>
                <w:color w:val="000000"/>
              </w:rPr>
              <w:t>0.011</w:t>
            </w:r>
          </w:p>
        </w:tc>
        <w:tc>
          <w:tcPr>
            <w:tcW w:w="992" w:type="dxa"/>
            <w:tcBorders>
              <w:top w:val="nil"/>
              <w:left w:val="nil"/>
              <w:bottom w:val="nil"/>
              <w:right w:val="nil"/>
            </w:tcBorders>
            <w:noWrap/>
            <w:vAlign w:val="bottom"/>
            <w:hideMark/>
          </w:tcPr>
          <w:p w14:paraId="5E2653E8" w14:textId="77777777" w:rsidR="00944613" w:rsidRPr="00855BAA" w:rsidRDefault="00944613" w:rsidP="00BB6153">
            <w:pPr>
              <w:jc w:val="center"/>
              <w:rPr>
                <w:rFonts w:ascii="Arial" w:hAnsi="Arial" w:cs="Arial"/>
                <w:color w:val="000000"/>
              </w:rPr>
            </w:pPr>
            <w:r w:rsidRPr="00855BAA">
              <w:rPr>
                <w:rFonts w:ascii="Arial" w:hAnsi="Arial" w:cs="Arial"/>
                <w:color w:val="000000"/>
              </w:rPr>
              <w:t>0.96</w:t>
            </w:r>
          </w:p>
        </w:tc>
        <w:tc>
          <w:tcPr>
            <w:tcW w:w="993" w:type="dxa"/>
            <w:tcBorders>
              <w:top w:val="nil"/>
              <w:left w:val="nil"/>
              <w:bottom w:val="nil"/>
              <w:right w:val="nil"/>
            </w:tcBorders>
            <w:noWrap/>
            <w:vAlign w:val="bottom"/>
            <w:hideMark/>
          </w:tcPr>
          <w:p w14:paraId="7F6DC9EA" w14:textId="77777777" w:rsidR="00944613" w:rsidRPr="00855BAA" w:rsidRDefault="00944613" w:rsidP="00BB6153">
            <w:pPr>
              <w:jc w:val="center"/>
              <w:rPr>
                <w:rFonts w:ascii="Arial" w:hAnsi="Arial" w:cs="Arial"/>
                <w:color w:val="000000"/>
              </w:rPr>
            </w:pPr>
            <w:r w:rsidRPr="00855BAA">
              <w:rPr>
                <w:rFonts w:ascii="Arial" w:hAnsi="Arial" w:cs="Arial"/>
                <w:color w:val="000000"/>
              </w:rPr>
              <w:t>0.025</w:t>
            </w:r>
          </w:p>
        </w:tc>
        <w:tc>
          <w:tcPr>
            <w:tcW w:w="717" w:type="dxa"/>
            <w:tcBorders>
              <w:top w:val="nil"/>
              <w:left w:val="nil"/>
              <w:bottom w:val="nil"/>
              <w:right w:val="nil"/>
            </w:tcBorders>
            <w:noWrap/>
            <w:vAlign w:val="bottom"/>
            <w:hideMark/>
          </w:tcPr>
          <w:p w14:paraId="31E7FFA8" w14:textId="77777777" w:rsidR="00944613" w:rsidRPr="00855BAA" w:rsidRDefault="00944613" w:rsidP="00BB6153">
            <w:pPr>
              <w:jc w:val="center"/>
              <w:rPr>
                <w:rFonts w:ascii="Arial" w:hAnsi="Arial" w:cs="Arial"/>
                <w:color w:val="000000"/>
              </w:rPr>
            </w:pPr>
            <w:r w:rsidRPr="00855BAA">
              <w:rPr>
                <w:rFonts w:ascii="Arial" w:hAnsi="Arial" w:cs="Arial"/>
                <w:color w:val="000000"/>
              </w:rPr>
              <w:t>0.000</w:t>
            </w:r>
          </w:p>
        </w:tc>
        <w:tc>
          <w:tcPr>
            <w:tcW w:w="984" w:type="dxa"/>
            <w:tcBorders>
              <w:top w:val="nil"/>
              <w:left w:val="nil"/>
              <w:bottom w:val="nil"/>
              <w:right w:val="nil"/>
            </w:tcBorders>
            <w:noWrap/>
            <w:vAlign w:val="bottom"/>
            <w:hideMark/>
          </w:tcPr>
          <w:p w14:paraId="2C47AE5E" w14:textId="77777777" w:rsidR="00944613" w:rsidRPr="00855BAA" w:rsidRDefault="00944613" w:rsidP="00BB6153">
            <w:pPr>
              <w:jc w:val="center"/>
              <w:rPr>
                <w:rFonts w:ascii="Arial" w:hAnsi="Arial" w:cs="Arial"/>
                <w:color w:val="000000"/>
              </w:rPr>
            </w:pPr>
            <w:r w:rsidRPr="00855BAA">
              <w:rPr>
                <w:rFonts w:ascii="Arial" w:hAnsi="Arial" w:cs="Arial"/>
                <w:color w:val="000000"/>
              </w:rPr>
              <w:t>0</w:t>
            </w:r>
          </w:p>
        </w:tc>
      </w:tr>
    </w:tbl>
    <w:p w14:paraId="73646167" w14:textId="77777777" w:rsidR="00944613" w:rsidRPr="00855BAA" w:rsidRDefault="00944613" w:rsidP="00944613">
      <w:pPr>
        <w:rPr>
          <w:rFonts w:ascii="Arial" w:hAnsi="Arial" w:cs="Arial"/>
        </w:rPr>
      </w:pPr>
    </w:p>
    <w:p w14:paraId="6CF9911F" w14:textId="77777777" w:rsidR="00944613" w:rsidRPr="00944613" w:rsidRDefault="00944613" w:rsidP="00944613">
      <w:pPr>
        <w:rPr>
          <w:rFonts w:ascii="Arial" w:hAnsi="Arial" w:cs="Arial"/>
          <w:b/>
          <w:bCs/>
          <w:sz w:val="22"/>
          <w:szCs w:val="22"/>
        </w:rPr>
      </w:pPr>
      <w:r w:rsidRPr="00944613">
        <w:rPr>
          <w:rFonts w:ascii="Arial" w:hAnsi="Arial" w:cs="Arial"/>
          <w:b/>
          <w:bCs/>
          <w:sz w:val="22"/>
          <w:szCs w:val="22"/>
        </w:rPr>
        <w:t>3.3 Lean-Gas Properties and Heating Value</w:t>
      </w:r>
    </w:p>
    <w:p w14:paraId="3D4130E6" w14:textId="137202DD" w:rsidR="00944613" w:rsidRPr="00855BAA" w:rsidRDefault="00944613" w:rsidP="00E571BE">
      <w:pPr>
        <w:jc w:val="both"/>
        <w:rPr>
          <w:rFonts w:ascii="Arial" w:hAnsi="Arial" w:cs="Arial"/>
        </w:rPr>
      </w:pPr>
      <w:r w:rsidRPr="00855BAA">
        <w:rPr>
          <w:rFonts w:ascii="Arial" w:hAnsi="Arial" w:cs="Arial"/>
        </w:rPr>
        <w:t xml:space="preserve">The molecular weights of the </w:t>
      </w:r>
      <w:r w:rsidRPr="00E571BE">
        <w:rPr>
          <w:rFonts w:ascii="Arial" w:hAnsi="Arial" w:cs="Arial"/>
        </w:rPr>
        <w:t>lean-gas streams obtained from the UniSim simulations (Table.6) fall within a narrow range of 16.76–16.94 g/mol, which indicates convergence toward methane-dominated fuel streams due to NGL recovery. This range is consistent with methane-rich natural gas compositions typically reported for conditioned</w:t>
      </w:r>
      <w:r w:rsidRPr="00855BAA">
        <w:rPr>
          <w:rFonts w:ascii="Arial" w:hAnsi="Arial" w:cs="Arial"/>
        </w:rPr>
        <w:t xml:space="preserve"> fuel gas supplied to gas turbines after hydrocarbon dew-point control (</w:t>
      </w:r>
      <w:proofErr w:type="spellStart"/>
      <w:r w:rsidRPr="00855BAA">
        <w:rPr>
          <w:rFonts w:ascii="Arial" w:hAnsi="Arial" w:cs="Arial"/>
        </w:rPr>
        <w:t>Kuczyński</w:t>
      </w:r>
      <w:proofErr w:type="spellEnd"/>
      <w:r w:rsidRPr="00855BAA">
        <w:rPr>
          <w:rFonts w:ascii="Arial" w:hAnsi="Arial" w:cs="Arial"/>
        </w:rPr>
        <w:t xml:space="preserve"> et al., 2020).</w:t>
      </w:r>
    </w:p>
    <w:p w14:paraId="08FDAAEB" w14:textId="77777777" w:rsidR="00944613" w:rsidRDefault="00944613" w:rsidP="00E571BE">
      <w:pPr>
        <w:jc w:val="both"/>
        <w:rPr>
          <w:rFonts w:ascii="Arial" w:hAnsi="Arial" w:cs="Arial"/>
          <w:bCs/>
        </w:rPr>
      </w:pPr>
      <w:r w:rsidRPr="00855BAA">
        <w:rPr>
          <w:rFonts w:ascii="Arial" w:hAnsi="Arial" w:cs="Arial"/>
        </w:rPr>
        <w:t xml:space="preserve">The corresponding lower heating values (LHVs), presented in the same table, range from </w:t>
      </w:r>
      <w:r w:rsidRPr="00E571BE">
        <w:rPr>
          <w:rFonts w:ascii="Arial" w:hAnsi="Arial" w:cs="Arial"/>
          <w:bCs/>
        </w:rPr>
        <w:t>46.29 MJ/kg for Cluster 0 to 47.92 MJ/kg for Cluster 3. These values are in close agreement with reported LHVs for high-methane natural gas. The observed consistency in LHV across the clusters is particularly important for power estimation, as it implies that variations in power-generation potential are driven primarily by available gas flow rate, rather than significant differences in fuel quality. When fuel composition and heating value remain within a narrow band, a single empirical gas-to-power relationship can be reliably applied across multiple operating scenarios (</w:t>
      </w:r>
      <w:proofErr w:type="spellStart"/>
      <w:r w:rsidRPr="00E571BE">
        <w:rPr>
          <w:rFonts w:ascii="Arial" w:hAnsi="Arial" w:cs="Arial"/>
          <w:bCs/>
        </w:rPr>
        <w:t>Kuczyński</w:t>
      </w:r>
      <w:proofErr w:type="spellEnd"/>
      <w:r w:rsidRPr="00E571BE">
        <w:rPr>
          <w:rFonts w:ascii="Arial" w:hAnsi="Arial" w:cs="Arial"/>
          <w:bCs/>
        </w:rPr>
        <w:t xml:space="preserve"> et al., 2020). This supports the adoption of a unified empirical gas-to-power model for subsequent analysis in this study.</w:t>
      </w:r>
    </w:p>
    <w:p w14:paraId="5865010F" w14:textId="77777777" w:rsidR="009A1D9D" w:rsidRPr="00E571BE" w:rsidRDefault="009A1D9D" w:rsidP="00E571BE">
      <w:pPr>
        <w:jc w:val="both"/>
        <w:rPr>
          <w:rFonts w:ascii="Arial" w:hAnsi="Arial" w:cs="Arial"/>
          <w:bCs/>
        </w:rPr>
      </w:pPr>
    </w:p>
    <w:p w14:paraId="0692B82A" w14:textId="32D4492E" w:rsidR="00944613" w:rsidRPr="009A1D9D" w:rsidRDefault="00944613" w:rsidP="00944613">
      <w:pPr>
        <w:pStyle w:val="Tables"/>
        <w:rPr>
          <w:rFonts w:ascii="Arial" w:hAnsi="Arial" w:cs="Arial"/>
          <w:sz w:val="20"/>
          <w:szCs w:val="20"/>
        </w:rPr>
      </w:pPr>
      <w:bookmarkStart w:id="6" w:name="_Toc215420307"/>
      <w:r w:rsidRPr="009A1D9D">
        <w:rPr>
          <w:rFonts w:ascii="Arial" w:hAnsi="Arial" w:cs="Arial"/>
          <w:sz w:val="20"/>
          <w:szCs w:val="20"/>
        </w:rPr>
        <w:t>Table .6   Calculated Lower Heating Values (LHV) and Molecular Weights of Lean Gas Streams</w:t>
      </w:r>
      <w:bookmarkEnd w:id="6"/>
    </w:p>
    <w:tbl>
      <w:tblPr>
        <w:tblW w:w="5920" w:type="dxa"/>
        <w:tblLook w:val="04A0" w:firstRow="1" w:lastRow="0" w:firstColumn="1" w:lastColumn="0" w:noHBand="0" w:noVBand="1"/>
      </w:tblPr>
      <w:tblGrid>
        <w:gridCol w:w="1100"/>
        <w:gridCol w:w="1418"/>
        <w:gridCol w:w="2268"/>
        <w:gridCol w:w="1134"/>
      </w:tblGrid>
      <w:tr w:rsidR="00944613" w:rsidRPr="00855BAA" w14:paraId="72E4CCC5" w14:textId="77777777" w:rsidTr="009A1D9D">
        <w:trPr>
          <w:trHeight w:val="189"/>
        </w:trPr>
        <w:tc>
          <w:tcPr>
            <w:tcW w:w="1100" w:type="dxa"/>
            <w:tcBorders>
              <w:top w:val="nil"/>
              <w:left w:val="nil"/>
              <w:bottom w:val="single" w:sz="4" w:space="0" w:color="auto"/>
              <w:right w:val="single" w:sz="4" w:space="0" w:color="auto"/>
            </w:tcBorders>
            <w:vAlign w:val="center"/>
            <w:hideMark/>
          </w:tcPr>
          <w:p w14:paraId="45AFDEFA" w14:textId="77777777" w:rsidR="00944613" w:rsidRPr="00855BAA" w:rsidRDefault="00944613" w:rsidP="00BB6153">
            <w:pPr>
              <w:jc w:val="center"/>
              <w:rPr>
                <w:rFonts w:ascii="Arial" w:hAnsi="Arial" w:cs="Arial"/>
                <w:b/>
                <w:color w:val="000000"/>
              </w:rPr>
            </w:pPr>
            <w:r w:rsidRPr="00855BAA">
              <w:rPr>
                <w:rFonts w:ascii="Arial" w:hAnsi="Arial" w:cs="Arial"/>
                <w:b/>
                <w:color w:val="000000"/>
              </w:rPr>
              <w:t>Cluster</w:t>
            </w:r>
          </w:p>
        </w:tc>
        <w:tc>
          <w:tcPr>
            <w:tcW w:w="1418" w:type="dxa"/>
            <w:tcBorders>
              <w:top w:val="nil"/>
              <w:left w:val="nil"/>
              <w:bottom w:val="single" w:sz="4" w:space="0" w:color="auto"/>
              <w:right w:val="nil"/>
            </w:tcBorders>
            <w:vAlign w:val="center"/>
            <w:hideMark/>
          </w:tcPr>
          <w:p w14:paraId="0709EDBF" w14:textId="77777777" w:rsidR="00944613" w:rsidRPr="00855BAA" w:rsidRDefault="00944613" w:rsidP="00BB6153">
            <w:pPr>
              <w:jc w:val="center"/>
              <w:rPr>
                <w:rFonts w:ascii="Arial" w:hAnsi="Arial" w:cs="Arial"/>
                <w:b/>
                <w:color w:val="000000"/>
              </w:rPr>
            </w:pPr>
            <w:r w:rsidRPr="00855BAA">
              <w:rPr>
                <w:rFonts w:ascii="Arial" w:hAnsi="Arial" w:cs="Arial"/>
                <w:b/>
                <w:color w:val="000000"/>
              </w:rPr>
              <w:t>LHV (MJ/</w:t>
            </w:r>
            <w:proofErr w:type="spellStart"/>
            <w:r w:rsidRPr="00855BAA">
              <w:rPr>
                <w:rFonts w:ascii="Arial" w:hAnsi="Arial" w:cs="Arial"/>
                <w:b/>
                <w:color w:val="000000"/>
              </w:rPr>
              <w:t>kmol</w:t>
            </w:r>
            <w:proofErr w:type="spellEnd"/>
            <w:r w:rsidRPr="00855BAA">
              <w:rPr>
                <w:rFonts w:ascii="Arial" w:hAnsi="Arial" w:cs="Arial"/>
                <w:b/>
                <w:color w:val="000000"/>
              </w:rPr>
              <w:t>)</w:t>
            </w:r>
          </w:p>
        </w:tc>
        <w:tc>
          <w:tcPr>
            <w:tcW w:w="2268" w:type="dxa"/>
            <w:tcBorders>
              <w:top w:val="nil"/>
              <w:left w:val="nil"/>
              <w:bottom w:val="single" w:sz="4" w:space="0" w:color="auto"/>
              <w:right w:val="nil"/>
            </w:tcBorders>
            <w:vAlign w:val="center"/>
            <w:hideMark/>
          </w:tcPr>
          <w:p w14:paraId="22F27275" w14:textId="77777777" w:rsidR="00944613" w:rsidRPr="00855BAA" w:rsidRDefault="00944613" w:rsidP="00BB6153">
            <w:pPr>
              <w:jc w:val="center"/>
              <w:rPr>
                <w:rFonts w:ascii="Arial" w:hAnsi="Arial" w:cs="Arial"/>
                <w:b/>
                <w:color w:val="000000"/>
              </w:rPr>
            </w:pPr>
            <w:r w:rsidRPr="00855BAA">
              <w:rPr>
                <w:rFonts w:ascii="Arial" w:hAnsi="Arial" w:cs="Arial"/>
                <w:b/>
                <w:color w:val="000000"/>
              </w:rPr>
              <w:t>Molecular Weight (g/mol)</w:t>
            </w:r>
          </w:p>
        </w:tc>
        <w:tc>
          <w:tcPr>
            <w:tcW w:w="1134" w:type="dxa"/>
            <w:tcBorders>
              <w:top w:val="nil"/>
              <w:left w:val="nil"/>
              <w:bottom w:val="single" w:sz="4" w:space="0" w:color="auto"/>
              <w:right w:val="nil"/>
            </w:tcBorders>
            <w:vAlign w:val="center"/>
            <w:hideMark/>
          </w:tcPr>
          <w:p w14:paraId="4A1DC393" w14:textId="77777777" w:rsidR="00944613" w:rsidRPr="00855BAA" w:rsidRDefault="00944613" w:rsidP="00BB6153">
            <w:pPr>
              <w:jc w:val="center"/>
              <w:rPr>
                <w:rFonts w:ascii="Arial" w:hAnsi="Arial" w:cs="Arial"/>
                <w:b/>
                <w:color w:val="000000"/>
              </w:rPr>
            </w:pPr>
            <w:r w:rsidRPr="00855BAA">
              <w:rPr>
                <w:rFonts w:ascii="Arial" w:hAnsi="Arial" w:cs="Arial"/>
                <w:b/>
                <w:color w:val="000000"/>
              </w:rPr>
              <w:t>LHV (MJ/kg)</w:t>
            </w:r>
          </w:p>
        </w:tc>
      </w:tr>
      <w:tr w:rsidR="00944613" w:rsidRPr="00855BAA" w14:paraId="27FFAAC5" w14:textId="77777777" w:rsidTr="0014496B">
        <w:trPr>
          <w:trHeight w:val="427"/>
        </w:trPr>
        <w:tc>
          <w:tcPr>
            <w:tcW w:w="1100" w:type="dxa"/>
            <w:tcBorders>
              <w:top w:val="nil"/>
              <w:left w:val="nil"/>
              <w:bottom w:val="nil"/>
              <w:right w:val="single" w:sz="4" w:space="0" w:color="auto"/>
            </w:tcBorders>
            <w:vAlign w:val="center"/>
            <w:hideMark/>
          </w:tcPr>
          <w:p w14:paraId="4E9090C2" w14:textId="77777777" w:rsidR="00944613" w:rsidRPr="00855BAA" w:rsidRDefault="00944613" w:rsidP="00BB6153">
            <w:pPr>
              <w:jc w:val="center"/>
              <w:rPr>
                <w:rFonts w:ascii="Arial" w:hAnsi="Arial" w:cs="Arial"/>
                <w:color w:val="000000"/>
              </w:rPr>
            </w:pPr>
            <w:r w:rsidRPr="00855BAA">
              <w:rPr>
                <w:rFonts w:ascii="Arial" w:hAnsi="Arial" w:cs="Arial"/>
                <w:color w:val="000000"/>
              </w:rPr>
              <w:t>0</w:t>
            </w:r>
          </w:p>
        </w:tc>
        <w:tc>
          <w:tcPr>
            <w:tcW w:w="1418" w:type="dxa"/>
            <w:tcBorders>
              <w:top w:val="nil"/>
              <w:left w:val="nil"/>
              <w:bottom w:val="nil"/>
              <w:right w:val="nil"/>
            </w:tcBorders>
            <w:vAlign w:val="center"/>
            <w:hideMark/>
          </w:tcPr>
          <w:p w14:paraId="1B0E5199" w14:textId="77777777" w:rsidR="00944613" w:rsidRPr="00855BAA" w:rsidRDefault="00944613" w:rsidP="00BB6153">
            <w:pPr>
              <w:jc w:val="center"/>
              <w:rPr>
                <w:rFonts w:ascii="Arial" w:hAnsi="Arial" w:cs="Arial"/>
                <w:color w:val="000000"/>
              </w:rPr>
            </w:pPr>
            <w:r w:rsidRPr="00855BAA">
              <w:rPr>
                <w:rFonts w:ascii="Arial" w:hAnsi="Arial" w:cs="Arial"/>
                <w:color w:val="000000"/>
              </w:rPr>
              <w:t>781.85</w:t>
            </w:r>
          </w:p>
        </w:tc>
        <w:tc>
          <w:tcPr>
            <w:tcW w:w="2268" w:type="dxa"/>
            <w:tcBorders>
              <w:top w:val="nil"/>
              <w:left w:val="nil"/>
              <w:bottom w:val="nil"/>
              <w:right w:val="nil"/>
            </w:tcBorders>
            <w:vAlign w:val="center"/>
            <w:hideMark/>
          </w:tcPr>
          <w:p w14:paraId="0F5D1C5F" w14:textId="77777777" w:rsidR="00944613" w:rsidRPr="00855BAA" w:rsidRDefault="00944613" w:rsidP="00BB6153">
            <w:pPr>
              <w:jc w:val="center"/>
              <w:rPr>
                <w:rFonts w:ascii="Arial" w:hAnsi="Arial" w:cs="Arial"/>
                <w:color w:val="000000"/>
              </w:rPr>
            </w:pPr>
            <w:r w:rsidRPr="00855BAA">
              <w:rPr>
                <w:rFonts w:ascii="Arial" w:hAnsi="Arial" w:cs="Arial"/>
                <w:color w:val="000000"/>
              </w:rPr>
              <w:t>16.89</w:t>
            </w:r>
          </w:p>
        </w:tc>
        <w:tc>
          <w:tcPr>
            <w:tcW w:w="1134" w:type="dxa"/>
            <w:tcBorders>
              <w:top w:val="nil"/>
              <w:left w:val="nil"/>
              <w:bottom w:val="nil"/>
              <w:right w:val="nil"/>
            </w:tcBorders>
            <w:vAlign w:val="center"/>
            <w:hideMark/>
          </w:tcPr>
          <w:p w14:paraId="02162E6D" w14:textId="77777777" w:rsidR="00944613" w:rsidRPr="00855BAA" w:rsidRDefault="00944613" w:rsidP="00BB6153">
            <w:pPr>
              <w:jc w:val="center"/>
              <w:rPr>
                <w:rFonts w:ascii="Arial" w:hAnsi="Arial" w:cs="Arial"/>
                <w:color w:val="000000"/>
              </w:rPr>
            </w:pPr>
            <w:r w:rsidRPr="00855BAA">
              <w:rPr>
                <w:rFonts w:ascii="Arial" w:hAnsi="Arial" w:cs="Arial"/>
                <w:color w:val="000000"/>
              </w:rPr>
              <w:t>46.29</w:t>
            </w:r>
          </w:p>
        </w:tc>
      </w:tr>
      <w:tr w:rsidR="00944613" w:rsidRPr="00855BAA" w14:paraId="379F2833" w14:textId="77777777" w:rsidTr="0014496B">
        <w:trPr>
          <w:trHeight w:val="286"/>
        </w:trPr>
        <w:tc>
          <w:tcPr>
            <w:tcW w:w="1100" w:type="dxa"/>
            <w:tcBorders>
              <w:top w:val="nil"/>
              <w:left w:val="nil"/>
              <w:bottom w:val="nil"/>
              <w:right w:val="single" w:sz="4" w:space="0" w:color="auto"/>
            </w:tcBorders>
            <w:vAlign w:val="center"/>
            <w:hideMark/>
          </w:tcPr>
          <w:p w14:paraId="164710A0" w14:textId="77777777" w:rsidR="00944613" w:rsidRPr="00855BAA" w:rsidRDefault="00944613" w:rsidP="00BB6153">
            <w:pPr>
              <w:jc w:val="center"/>
              <w:rPr>
                <w:rFonts w:ascii="Arial" w:hAnsi="Arial" w:cs="Arial"/>
                <w:color w:val="000000"/>
              </w:rPr>
            </w:pPr>
            <w:r w:rsidRPr="00855BAA">
              <w:rPr>
                <w:rFonts w:ascii="Arial" w:hAnsi="Arial" w:cs="Arial"/>
                <w:color w:val="000000"/>
              </w:rPr>
              <w:lastRenderedPageBreak/>
              <w:t>1</w:t>
            </w:r>
          </w:p>
        </w:tc>
        <w:tc>
          <w:tcPr>
            <w:tcW w:w="1418" w:type="dxa"/>
            <w:tcBorders>
              <w:top w:val="nil"/>
              <w:left w:val="nil"/>
              <w:bottom w:val="nil"/>
              <w:right w:val="nil"/>
            </w:tcBorders>
            <w:vAlign w:val="center"/>
            <w:hideMark/>
          </w:tcPr>
          <w:p w14:paraId="3F55986D" w14:textId="77777777" w:rsidR="00944613" w:rsidRPr="00855BAA" w:rsidRDefault="00944613" w:rsidP="00BB6153">
            <w:pPr>
              <w:jc w:val="center"/>
              <w:rPr>
                <w:rFonts w:ascii="Arial" w:hAnsi="Arial" w:cs="Arial"/>
                <w:color w:val="000000"/>
              </w:rPr>
            </w:pPr>
            <w:r w:rsidRPr="00855BAA">
              <w:rPr>
                <w:rFonts w:ascii="Arial" w:hAnsi="Arial" w:cs="Arial"/>
                <w:color w:val="000000"/>
              </w:rPr>
              <w:t>790.98</w:t>
            </w:r>
          </w:p>
        </w:tc>
        <w:tc>
          <w:tcPr>
            <w:tcW w:w="2268" w:type="dxa"/>
            <w:tcBorders>
              <w:top w:val="nil"/>
              <w:left w:val="nil"/>
              <w:bottom w:val="nil"/>
              <w:right w:val="nil"/>
            </w:tcBorders>
            <w:vAlign w:val="center"/>
            <w:hideMark/>
          </w:tcPr>
          <w:p w14:paraId="51C56051" w14:textId="77777777" w:rsidR="00944613" w:rsidRPr="00855BAA" w:rsidRDefault="00944613" w:rsidP="00BB6153">
            <w:pPr>
              <w:jc w:val="center"/>
              <w:rPr>
                <w:rFonts w:ascii="Arial" w:hAnsi="Arial" w:cs="Arial"/>
                <w:color w:val="000000"/>
              </w:rPr>
            </w:pPr>
            <w:r w:rsidRPr="00855BAA">
              <w:rPr>
                <w:rFonts w:ascii="Arial" w:hAnsi="Arial" w:cs="Arial"/>
                <w:color w:val="000000"/>
              </w:rPr>
              <w:t>16.94</w:t>
            </w:r>
          </w:p>
        </w:tc>
        <w:tc>
          <w:tcPr>
            <w:tcW w:w="1134" w:type="dxa"/>
            <w:tcBorders>
              <w:top w:val="nil"/>
              <w:left w:val="nil"/>
              <w:bottom w:val="nil"/>
              <w:right w:val="nil"/>
            </w:tcBorders>
            <w:vAlign w:val="center"/>
            <w:hideMark/>
          </w:tcPr>
          <w:p w14:paraId="1C0CF1A6" w14:textId="77777777" w:rsidR="00944613" w:rsidRPr="00855BAA" w:rsidRDefault="00944613" w:rsidP="00BB6153">
            <w:pPr>
              <w:jc w:val="center"/>
              <w:rPr>
                <w:rFonts w:ascii="Arial" w:hAnsi="Arial" w:cs="Arial"/>
                <w:color w:val="000000"/>
              </w:rPr>
            </w:pPr>
            <w:r w:rsidRPr="00855BAA">
              <w:rPr>
                <w:rFonts w:ascii="Arial" w:hAnsi="Arial" w:cs="Arial"/>
                <w:color w:val="000000"/>
              </w:rPr>
              <w:t>46.69</w:t>
            </w:r>
          </w:p>
        </w:tc>
      </w:tr>
      <w:tr w:rsidR="00944613" w:rsidRPr="00855BAA" w14:paraId="473EEDC5" w14:textId="77777777" w:rsidTr="0014496B">
        <w:trPr>
          <w:trHeight w:val="419"/>
        </w:trPr>
        <w:tc>
          <w:tcPr>
            <w:tcW w:w="1100" w:type="dxa"/>
            <w:tcBorders>
              <w:top w:val="nil"/>
              <w:left w:val="nil"/>
              <w:bottom w:val="nil"/>
              <w:right w:val="single" w:sz="4" w:space="0" w:color="auto"/>
            </w:tcBorders>
            <w:vAlign w:val="center"/>
            <w:hideMark/>
          </w:tcPr>
          <w:p w14:paraId="6FD5FD86" w14:textId="77777777" w:rsidR="00944613" w:rsidRPr="00855BAA" w:rsidRDefault="00944613" w:rsidP="00BB6153">
            <w:pPr>
              <w:jc w:val="center"/>
              <w:rPr>
                <w:rFonts w:ascii="Arial" w:hAnsi="Arial" w:cs="Arial"/>
                <w:color w:val="000000"/>
              </w:rPr>
            </w:pPr>
            <w:r w:rsidRPr="00855BAA">
              <w:rPr>
                <w:rFonts w:ascii="Arial" w:hAnsi="Arial" w:cs="Arial"/>
                <w:color w:val="000000"/>
              </w:rPr>
              <w:t>2</w:t>
            </w:r>
          </w:p>
        </w:tc>
        <w:tc>
          <w:tcPr>
            <w:tcW w:w="1418" w:type="dxa"/>
            <w:tcBorders>
              <w:top w:val="nil"/>
              <w:left w:val="nil"/>
              <w:bottom w:val="nil"/>
              <w:right w:val="nil"/>
            </w:tcBorders>
            <w:vAlign w:val="center"/>
            <w:hideMark/>
          </w:tcPr>
          <w:p w14:paraId="7F6BE514" w14:textId="77777777" w:rsidR="00944613" w:rsidRPr="00855BAA" w:rsidRDefault="00944613" w:rsidP="00BB6153">
            <w:pPr>
              <w:jc w:val="center"/>
              <w:rPr>
                <w:rFonts w:ascii="Arial" w:hAnsi="Arial" w:cs="Arial"/>
                <w:color w:val="000000"/>
              </w:rPr>
            </w:pPr>
            <w:r w:rsidRPr="00855BAA">
              <w:rPr>
                <w:rFonts w:ascii="Arial" w:hAnsi="Arial" w:cs="Arial"/>
                <w:color w:val="000000"/>
              </w:rPr>
              <w:t>778.72</w:t>
            </w:r>
          </w:p>
        </w:tc>
        <w:tc>
          <w:tcPr>
            <w:tcW w:w="2268" w:type="dxa"/>
            <w:tcBorders>
              <w:top w:val="nil"/>
              <w:left w:val="nil"/>
              <w:bottom w:val="nil"/>
              <w:right w:val="nil"/>
            </w:tcBorders>
            <w:vAlign w:val="center"/>
            <w:hideMark/>
          </w:tcPr>
          <w:p w14:paraId="69402394" w14:textId="77777777" w:rsidR="00944613" w:rsidRPr="00855BAA" w:rsidRDefault="00944613" w:rsidP="00BB6153">
            <w:pPr>
              <w:jc w:val="center"/>
              <w:rPr>
                <w:rFonts w:ascii="Arial" w:hAnsi="Arial" w:cs="Arial"/>
                <w:color w:val="000000"/>
              </w:rPr>
            </w:pPr>
            <w:r w:rsidRPr="00855BAA">
              <w:rPr>
                <w:rFonts w:ascii="Arial" w:hAnsi="Arial" w:cs="Arial"/>
                <w:color w:val="000000"/>
              </w:rPr>
              <w:t>16.81</w:t>
            </w:r>
          </w:p>
        </w:tc>
        <w:tc>
          <w:tcPr>
            <w:tcW w:w="1134" w:type="dxa"/>
            <w:tcBorders>
              <w:top w:val="nil"/>
              <w:left w:val="nil"/>
              <w:bottom w:val="nil"/>
              <w:right w:val="nil"/>
            </w:tcBorders>
            <w:vAlign w:val="center"/>
            <w:hideMark/>
          </w:tcPr>
          <w:p w14:paraId="5CA1D395" w14:textId="77777777" w:rsidR="00944613" w:rsidRPr="00855BAA" w:rsidRDefault="00944613" w:rsidP="00BB6153">
            <w:pPr>
              <w:jc w:val="center"/>
              <w:rPr>
                <w:rFonts w:ascii="Arial" w:hAnsi="Arial" w:cs="Arial"/>
                <w:color w:val="000000"/>
              </w:rPr>
            </w:pPr>
            <w:r w:rsidRPr="00855BAA">
              <w:rPr>
                <w:rFonts w:ascii="Arial" w:hAnsi="Arial" w:cs="Arial"/>
                <w:color w:val="000000"/>
              </w:rPr>
              <w:t>46.33</w:t>
            </w:r>
          </w:p>
        </w:tc>
      </w:tr>
      <w:tr w:rsidR="00944613" w:rsidRPr="00855BAA" w14:paraId="4BB8A080" w14:textId="77777777" w:rsidTr="0014496B">
        <w:trPr>
          <w:trHeight w:val="283"/>
        </w:trPr>
        <w:tc>
          <w:tcPr>
            <w:tcW w:w="1100" w:type="dxa"/>
            <w:tcBorders>
              <w:top w:val="nil"/>
              <w:left w:val="nil"/>
              <w:bottom w:val="nil"/>
              <w:right w:val="single" w:sz="4" w:space="0" w:color="auto"/>
            </w:tcBorders>
            <w:vAlign w:val="center"/>
            <w:hideMark/>
          </w:tcPr>
          <w:p w14:paraId="543474F5" w14:textId="77777777" w:rsidR="00944613" w:rsidRPr="00855BAA" w:rsidRDefault="00944613" w:rsidP="00BB6153">
            <w:pPr>
              <w:jc w:val="center"/>
              <w:rPr>
                <w:rFonts w:ascii="Arial" w:hAnsi="Arial" w:cs="Arial"/>
                <w:color w:val="000000"/>
              </w:rPr>
            </w:pPr>
            <w:r w:rsidRPr="00855BAA">
              <w:rPr>
                <w:rFonts w:ascii="Arial" w:hAnsi="Arial" w:cs="Arial"/>
                <w:color w:val="000000"/>
              </w:rPr>
              <w:t>3</w:t>
            </w:r>
          </w:p>
        </w:tc>
        <w:tc>
          <w:tcPr>
            <w:tcW w:w="1418" w:type="dxa"/>
            <w:tcBorders>
              <w:top w:val="nil"/>
              <w:left w:val="nil"/>
              <w:bottom w:val="nil"/>
              <w:right w:val="nil"/>
            </w:tcBorders>
            <w:vAlign w:val="center"/>
            <w:hideMark/>
          </w:tcPr>
          <w:p w14:paraId="7B77C566" w14:textId="77777777" w:rsidR="00944613" w:rsidRPr="00855BAA" w:rsidRDefault="00944613" w:rsidP="00BB6153">
            <w:pPr>
              <w:jc w:val="center"/>
              <w:rPr>
                <w:rFonts w:ascii="Arial" w:hAnsi="Arial" w:cs="Arial"/>
                <w:color w:val="000000"/>
              </w:rPr>
            </w:pPr>
            <w:r w:rsidRPr="00855BAA">
              <w:rPr>
                <w:rFonts w:ascii="Arial" w:hAnsi="Arial" w:cs="Arial"/>
                <w:color w:val="000000"/>
              </w:rPr>
              <w:t>803.15</w:t>
            </w:r>
          </w:p>
        </w:tc>
        <w:tc>
          <w:tcPr>
            <w:tcW w:w="2268" w:type="dxa"/>
            <w:tcBorders>
              <w:top w:val="nil"/>
              <w:left w:val="nil"/>
              <w:bottom w:val="nil"/>
              <w:right w:val="nil"/>
            </w:tcBorders>
            <w:vAlign w:val="center"/>
            <w:hideMark/>
          </w:tcPr>
          <w:p w14:paraId="3CDCD78F" w14:textId="77777777" w:rsidR="00944613" w:rsidRPr="00855BAA" w:rsidRDefault="00944613" w:rsidP="00BB6153">
            <w:pPr>
              <w:jc w:val="center"/>
              <w:rPr>
                <w:rFonts w:ascii="Arial" w:hAnsi="Arial" w:cs="Arial"/>
                <w:color w:val="000000"/>
              </w:rPr>
            </w:pPr>
            <w:r w:rsidRPr="00855BAA">
              <w:rPr>
                <w:rFonts w:ascii="Arial" w:hAnsi="Arial" w:cs="Arial"/>
                <w:color w:val="000000"/>
              </w:rPr>
              <w:t>16.76</w:t>
            </w:r>
          </w:p>
        </w:tc>
        <w:tc>
          <w:tcPr>
            <w:tcW w:w="1134" w:type="dxa"/>
            <w:tcBorders>
              <w:top w:val="nil"/>
              <w:left w:val="nil"/>
              <w:bottom w:val="nil"/>
              <w:right w:val="nil"/>
            </w:tcBorders>
            <w:vAlign w:val="center"/>
            <w:hideMark/>
          </w:tcPr>
          <w:p w14:paraId="7F466C60" w14:textId="77777777" w:rsidR="00944613" w:rsidRPr="00855BAA" w:rsidRDefault="00944613" w:rsidP="00BB6153">
            <w:pPr>
              <w:jc w:val="center"/>
              <w:rPr>
                <w:rFonts w:ascii="Arial" w:hAnsi="Arial" w:cs="Arial"/>
                <w:color w:val="000000"/>
              </w:rPr>
            </w:pPr>
            <w:r w:rsidRPr="00855BAA">
              <w:rPr>
                <w:rFonts w:ascii="Arial" w:hAnsi="Arial" w:cs="Arial"/>
                <w:color w:val="000000"/>
              </w:rPr>
              <w:t>47.92</w:t>
            </w:r>
          </w:p>
        </w:tc>
      </w:tr>
    </w:tbl>
    <w:p w14:paraId="04F231A2" w14:textId="77777777" w:rsidR="00944613" w:rsidRPr="00855BAA" w:rsidRDefault="00944613" w:rsidP="00944613">
      <w:pPr>
        <w:rPr>
          <w:rFonts w:ascii="Arial" w:hAnsi="Arial" w:cs="Arial"/>
        </w:rPr>
      </w:pPr>
    </w:p>
    <w:p w14:paraId="5A66D33D" w14:textId="77777777" w:rsidR="00944613" w:rsidRPr="00944613" w:rsidRDefault="00944613" w:rsidP="00944613">
      <w:pPr>
        <w:rPr>
          <w:rFonts w:ascii="Arial" w:hAnsi="Arial" w:cs="Arial"/>
          <w:b/>
          <w:bCs/>
          <w:sz w:val="22"/>
          <w:szCs w:val="22"/>
        </w:rPr>
      </w:pPr>
      <w:r w:rsidRPr="00944613">
        <w:rPr>
          <w:rFonts w:ascii="Arial" w:hAnsi="Arial" w:cs="Arial"/>
          <w:b/>
          <w:bCs/>
          <w:sz w:val="22"/>
          <w:szCs w:val="22"/>
        </w:rPr>
        <w:t>3.4 Afam VI Empirical Gas-to-Power Regression</w:t>
      </w:r>
    </w:p>
    <w:p w14:paraId="35C2BEA0" w14:textId="6893D020" w:rsidR="00944613" w:rsidRPr="00855BAA" w:rsidRDefault="00944613" w:rsidP="0014496B">
      <w:pPr>
        <w:jc w:val="both"/>
        <w:rPr>
          <w:rFonts w:ascii="Arial" w:hAnsi="Arial" w:cs="Arial"/>
        </w:rPr>
      </w:pPr>
      <w:r w:rsidRPr="00855BAA">
        <w:rPr>
          <w:rFonts w:ascii="Arial" w:hAnsi="Arial" w:cs="Arial"/>
        </w:rPr>
        <w:t xml:space="preserve">Operational data from the Afam VI combined-cycle gas turbine (CCGT) plant were </w:t>
      </w:r>
      <w:proofErr w:type="spellStart"/>
      <w:r w:rsidRPr="00855BAA">
        <w:rPr>
          <w:rFonts w:ascii="Arial" w:hAnsi="Arial" w:cs="Arial"/>
        </w:rPr>
        <w:t>analysed</w:t>
      </w:r>
      <w:proofErr w:type="spellEnd"/>
      <w:r w:rsidRPr="00855BAA">
        <w:rPr>
          <w:rFonts w:ascii="Arial" w:hAnsi="Arial" w:cs="Arial"/>
        </w:rPr>
        <w:t>, which established an empirical relationship between daily gas input and delivered electrical output. Equation (3.1) gives the regression obtained from regression graph (Figure 4) is:</w:t>
      </w:r>
    </w:p>
    <w:p w14:paraId="0B17D672" w14:textId="77777777" w:rsidR="00944613" w:rsidRPr="00855BAA" w:rsidRDefault="00944613" w:rsidP="00944613">
      <w:pPr>
        <w:rPr>
          <w:rFonts w:ascii="Arial" w:hAnsi="Arial" w:cs="Arial"/>
        </w:rPr>
      </w:pPr>
      <m:oMathPara>
        <m:oMath>
          <m:r>
            <w:rPr>
              <w:rFonts w:ascii="Cambria Math" w:hAnsi="Cambria Math"/>
            </w:rPr>
            <m:t>P=4.689G+7.2                      Equation (3.1)</m:t>
          </m:r>
        </m:oMath>
      </m:oMathPara>
    </w:p>
    <w:p w14:paraId="71C690A8" w14:textId="77777777" w:rsidR="0014496B" w:rsidRDefault="00944613" w:rsidP="0014496B">
      <w:pPr>
        <w:jc w:val="both"/>
        <w:rPr>
          <w:rFonts w:ascii="Arial" w:hAnsi="Arial" w:cs="Arial"/>
        </w:rPr>
      </w:pPr>
      <w:r w:rsidRPr="00855BAA">
        <w:rPr>
          <w:rFonts w:ascii="Arial" w:hAnsi="Arial" w:cs="Arial"/>
        </w:rPr>
        <w:t>where</w:t>
      </w:r>
      <w:r w:rsidRPr="00855BAA">
        <w:rPr>
          <w:rFonts w:ascii="Arial" w:hAnsi="Arial" w:cs="Arial"/>
        </w:rPr>
        <w:br/>
      </w:r>
      <m:oMath>
        <m:r>
          <w:rPr>
            <w:rFonts w:ascii="Cambria Math" w:hAnsi="Cambria Math"/>
          </w:rPr>
          <m:t>P</m:t>
        </m:r>
      </m:oMath>
      <w:r w:rsidRPr="00855BAA">
        <w:rPr>
          <w:rFonts w:ascii="Arial" w:hAnsi="Arial" w:cs="Arial"/>
        </w:rPr>
        <w:t>= electrical power output (MW)</w:t>
      </w:r>
    </w:p>
    <w:p w14:paraId="2C8A907B" w14:textId="13BFFF0B" w:rsidR="00944613" w:rsidRPr="00855BAA" w:rsidRDefault="00944613" w:rsidP="0014496B">
      <w:pPr>
        <w:jc w:val="both"/>
        <w:rPr>
          <w:rFonts w:ascii="Arial" w:hAnsi="Arial" w:cs="Arial"/>
        </w:rPr>
      </w:pPr>
      <m:oMath>
        <m:r>
          <w:rPr>
            <w:rFonts w:ascii="Cambria Math" w:hAnsi="Cambria Math"/>
          </w:rPr>
          <m:t>G</m:t>
        </m:r>
      </m:oMath>
      <w:r w:rsidRPr="00855BAA">
        <w:rPr>
          <w:rFonts w:ascii="Arial" w:hAnsi="Arial" w:cs="Arial"/>
        </w:rPr>
        <w:t>= gas input (MMSCF/day)</w:t>
      </w:r>
    </w:p>
    <w:p w14:paraId="5AD599F2" w14:textId="77777777" w:rsidR="00944613" w:rsidRPr="00855BAA" w:rsidRDefault="00944613" w:rsidP="0014496B">
      <w:pPr>
        <w:jc w:val="both"/>
        <w:rPr>
          <w:rFonts w:ascii="Arial" w:hAnsi="Arial" w:cs="Arial"/>
        </w:rPr>
      </w:pPr>
      <w:r w:rsidRPr="00855BAA">
        <w:rPr>
          <w:rFonts w:ascii="Arial" w:hAnsi="Arial" w:cs="Arial"/>
        </w:rPr>
        <w:t>This model exhibits a high coefficient of determination (</w:t>
      </w:r>
      <m:oMath>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=0.903</m:t>
        </m:r>
      </m:oMath>
      <w:r w:rsidRPr="00855BAA">
        <w:rPr>
          <w:rFonts w:ascii="Arial" w:hAnsi="Arial" w:cs="Arial"/>
        </w:rPr>
        <w:t>), indicating strong explanatory power. And confirms its suitability for realistic power estimation in Nigeria.</w:t>
      </w:r>
    </w:p>
    <w:p w14:paraId="4F7FBBE5" w14:textId="77777777" w:rsidR="00944613" w:rsidRPr="00855BAA" w:rsidRDefault="00944613" w:rsidP="00944613">
      <w:pPr>
        <w:keepNext/>
        <w:spacing w:line="276" w:lineRule="auto"/>
        <w:rPr>
          <w:rFonts w:ascii="Arial" w:hAnsi="Arial" w:cs="Arial"/>
        </w:rPr>
      </w:pPr>
      <w:r w:rsidRPr="00855BAA">
        <w:rPr>
          <w:rFonts w:ascii="Arial" w:hAnsi="Arial" w:cs="Arial"/>
          <w:noProof/>
        </w:rPr>
        <w:drawing>
          <wp:inline distT="0" distB="0" distL="0" distR="0" wp14:anchorId="6001B99C" wp14:editId="3D3A7C53">
            <wp:extent cx="5486400" cy="3368040"/>
            <wp:effectExtent l="0" t="0" r="0" b="3810"/>
            <wp:docPr id="55064845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917"/>
                    <a:stretch>
                      <a:fillRect/>
                    </a:stretch>
                  </pic:blipFill>
                  <pic:spPr bwMode="auto">
                    <a:xfrm>
                      <a:off x="0" y="0"/>
                      <a:ext cx="5486400" cy="3368040"/>
                    </a:xfrm>
                    <a:prstGeom prst="rect">
                      <a:avLst/>
                    </a:prstGeom>
                    <a:noFill/>
                    <a:ln>
                      <a:noFill/>
                    </a:ln>
                    <a:extLst>
                      <a:ext uri="{53640926-AAD7-44D8-BBD7-CCE9431645EC}">
                        <a14:shadowObscured xmlns:a14="http://schemas.microsoft.com/office/drawing/2010/main"/>
                      </a:ext>
                    </a:extLst>
                  </pic:spPr>
                </pic:pic>
              </a:graphicData>
            </a:graphic>
          </wp:inline>
        </w:drawing>
      </w:r>
    </w:p>
    <w:p w14:paraId="72581801" w14:textId="6C7848D3" w:rsidR="00944613" w:rsidRPr="00115525" w:rsidRDefault="00944613" w:rsidP="00944613">
      <w:pPr>
        <w:pStyle w:val="Tables"/>
        <w:rPr>
          <w:rFonts w:ascii="Arial" w:hAnsi="Arial" w:cs="Arial"/>
          <w:sz w:val="20"/>
          <w:szCs w:val="20"/>
        </w:rPr>
      </w:pPr>
      <w:bookmarkStart w:id="7" w:name="_Toc215420289"/>
      <w:r w:rsidRPr="00115525">
        <w:rPr>
          <w:rFonts w:ascii="Arial" w:hAnsi="Arial" w:cs="Arial"/>
          <w:sz w:val="20"/>
          <w:szCs w:val="20"/>
        </w:rPr>
        <w:t xml:space="preserve">Figure 4   Afam VI: Total Power vs. Daily Gas Feed   </w:t>
      </w:r>
      <w:proofErr w:type="gramStart"/>
      <w:r w:rsidRPr="00115525">
        <w:rPr>
          <w:rFonts w:ascii="Arial" w:hAnsi="Arial" w:cs="Arial"/>
          <w:sz w:val="20"/>
          <w:szCs w:val="20"/>
        </w:rPr>
        <w:t xml:space="preserve">   (</w:t>
      </w:r>
      <w:proofErr w:type="gramEnd"/>
      <w:r w:rsidRPr="00115525">
        <w:rPr>
          <w:rFonts w:ascii="Arial" w:hAnsi="Arial" w:cs="Arial"/>
          <w:sz w:val="20"/>
          <w:szCs w:val="20"/>
        </w:rPr>
        <w:t>derived: Python code script)</w:t>
      </w:r>
      <w:bookmarkEnd w:id="7"/>
    </w:p>
    <w:p w14:paraId="389DDA12" w14:textId="77777777" w:rsidR="00944613" w:rsidRPr="00944613" w:rsidRDefault="00944613" w:rsidP="00944613">
      <w:pPr>
        <w:rPr>
          <w:rFonts w:ascii="Arial" w:hAnsi="Arial" w:cs="Arial"/>
          <w:b/>
          <w:bCs/>
          <w:sz w:val="22"/>
          <w:szCs w:val="22"/>
        </w:rPr>
      </w:pPr>
      <w:r w:rsidRPr="00944613">
        <w:rPr>
          <w:rFonts w:ascii="Arial" w:hAnsi="Arial" w:cs="Arial"/>
          <w:b/>
          <w:bCs/>
          <w:sz w:val="22"/>
          <w:szCs w:val="22"/>
        </w:rPr>
        <w:t>3.5 Conversion of Simulated Lean Gas to Regression Input</w:t>
      </w:r>
    </w:p>
    <w:p w14:paraId="1AC3BA2F" w14:textId="77777777" w:rsidR="00944613" w:rsidRPr="00855BAA" w:rsidRDefault="00944613" w:rsidP="00115525">
      <w:pPr>
        <w:jc w:val="both"/>
        <w:rPr>
          <w:rFonts w:ascii="Arial" w:hAnsi="Arial" w:cs="Arial"/>
        </w:rPr>
      </w:pPr>
      <w:r w:rsidRPr="00855BAA">
        <w:rPr>
          <w:rFonts w:ascii="Arial" w:hAnsi="Arial" w:cs="Arial"/>
        </w:rPr>
        <w:t xml:space="preserve">Lean-gas flowrates from </w:t>
      </w:r>
      <w:proofErr w:type="spellStart"/>
      <w:r w:rsidRPr="00855BAA">
        <w:rPr>
          <w:rFonts w:ascii="Arial" w:hAnsi="Arial" w:cs="Arial"/>
        </w:rPr>
        <w:t>UniSim</w:t>
      </w:r>
      <w:proofErr w:type="spellEnd"/>
      <w:r w:rsidRPr="00855BAA">
        <w:rPr>
          <w:rFonts w:ascii="Arial" w:hAnsi="Arial" w:cs="Arial"/>
        </w:rPr>
        <w:t xml:space="preserve"> (</w:t>
      </w:r>
      <w:proofErr w:type="spellStart"/>
      <w:r w:rsidRPr="00855BAA">
        <w:rPr>
          <w:rFonts w:ascii="Arial" w:hAnsi="Arial" w:cs="Arial"/>
        </w:rPr>
        <w:t>kmol</w:t>
      </w:r>
      <w:proofErr w:type="spellEnd"/>
      <w:r w:rsidRPr="00855BAA">
        <w:rPr>
          <w:rFonts w:ascii="Arial" w:hAnsi="Arial" w:cs="Arial"/>
        </w:rPr>
        <w:t>/h) were converted to daily volumetric flowrates (MMSCF/day) to match the regression input basis. Using standard gas conditions:</w:t>
      </w:r>
    </w:p>
    <w:p w14:paraId="61CA6827" w14:textId="77777777" w:rsidR="00944613" w:rsidRPr="00855BAA" w:rsidRDefault="00944613" w:rsidP="005C2ADD">
      <w:pPr>
        <w:numPr>
          <w:ilvl w:val="0"/>
          <w:numId w:val="35"/>
        </w:numPr>
        <w:spacing w:after="160" w:line="278" w:lineRule="auto"/>
        <w:jc w:val="both"/>
        <w:rPr>
          <w:rFonts w:ascii="Arial" w:hAnsi="Arial" w:cs="Arial"/>
        </w:rPr>
      </w:pPr>
      <w:r w:rsidRPr="00855BAA">
        <w:rPr>
          <w:rFonts w:ascii="Arial" w:hAnsi="Arial" w:cs="Arial"/>
        </w:rPr>
        <w:t xml:space="preserve">1 </w:t>
      </w:r>
      <w:proofErr w:type="spellStart"/>
      <w:r w:rsidRPr="00855BAA">
        <w:rPr>
          <w:rFonts w:ascii="Arial" w:hAnsi="Arial" w:cs="Arial"/>
        </w:rPr>
        <w:t>kmol</w:t>
      </w:r>
      <w:proofErr w:type="spellEnd"/>
      <w:r w:rsidRPr="00855BAA">
        <w:rPr>
          <w:rFonts w:ascii="Arial" w:hAnsi="Arial" w:cs="Arial"/>
        </w:rPr>
        <w:t xml:space="preserve"> ≈ 22.414 m³</w:t>
      </w:r>
    </w:p>
    <w:p w14:paraId="2D0A7A29" w14:textId="77777777" w:rsidR="00944613" w:rsidRPr="00855BAA" w:rsidRDefault="00944613" w:rsidP="005C2ADD">
      <w:pPr>
        <w:numPr>
          <w:ilvl w:val="0"/>
          <w:numId w:val="35"/>
        </w:numPr>
        <w:spacing w:after="160" w:line="278" w:lineRule="auto"/>
        <w:jc w:val="both"/>
        <w:rPr>
          <w:rFonts w:ascii="Arial" w:hAnsi="Arial" w:cs="Arial"/>
        </w:rPr>
      </w:pPr>
      <w:r w:rsidRPr="00855BAA">
        <w:rPr>
          <w:rFonts w:ascii="Arial" w:hAnsi="Arial" w:cs="Arial"/>
        </w:rPr>
        <w:t xml:space="preserve">1 m³ ≈ 35.3147 </w:t>
      </w:r>
      <w:proofErr w:type="spellStart"/>
      <w:r w:rsidRPr="00855BAA">
        <w:rPr>
          <w:rFonts w:ascii="Arial" w:hAnsi="Arial" w:cs="Arial"/>
        </w:rPr>
        <w:t>scf</w:t>
      </w:r>
      <w:proofErr w:type="spellEnd"/>
    </w:p>
    <w:p w14:paraId="05FD3025" w14:textId="77777777" w:rsidR="00944613" w:rsidRPr="00855BAA" w:rsidRDefault="00944613" w:rsidP="005C2ADD">
      <w:pPr>
        <w:numPr>
          <w:ilvl w:val="0"/>
          <w:numId w:val="35"/>
        </w:numPr>
        <w:spacing w:after="160" w:line="278" w:lineRule="auto"/>
        <w:jc w:val="both"/>
        <w:rPr>
          <w:rFonts w:ascii="Arial" w:hAnsi="Arial" w:cs="Arial"/>
        </w:rPr>
      </w:pPr>
      <w:r w:rsidRPr="00855BAA">
        <w:rPr>
          <w:rFonts w:ascii="Arial" w:hAnsi="Arial" w:cs="Arial"/>
        </w:rPr>
        <w:t xml:space="preserve">therefore, 1 </w:t>
      </w:r>
      <w:proofErr w:type="spellStart"/>
      <w:r w:rsidRPr="00855BAA">
        <w:rPr>
          <w:rFonts w:ascii="Arial" w:hAnsi="Arial" w:cs="Arial"/>
        </w:rPr>
        <w:t>kmol</w:t>
      </w:r>
      <w:proofErr w:type="spellEnd"/>
      <w:r w:rsidRPr="00855BAA">
        <w:rPr>
          <w:rFonts w:ascii="Arial" w:hAnsi="Arial" w:cs="Arial"/>
        </w:rPr>
        <w:t xml:space="preserve"> ≈ 791 </w:t>
      </w:r>
      <w:proofErr w:type="spellStart"/>
      <w:r w:rsidRPr="00855BAA">
        <w:rPr>
          <w:rFonts w:ascii="Arial" w:hAnsi="Arial" w:cs="Arial"/>
        </w:rPr>
        <w:t>scf</w:t>
      </w:r>
      <w:proofErr w:type="spellEnd"/>
    </w:p>
    <w:p w14:paraId="5D2CA639" w14:textId="77777777" w:rsidR="00944613" w:rsidRPr="00855BAA" w:rsidRDefault="00944613" w:rsidP="005C2ADD">
      <w:pPr>
        <w:jc w:val="both"/>
        <w:rPr>
          <w:rFonts w:ascii="Arial" w:hAnsi="Arial" w:cs="Arial"/>
        </w:rPr>
      </w:pPr>
      <w:r w:rsidRPr="00855BAA">
        <w:rPr>
          <w:rFonts w:ascii="Arial" w:hAnsi="Arial" w:cs="Arial"/>
        </w:rPr>
        <w:t>Equation 3.2 gives the conversion applied:</w:t>
      </w:r>
    </w:p>
    <w:p w14:paraId="37C99A71" w14:textId="528EB757" w:rsidR="005C2ADD" w:rsidRPr="003C4054" w:rsidRDefault="00944613" w:rsidP="00944613">
      <w:pPr>
        <w:rPr>
          <w:rFonts w:ascii="Arial" w:hAnsi="Arial" w:cs="Arial"/>
        </w:rPr>
      </w:pPr>
      <m:oMathPara>
        <m:oMath>
          <m:r>
            <w:rPr>
              <w:rFonts w:ascii="Cambria Math" w:hAnsi="Cambria Math"/>
            </w:rPr>
            <m:t>G=</m:t>
          </m:r>
          <m:f>
            <m:fPr>
              <m:ctrlPr>
                <w:rPr>
                  <w:rFonts w:ascii="Cambria Math" w:hAnsi="Cambria Math"/>
                </w:rPr>
              </m:ctrlPr>
            </m:fPr>
            <m:num>
              <m:d>
                <m:dPr>
                  <m:sepChr m:val="×"/>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n</m:t>
                          </m:r>
                        </m:e>
                      </m:acc>
                    </m:e>
                    <m:sub>
                      <m:r>
                        <m:rPr>
                          <m:nor/>
                        </m:rPr>
                        <w:rPr>
                          <w:rFonts w:ascii="Arial" w:hAnsi="Arial" w:cs="Arial"/>
                        </w:rPr>
                        <m:t>lean</m:t>
                      </m:r>
                    </m:sub>
                  </m:sSub>
                </m:e>
                <m:e>
                  <m:r>
                    <w:rPr>
                      <w:rFonts w:ascii="Cambria Math" w:hAnsi="Cambria Math"/>
                    </w:rPr>
                    <m:t>24</m:t>
                  </m:r>
                </m:e>
                <m:e>
                  <m:r>
                    <w:rPr>
                      <w:rFonts w:ascii="Cambria Math" w:hAnsi="Cambria Math"/>
                    </w:rPr>
                    <m:t>791</m:t>
                  </m:r>
                </m:e>
              </m:d>
            </m:num>
            <m:den>
              <m:sSup>
                <m:sSupPr>
                  <m:ctrlPr>
                    <w:rPr>
                      <w:rFonts w:ascii="Cambria Math" w:hAnsi="Cambria Math"/>
                    </w:rPr>
                  </m:ctrlPr>
                </m:sSupPr>
                <m:e>
                  <m:r>
                    <w:rPr>
                      <w:rFonts w:ascii="Cambria Math" w:hAnsi="Cambria Math"/>
                    </w:rPr>
                    <m:t>10</m:t>
                  </m:r>
                </m:e>
                <m:sup>
                  <m:r>
                    <w:rPr>
                      <w:rFonts w:ascii="Cambria Math" w:hAnsi="Cambria Math"/>
                    </w:rPr>
                    <m:t>6</m:t>
                  </m:r>
                </m:sup>
              </m:sSup>
            </m:den>
          </m:f>
          <m:r>
            <w:rPr>
              <w:rFonts w:ascii="Cambria Math" w:hAnsi="Cambria Math"/>
            </w:rPr>
            <m:t xml:space="preserve">                       (3.2)</m:t>
          </m:r>
          <m:r>
            <m:rPr>
              <m:sty m:val="p"/>
            </m:rPr>
            <w:rPr>
              <w:rFonts w:ascii="Cambria Math" w:hAnsi="Cambria Math" w:cs="Arial"/>
            </w:rPr>
            <w:br/>
          </m:r>
        </m:oMath>
      </m:oMathPara>
      <w:r w:rsidRPr="00855BAA">
        <w:rPr>
          <w:rFonts w:ascii="Arial" w:hAnsi="Arial" w:cs="Arial"/>
        </w:rPr>
        <w:t>Where G = Lean gas flowrates in MMSCF/day</w:t>
      </w:r>
    </w:p>
    <w:p w14:paraId="1B7A6712" w14:textId="77777777" w:rsidR="00944613" w:rsidRPr="003C4054" w:rsidRDefault="002E3384" w:rsidP="00944613">
      <w:pPr>
        <w:rPr>
          <w:rFonts w:ascii="Arial" w:hAnsi="Arial" w:cs="Arial"/>
        </w:rPr>
      </w:pPr>
      <m:oMathPara>
        <m:oMathParaPr>
          <m:jc m:val="left"/>
        </m:oMathParaPr>
        <m:oMath>
          <m:sSub>
            <m:sSubPr>
              <m:ctrlPr>
                <w:rPr>
                  <w:rFonts w:ascii="Cambria Math" w:hAnsi="Cambria Math"/>
                </w:rPr>
              </m:ctrlPr>
            </m:sSubPr>
            <m:e>
              <m:acc>
                <m:accPr>
                  <m:chr m:val="̇"/>
                  <m:ctrlPr>
                    <w:rPr>
                      <w:rFonts w:ascii="Cambria Math" w:hAnsi="Cambria Math"/>
                    </w:rPr>
                  </m:ctrlPr>
                </m:accPr>
                <m:e>
                  <m:r>
                    <w:rPr>
                      <w:rFonts w:ascii="Cambria Math" w:hAnsi="Cambria Math"/>
                    </w:rPr>
                    <m:t>n</m:t>
                  </m:r>
                </m:e>
              </m:acc>
            </m:e>
            <m:sub>
              <m:r>
                <m:rPr>
                  <m:nor/>
                </m:rPr>
                <w:rPr>
                  <w:rFonts w:ascii="Arial" w:hAnsi="Arial" w:cs="Arial"/>
                </w:rPr>
                <m:t>lean</m:t>
              </m:r>
            </m:sub>
          </m:sSub>
          <m:r>
            <w:rPr>
              <w:rFonts w:ascii="Cambria Math" w:hAnsi="Cambria Math"/>
            </w:rPr>
            <m:t>=</m:t>
          </m:r>
          <m:r>
            <w:rPr>
              <w:rFonts w:ascii="Cambria Math" w:hAnsi="Cambria Math"/>
            </w:rPr>
            <m:t>Lean</m:t>
          </m:r>
          <m:r>
            <w:rPr>
              <w:rFonts w:ascii="Cambria Math" w:hAnsi="Cambria Math"/>
            </w:rPr>
            <m:t xml:space="preserve"> </m:t>
          </m:r>
          <m:r>
            <w:rPr>
              <w:rFonts w:ascii="Cambria Math" w:hAnsi="Cambria Math"/>
            </w:rPr>
            <m:t>gas</m:t>
          </m:r>
          <m:r>
            <w:rPr>
              <w:rFonts w:ascii="Cambria Math" w:hAnsi="Cambria Math"/>
            </w:rPr>
            <m:t xml:space="preserve"> </m:t>
          </m:r>
          <m:r>
            <w:rPr>
              <w:rFonts w:ascii="Cambria Math" w:hAnsi="Cambria Math"/>
            </w:rPr>
            <m:t>in</m:t>
          </m:r>
          <m:r>
            <w:rPr>
              <w:rFonts w:ascii="Cambria Math" w:hAnsi="Cambria Math"/>
            </w:rPr>
            <m:t xml:space="preserve"> </m:t>
          </m:r>
          <m:r>
            <w:rPr>
              <w:rFonts w:ascii="Cambria Math" w:hAnsi="Cambria Math"/>
            </w:rPr>
            <m:t>kmol</m:t>
          </m:r>
          <m:r>
            <w:rPr>
              <w:rFonts w:ascii="Cambria Math" w:hAnsi="Cambria Math"/>
            </w:rPr>
            <m:t>/h</m:t>
          </m:r>
        </m:oMath>
      </m:oMathPara>
    </w:p>
    <w:p w14:paraId="41D0E6AB" w14:textId="69899C31" w:rsidR="00944613" w:rsidRDefault="00944613" w:rsidP="00944613">
      <w:pPr>
        <w:rPr>
          <w:rFonts w:ascii="Arial" w:hAnsi="Arial" w:cs="Arial"/>
        </w:rPr>
      </w:pPr>
      <w:r w:rsidRPr="00855BAA">
        <w:rPr>
          <w:rFonts w:ascii="Arial" w:hAnsi="Arial" w:cs="Arial"/>
        </w:rPr>
        <w:t>Applying this to the simulation outputs yields Table.7:</w:t>
      </w:r>
    </w:p>
    <w:p w14:paraId="46813C1B" w14:textId="77777777" w:rsidR="003C4054" w:rsidRPr="00855BAA" w:rsidRDefault="003C4054" w:rsidP="00944613">
      <w:pPr>
        <w:rPr>
          <w:rFonts w:ascii="Arial" w:hAnsi="Arial" w:cs="Arial"/>
        </w:rPr>
      </w:pPr>
    </w:p>
    <w:p w14:paraId="062E12C1" w14:textId="49B63EBE" w:rsidR="00944613" w:rsidRPr="003C4054" w:rsidRDefault="00944613" w:rsidP="003C4054">
      <w:pPr>
        <w:pStyle w:val="Tables"/>
        <w:spacing w:after="0"/>
        <w:rPr>
          <w:rFonts w:ascii="Arial" w:hAnsi="Arial" w:cs="Arial"/>
          <w:sz w:val="20"/>
          <w:szCs w:val="20"/>
        </w:rPr>
      </w:pPr>
      <w:r w:rsidRPr="003C4054">
        <w:rPr>
          <w:rFonts w:ascii="Arial" w:hAnsi="Arial" w:cs="Arial"/>
          <w:sz w:val="20"/>
          <w:szCs w:val="20"/>
        </w:rPr>
        <w:t>Table.7   Clustered lean gas flow rate (</w:t>
      </w:r>
      <w:proofErr w:type="spellStart"/>
      <w:r w:rsidRPr="003C4054">
        <w:rPr>
          <w:rFonts w:ascii="Arial" w:hAnsi="Arial" w:cs="Arial"/>
          <w:sz w:val="20"/>
          <w:szCs w:val="20"/>
        </w:rPr>
        <w:t>mmscfd</w:t>
      </w:r>
      <w:proofErr w:type="spellEnd"/>
      <w:r w:rsidRPr="003C4054">
        <w:rPr>
          <w:rFonts w:ascii="Arial" w:hAnsi="Arial" w:cs="Arial"/>
          <w:sz w:val="20"/>
          <w:szCs w:val="20"/>
        </w:rPr>
        <w:t>)</w:t>
      </w:r>
    </w:p>
    <w:tbl>
      <w:tblPr>
        <w:tblW w:w="4260" w:type="dxa"/>
        <w:tblLook w:val="04A0" w:firstRow="1" w:lastRow="0" w:firstColumn="1" w:lastColumn="0" w:noHBand="0" w:noVBand="1"/>
      </w:tblPr>
      <w:tblGrid>
        <w:gridCol w:w="1000"/>
        <w:gridCol w:w="1360"/>
        <w:gridCol w:w="1900"/>
      </w:tblGrid>
      <w:tr w:rsidR="00944613" w:rsidRPr="00855BAA" w14:paraId="7555EDAB" w14:textId="77777777" w:rsidTr="003C4054">
        <w:trPr>
          <w:trHeight w:val="197"/>
        </w:trPr>
        <w:tc>
          <w:tcPr>
            <w:tcW w:w="1000" w:type="dxa"/>
            <w:tcBorders>
              <w:top w:val="nil"/>
              <w:left w:val="nil"/>
              <w:bottom w:val="single" w:sz="4" w:space="0" w:color="auto"/>
              <w:right w:val="single" w:sz="4" w:space="0" w:color="auto"/>
            </w:tcBorders>
            <w:vAlign w:val="center"/>
            <w:hideMark/>
          </w:tcPr>
          <w:p w14:paraId="3092276B" w14:textId="77777777" w:rsidR="00944613" w:rsidRPr="00855BAA" w:rsidRDefault="00944613" w:rsidP="00BB6153">
            <w:pPr>
              <w:jc w:val="center"/>
              <w:rPr>
                <w:rFonts w:ascii="Arial" w:hAnsi="Arial" w:cs="Arial"/>
                <w:b/>
                <w:color w:val="000000"/>
              </w:rPr>
            </w:pPr>
            <w:r w:rsidRPr="00855BAA">
              <w:rPr>
                <w:rFonts w:ascii="Arial" w:hAnsi="Arial" w:cs="Arial"/>
                <w:b/>
                <w:color w:val="000000"/>
              </w:rPr>
              <w:t>Cluster</w:t>
            </w:r>
          </w:p>
        </w:tc>
        <w:tc>
          <w:tcPr>
            <w:tcW w:w="1360" w:type="dxa"/>
            <w:tcBorders>
              <w:top w:val="nil"/>
              <w:left w:val="nil"/>
              <w:bottom w:val="single" w:sz="4" w:space="0" w:color="auto"/>
              <w:right w:val="nil"/>
            </w:tcBorders>
            <w:vAlign w:val="center"/>
            <w:hideMark/>
          </w:tcPr>
          <w:p w14:paraId="71FEFB46" w14:textId="77777777" w:rsidR="00944613" w:rsidRPr="00855BAA" w:rsidRDefault="00944613" w:rsidP="00BB6153">
            <w:pPr>
              <w:jc w:val="center"/>
              <w:rPr>
                <w:rFonts w:ascii="Arial" w:hAnsi="Arial" w:cs="Arial"/>
                <w:b/>
                <w:color w:val="000000"/>
              </w:rPr>
            </w:pPr>
            <w:r w:rsidRPr="00855BAA">
              <w:rPr>
                <w:rFonts w:ascii="Arial" w:hAnsi="Arial" w:cs="Arial"/>
                <w:b/>
                <w:color w:val="000000"/>
              </w:rPr>
              <w:t>Lean gas (</w:t>
            </w:r>
            <w:proofErr w:type="spellStart"/>
            <w:r w:rsidRPr="00855BAA">
              <w:rPr>
                <w:rFonts w:ascii="Arial" w:hAnsi="Arial" w:cs="Arial"/>
                <w:b/>
                <w:color w:val="000000"/>
              </w:rPr>
              <w:t>kmol</w:t>
            </w:r>
            <w:proofErr w:type="spellEnd"/>
            <w:r w:rsidRPr="00855BAA">
              <w:rPr>
                <w:rFonts w:ascii="Arial" w:hAnsi="Arial" w:cs="Arial"/>
                <w:b/>
                <w:color w:val="000000"/>
              </w:rPr>
              <w:t>/h)</w:t>
            </w:r>
          </w:p>
        </w:tc>
        <w:tc>
          <w:tcPr>
            <w:tcW w:w="1900" w:type="dxa"/>
            <w:tcBorders>
              <w:top w:val="nil"/>
              <w:left w:val="nil"/>
              <w:bottom w:val="single" w:sz="4" w:space="0" w:color="auto"/>
              <w:right w:val="nil"/>
            </w:tcBorders>
            <w:vAlign w:val="center"/>
            <w:hideMark/>
          </w:tcPr>
          <w:p w14:paraId="5DFAB09A" w14:textId="77777777" w:rsidR="00944613" w:rsidRPr="00855BAA" w:rsidRDefault="00944613" w:rsidP="00BB6153">
            <w:pPr>
              <w:jc w:val="center"/>
              <w:rPr>
                <w:rFonts w:ascii="Arial" w:hAnsi="Arial" w:cs="Arial"/>
                <w:b/>
                <w:color w:val="000000"/>
              </w:rPr>
            </w:pPr>
            <w:r w:rsidRPr="00855BAA">
              <w:rPr>
                <w:rFonts w:ascii="Arial" w:hAnsi="Arial" w:cs="Arial"/>
                <w:b/>
                <w:color w:val="000000"/>
              </w:rPr>
              <w:t>Lean gas (MMSCF/day)</w:t>
            </w:r>
          </w:p>
        </w:tc>
      </w:tr>
      <w:tr w:rsidR="00944613" w:rsidRPr="00855BAA" w14:paraId="470C4CAD" w14:textId="77777777" w:rsidTr="00BB6153">
        <w:trPr>
          <w:trHeight w:val="312"/>
        </w:trPr>
        <w:tc>
          <w:tcPr>
            <w:tcW w:w="1000" w:type="dxa"/>
            <w:tcBorders>
              <w:top w:val="nil"/>
              <w:left w:val="nil"/>
              <w:bottom w:val="nil"/>
              <w:right w:val="single" w:sz="4" w:space="0" w:color="auto"/>
            </w:tcBorders>
            <w:vAlign w:val="center"/>
            <w:hideMark/>
          </w:tcPr>
          <w:p w14:paraId="7C8B9E45" w14:textId="77777777" w:rsidR="00944613" w:rsidRPr="00855BAA" w:rsidRDefault="00944613" w:rsidP="00BB6153">
            <w:pPr>
              <w:jc w:val="center"/>
              <w:rPr>
                <w:rFonts w:ascii="Arial" w:hAnsi="Arial" w:cs="Arial"/>
                <w:color w:val="000000"/>
              </w:rPr>
            </w:pPr>
            <w:r w:rsidRPr="00855BAA">
              <w:rPr>
                <w:rFonts w:ascii="Arial" w:hAnsi="Arial" w:cs="Arial"/>
                <w:color w:val="000000"/>
              </w:rPr>
              <w:lastRenderedPageBreak/>
              <w:t>0</w:t>
            </w:r>
          </w:p>
        </w:tc>
        <w:tc>
          <w:tcPr>
            <w:tcW w:w="1360" w:type="dxa"/>
            <w:tcBorders>
              <w:top w:val="nil"/>
              <w:left w:val="nil"/>
              <w:bottom w:val="nil"/>
              <w:right w:val="nil"/>
            </w:tcBorders>
            <w:vAlign w:val="center"/>
            <w:hideMark/>
          </w:tcPr>
          <w:p w14:paraId="1343C5AA" w14:textId="77777777" w:rsidR="00944613" w:rsidRPr="00855BAA" w:rsidRDefault="00944613" w:rsidP="00BB6153">
            <w:pPr>
              <w:jc w:val="right"/>
              <w:rPr>
                <w:rFonts w:ascii="Arial" w:hAnsi="Arial" w:cs="Arial"/>
                <w:color w:val="000000"/>
              </w:rPr>
            </w:pPr>
            <w:r w:rsidRPr="00855BAA">
              <w:rPr>
                <w:rFonts w:ascii="Arial" w:hAnsi="Arial" w:cs="Arial"/>
                <w:color w:val="000000"/>
              </w:rPr>
              <w:t>2,707.00</w:t>
            </w:r>
          </w:p>
        </w:tc>
        <w:tc>
          <w:tcPr>
            <w:tcW w:w="1900" w:type="dxa"/>
            <w:tcBorders>
              <w:top w:val="nil"/>
              <w:left w:val="nil"/>
              <w:bottom w:val="nil"/>
              <w:right w:val="nil"/>
            </w:tcBorders>
            <w:vAlign w:val="center"/>
            <w:hideMark/>
          </w:tcPr>
          <w:p w14:paraId="2A02C355" w14:textId="77777777" w:rsidR="00944613" w:rsidRPr="00855BAA" w:rsidRDefault="00944613" w:rsidP="00BB6153">
            <w:pPr>
              <w:jc w:val="right"/>
              <w:rPr>
                <w:rFonts w:ascii="Arial" w:hAnsi="Arial" w:cs="Arial"/>
                <w:color w:val="000000"/>
              </w:rPr>
            </w:pPr>
            <w:r w:rsidRPr="00855BAA">
              <w:rPr>
                <w:rFonts w:ascii="Arial" w:hAnsi="Arial" w:cs="Arial"/>
                <w:color w:val="000000"/>
              </w:rPr>
              <w:t>51.38</w:t>
            </w:r>
          </w:p>
        </w:tc>
      </w:tr>
      <w:tr w:rsidR="00944613" w:rsidRPr="00855BAA" w14:paraId="098BE831" w14:textId="77777777" w:rsidTr="00BB6153">
        <w:trPr>
          <w:trHeight w:val="312"/>
        </w:trPr>
        <w:tc>
          <w:tcPr>
            <w:tcW w:w="1000" w:type="dxa"/>
            <w:tcBorders>
              <w:top w:val="nil"/>
              <w:left w:val="nil"/>
              <w:bottom w:val="nil"/>
              <w:right w:val="single" w:sz="4" w:space="0" w:color="auto"/>
            </w:tcBorders>
            <w:vAlign w:val="center"/>
            <w:hideMark/>
          </w:tcPr>
          <w:p w14:paraId="3DE6568C" w14:textId="77777777" w:rsidR="00944613" w:rsidRPr="00855BAA" w:rsidRDefault="00944613" w:rsidP="00BB6153">
            <w:pPr>
              <w:jc w:val="center"/>
              <w:rPr>
                <w:rFonts w:ascii="Arial" w:hAnsi="Arial" w:cs="Arial"/>
                <w:color w:val="000000"/>
              </w:rPr>
            </w:pPr>
            <w:r w:rsidRPr="00855BAA">
              <w:rPr>
                <w:rFonts w:ascii="Arial" w:hAnsi="Arial" w:cs="Arial"/>
                <w:color w:val="000000"/>
              </w:rPr>
              <w:t>1</w:t>
            </w:r>
          </w:p>
        </w:tc>
        <w:tc>
          <w:tcPr>
            <w:tcW w:w="1360" w:type="dxa"/>
            <w:tcBorders>
              <w:top w:val="nil"/>
              <w:left w:val="nil"/>
              <w:bottom w:val="nil"/>
              <w:right w:val="nil"/>
            </w:tcBorders>
            <w:vAlign w:val="center"/>
            <w:hideMark/>
          </w:tcPr>
          <w:p w14:paraId="4893208F" w14:textId="77777777" w:rsidR="00944613" w:rsidRPr="00855BAA" w:rsidRDefault="00944613" w:rsidP="00BB6153">
            <w:pPr>
              <w:jc w:val="right"/>
              <w:rPr>
                <w:rFonts w:ascii="Arial" w:hAnsi="Arial" w:cs="Arial"/>
                <w:color w:val="000000"/>
              </w:rPr>
            </w:pPr>
            <w:r w:rsidRPr="00855BAA">
              <w:rPr>
                <w:rFonts w:ascii="Arial" w:hAnsi="Arial" w:cs="Arial"/>
                <w:color w:val="000000"/>
              </w:rPr>
              <w:t>1,053.00</w:t>
            </w:r>
          </w:p>
        </w:tc>
        <w:tc>
          <w:tcPr>
            <w:tcW w:w="1900" w:type="dxa"/>
            <w:tcBorders>
              <w:top w:val="nil"/>
              <w:left w:val="nil"/>
              <w:bottom w:val="nil"/>
              <w:right w:val="nil"/>
            </w:tcBorders>
            <w:vAlign w:val="center"/>
            <w:hideMark/>
          </w:tcPr>
          <w:p w14:paraId="4F54F6C6" w14:textId="77777777" w:rsidR="00944613" w:rsidRPr="00855BAA" w:rsidRDefault="00944613" w:rsidP="00BB6153">
            <w:pPr>
              <w:jc w:val="right"/>
              <w:rPr>
                <w:rFonts w:ascii="Arial" w:hAnsi="Arial" w:cs="Arial"/>
                <w:color w:val="000000"/>
              </w:rPr>
            </w:pPr>
            <w:r w:rsidRPr="00855BAA">
              <w:rPr>
                <w:rFonts w:ascii="Arial" w:hAnsi="Arial" w:cs="Arial"/>
                <w:color w:val="000000"/>
              </w:rPr>
              <w:t>19.98</w:t>
            </w:r>
          </w:p>
        </w:tc>
      </w:tr>
      <w:tr w:rsidR="00944613" w:rsidRPr="00855BAA" w14:paraId="0E5F284E" w14:textId="77777777" w:rsidTr="00BB6153">
        <w:trPr>
          <w:trHeight w:val="312"/>
        </w:trPr>
        <w:tc>
          <w:tcPr>
            <w:tcW w:w="1000" w:type="dxa"/>
            <w:tcBorders>
              <w:top w:val="nil"/>
              <w:left w:val="nil"/>
              <w:bottom w:val="nil"/>
              <w:right w:val="single" w:sz="4" w:space="0" w:color="auto"/>
            </w:tcBorders>
            <w:vAlign w:val="center"/>
            <w:hideMark/>
          </w:tcPr>
          <w:p w14:paraId="5757669B" w14:textId="77777777" w:rsidR="00944613" w:rsidRPr="00855BAA" w:rsidRDefault="00944613" w:rsidP="00BB6153">
            <w:pPr>
              <w:jc w:val="center"/>
              <w:rPr>
                <w:rFonts w:ascii="Arial" w:hAnsi="Arial" w:cs="Arial"/>
                <w:color w:val="000000"/>
              </w:rPr>
            </w:pPr>
            <w:r w:rsidRPr="00855BAA">
              <w:rPr>
                <w:rFonts w:ascii="Arial" w:hAnsi="Arial" w:cs="Arial"/>
                <w:color w:val="000000"/>
              </w:rPr>
              <w:t>2</w:t>
            </w:r>
          </w:p>
        </w:tc>
        <w:tc>
          <w:tcPr>
            <w:tcW w:w="1360" w:type="dxa"/>
            <w:tcBorders>
              <w:top w:val="nil"/>
              <w:left w:val="nil"/>
              <w:bottom w:val="nil"/>
              <w:right w:val="nil"/>
            </w:tcBorders>
            <w:vAlign w:val="center"/>
            <w:hideMark/>
          </w:tcPr>
          <w:p w14:paraId="4F083B19" w14:textId="77777777" w:rsidR="00944613" w:rsidRPr="00855BAA" w:rsidRDefault="00944613" w:rsidP="00BB6153">
            <w:pPr>
              <w:jc w:val="right"/>
              <w:rPr>
                <w:rFonts w:ascii="Arial" w:hAnsi="Arial" w:cs="Arial"/>
                <w:color w:val="000000"/>
              </w:rPr>
            </w:pPr>
            <w:r w:rsidRPr="00855BAA">
              <w:rPr>
                <w:rFonts w:ascii="Arial" w:hAnsi="Arial" w:cs="Arial"/>
                <w:color w:val="000000"/>
              </w:rPr>
              <w:t>637.1</w:t>
            </w:r>
          </w:p>
        </w:tc>
        <w:tc>
          <w:tcPr>
            <w:tcW w:w="1900" w:type="dxa"/>
            <w:tcBorders>
              <w:top w:val="nil"/>
              <w:left w:val="nil"/>
              <w:bottom w:val="nil"/>
              <w:right w:val="nil"/>
            </w:tcBorders>
            <w:vAlign w:val="center"/>
            <w:hideMark/>
          </w:tcPr>
          <w:p w14:paraId="09D0126A" w14:textId="77777777" w:rsidR="00944613" w:rsidRPr="00855BAA" w:rsidRDefault="00944613" w:rsidP="00BB6153">
            <w:pPr>
              <w:jc w:val="right"/>
              <w:rPr>
                <w:rFonts w:ascii="Arial" w:hAnsi="Arial" w:cs="Arial"/>
                <w:color w:val="000000"/>
              </w:rPr>
            </w:pPr>
            <w:r w:rsidRPr="00855BAA">
              <w:rPr>
                <w:rFonts w:ascii="Arial" w:hAnsi="Arial" w:cs="Arial"/>
                <w:color w:val="000000"/>
              </w:rPr>
              <w:t>12.11</w:t>
            </w:r>
          </w:p>
        </w:tc>
      </w:tr>
      <w:tr w:rsidR="00944613" w:rsidRPr="00855BAA" w14:paraId="1F193178" w14:textId="77777777" w:rsidTr="00BB6153">
        <w:trPr>
          <w:trHeight w:val="312"/>
        </w:trPr>
        <w:tc>
          <w:tcPr>
            <w:tcW w:w="1000" w:type="dxa"/>
            <w:tcBorders>
              <w:top w:val="nil"/>
              <w:left w:val="nil"/>
              <w:bottom w:val="nil"/>
              <w:right w:val="single" w:sz="4" w:space="0" w:color="auto"/>
            </w:tcBorders>
            <w:vAlign w:val="center"/>
            <w:hideMark/>
          </w:tcPr>
          <w:p w14:paraId="7399E9DC" w14:textId="77777777" w:rsidR="00944613" w:rsidRPr="00855BAA" w:rsidRDefault="00944613" w:rsidP="00BB6153">
            <w:pPr>
              <w:jc w:val="center"/>
              <w:rPr>
                <w:rFonts w:ascii="Arial" w:hAnsi="Arial" w:cs="Arial"/>
                <w:color w:val="000000"/>
              </w:rPr>
            </w:pPr>
            <w:r w:rsidRPr="00855BAA">
              <w:rPr>
                <w:rFonts w:ascii="Arial" w:hAnsi="Arial" w:cs="Arial"/>
                <w:color w:val="000000"/>
              </w:rPr>
              <w:t>3</w:t>
            </w:r>
          </w:p>
        </w:tc>
        <w:tc>
          <w:tcPr>
            <w:tcW w:w="1360" w:type="dxa"/>
            <w:tcBorders>
              <w:top w:val="nil"/>
              <w:left w:val="nil"/>
              <w:bottom w:val="nil"/>
              <w:right w:val="nil"/>
            </w:tcBorders>
            <w:vAlign w:val="center"/>
            <w:hideMark/>
          </w:tcPr>
          <w:p w14:paraId="72AD9F98" w14:textId="77777777" w:rsidR="00944613" w:rsidRPr="00855BAA" w:rsidRDefault="00944613" w:rsidP="00BB6153">
            <w:pPr>
              <w:jc w:val="right"/>
              <w:rPr>
                <w:rFonts w:ascii="Arial" w:hAnsi="Arial" w:cs="Arial"/>
                <w:color w:val="000000"/>
              </w:rPr>
            </w:pPr>
            <w:r w:rsidRPr="00855BAA">
              <w:rPr>
                <w:rFonts w:ascii="Arial" w:hAnsi="Arial" w:cs="Arial"/>
                <w:color w:val="000000"/>
              </w:rPr>
              <w:t>1,772.00</w:t>
            </w:r>
          </w:p>
        </w:tc>
        <w:tc>
          <w:tcPr>
            <w:tcW w:w="1900" w:type="dxa"/>
            <w:tcBorders>
              <w:top w:val="nil"/>
              <w:left w:val="nil"/>
              <w:bottom w:val="nil"/>
              <w:right w:val="nil"/>
            </w:tcBorders>
            <w:vAlign w:val="center"/>
            <w:hideMark/>
          </w:tcPr>
          <w:p w14:paraId="09D08208" w14:textId="77777777" w:rsidR="00944613" w:rsidRPr="00855BAA" w:rsidRDefault="00944613" w:rsidP="00BB6153">
            <w:pPr>
              <w:jc w:val="right"/>
              <w:rPr>
                <w:rFonts w:ascii="Arial" w:hAnsi="Arial" w:cs="Arial"/>
                <w:color w:val="000000"/>
              </w:rPr>
            </w:pPr>
            <w:r w:rsidRPr="00855BAA">
              <w:rPr>
                <w:rFonts w:ascii="Arial" w:hAnsi="Arial" w:cs="Arial"/>
                <w:color w:val="000000"/>
              </w:rPr>
              <w:t>33.63</w:t>
            </w:r>
          </w:p>
        </w:tc>
      </w:tr>
    </w:tbl>
    <w:p w14:paraId="248B83CA" w14:textId="77777777" w:rsidR="00944613" w:rsidRPr="00855BAA" w:rsidRDefault="00944613" w:rsidP="00944613">
      <w:pPr>
        <w:rPr>
          <w:rFonts w:ascii="Arial" w:hAnsi="Arial" w:cs="Arial"/>
        </w:rPr>
      </w:pPr>
    </w:p>
    <w:p w14:paraId="174BA2E5" w14:textId="77777777" w:rsidR="00944613" w:rsidRPr="00944613" w:rsidRDefault="00944613" w:rsidP="00944613">
      <w:pPr>
        <w:rPr>
          <w:rFonts w:ascii="Arial" w:hAnsi="Arial" w:cs="Arial"/>
          <w:b/>
          <w:bCs/>
          <w:sz w:val="22"/>
          <w:szCs w:val="22"/>
        </w:rPr>
      </w:pPr>
      <w:r w:rsidRPr="00944613">
        <w:rPr>
          <w:rFonts w:ascii="Arial" w:hAnsi="Arial" w:cs="Arial"/>
          <w:b/>
          <w:bCs/>
          <w:sz w:val="22"/>
          <w:szCs w:val="22"/>
        </w:rPr>
        <w:t>3.6 Estimated Power Generation from Flare-Gas Clusters</w:t>
      </w:r>
    </w:p>
    <w:p w14:paraId="4BB4DBBF" w14:textId="1CA20828" w:rsidR="00944613" w:rsidRPr="00855BAA" w:rsidRDefault="00944613" w:rsidP="003C4054">
      <w:pPr>
        <w:jc w:val="both"/>
        <w:rPr>
          <w:rFonts w:ascii="Arial" w:hAnsi="Arial" w:cs="Arial"/>
        </w:rPr>
      </w:pPr>
      <w:r w:rsidRPr="00855BAA">
        <w:rPr>
          <w:rFonts w:ascii="Arial" w:hAnsi="Arial" w:cs="Arial"/>
        </w:rPr>
        <w:t>The converted lean-gas flowrates were substituted directly into the Afam VI regression model. Table 8 gives the resulting cluster-level power estimates</w:t>
      </w:r>
      <w:r w:rsidR="00D20360">
        <w:rPr>
          <w:rFonts w:ascii="Arial" w:hAnsi="Arial" w:cs="Arial"/>
        </w:rPr>
        <w:t>.</w:t>
      </w:r>
    </w:p>
    <w:p w14:paraId="745EFCD5" w14:textId="42E648F9" w:rsidR="00944613" w:rsidRPr="00855BAA" w:rsidRDefault="00944613" w:rsidP="00944613">
      <w:pPr>
        <w:rPr>
          <w:rFonts w:ascii="Arial" w:hAnsi="Arial" w:cs="Arial"/>
        </w:rPr>
      </w:pPr>
      <w:r w:rsidRPr="00855BAA">
        <w:rPr>
          <w:rFonts w:ascii="Arial" w:hAnsi="Arial" w:cs="Arial"/>
          <w:i/>
          <w:iCs/>
        </w:rPr>
        <w:t>Table 8: Cluster-level aggregated gas input and corresponding power and daily energy generation potential derived from the empirical gas-to-power model</w:t>
      </w:r>
    </w:p>
    <w:tbl>
      <w:tblPr>
        <w:tblW w:w="7820" w:type="dxa"/>
        <w:tblLook w:val="04A0" w:firstRow="1" w:lastRow="0" w:firstColumn="1" w:lastColumn="0" w:noHBand="0" w:noVBand="1"/>
      </w:tblPr>
      <w:tblGrid>
        <w:gridCol w:w="1120"/>
        <w:gridCol w:w="2180"/>
        <w:gridCol w:w="1860"/>
        <w:gridCol w:w="2660"/>
      </w:tblGrid>
      <w:tr w:rsidR="00944613" w:rsidRPr="00855BAA" w14:paraId="2CF47B38" w14:textId="77777777" w:rsidTr="00D20360">
        <w:trPr>
          <w:trHeight w:val="390"/>
        </w:trPr>
        <w:tc>
          <w:tcPr>
            <w:tcW w:w="1120" w:type="dxa"/>
            <w:tcBorders>
              <w:top w:val="nil"/>
              <w:left w:val="nil"/>
              <w:bottom w:val="single" w:sz="4" w:space="0" w:color="auto"/>
              <w:right w:val="single" w:sz="4" w:space="0" w:color="auto"/>
            </w:tcBorders>
            <w:vAlign w:val="center"/>
            <w:hideMark/>
          </w:tcPr>
          <w:p w14:paraId="7B167E65" w14:textId="77777777" w:rsidR="00944613" w:rsidRPr="00855BAA" w:rsidRDefault="00944613" w:rsidP="00BB6153">
            <w:pPr>
              <w:jc w:val="center"/>
              <w:rPr>
                <w:rFonts w:ascii="Arial" w:hAnsi="Arial" w:cs="Arial"/>
                <w:b/>
                <w:color w:val="000000"/>
              </w:rPr>
            </w:pPr>
            <w:r w:rsidRPr="00855BAA">
              <w:rPr>
                <w:rFonts w:ascii="Arial" w:hAnsi="Arial" w:cs="Arial"/>
                <w:b/>
                <w:color w:val="000000"/>
              </w:rPr>
              <w:t>Cluster</w:t>
            </w:r>
          </w:p>
        </w:tc>
        <w:tc>
          <w:tcPr>
            <w:tcW w:w="2180" w:type="dxa"/>
            <w:tcBorders>
              <w:top w:val="nil"/>
              <w:left w:val="nil"/>
              <w:bottom w:val="single" w:sz="4" w:space="0" w:color="auto"/>
              <w:right w:val="nil"/>
            </w:tcBorders>
            <w:vAlign w:val="center"/>
            <w:hideMark/>
          </w:tcPr>
          <w:p w14:paraId="28FBF52F" w14:textId="77777777" w:rsidR="00944613" w:rsidRPr="00855BAA" w:rsidRDefault="00944613" w:rsidP="00BB6153">
            <w:pPr>
              <w:jc w:val="center"/>
              <w:rPr>
                <w:rFonts w:ascii="Arial" w:hAnsi="Arial" w:cs="Arial"/>
                <w:b/>
                <w:color w:val="000000"/>
              </w:rPr>
            </w:pPr>
            <w:r w:rsidRPr="00855BAA">
              <w:rPr>
                <w:rFonts w:ascii="Arial" w:hAnsi="Arial" w:cs="Arial"/>
                <w:b/>
                <w:color w:val="000000"/>
              </w:rPr>
              <w:t>Gas input (MMSCF/day)</w:t>
            </w:r>
          </w:p>
        </w:tc>
        <w:tc>
          <w:tcPr>
            <w:tcW w:w="1860" w:type="dxa"/>
            <w:tcBorders>
              <w:top w:val="nil"/>
              <w:left w:val="nil"/>
              <w:bottom w:val="single" w:sz="4" w:space="0" w:color="auto"/>
              <w:right w:val="nil"/>
            </w:tcBorders>
            <w:vAlign w:val="center"/>
            <w:hideMark/>
          </w:tcPr>
          <w:p w14:paraId="64F9D5BA" w14:textId="77777777" w:rsidR="00944613" w:rsidRPr="00855BAA" w:rsidRDefault="00944613" w:rsidP="00BB6153">
            <w:pPr>
              <w:jc w:val="center"/>
              <w:rPr>
                <w:rFonts w:ascii="Arial" w:hAnsi="Arial" w:cs="Arial"/>
                <w:b/>
                <w:color w:val="000000"/>
              </w:rPr>
            </w:pPr>
            <w:r w:rsidRPr="00855BAA">
              <w:rPr>
                <w:rFonts w:ascii="Arial" w:hAnsi="Arial" w:cs="Arial"/>
                <w:b/>
                <w:color w:val="000000"/>
              </w:rPr>
              <w:t>Power (MW)</w:t>
            </w:r>
          </w:p>
        </w:tc>
        <w:tc>
          <w:tcPr>
            <w:tcW w:w="2660" w:type="dxa"/>
            <w:tcBorders>
              <w:top w:val="nil"/>
              <w:left w:val="nil"/>
              <w:bottom w:val="single" w:sz="4" w:space="0" w:color="auto"/>
              <w:right w:val="nil"/>
            </w:tcBorders>
            <w:vAlign w:val="center"/>
            <w:hideMark/>
          </w:tcPr>
          <w:p w14:paraId="5F892F9D" w14:textId="77777777" w:rsidR="00944613" w:rsidRPr="00855BAA" w:rsidRDefault="00944613" w:rsidP="00BB6153">
            <w:pPr>
              <w:jc w:val="center"/>
              <w:rPr>
                <w:rFonts w:ascii="Arial" w:hAnsi="Arial" w:cs="Arial"/>
                <w:b/>
                <w:color w:val="000000"/>
              </w:rPr>
            </w:pPr>
            <w:r w:rsidRPr="00855BAA">
              <w:rPr>
                <w:rFonts w:ascii="Arial" w:hAnsi="Arial" w:cs="Arial"/>
                <w:b/>
                <w:color w:val="000000"/>
              </w:rPr>
              <w:t>Energy (MWh/day)</w:t>
            </w:r>
          </w:p>
        </w:tc>
      </w:tr>
      <w:tr w:rsidR="00944613" w:rsidRPr="00855BAA" w14:paraId="5A295849" w14:textId="77777777" w:rsidTr="00BB6153">
        <w:trPr>
          <w:trHeight w:val="312"/>
        </w:trPr>
        <w:tc>
          <w:tcPr>
            <w:tcW w:w="1120" w:type="dxa"/>
            <w:tcBorders>
              <w:top w:val="nil"/>
              <w:left w:val="nil"/>
              <w:bottom w:val="nil"/>
              <w:right w:val="single" w:sz="4" w:space="0" w:color="auto"/>
            </w:tcBorders>
            <w:vAlign w:val="center"/>
            <w:hideMark/>
          </w:tcPr>
          <w:p w14:paraId="3A27DD60" w14:textId="77777777" w:rsidR="00944613" w:rsidRPr="00855BAA" w:rsidRDefault="00944613" w:rsidP="00BB6153">
            <w:pPr>
              <w:jc w:val="center"/>
              <w:rPr>
                <w:rFonts w:ascii="Arial" w:hAnsi="Arial" w:cs="Arial"/>
                <w:color w:val="000000"/>
              </w:rPr>
            </w:pPr>
            <w:r w:rsidRPr="00855BAA">
              <w:rPr>
                <w:rFonts w:ascii="Arial" w:hAnsi="Arial" w:cs="Arial"/>
                <w:color w:val="000000"/>
              </w:rPr>
              <w:t>0</w:t>
            </w:r>
          </w:p>
        </w:tc>
        <w:tc>
          <w:tcPr>
            <w:tcW w:w="2180" w:type="dxa"/>
            <w:tcBorders>
              <w:top w:val="nil"/>
              <w:left w:val="nil"/>
              <w:bottom w:val="nil"/>
              <w:right w:val="nil"/>
            </w:tcBorders>
            <w:vAlign w:val="center"/>
            <w:hideMark/>
          </w:tcPr>
          <w:p w14:paraId="26647109" w14:textId="77777777" w:rsidR="00944613" w:rsidRPr="00855BAA" w:rsidRDefault="00944613" w:rsidP="00BB6153">
            <w:pPr>
              <w:jc w:val="right"/>
              <w:rPr>
                <w:rFonts w:ascii="Arial" w:hAnsi="Arial" w:cs="Arial"/>
                <w:color w:val="000000"/>
              </w:rPr>
            </w:pPr>
            <w:r w:rsidRPr="00855BAA">
              <w:rPr>
                <w:rFonts w:ascii="Arial" w:hAnsi="Arial" w:cs="Arial"/>
                <w:color w:val="000000"/>
              </w:rPr>
              <w:t>51.38</w:t>
            </w:r>
          </w:p>
        </w:tc>
        <w:tc>
          <w:tcPr>
            <w:tcW w:w="1860" w:type="dxa"/>
            <w:tcBorders>
              <w:top w:val="nil"/>
              <w:left w:val="nil"/>
              <w:bottom w:val="nil"/>
              <w:right w:val="nil"/>
            </w:tcBorders>
            <w:vAlign w:val="center"/>
            <w:hideMark/>
          </w:tcPr>
          <w:p w14:paraId="765132D8" w14:textId="77777777" w:rsidR="00944613" w:rsidRPr="00855BAA" w:rsidRDefault="00944613" w:rsidP="00BB6153">
            <w:pPr>
              <w:jc w:val="right"/>
              <w:rPr>
                <w:rFonts w:ascii="Arial" w:hAnsi="Arial" w:cs="Arial"/>
                <w:color w:val="000000"/>
              </w:rPr>
            </w:pPr>
            <w:r w:rsidRPr="00855BAA">
              <w:rPr>
                <w:rFonts w:ascii="Arial" w:hAnsi="Arial" w:cs="Arial"/>
                <w:color w:val="000000"/>
              </w:rPr>
              <w:t>248.2</w:t>
            </w:r>
          </w:p>
        </w:tc>
        <w:tc>
          <w:tcPr>
            <w:tcW w:w="2660" w:type="dxa"/>
            <w:tcBorders>
              <w:top w:val="nil"/>
              <w:left w:val="nil"/>
              <w:bottom w:val="nil"/>
              <w:right w:val="nil"/>
            </w:tcBorders>
            <w:vAlign w:val="center"/>
            <w:hideMark/>
          </w:tcPr>
          <w:p w14:paraId="24187ABD" w14:textId="77777777" w:rsidR="00944613" w:rsidRPr="00855BAA" w:rsidRDefault="00944613" w:rsidP="00BB6153">
            <w:pPr>
              <w:jc w:val="right"/>
              <w:rPr>
                <w:rFonts w:ascii="Arial" w:hAnsi="Arial" w:cs="Arial"/>
                <w:color w:val="000000"/>
              </w:rPr>
            </w:pPr>
            <w:r w:rsidRPr="00855BAA">
              <w:rPr>
                <w:rFonts w:ascii="Arial" w:hAnsi="Arial" w:cs="Arial"/>
                <w:color w:val="000000"/>
              </w:rPr>
              <w:t>5,957</w:t>
            </w:r>
          </w:p>
        </w:tc>
      </w:tr>
      <w:tr w:rsidR="00944613" w:rsidRPr="00855BAA" w14:paraId="7C3C10FA" w14:textId="77777777" w:rsidTr="00BB6153">
        <w:trPr>
          <w:trHeight w:val="312"/>
        </w:trPr>
        <w:tc>
          <w:tcPr>
            <w:tcW w:w="1120" w:type="dxa"/>
            <w:tcBorders>
              <w:top w:val="nil"/>
              <w:left w:val="nil"/>
              <w:bottom w:val="nil"/>
              <w:right w:val="single" w:sz="4" w:space="0" w:color="auto"/>
            </w:tcBorders>
            <w:vAlign w:val="center"/>
            <w:hideMark/>
          </w:tcPr>
          <w:p w14:paraId="7F2CC820" w14:textId="77777777" w:rsidR="00944613" w:rsidRPr="00855BAA" w:rsidRDefault="00944613" w:rsidP="00BB6153">
            <w:pPr>
              <w:jc w:val="center"/>
              <w:rPr>
                <w:rFonts w:ascii="Arial" w:hAnsi="Arial" w:cs="Arial"/>
                <w:color w:val="000000"/>
              </w:rPr>
            </w:pPr>
            <w:r w:rsidRPr="00855BAA">
              <w:rPr>
                <w:rFonts w:ascii="Arial" w:hAnsi="Arial" w:cs="Arial"/>
                <w:color w:val="000000"/>
              </w:rPr>
              <w:t>1</w:t>
            </w:r>
          </w:p>
        </w:tc>
        <w:tc>
          <w:tcPr>
            <w:tcW w:w="2180" w:type="dxa"/>
            <w:tcBorders>
              <w:top w:val="nil"/>
              <w:left w:val="nil"/>
              <w:bottom w:val="nil"/>
              <w:right w:val="nil"/>
            </w:tcBorders>
            <w:vAlign w:val="center"/>
            <w:hideMark/>
          </w:tcPr>
          <w:p w14:paraId="74066B22" w14:textId="77777777" w:rsidR="00944613" w:rsidRPr="00855BAA" w:rsidRDefault="00944613" w:rsidP="00BB6153">
            <w:pPr>
              <w:jc w:val="right"/>
              <w:rPr>
                <w:rFonts w:ascii="Arial" w:hAnsi="Arial" w:cs="Arial"/>
                <w:color w:val="000000"/>
              </w:rPr>
            </w:pPr>
            <w:r w:rsidRPr="00855BAA">
              <w:rPr>
                <w:rFonts w:ascii="Arial" w:hAnsi="Arial" w:cs="Arial"/>
                <w:color w:val="000000"/>
              </w:rPr>
              <w:t>19.98</w:t>
            </w:r>
          </w:p>
        </w:tc>
        <w:tc>
          <w:tcPr>
            <w:tcW w:w="1860" w:type="dxa"/>
            <w:tcBorders>
              <w:top w:val="nil"/>
              <w:left w:val="nil"/>
              <w:bottom w:val="nil"/>
              <w:right w:val="nil"/>
            </w:tcBorders>
            <w:vAlign w:val="center"/>
            <w:hideMark/>
          </w:tcPr>
          <w:p w14:paraId="3548ECC4" w14:textId="77777777" w:rsidR="00944613" w:rsidRPr="00855BAA" w:rsidRDefault="00944613" w:rsidP="00BB6153">
            <w:pPr>
              <w:jc w:val="right"/>
              <w:rPr>
                <w:rFonts w:ascii="Arial" w:hAnsi="Arial" w:cs="Arial"/>
                <w:color w:val="000000"/>
              </w:rPr>
            </w:pPr>
            <w:r w:rsidRPr="00855BAA">
              <w:rPr>
                <w:rFonts w:ascii="Arial" w:hAnsi="Arial" w:cs="Arial"/>
                <w:color w:val="000000"/>
              </w:rPr>
              <w:t>101</w:t>
            </w:r>
          </w:p>
        </w:tc>
        <w:tc>
          <w:tcPr>
            <w:tcW w:w="2660" w:type="dxa"/>
            <w:tcBorders>
              <w:top w:val="nil"/>
              <w:left w:val="nil"/>
              <w:bottom w:val="nil"/>
              <w:right w:val="nil"/>
            </w:tcBorders>
            <w:vAlign w:val="center"/>
            <w:hideMark/>
          </w:tcPr>
          <w:p w14:paraId="49AFE6F5" w14:textId="77777777" w:rsidR="00944613" w:rsidRPr="00855BAA" w:rsidRDefault="00944613" w:rsidP="00BB6153">
            <w:pPr>
              <w:jc w:val="right"/>
              <w:rPr>
                <w:rFonts w:ascii="Arial" w:hAnsi="Arial" w:cs="Arial"/>
                <w:color w:val="000000"/>
              </w:rPr>
            </w:pPr>
            <w:r w:rsidRPr="00855BAA">
              <w:rPr>
                <w:rFonts w:ascii="Arial" w:hAnsi="Arial" w:cs="Arial"/>
                <w:color w:val="000000"/>
              </w:rPr>
              <w:t>2,424</w:t>
            </w:r>
          </w:p>
        </w:tc>
      </w:tr>
      <w:tr w:rsidR="00944613" w:rsidRPr="00855BAA" w14:paraId="07E1197D" w14:textId="77777777" w:rsidTr="00BB6153">
        <w:trPr>
          <w:trHeight w:val="312"/>
        </w:trPr>
        <w:tc>
          <w:tcPr>
            <w:tcW w:w="1120" w:type="dxa"/>
            <w:tcBorders>
              <w:top w:val="nil"/>
              <w:left w:val="nil"/>
              <w:bottom w:val="nil"/>
              <w:right w:val="single" w:sz="4" w:space="0" w:color="auto"/>
            </w:tcBorders>
            <w:vAlign w:val="center"/>
            <w:hideMark/>
          </w:tcPr>
          <w:p w14:paraId="27644E11" w14:textId="77777777" w:rsidR="00944613" w:rsidRPr="00855BAA" w:rsidRDefault="00944613" w:rsidP="00BB6153">
            <w:pPr>
              <w:jc w:val="center"/>
              <w:rPr>
                <w:rFonts w:ascii="Arial" w:hAnsi="Arial" w:cs="Arial"/>
                <w:color w:val="000000"/>
              </w:rPr>
            </w:pPr>
            <w:r w:rsidRPr="00855BAA">
              <w:rPr>
                <w:rFonts w:ascii="Arial" w:hAnsi="Arial" w:cs="Arial"/>
                <w:color w:val="000000"/>
              </w:rPr>
              <w:t>2</w:t>
            </w:r>
          </w:p>
        </w:tc>
        <w:tc>
          <w:tcPr>
            <w:tcW w:w="2180" w:type="dxa"/>
            <w:tcBorders>
              <w:top w:val="nil"/>
              <w:left w:val="nil"/>
              <w:bottom w:val="nil"/>
              <w:right w:val="nil"/>
            </w:tcBorders>
            <w:vAlign w:val="center"/>
            <w:hideMark/>
          </w:tcPr>
          <w:p w14:paraId="4E13B6C5" w14:textId="77777777" w:rsidR="00944613" w:rsidRPr="00855BAA" w:rsidRDefault="00944613" w:rsidP="00BB6153">
            <w:pPr>
              <w:jc w:val="right"/>
              <w:rPr>
                <w:rFonts w:ascii="Arial" w:hAnsi="Arial" w:cs="Arial"/>
                <w:color w:val="000000"/>
              </w:rPr>
            </w:pPr>
            <w:r w:rsidRPr="00855BAA">
              <w:rPr>
                <w:rFonts w:ascii="Arial" w:hAnsi="Arial" w:cs="Arial"/>
                <w:color w:val="000000"/>
              </w:rPr>
              <w:t>12.11</w:t>
            </w:r>
          </w:p>
        </w:tc>
        <w:tc>
          <w:tcPr>
            <w:tcW w:w="1860" w:type="dxa"/>
            <w:tcBorders>
              <w:top w:val="nil"/>
              <w:left w:val="nil"/>
              <w:bottom w:val="nil"/>
              <w:right w:val="nil"/>
            </w:tcBorders>
            <w:vAlign w:val="center"/>
            <w:hideMark/>
          </w:tcPr>
          <w:p w14:paraId="6557802D" w14:textId="77777777" w:rsidR="00944613" w:rsidRPr="00855BAA" w:rsidRDefault="00944613" w:rsidP="00BB6153">
            <w:pPr>
              <w:jc w:val="right"/>
              <w:rPr>
                <w:rFonts w:ascii="Arial" w:hAnsi="Arial" w:cs="Arial"/>
                <w:color w:val="000000"/>
              </w:rPr>
            </w:pPr>
            <w:r w:rsidRPr="00855BAA">
              <w:rPr>
                <w:rFonts w:ascii="Arial" w:hAnsi="Arial" w:cs="Arial"/>
                <w:color w:val="000000"/>
              </w:rPr>
              <w:t>64</w:t>
            </w:r>
          </w:p>
        </w:tc>
        <w:tc>
          <w:tcPr>
            <w:tcW w:w="2660" w:type="dxa"/>
            <w:tcBorders>
              <w:top w:val="nil"/>
              <w:left w:val="nil"/>
              <w:bottom w:val="nil"/>
              <w:right w:val="nil"/>
            </w:tcBorders>
            <w:vAlign w:val="center"/>
            <w:hideMark/>
          </w:tcPr>
          <w:p w14:paraId="68DD2BAA" w14:textId="77777777" w:rsidR="00944613" w:rsidRPr="00855BAA" w:rsidRDefault="00944613" w:rsidP="00BB6153">
            <w:pPr>
              <w:jc w:val="right"/>
              <w:rPr>
                <w:rFonts w:ascii="Arial" w:hAnsi="Arial" w:cs="Arial"/>
                <w:color w:val="000000"/>
              </w:rPr>
            </w:pPr>
            <w:r w:rsidRPr="00855BAA">
              <w:rPr>
                <w:rFonts w:ascii="Arial" w:hAnsi="Arial" w:cs="Arial"/>
                <w:color w:val="000000"/>
              </w:rPr>
              <w:t>1,536</w:t>
            </w:r>
          </w:p>
        </w:tc>
      </w:tr>
      <w:tr w:rsidR="00944613" w:rsidRPr="00855BAA" w14:paraId="5F148D17" w14:textId="77777777" w:rsidTr="00BB6153">
        <w:trPr>
          <w:trHeight w:val="312"/>
        </w:trPr>
        <w:tc>
          <w:tcPr>
            <w:tcW w:w="1120" w:type="dxa"/>
            <w:tcBorders>
              <w:top w:val="nil"/>
              <w:left w:val="nil"/>
              <w:bottom w:val="nil"/>
              <w:right w:val="single" w:sz="4" w:space="0" w:color="auto"/>
            </w:tcBorders>
            <w:vAlign w:val="center"/>
            <w:hideMark/>
          </w:tcPr>
          <w:p w14:paraId="619B8622" w14:textId="77777777" w:rsidR="00944613" w:rsidRPr="00855BAA" w:rsidRDefault="00944613" w:rsidP="00BB6153">
            <w:pPr>
              <w:jc w:val="center"/>
              <w:rPr>
                <w:rFonts w:ascii="Arial" w:hAnsi="Arial" w:cs="Arial"/>
                <w:color w:val="000000"/>
              </w:rPr>
            </w:pPr>
            <w:r w:rsidRPr="00855BAA">
              <w:rPr>
                <w:rFonts w:ascii="Arial" w:hAnsi="Arial" w:cs="Arial"/>
                <w:color w:val="000000"/>
              </w:rPr>
              <w:t>3</w:t>
            </w:r>
          </w:p>
        </w:tc>
        <w:tc>
          <w:tcPr>
            <w:tcW w:w="2180" w:type="dxa"/>
            <w:tcBorders>
              <w:top w:val="nil"/>
              <w:left w:val="nil"/>
              <w:bottom w:val="nil"/>
              <w:right w:val="nil"/>
            </w:tcBorders>
            <w:vAlign w:val="center"/>
            <w:hideMark/>
          </w:tcPr>
          <w:p w14:paraId="2675A942" w14:textId="77777777" w:rsidR="00944613" w:rsidRPr="00855BAA" w:rsidRDefault="00944613" w:rsidP="00BB6153">
            <w:pPr>
              <w:jc w:val="right"/>
              <w:rPr>
                <w:rFonts w:ascii="Arial" w:hAnsi="Arial" w:cs="Arial"/>
                <w:color w:val="000000"/>
              </w:rPr>
            </w:pPr>
            <w:r w:rsidRPr="00855BAA">
              <w:rPr>
                <w:rFonts w:ascii="Arial" w:hAnsi="Arial" w:cs="Arial"/>
                <w:color w:val="000000"/>
              </w:rPr>
              <w:t>33.63</w:t>
            </w:r>
          </w:p>
        </w:tc>
        <w:tc>
          <w:tcPr>
            <w:tcW w:w="1860" w:type="dxa"/>
            <w:tcBorders>
              <w:top w:val="nil"/>
              <w:left w:val="nil"/>
              <w:bottom w:val="nil"/>
              <w:right w:val="nil"/>
            </w:tcBorders>
            <w:vAlign w:val="center"/>
            <w:hideMark/>
          </w:tcPr>
          <w:p w14:paraId="0AEB19D4" w14:textId="77777777" w:rsidR="00944613" w:rsidRPr="00855BAA" w:rsidRDefault="00944613" w:rsidP="00BB6153">
            <w:pPr>
              <w:jc w:val="right"/>
              <w:rPr>
                <w:rFonts w:ascii="Arial" w:hAnsi="Arial" w:cs="Arial"/>
                <w:color w:val="000000"/>
              </w:rPr>
            </w:pPr>
            <w:r w:rsidRPr="00855BAA">
              <w:rPr>
                <w:rFonts w:ascii="Arial" w:hAnsi="Arial" w:cs="Arial"/>
                <w:color w:val="000000"/>
              </w:rPr>
              <w:t>164.8</w:t>
            </w:r>
          </w:p>
        </w:tc>
        <w:tc>
          <w:tcPr>
            <w:tcW w:w="2660" w:type="dxa"/>
            <w:tcBorders>
              <w:top w:val="nil"/>
              <w:left w:val="nil"/>
              <w:bottom w:val="nil"/>
              <w:right w:val="nil"/>
            </w:tcBorders>
            <w:vAlign w:val="center"/>
            <w:hideMark/>
          </w:tcPr>
          <w:p w14:paraId="784A8D1D" w14:textId="77777777" w:rsidR="00944613" w:rsidRPr="00855BAA" w:rsidRDefault="00944613" w:rsidP="00BB6153">
            <w:pPr>
              <w:jc w:val="right"/>
              <w:rPr>
                <w:rFonts w:ascii="Arial" w:hAnsi="Arial" w:cs="Arial"/>
                <w:color w:val="000000"/>
              </w:rPr>
            </w:pPr>
            <w:r w:rsidRPr="00855BAA">
              <w:rPr>
                <w:rFonts w:ascii="Arial" w:hAnsi="Arial" w:cs="Arial"/>
                <w:color w:val="000000"/>
              </w:rPr>
              <w:t>3,955</w:t>
            </w:r>
          </w:p>
        </w:tc>
      </w:tr>
    </w:tbl>
    <w:p w14:paraId="3275996D" w14:textId="77777777" w:rsidR="00944613" w:rsidRPr="00855BAA" w:rsidRDefault="00944613" w:rsidP="00944613">
      <w:pPr>
        <w:rPr>
          <w:rFonts w:ascii="Arial" w:hAnsi="Arial" w:cs="Arial"/>
        </w:rPr>
      </w:pPr>
    </w:p>
    <w:p w14:paraId="648BBDEA" w14:textId="77777777" w:rsidR="00944613" w:rsidRPr="00855BAA" w:rsidRDefault="00944613" w:rsidP="00944613">
      <w:pPr>
        <w:rPr>
          <w:rFonts w:ascii="Arial" w:hAnsi="Arial" w:cs="Arial"/>
        </w:rPr>
      </w:pPr>
      <w:r w:rsidRPr="00855BAA">
        <w:rPr>
          <w:rFonts w:ascii="Arial" w:hAnsi="Arial" w:cs="Arial"/>
        </w:rPr>
        <w:t>Total estimated power: ≈ 578 MW</w:t>
      </w:r>
      <w:r w:rsidRPr="00855BAA">
        <w:rPr>
          <w:rFonts w:ascii="Arial" w:hAnsi="Arial" w:cs="Arial"/>
        </w:rPr>
        <w:br/>
        <w:t>Total daily energy: ≈ 13,872 MWh/day</w:t>
      </w:r>
    </w:p>
    <w:p w14:paraId="6FFE22BC" w14:textId="77777777" w:rsidR="00790ADA" w:rsidRPr="00FB3A86" w:rsidRDefault="00790ADA" w:rsidP="00441B6F">
      <w:pPr>
        <w:pStyle w:val="Body"/>
        <w:spacing w:after="0"/>
        <w:rPr>
          <w:rFonts w:ascii="Arial" w:hAnsi="Arial" w:cs="Arial"/>
        </w:rPr>
      </w:pPr>
    </w:p>
    <w:p w14:paraId="03877186" w14:textId="69D095AD" w:rsidR="00B01FCD" w:rsidRDefault="00000F8F" w:rsidP="00441B6F">
      <w:pPr>
        <w:pStyle w:val="ConcHead"/>
        <w:spacing w:after="0"/>
        <w:jc w:val="both"/>
        <w:rPr>
          <w:rFonts w:ascii="Arial" w:hAnsi="Arial" w:cs="Arial"/>
        </w:rPr>
      </w:pPr>
      <w:r>
        <w:rPr>
          <w:rFonts w:ascii="Arial" w:hAnsi="Arial" w:cs="Arial"/>
        </w:rPr>
        <w:t xml:space="preserve">4. </w:t>
      </w:r>
      <w:r w:rsidR="00AF68D3">
        <w:rPr>
          <w:rFonts w:ascii="Arial" w:hAnsi="Arial" w:cs="Arial"/>
        </w:rPr>
        <w:t>DISCUSSION</w:t>
      </w:r>
    </w:p>
    <w:p w14:paraId="36345C94" w14:textId="77777777" w:rsidR="00C606AC" w:rsidRPr="006F3BE8" w:rsidRDefault="00C606AC" w:rsidP="00C606AC">
      <w:pPr>
        <w:jc w:val="both"/>
        <w:rPr>
          <w:rFonts w:ascii="Arial" w:hAnsi="Arial" w:cs="Arial"/>
          <w:b/>
          <w:bCs/>
          <w:sz w:val="22"/>
          <w:szCs w:val="22"/>
        </w:rPr>
      </w:pPr>
      <w:r w:rsidRPr="006F3BE8">
        <w:rPr>
          <w:rFonts w:ascii="Arial" w:hAnsi="Arial" w:cs="Arial"/>
          <w:b/>
          <w:bCs/>
          <w:sz w:val="22"/>
          <w:szCs w:val="22"/>
        </w:rPr>
        <w:t>4.1 Implications of Cluster-Based Gas-to-Power for Energy Security</w:t>
      </w:r>
    </w:p>
    <w:p w14:paraId="11D07089" w14:textId="77777777" w:rsidR="00C606AC" w:rsidRPr="003C39C7" w:rsidRDefault="00C606AC" w:rsidP="00C606AC">
      <w:pPr>
        <w:jc w:val="both"/>
        <w:rPr>
          <w:rFonts w:ascii="Arial" w:hAnsi="Arial" w:cs="Arial"/>
        </w:rPr>
      </w:pPr>
      <w:r w:rsidRPr="003C39C7">
        <w:rPr>
          <w:rFonts w:ascii="Arial" w:hAnsi="Arial" w:cs="Arial"/>
        </w:rPr>
        <w:t>It is demonstrated from the results that optimally aggregated flare-gas clusters in the Niger Delta can realistically support approximately 578 MW of power capacity using empirically observed plant performance. This level of generation is considered significant because within the Nigerian power system, incremental additions of 100–200 MW have been shown to improve grid stability, and reserve margin in gas-dominated electricity systems (</w:t>
      </w:r>
      <w:proofErr w:type="spellStart"/>
      <w:r w:rsidRPr="003C39C7">
        <w:rPr>
          <w:rFonts w:ascii="Arial" w:hAnsi="Arial" w:cs="Arial"/>
        </w:rPr>
        <w:t>Aigbe</w:t>
      </w:r>
      <w:proofErr w:type="spellEnd"/>
      <w:r w:rsidRPr="003C39C7">
        <w:rPr>
          <w:rFonts w:ascii="Arial" w:hAnsi="Arial" w:cs="Arial"/>
        </w:rPr>
        <w:t xml:space="preserve"> et al., 2023; Wang et al., 2023).</w:t>
      </w:r>
    </w:p>
    <w:p w14:paraId="0479F849" w14:textId="77777777" w:rsidR="00C606AC" w:rsidRPr="003C39C7" w:rsidRDefault="00C606AC" w:rsidP="00C606AC">
      <w:pPr>
        <w:jc w:val="both"/>
        <w:rPr>
          <w:rFonts w:ascii="Arial" w:hAnsi="Arial" w:cs="Arial"/>
        </w:rPr>
      </w:pPr>
      <w:r w:rsidRPr="003C39C7">
        <w:rPr>
          <w:rFonts w:ascii="Arial" w:hAnsi="Arial" w:cs="Arial"/>
        </w:rPr>
        <w:t xml:space="preserve">A key insight from the analysis is the uneven contribution of clusters to total power potential. More than 70% of the estimated capacity is supplied by Clusters 0 and 3, reflecting the effectiveness of cluster-based aggregation in concentrating dispersed flare volumes into economically meaningful supply streams. Studies have demonstrated that spatial aggregation and hub-based gas-gathering strategies significantly improve infrastructure utilization and energy recovery from small, distributed gas sources (Ikotun et al., 2023; </w:t>
      </w:r>
      <w:proofErr w:type="spellStart"/>
      <w:r w:rsidRPr="003C39C7">
        <w:rPr>
          <w:rFonts w:ascii="Arial" w:hAnsi="Arial" w:cs="Arial"/>
        </w:rPr>
        <w:t>Fagbami</w:t>
      </w:r>
      <w:proofErr w:type="spellEnd"/>
      <w:r w:rsidRPr="003C39C7">
        <w:rPr>
          <w:rFonts w:ascii="Arial" w:hAnsi="Arial" w:cs="Arial"/>
        </w:rPr>
        <w:t xml:space="preserve"> et al., 2024). This confirms that spatial optimization, when combined with realistic gas conditioning and empirical power modelling, provides a credible pathway for translating flare-gas recovery into energy-security outcomes.</w:t>
      </w:r>
    </w:p>
    <w:p w14:paraId="5636CB0E" w14:textId="77777777" w:rsidR="00C606AC" w:rsidRPr="003C39C7" w:rsidRDefault="00C606AC" w:rsidP="00C606AC">
      <w:pPr>
        <w:jc w:val="both"/>
        <w:rPr>
          <w:rFonts w:ascii="Arial" w:hAnsi="Arial" w:cs="Arial"/>
        </w:rPr>
      </w:pPr>
      <w:r w:rsidRPr="003C39C7">
        <w:rPr>
          <w:rFonts w:ascii="Arial" w:hAnsi="Arial" w:cs="Arial"/>
        </w:rPr>
        <w:t>Unlike purely theoretical gas-to-power assessments, the present study incorporates real operational behavior through the Afam VI empirical model. Hence it incorporates part-load effects, and site-specific inefficiencies. Therefore, the estimated capacity reflects achievable power output rather than idealized conversion efficiency. Empirical modelling approaches improve the reliability of power-generation projections, particularly in developing-countries characterized by operational constraints (Molière, 2023; Wang et al., 2023). This enhances the usefulness of the results for infrastructure planning and energy-policy evaluation.</w:t>
      </w:r>
    </w:p>
    <w:p w14:paraId="0F18BD51" w14:textId="77777777" w:rsidR="00C606AC" w:rsidRPr="006F3BE8" w:rsidRDefault="00C606AC" w:rsidP="00C606AC">
      <w:pPr>
        <w:jc w:val="both"/>
        <w:rPr>
          <w:rFonts w:ascii="Arial" w:hAnsi="Arial" w:cs="Arial"/>
          <w:b/>
          <w:bCs/>
          <w:sz w:val="22"/>
          <w:szCs w:val="22"/>
        </w:rPr>
      </w:pPr>
      <w:r w:rsidRPr="006F3BE8">
        <w:rPr>
          <w:rFonts w:ascii="Arial" w:hAnsi="Arial" w:cs="Arial"/>
          <w:b/>
          <w:bCs/>
          <w:sz w:val="22"/>
          <w:szCs w:val="22"/>
        </w:rPr>
        <w:t>4.2 Energy Potential and Equivalent Population Coverage</w:t>
      </w:r>
    </w:p>
    <w:p w14:paraId="43238F1D" w14:textId="77777777" w:rsidR="00C606AC" w:rsidRPr="003C39C7" w:rsidRDefault="00C606AC" w:rsidP="00C606AC">
      <w:pPr>
        <w:jc w:val="both"/>
        <w:rPr>
          <w:rFonts w:ascii="Arial" w:hAnsi="Arial" w:cs="Arial"/>
        </w:rPr>
      </w:pPr>
      <w:r w:rsidRPr="003C39C7">
        <w:rPr>
          <w:rFonts w:ascii="Arial" w:hAnsi="Arial" w:cs="Arial"/>
        </w:rPr>
        <w:t>The combined power-generation potential of the four clusters was evaluated by converting the estimated cluster-level power outputs into annual electrical energy. The total recoverable electrical energy from the clustered flare-gas streams is approximately 13,872 MWh/day. Under continuous operation, the energy will correspond to about 5.06 TWh/year.</w:t>
      </w:r>
    </w:p>
    <w:p w14:paraId="46361856" w14:textId="1D3FE89B" w:rsidR="00C606AC" w:rsidRPr="003C39C7" w:rsidRDefault="00C606AC" w:rsidP="00C606AC">
      <w:pPr>
        <w:jc w:val="both"/>
        <w:rPr>
          <w:rFonts w:ascii="Arial" w:hAnsi="Arial" w:cs="Arial"/>
        </w:rPr>
      </w:pPr>
      <w:r w:rsidRPr="003C39C7">
        <w:rPr>
          <w:rFonts w:ascii="Arial" w:hAnsi="Arial" w:cs="Arial"/>
        </w:rPr>
        <w:t>The estimated energy output was benchmarked against Nigeria’s average per-capita electricity consumption. As shown in Figure 4, Nigeria’s per-capita electricity consumption has remained below 200 kWh/person/year over the period 2000–2022. The average value being 152.17 kWh/person/year (Statista, 2023). Using this benchmark, the annual recoverable energy (equation 4.1) from the aggregated flare-gas clusters could supply the electricity needs of approximately 33 million people.</w:t>
      </w:r>
    </w:p>
    <w:p w14:paraId="24507C0D" w14:textId="77777777" w:rsidR="00C606AC" w:rsidRPr="003C39C7" w:rsidRDefault="002E3384" w:rsidP="00C606AC">
      <w:pPr>
        <w:jc w:val="both"/>
        <w:rPr>
          <w:rFonts w:ascii="Arial" w:eastAsiaTheme="majorEastAsia" w:hAnsi="Arial" w:cs="Arial"/>
          <w:noProof/>
        </w:rPr>
      </w:pPr>
      <m:oMathPara>
        <m:oMath>
          <m:f>
            <m:fPr>
              <m:ctrlPr>
                <w:rPr>
                  <w:rFonts w:ascii="Cambria Math" w:hAnsi="Cambria Math"/>
                </w:rPr>
              </m:ctrlPr>
            </m:fPr>
            <m:num>
              <m:r>
                <w:rPr>
                  <w:rFonts w:ascii="Cambria Math" w:hAnsi="Cambria Math"/>
                </w:rPr>
                <m:t>5.06×</m:t>
              </m:r>
              <m:sSup>
                <m:sSupPr>
                  <m:ctrlPr>
                    <w:rPr>
                      <w:rFonts w:ascii="Cambria Math" w:hAnsi="Cambria Math"/>
                    </w:rPr>
                  </m:ctrlPr>
                </m:sSupPr>
                <m:e>
                  <m:r>
                    <w:rPr>
                      <w:rFonts w:ascii="Cambria Math" w:hAnsi="Cambria Math"/>
                    </w:rPr>
                    <m:t>10</m:t>
                  </m:r>
                </m:e>
                <m:sup>
                  <m:r>
                    <w:rPr>
                      <w:rFonts w:ascii="Cambria Math" w:hAnsi="Cambria Math"/>
                    </w:rPr>
                    <m:t>9</m:t>
                  </m:r>
                </m:sup>
              </m:sSup>
              <m:r>
                <m:rPr>
                  <m:nor/>
                </m:rPr>
                <w:rPr>
                  <w:rFonts w:ascii="Arial" w:hAnsi="Arial" w:cs="Arial"/>
                </w:rPr>
                <m:t xml:space="preserve"> kWh/year</m:t>
              </m:r>
            </m:num>
            <m:den>
              <m:r>
                <w:rPr>
                  <w:rFonts w:ascii="Cambria Math" w:hAnsi="Cambria Math"/>
                </w:rPr>
                <m:t>152.17</m:t>
              </m:r>
              <m:r>
                <m:rPr>
                  <m:nor/>
                </m:rPr>
                <w:rPr>
                  <w:rFonts w:ascii="Arial" w:hAnsi="Arial" w:cs="Arial"/>
                </w:rPr>
                <m:t xml:space="preserve"> kWh/person/year</m:t>
              </m:r>
            </m:den>
          </m:f>
          <m:r>
            <w:rPr>
              <w:rFonts w:ascii="Cambria Math" w:hAnsi="Cambria Math"/>
            </w:rPr>
            <m:t>≈33.3</m:t>
          </m:r>
          <m:r>
            <m:rPr>
              <m:nor/>
            </m:rPr>
            <w:rPr>
              <w:rFonts w:ascii="Arial" w:hAnsi="Arial" w:cs="Arial"/>
            </w:rPr>
            <m:t xml:space="preserve"> million people                  (4.1)</m:t>
          </m:r>
          <m:r>
            <m:rPr>
              <m:sty m:val="p"/>
            </m:rPr>
            <w:rPr>
              <w:rFonts w:ascii="Cambria Math" w:hAnsi="Cambria Math" w:cs="Arial"/>
            </w:rPr>
            <w:br/>
          </m:r>
        </m:oMath>
      </m:oMathPara>
      <w:r w:rsidR="00C606AC" w:rsidRPr="003C39C7">
        <w:rPr>
          <w:rFonts w:ascii="Arial" w:eastAsiaTheme="majorEastAsia" w:hAnsi="Arial" w:cs="Arial"/>
          <w:noProof/>
          <w:szCs w:val="32"/>
        </w:rPr>
        <w:drawing>
          <wp:inline distT="0" distB="0" distL="0" distR="0" wp14:anchorId="16400FDF" wp14:editId="32AD9529">
            <wp:extent cx="5731487" cy="4037965"/>
            <wp:effectExtent l="0" t="0" r="3175" b="635"/>
            <wp:docPr id="7274438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926"/>
                    <a:stretch>
                      <a:fillRect/>
                    </a:stretch>
                  </pic:blipFill>
                  <pic:spPr bwMode="auto">
                    <a:xfrm>
                      <a:off x="0" y="0"/>
                      <a:ext cx="5731510" cy="4037981"/>
                    </a:xfrm>
                    <a:prstGeom prst="rect">
                      <a:avLst/>
                    </a:prstGeom>
                    <a:noFill/>
                    <a:ln>
                      <a:noFill/>
                    </a:ln>
                    <a:extLst>
                      <a:ext uri="{53640926-AAD7-44D8-BBD7-CCE9431645EC}">
                        <a14:shadowObscured xmlns:a14="http://schemas.microsoft.com/office/drawing/2010/main"/>
                      </a:ext>
                    </a:extLst>
                  </pic:spPr>
                </pic:pic>
              </a:graphicData>
            </a:graphic>
          </wp:inline>
        </w:drawing>
      </w:r>
    </w:p>
    <w:p w14:paraId="3EB3CC46" w14:textId="16DA644F" w:rsidR="00C606AC" w:rsidRPr="00200A0B" w:rsidRDefault="00C606AC" w:rsidP="00C606AC">
      <w:pPr>
        <w:jc w:val="both"/>
        <w:rPr>
          <w:rFonts w:ascii="Arial" w:hAnsi="Arial" w:cs="Arial"/>
          <w:i/>
          <w:iCs/>
        </w:rPr>
      </w:pPr>
      <w:r w:rsidRPr="00200A0B">
        <w:rPr>
          <w:rFonts w:ascii="Arial" w:eastAsiaTheme="majorEastAsia" w:hAnsi="Arial" w:cs="Arial"/>
          <w:i/>
          <w:iCs/>
          <w:noProof/>
        </w:rPr>
        <w:t xml:space="preserve">Figure </w:t>
      </w:r>
      <w:r w:rsidR="009F1524">
        <w:rPr>
          <w:rFonts w:ascii="Arial" w:eastAsiaTheme="majorEastAsia" w:hAnsi="Arial" w:cs="Arial"/>
          <w:i/>
          <w:iCs/>
          <w:noProof/>
        </w:rPr>
        <w:t>5</w:t>
      </w:r>
      <w:r w:rsidRPr="00200A0B">
        <w:rPr>
          <w:rFonts w:ascii="Arial" w:eastAsiaTheme="majorEastAsia" w:hAnsi="Arial" w:cs="Arial"/>
          <w:i/>
          <w:iCs/>
          <w:noProof/>
        </w:rPr>
        <w:t xml:space="preserve">: </w:t>
      </w:r>
      <w:r w:rsidRPr="00200A0B">
        <w:rPr>
          <w:rFonts w:ascii="Arial" w:hAnsi="Arial" w:cs="Arial"/>
          <w:i/>
          <w:iCs/>
        </w:rPr>
        <w:t>Nigeria’s electricity Demand per capita (2000–2022) (Source: Statista, 2023).</w:t>
      </w:r>
    </w:p>
    <w:p w14:paraId="1904FAAA" w14:textId="77777777" w:rsidR="00200A0B" w:rsidRPr="003C39C7" w:rsidRDefault="00200A0B" w:rsidP="00C606AC">
      <w:pPr>
        <w:jc w:val="both"/>
        <w:rPr>
          <w:rFonts w:ascii="Arial" w:eastAsiaTheme="majorEastAsia" w:hAnsi="Arial" w:cs="Arial"/>
          <w:noProof/>
        </w:rPr>
      </w:pPr>
    </w:p>
    <w:p w14:paraId="12B07332" w14:textId="77777777" w:rsidR="00C606AC" w:rsidRPr="003C39C7" w:rsidRDefault="00C606AC" w:rsidP="00C606AC">
      <w:pPr>
        <w:jc w:val="both"/>
        <w:rPr>
          <w:rFonts w:ascii="Arial" w:hAnsi="Arial" w:cs="Arial"/>
        </w:rPr>
      </w:pPr>
      <w:r w:rsidRPr="003C39C7">
        <w:rPr>
          <w:rFonts w:ascii="Arial" w:hAnsi="Arial" w:cs="Arial"/>
        </w:rPr>
        <w:t>This equivalent population coverage represents approximately 15% of Nigeria’s estimated population, based on current national demographic data. While this energy alone cannot resolve Nigeria’s power deficit, it can meaningfully reduce supply gaps, particularly when deployed as distributed or regionally embedded generation close to flare sites.</w:t>
      </w:r>
    </w:p>
    <w:p w14:paraId="7E1AD274" w14:textId="77777777" w:rsidR="00790ADA" w:rsidRPr="00FB3A86" w:rsidRDefault="00790ADA" w:rsidP="00441B6F">
      <w:pPr>
        <w:pStyle w:val="ConcHead"/>
        <w:spacing w:after="0"/>
        <w:jc w:val="both"/>
        <w:rPr>
          <w:rFonts w:ascii="Arial" w:hAnsi="Arial" w:cs="Arial"/>
        </w:rPr>
      </w:pPr>
    </w:p>
    <w:p w14:paraId="6297E765" w14:textId="2A899523" w:rsidR="00AF68D3" w:rsidRDefault="00200A0B" w:rsidP="00AF68D3">
      <w:pPr>
        <w:pStyle w:val="ConcHead"/>
        <w:spacing w:after="0"/>
        <w:jc w:val="both"/>
        <w:rPr>
          <w:rFonts w:ascii="Arial" w:hAnsi="Arial" w:cs="Arial"/>
        </w:rPr>
      </w:pPr>
      <w:r>
        <w:rPr>
          <w:rFonts w:ascii="Arial" w:hAnsi="Arial" w:cs="Arial"/>
        </w:rPr>
        <w:t>5</w:t>
      </w:r>
      <w:r w:rsidR="00AF68D3">
        <w:rPr>
          <w:rFonts w:ascii="Arial" w:hAnsi="Arial" w:cs="Arial"/>
        </w:rPr>
        <w:t xml:space="preserve">. </w:t>
      </w:r>
      <w:r w:rsidR="00AF68D3" w:rsidRPr="00FB3A86">
        <w:rPr>
          <w:rFonts w:ascii="Arial" w:hAnsi="Arial" w:cs="Arial"/>
        </w:rPr>
        <w:t>Conclusion</w:t>
      </w:r>
    </w:p>
    <w:p w14:paraId="657ECF66" w14:textId="77777777" w:rsidR="00E67416" w:rsidRPr="00E67416" w:rsidRDefault="00E67416" w:rsidP="00E67416">
      <w:pPr>
        <w:jc w:val="both"/>
        <w:rPr>
          <w:rFonts w:ascii="Arial" w:hAnsi="Arial" w:cs="Arial"/>
        </w:rPr>
      </w:pPr>
      <w:r w:rsidRPr="00E67416">
        <w:rPr>
          <w:rFonts w:ascii="Arial" w:hAnsi="Arial" w:cs="Arial"/>
        </w:rPr>
        <w:t>This study quantified the power-generation potential of aggregated flare gas in the Niger Delta. It combined geospatial clustering, gas-conditioning process simulation, and empirical gas-to-power modelling. The analysis built on a previously optimized clustering framework for twenty-four onshore flare sites and extended it to address gas quality and achievable power output.</w:t>
      </w:r>
    </w:p>
    <w:p w14:paraId="4CE76A93" w14:textId="77777777" w:rsidR="00E67416" w:rsidRPr="00E67416" w:rsidRDefault="00E67416" w:rsidP="00E67416">
      <w:pPr>
        <w:jc w:val="both"/>
        <w:rPr>
          <w:rFonts w:ascii="Arial" w:hAnsi="Arial" w:cs="Arial"/>
        </w:rPr>
      </w:pPr>
      <w:r w:rsidRPr="00E67416">
        <w:rPr>
          <w:rFonts w:ascii="Arial" w:hAnsi="Arial" w:cs="Arial"/>
        </w:rPr>
        <w:t>The flare gas from all four clusters were simulated into methane-rich lean gas. The narrow range of lean-gas molecular weights and lower heating values across clusters demonstrated that fuel quality variability was minimal after conditioning, thereby justifying the application of a unified empirical gas-to-power relationship.</w:t>
      </w:r>
    </w:p>
    <w:p w14:paraId="64F0602B" w14:textId="77777777" w:rsidR="00E67416" w:rsidRPr="00E67416" w:rsidRDefault="00E67416" w:rsidP="00E67416">
      <w:pPr>
        <w:jc w:val="both"/>
        <w:rPr>
          <w:rFonts w:ascii="Arial" w:hAnsi="Arial" w:cs="Arial"/>
        </w:rPr>
      </w:pPr>
      <w:r w:rsidRPr="00E67416">
        <w:rPr>
          <w:rFonts w:ascii="Arial" w:hAnsi="Arial" w:cs="Arial"/>
        </w:rPr>
        <w:t>Using operational data from the Afam VI combined-cycle gas-turbine plant, the empirical model estimated a total recoverable capacity of about 578 MW. This corresponds to approximately 13,872 MWh per day, or 5.06 TWh per year. The majority of the recoverable power potential is concentrated within two clusters, which shows the effectiveness of cluster-based aggregation in converting spatially dispersed flare volumes into economically meaningful power supply.</w:t>
      </w:r>
    </w:p>
    <w:p w14:paraId="74A6387F" w14:textId="77777777" w:rsidR="00E67416" w:rsidRPr="00E67416" w:rsidRDefault="00E67416" w:rsidP="00E67416">
      <w:pPr>
        <w:jc w:val="both"/>
        <w:rPr>
          <w:rFonts w:ascii="Arial" w:hAnsi="Arial" w:cs="Arial"/>
        </w:rPr>
      </w:pPr>
      <w:r w:rsidRPr="00E67416">
        <w:rPr>
          <w:rFonts w:ascii="Arial" w:hAnsi="Arial" w:cs="Arial"/>
        </w:rPr>
        <w:t>When benchmarked against Nigeria’s per-capita electricity consumption, the recovered energy could supply electricity to about 33 million people. This represents roughly 15% of the national population. While this contribution alone cannot eliminate Nigeria’s power deficit, it can meaningfully reduce supply gaps.</w:t>
      </w:r>
    </w:p>
    <w:p w14:paraId="27D2490A" w14:textId="77777777" w:rsidR="00E67416" w:rsidRPr="00E67416" w:rsidRDefault="00E67416" w:rsidP="00E67416">
      <w:pPr>
        <w:jc w:val="both"/>
        <w:rPr>
          <w:rFonts w:ascii="Arial" w:hAnsi="Arial" w:cs="Arial"/>
        </w:rPr>
      </w:pPr>
      <w:r w:rsidRPr="00E67416">
        <w:rPr>
          <w:rFonts w:ascii="Arial" w:hAnsi="Arial" w:cs="Arial"/>
        </w:rPr>
        <w:t>Overall, the results show that cluster-based flare-gas utilization is technically feasible and policy relevant. The framework therefore provides practical guidance for translating flare-reduction efforts into reliable electricity supply.</w:t>
      </w:r>
    </w:p>
    <w:p w14:paraId="4948C37F" w14:textId="77777777" w:rsidR="00E67416" w:rsidRDefault="00E67416" w:rsidP="00E67416">
      <w:pPr>
        <w:jc w:val="both"/>
        <w:rPr>
          <w:rFonts w:ascii="Arial" w:hAnsi="Arial" w:cs="Arial"/>
        </w:rPr>
      </w:pPr>
      <w:r w:rsidRPr="00E67416">
        <w:rPr>
          <w:rFonts w:ascii="Arial" w:hAnsi="Arial" w:cs="Arial"/>
        </w:rPr>
        <w:t>Future work can extend this approach by including transmission constraints and economic optimization. These additions would further support investment planning and phased implementation across the Niger Delta.</w:t>
      </w:r>
    </w:p>
    <w:p w14:paraId="6ABD3829" w14:textId="77777777" w:rsidR="00087FDD" w:rsidRPr="00E67416" w:rsidRDefault="00087FDD" w:rsidP="00E67416">
      <w:pPr>
        <w:jc w:val="both"/>
        <w:rPr>
          <w:rFonts w:ascii="Arial" w:hAnsi="Arial" w:cs="Arial"/>
        </w:rPr>
      </w:pPr>
    </w:p>
    <w:p w14:paraId="4F18AC1C" w14:textId="77777777" w:rsidR="00087FDD" w:rsidRPr="00087FDD" w:rsidRDefault="00087FDD" w:rsidP="00087FDD">
      <w:pPr>
        <w:jc w:val="both"/>
        <w:rPr>
          <w:rFonts w:ascii="Arial" w:hAnsi="Arial" w:cs="Arial"/>
          <w:b/>
          <w:bCs/>
          <w:color w:val="000000" w:themeColor="text1"/>
          <w:sz w:val="22"/>
          <w:szCs w:val="22"/>
        </w:rPr>
      </w:pPr>
      <w:r w:rsidRPr="00087FDD">
        <w:rPr>
          <w:rFonts w:ascii="Arial" w:hAnsi="Arial" w:cs="Arial"/>
          <w:b/>
          <w:bCs/>
          <w:color w:val="000000" w:themeColor="text1"/>
          <w:sz w:val="22"/>
          <w:szCs w:val="22"/>
        </w:rPr>
        <w:t>DATA AVAILABILITY STATEMENT</w:t>
      </w:r>
    </w:p>
    <w:p w14:paraId="008F8744" w14:textId="77777777" w:rsidR="00087FDD" w:rsidRPr="00855BAA" w:rsidRDefault="00087FDD" w:rsidP="00087FDD">
      <w:pPr>
        <w:jc w:val="both"/>
        <w:rPr>
          <w:rFonts w:ascii="Arial" w:hAnsi="Arial" w:cs="Arial"/>
          <w:b/>
          <w:bCs/>
          <w:color w:val="000000" w:themeColor="text1"/>
        </w:rPr>
      </w:pPr>
    </w:p>
    <w:p w14:paraId="1D44EE0F" w14:textId="77777777" w:rsidR="00087FDD" w:rsidRPr="00855BAA" w:rsidRDefault="00087FDD" w:rsidP="00087FDD">
      <w:pPr>
        <w:jc w:val="both"/>
        <w:rPr>
          <w:rFonts w:ascii="Arial" w:hAnsi="Arial" w:cs="Arial"/>
          <w:color w:val="000000" w:themeColor="text1"/>
        </w:rPr>
      </w:pPr>
      <w:r w:rsidRPr="00855BAA">
        <w:rPr>
          <w:rFonts w:ascii="Arial" w:hAnsi="Arial" w:cs="Arial"/>
          <w:color w:val="000000" w:themeColor="text1"/>
        </w:rPr>
        <w:t>The data used in this study include flare-gas composition data and power-plant operational records obtained through technical and operational access arrangements. Due to confidentiality and data-use restrictions, these datasets are not publicly available. Aggregated and processed data supporting the findings of this study are included within the article. Additional information may be made available from the corresponding author upon reasonable request</w:t>
      </w:r>
      <w:r>
        <w:rPr>
          <w:rFonts w:ascii="Arial" w:hAnsi="Arial" w:cs="Arial"/>
          <w:color w:val="000000" w:themeColor="text1"/>
        </w:rPr>
        <w:t>.</w:t>
      </w:r>
    </w:p>
    <w:p w14:paraId="1BA77943" w14:textId="77777777" w:rsidR="00AF68D3" w:rsidRDefault="00AF68D3" w:rsidP="00441B6F">
      <w:pPr>
        <w:pStyle w:val="Body"/>
        <w:spacing w:after="0"/>
        <w:rPr>
          <w:rFonts w:ascii="Arial" w:hAnsi="Arial" w:cs="Arial"/>
        </w:rPr>
      </w:pPr>
    </w:p>
    <w:p w14:paraId="69BCD996" w14:textId="77777777" w:rsidR="00087FDD" w:rsidRPr="00FB3A86" w:rsidRDefault="00087FDD" w:rsidP="00441B6F">
      <w:pPr>
        <w:pStyle w:val="Body"/>
        <w:spacing w:after="0"/>
        <w:rPr>
          <w:rFonts w:ascii="Arial" w:hAnsi="Arial" w:cs="Arial"/>
        </w:rPr>
      </w:pPr>
    </w:p>
    <w:p w14:paraId="05931E30" w14:textId="77777777" w:rsidR="006F7842" w:rsidRPr="006F7842" w:rsidRDefault="006F7842" w:rsidP="006F7842">
      <w:pPr>
        <w:jc w:val="both"/>
        <w:rPr>
          <w:rFonts w:ascii="Arial" w:hAnsi="Arial" w:cs="Arial"/>
        </w:rPr>
      </w:pPr>
      <w:r w:rsidRPr="006F7842">
        <w:rPr>
          <w:rFonts w:ascii="Arial" w:hAnsi="Arial" w:cs="Arial"/>
        </w:rPr>
        <w:t>COMPETING INTERESTS DISCLAIMER:</w:t>
      </w:r>
    </w:p>
    <w:p w14:paraId="6BB43808" w14:textId="77F9DC25" w:rsidR="006F7842" w:rsidRDefault="006F7842" w:rsidP="006F7842">
      <w:pPr>
        <w:jc w:val="both"/>
        <w:rPr>
          <w:rFonts w:ascii="Arial" w:hAnsi="Arial" w:cs="Arial"/>
        </w:rPr>
      </w:pPr>
      <w:r w:rsidRPr="006F7842">
        <w:rPr>
          <w:rFonts w:ascii="Arial" w:hAnsi="Arial" w:cs="Arial"/>
        </w:rPr>
        <w:t>Authors have declared that they have no known competing financial interests OR non-financial interests OR personal relationships that could have appeared to influence the work reported in this paper.</w:t>
      </w:r>
    </w:p>
    <w:p w14:paraId="386BA5BE" w14:textId="77777777" w:rsidR="006F7842" w:rsidRPr="00855BAA" w:rsidRDefault="006F7842" w:rsidP="008372D6">
      <w:pPr>
        <w:jc w:val="both"/>
        <w:rPr>
          <w:rFonts w:ascii="Arial" w:hAnsi="Arial" w:cs="Arial"/>
        </w:rPr>
      </w:pPr>
    </w:p>
    <w:p w14:paraId="52D697DC" w14:textId="77777777" w:rsidR="00860000" w:rsidRDefault="00860000" w:rsidP="00441B6F">
      <w:pPr>
        <w:pStyle w:val="ReferHead"/>
        <w:spacing w:after="0"/>
        <w:jc w:val="both"/>
        <w:rPr>
          <w:rFonts w:ascii="Arial" w:hAnsi="Arial" w:cs="Arial"/>
        </w:rPr>
      </w:pPr>
    </w:p>
    <w:p w14:paraId="0D8CAFC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93F8156" w14:textId="77777777" w:rsidR="00790ADA" w:rsidRPr="00FB3A86" w:rsidRDefault="00790ADA" w:rsidP="00441B6F">
      <w:pPr>
        <w:pStyle w:val="ReferHead"/>
        <w:spacing w:after="0"/>
        <w:jc w:val="both"/>
        <w:rPr>
          <w:rFonts w:ascii="Arial" w:hAnsi="Arial" w:cs="Arial"/>
        </w:rPr>
      </w:pPr>
    </w:p>
    <w:p w14:paraId="38609BDA" w14:textId="093A6809" w:rsidR="008A2EDF" w:rsidRPr="00151871" w:rsidRDefault="008A2EDF" w:rsidP="00151871">
      <w:pPr>
        <w:pStyle w:val="ListParagraph"/>
        <w:numPr>
          <w:ilvl w:val="0"/>
          <w:numId w:val="36"/>
        </w:numPr>
        <w:rPr>
          <w:rFonts w:ascii="Arial" w:hAnsi="Arial" w:cs="Arial"/>
          <w:sz w:val="22"/>
          <w:szCs w:val="22"/>
        </w:rPr>
      </w:pPr>
      <w:r w:rsidRPr="00151871">
        <w:rPr>
          <w:rFonts w:ascii="Arial" w:hAnsi="Arial" w:cs="Arial"/>
          <w:sz w:val="22"/>
          <w:szCs w:val="22"/>
        </w:rPr>
        <w:t xml:space="preserve">THISDAY Live. (2025, April 12). NUPRC: Nigeria’s oil reserves hit 37.28 billion barrels, gas 210.54 TCF in 2025. </w:t>
      </w:r>
      <w:hyperlink r:id="rId19" w:history="1">
        <w:r w:rsidR="00151871" w:rsidRPr="00151871">
          <w:rPr>
            <w:rStyle w:val="Hyperlink"/>
            <w:rFonts w:ascii="Arial" w:hAnsi="Arial" w:cs="Arial"/>
            <w:sz w:val="22"/>
            <w:szCs w:val="22"/>
          </w:rPr>
          <w:t>https://www.thisdaylive.com/2025/04/12/nuprc-nigerias-oil-reserves-hit-37-28-billion-barrels-gas-210-54-tcf-in-2025/</w:t>
        </w:r>
      </w:hyperlink>
    </w:p>
    <w:p w14:paraId="6D47DBAD" w14:textId="42BB27B8" w:rsidR="008A2EDF" w:rsidRPr="00151871" w:rsidRDefault="008A2EDF" w:rsidP="00151871">
      <w:pPr>
        <w:pStyle w:val="ListParagraph"/>
        <w:numPr>
          <w:ilvl w:val="0"/>
          <w:numId w:val="36"/>
        </w:numPr>
        <w:rPr>
          <w:rFonts w:ascii="Arial" w:hAnsi="Arial" w:cs="Arial"/>
          <w:sz w:val="22"/>
          <w:szCs w:val="22"/>
        </w:rPr>
      </w:pPr>
      <w:proofErr w:type="spellStart"/>
      <w:r w:rsidRPr="00151871">
        <w:rPr>
          <w:rFonts w:ascii="Arial" w:hAnsi="Arial" w:cs="Arial"/>
          <w:sz w:val="22"/>
          <w:szCs w:val="22"/>
        </w:rPr>
        <w:t>Olujobi</w:t>
      </w:r>
      <w:proofErr w:type="spellEnd"/>
      <w:r w:rsidRPr="00151871">
        <w:rPr>
          <w:rFonts w:ascii="Arial" w:hAnsi="Arial" w:cs="Arial"/>
          <w:sz w:val="22"/>
          <w:szCs w:val="22"/>
        </w:rPr>
        <w:t xml:space="preserve">, O. J., &amp; Ape, N. T. (2025). Reforming legal frameworks for combating gas flaring in Nigeria: A comparative legal analysis and sustainable solutions. Resources Policy, 109, 105721. </w:t>
      </w:r>
      <w:hyperlink r:id="rId20" w:history="1">
        <w:r w:rsidR="00151871" w:rsidRPr="00897436">
          <w:rPr>
            <w:rStyle w:val="Hyperlink"/>
            <w:rFonts w:ascii="Arial" w:hAnsi="Arial" w:cs="Arial"/>
            <w:sz w:val="22"/>
            <w:szCs w:val="22"/>
          </w:rPr>
          <w:t>https://doi.org/10.1016/j.resourpol.2025.105721</w:t>
        </w:r>
      </w:hyperlink>
    </w:p>
    <w:p w14:paraId="78C361BF" w14:textId="3AF1A6A8" w:rsidR="008A2EDF" w:rsidRPr="00151871" w:rsidRDefault="008A2EDF" w:rsidP="00151871">
      <w:pPr>
        <w:pStyle w:val="ListParagraph"/>
        <w:numPr>
          <w:ilvl w:val="0"/>
          <w:numId w:val="36"/>
        </w:numPr>
        <w:rPr>
          <w:rFonts w:ascii="Arial" w:hAnsi="Arial" w:cs="Arial"/>
          <w:sz w:val="22"/>
          <w:szCs w:val="22"/>
        </w:rPr>
      </w:pPr>
      <w:r w:rsidRPr="00151871">
        <w:rPr>
          <w:rFonts w:ascii="Arial" w:hAnsi="Arial" w:cs="Arial"/>
          <w:sz w:val="22"/>
          <w:szCs w:val="22"/>
        </w:rPr>
        <w:t xml:space="preserve">Okoro, E. E., Adeleye, B. N., Okoye, L. U., &amp; Maxwell, O. (2021). Gas flaring, ineffective utilization of energy resource and associated economic impact in Nigeria: Evidence from ARDL and Bayer-Hanck cointegration techniques. Energy Policy, 153, 112260. </w:t>
      </w:r>
      <w:hyperlink r:id="rId21" w:history="1">
        <w:r w:rsidR="00151871" w:rsidRPr="00897436">
          <w:rPr>
            <w:rStyle w:val="Hyperlink"/>
            <w:rFonts w:ascii="Arial" w:hAnsi="Arial" w:cs="Arial"/>
            <w:sz w:val="22"/>
            <w:szCs w:val="22"/>
          </w:rPr>
          <w:t>https://doi.org/10.1016/j.enpol.2021.112260</w:t>
        </w:r>
      </w:hyperlink>
    </w:p>
    <w:p w14:paraId="7A89DDC9" w14:textId="218BEF99" w:rsidR="008A2EDF" w:rsidRPr="00151871" w:rsidRDefault="008A2EDF" w:rsidP="00151871">
      <w:pPr>
        <w:pStyle w:val="ListParagraph"/>
        <w:numPr>
          <w:ilvl w:val="0"/>
          <w:numId w:val="36"/>
        </w:numPr>
        <w:rPr>
          <w:rFonts w:ascii="Arial" w:hAnsi="Arial" w:cs="Arial"/>
          <w:sz w:val="22"/>
          <w:szCs w:val="22"/>
        </w:rPr>
      </w:pPr>
      <w:proofErr w:type="spellStart"/>
      <w:r w:rsidRPr="00151871">
        <w:rPr>
          <w:rFonts w:ascii="Arial" w:hAnsi="Arial" w:cs="Arial"/>
          <w:sz w:val="22"/>
          <w:szCs w:val="22"/>
        </w:rPr>
        <w:t>Awulu</w:t>
      </w:r>
      <w:proofErr w:type="spellEnd"/>
      <w:r w:rsidRPr="00151871">
        <w:rPr>
          <w:rFonts w:ascii="Arial" w:hAnsi="Arial" w:cs="Arial"/>
          <w:sz w:val="22"/>
          <w:szCs w:val="22"/>
        </w:rPr>
        <w:t xml:space="preserve">, E. (2021). Gas flaring in Nigeria: A crisis for the environment. Academia Letters, Article 3799, 1–6. </w:t>
      </w:r>
      <w:hyperlink r:id="rId22" w:history="1">
        <w:r w:rsidR="00151871" w:rsidRPr="00897436">
          <w:rPr>
            <w:rStyle w:val="Hyperlink"/>
            <w:rFonts w:ascii="Arial" w:hAnsi="Arial" w:cs="Arial"/>
            <w:sz w:val="22"/>
            <w:szCs w:val="22"/>
          </w:rPr>
          <w:t>https://doi.org/10.20935/AL3799</w:t>
        </w:r>
      </w:hyperlink>
    </w:p>
    <w:p w14:paraId="160E5C89" w14:textId="1854F98B" w:rsidR="008A2EDF" w:rsidRPr="00151871" w:rsidRDefault="008A2EDF" w:rsidP="00151871">
      <w:pPr>
        <w:pStyle w:val="ListParagraph"/>
        <w:numPr>
          <w:ilvl w:val="0"/>
          <w:numId w:val="36"/>
        </w:numPr>
        <w:rPr>
          <w:rFonts w:ascii="Arial" w:hAnsi="Arial" w:cs="Arial"/>
          <w:sz w:val="22"/>
          <w:szCs w:val="22"/>
        </w:rPr>
      </w:pPr>
      <w:r w:rsidRPr="00151871">
        <w:rPr>
          <w:rFonts w:ascii="Arial" w:hAnsi="Arial" w:cs="Arial"/>
          <w:sz w:val="22"/>
          <w:szCs w:val="22"/>
        </w:rPr>
        <w:t xml:space="preserve">World Bank. (2024). Global gas flaring tracker report 2024. World Bank Global Gas Flaring Reduction Partnership. </w:t>
      </w:r>
      <w:hyperlink r:id="rId23" w:history="1">
        <w:r w:rsidR="00151871" w:rsidRPr="00897436">
          <w:rPr>
            <w:rStyle w:val="Hyperlink"/>
            <w:rFonts w:ascii="Arial" w:hAnsi="Arial" w:cs="Arial"/>
            <w:sz w:val="22"/>
            <w:szCs w:val="22"/>
          </w:rPr>
          <w:t>https://www.worldbank.org/en/programs/gasflaringreduction</w:t>
        </w:r>
      </w:hyperlink>
    </w:p>
    <w:p w14:paraId="4000B8A1" w14:textId="0580F226" w:rsidR="008A2EDF" w:rsidRPr="00151871" w:rsidRDefault="008A2EDF" w:rsidP="00151871">
      <w:pPr>
        <w:pStyle w:val="ListParagraph"/>
        <w:numPr>
          <w:ilvl w:val="0"/>
          <w:numId w:val="36"/>
        </w:numPr>
        <w:rPr>
          <w:rFonts w:ascii="Arial" w:hAnsi="Arial" w:cs="Arial"/>
          <w:sz w:val="22"/>
          <w:szCs w:val="22"/>
        </w:rPr>
      </w:pPr>
      <w:proofErr w:type="spellStart"/>
      <w:r w:rsidRPr="00151871">
        <w:rPr>
          <w:rFonts w:ascii="Arial" w:hAnsi="Arial" w:cs="Arial"/>
          <w:sz w:val="22"/>
          <w:szCs w:val="22"/>
        </w:rPr>
        <w:t>Aigbe</w:t>
      </w:r>
      <w:proofErr w:type="spellEnd"/>
      <w:r w:rsidRPr="00151871">
        <w:rPr>
          <w:rFonts w:ascii="Arial" w:hAnsi="Arial" w:cs="Arial"/>
          <w:sz w:val="22"/>
          <w:szCs w:val="22"/>
        </w:rPr>
        <w:t xml:space="preserve">, G. O., Stringer, L. C., &amp; Cotton, M. (2023). Gas flaring in Nigeria: A multi-level governance and policy coherence analysis. Anthropocene Science, 2, 1–14. </w:t>
      </w:r>
      <w:hyperlink r:id="rId24" w:history="1">
        <w:r w:rsidR="00151871" w:rsidRPr="00897436">
          <w:rPr>
            <w:rStyle w:val="Hyperlink"/>
            <w:rFonts w:ascii="Arial" w:hAnsi="Arial" w:cs="Arial"/>
            <w:sz w:val="22"/>
            <w:szCs w:val="22"/>
          </w:rPr>
          <w:t>https://doi.org/10.1007/s44177-023-00045-5</w:t>
        </w:r>
      </w:hyperlink>
    </w:p>
    <w:p w14:paraId="76B7CF8D" w14:textId="6F82F7B7" w:rsidR="008A2EDF" w:rsidRPr="00151871" w:rsidRDefault="008A2EDF" w:rsidP="00151871">
      <w:pPr>
        <w:pStyle w:val="ListParagraph"/>
        <w:numPr>
          <w:ilvl w:val="0"/>
          <w:numId w:val="36"/>
        </w:numPr>
        <w:rPr>
          <w:rFonts w:ascii="Arial" w:hAnsi="Arial" w:cs="Arial"/>
          <w:sz w:val="22"/>
          <w:szCs w:val="22"/>
        </w:rPr>
      </w:pPr>
      <w:r w:rsidRPr="00151871">
        <w:rPr>
          <w:rFonts w:ascii="Arial" w:hAnsi="Arial" w:cs="Arial"/>
          <w:sz w:val="22"/>
          <w:szCs w:val="22"/>
        </w:rPr>
        <w:t xml:space="preserve">Musa, I., &amp; Ibrahim, S. (2025). Assessing the effect of gas flaring on economic sustainability in Nigeria’s oil and gas sector. International Journal of Spectrum Research in Social and Management Sciences, 1(4), 123–147. </w:t>
      </w:r>
      <w:hyperlink r:id="rId25" w:history="1">
        <w:r w:rsidR="00151871" w:rsidRPr="00897436">
          <w:rPr>
            <w:rStyle w:val="Hyperlink"/>
            <w:rFonts w:ascii="Arial" w:hAnsi="Arial" w:cs="Arial"/>
            <w:sz w:val="22"/>
            <w:szCs w:val="22"/>
          </w:rPr>
          <w:t>https://doi.org/10.5281/zenodo.17686587</w:t>
        </w:r>
      </w:hyperlink>
    </w:p>
    <w:p w14:paraId="04A256FA" w14:textId="1AAAB509" w:rsidR="008A2EDF" w:rsidRPr="00D30B29" w:rsidRDefault="008A2EDF" w:rsidP="00D30B29">
      <w:pPr>
        <w:pStyle w:val="ListParagraph"/>
        <w:numPr>
          <w:ilvl w:val="0"/>
          <w:numId w:val="36"/>
        </w:numPr>
        <w:rPr>
          <w:rFonts w:ascii="Arial" w:hAnsi="Arial" w:cs="Arial"/>
          <w:sz w:val="22"/>
          <w:szCs w:val="22"/>
        </w:rPr>
      </w:pPr>
      <w:r w:rsidRPr="00D30B29">
        <w:rPr>
          <w:rFonts w:ascii="Arial" w:hAnsi="Arial" w:cs="Arial"/>
          <w:sz w:val="22"/>
          <w:szCs w:val="22"/>
        </w:rPr>
        <w:t xml:space="preserve">Wang, Y., Yang, Y., &amp; Xu, Q. (2023). Integrated planning of natural gas and electricity distribution systems for enhancing resilience. International Journal of Electrical Power &amp; Energy Systems, 151, 109103. </w:t>
      </w:r>
      <w:hyperlink r:id="rId26" w:history="1">
        <w:r w:rsidR="00D30B29" w:rsidRPr="00897436">
          <w:rPr>
            <w:rStyle w:val="Hyperlink"/>
            <w:rFonts w:ascii="Arial" w:hAnsi="Arial" w:cs="Arial"/>
            <w:sz w:val="22"/>
            <w:szCs w:val="22"/>
          </w:rPr>
          <w:t>https://doi.org/10.1016/j.ijepes.2023.109103</w:t>
        </w:r>
      </w:hyperlink>
    </w:p>
    <w:p w14:paraId="62EF66F2" w14:textId="3591AE1E" w:rsidR="008A2EDF" w:rsidRPr="00D30B29" w:rsidRDefault="008A2EDF" w:rsidP="00D30B29">
      <w:pPr>
        <w:pStyle w:val="ListParagraph"/>
        <w:numPr>
          <w:ilvl w:val="0"/>
          <w:numId w:val="36"/>
        </w:numPr>
        <w:rPr>
          <w:rFonts w:ascii="Arial" w:hAnsi="Arial" w:cs="Arial"/>
          <w:sz w:val="22"/>
          <w:szCs w:val="22"/>
        </w:rPr>
      </w:pPr>
      <w:r w:rsidRPr="00D30B29">
        <w:rPr>
          <w:rFonts w:ascii="Arial" w:hAnsi="Arial" w:cs="Arial"/>
          <w:sz w:val="22"/>
          <w:szCs w:val="22"/>
        </w:rPr>
        <w:t>Jain, A. K. (2010</w:t>
      </w:r>
      <w:proofErr w:type="gramStart"/>
      <w:r w:rsidRPr="00D30B29">
        <w:rPr>
          <w:rFonts w:ascii="Arial" w:hAnsi="Arial" w:cs="Arial"/>
          <w:sz w:val="22"/>
          <w:szCs w:val="22"/>
        </w:rPr>
        <w:t>).Data</w:t>
      </w:r>
      <w:proofErr w:type="gramEnd"/>
      <w:r w:rsidRPr="00D30B29">
        <w:rPr>
          <w:rFonts w:ascii="Arial" w:hAnsi="Arial" w:cs="Arial"/>
          <w:sz w:val="22"/>
          <w:szCs w:val="22"/>
        </w:rPr>
        <w:t xml:space="preserve"> clustering: 50 years beyond K-means. Pattern Recognition Letters, 31(8), 651–666. </w:t>
      </w:r>
      <w:hyperlink r:id="rId27" w:history="1">
        <w:r w:rsidR="00D30B29" w:rsidRPr="00897436">
          <w:rPr>
            <w:rStyle w:val="Hyperlink"/>
            <w:rFonts w:ascii="Arial" w:hAnsi="Arial" w:cs="Arial"/>
            <w:sz w:val="22"/>
            <w:szCs w:val="22"/>
          </w:rPr>
          <w:t>https://doi.org/10.1016/j.patrec.2009.09.011</w:t>
        </w:r>
      </w:hyperlink>
    </w:p>
    <w:p w14:paraId="154D3F9D" w14:textId="3D585DDB" w:rsidR="008A2EDF" w:rsidRPr="00D30B29" w:rsidRDefault="008A2EDF" w:rsidP="00D30B29">
      <w:pPr>
        <w:pStyle w:val="ListParagraph"/>
        <w:numPr>
          <w:ilvl w:val="0"/>
          <w:numId w:val="36"/>
        </w:numPr>
        <w:rPr>
          <w:rFonts w:ascii="Arial" w:hAnsi="Arial" w:cs="Arial"/>
          <w:sz w:val="22"/>
          <w:szCs w:val="22"/>
        </w:rPr>
      </w:pPr>
      <w:r w:rsidRPr="00D30B29">
        <w:rPr>
          <w:rFonts w:ascii="Arial" w:hAnsi="Arial" w:cs="Arial"/>
          <w:sz w:val="22"/>
          <w:szCs w:val="22"/>
        </w:rPr>
        <w:t xml:space="preserve">Ikotun, A. M., Ezugwu, A. E., </w:t>
      </w:r>
      <w:proofErr w:type="spellStart"/>
      <w:r w:rsidRPr="00D30B29">
        <w:rPr>
          <w:rFonts w:ascii="Arial" w:hAnsi="Arial" w:cs="Arial"/>
          <w:sz w:val="22"/>
          <w:szCs w:val="22"/>
        </w:rPr>
        <w:t>Abualigah</w:t>
      </w:r>
      <w:proofErr w:type="spellEnd"/>
      <w:r w:rsidRPr="00D30B29">
        <w:rPr>
          <w:rFonts w:ascii="Arial" w:hAnsi="Arial" w:cs="Arial"/>
          <w:sz w:val="22"/>
          <w:szCs w:val="22"/>
        </w:rPr>
        <w:t xml:space="preserve">, L., </w:t>
      </w:r>
      <w:proofErr w:type="spellStart"/>
      <w:r w:rsidRPr="00D30B29">
        <w:rPr>
          <w:rFonts w:ascii="Arial" w:hAnsi="Arial" w:cs="Arial"/>
          <w:sz w:val="22"/>
          <w:szCs w:val="22"/>
        </w:rPr>
        <w:t>Abuhaija</w:t>
      </w:r>
      <w:proofErr w:type="spellEnd"/>
      <w:r w:rsidRPr="00D30B29">
        <w:rPr>
          <w:rFonts w:ascii="Arial" w:hAnsi="Arial" w:cs="Arial"/>
          <w:sz w:val="22"/>
          <w:szCs w:val="22"/>
        </w:rPr>
        <w:t xml:space="preserve">, B., &amp; Heming, J. (2023). K-means clustering algorithms: A comprehensive review, variants analysis, and advances in the era of big data. Information Sciences, 622, 178–210. </w:t>
      </w:r>
      <w:hyperlink r:id="rId28" w:history="1">
        <w:r w:rsidR="00D30B29" w:rsidRPr="00897436">
          <w:rPr>
            <w:rStyle w:val="Hyperlink"/>
            <w:rFonts w:ascii="Arial" w:hAnsi="Arial" w:cs="Arial"/>
            <w:sz w:val="22"/>
            <w:szCs w:val="22"/>
          </w:rPr>
          <w:t>https://doi.org/10.1016/j.ins.2022.11.139</w:t>
        </w:r>
      </w:hyperlink>
    </w:p>
    <w:p w14:paraId="4F8E1A83" w14:textId="48918450" w:rsidR="008A2EDF" w:rsidRPr="00D30B29" w:rsidRDefault="008A2EDF" w:rsidP="00D30B29">
      <w:pPr>
        <w:pStyle w:val="ListParagraph"/>
        <w:numPr>
          <w:ilvl w:val="0"/>
          <w:numId w:val="36"/>
        </w:numPr>
        <w:rPr>
          <w:rFonts w:ascii="Arial" w:hAnsi="Arial" w:cs="Arial"/>
          <w:sz w:val="22"/>
          <w:szCs w:val="22"/>
        </w:rPr>
      </w:pPr>
      <w:r w:rsidRPr="00D30B29">
        <w:rPr>
          <w:rFonts w:ascii="Arial" w:hAnsi="Arial" w:cs="Arial"/>
          <w:sz w:val="22"/>
          <w:szCs w:val="22"/>
        </w:rPr>
        <w:t xml:space="preserve">Nwankwo, A. C., </w:t>
      </w:r>
      <w:proofErr w:type="spellStart"/>
      <w:r w:rsidRPr="00D30B29">
        <w:rPr>
          <w:rFonts w:ascii="Arial" w:hAnsi="Arial" w:cs="Arial"/>
          <w:sz w:val="22"/>
          <w:szCs w:val="22"/>
        </w:rPr>
        <w:t>Omijeh</w:t>
      </w:r>
      <w:proofErr w:type="spellEnd"/>
      <w:r w:rsidRPr="00D30B29">
        <w:rPr>
          <w:rFonts w:ascii="Arial" w:hAnsi="Arial" w:cs="Arial"/>
          <w:sz w:val="22"/>
          <w:szCs w:val="22"/>
        </w:rPr>
        <w:t xml:space="preserve">, B. O., &amp; </w:t>
      </w:r>
      <w:proofErr w:type="spellStart"/>
      <w:r w:rsidRPr="00D30B29">
        <w:rPr>
          <w:rFonts w:ascii="Arial" w:hAnsi="Arial" w:cs="Arial"/>
          <w:sz w:val="22"/>
          <w:szCs w:val="22"/>
        </w:rPr>
        <w:t>Ehikhamenle</w:t>
      </w:r>
      <w:proofErr w:type="spellEnd"/>
      <w:r w:rsidRPr="00D30B29">
        <w:rPr>
          <w:rFonts w:ascii="Arial" w:hAnsi="Arial" w:cs="Arial"/>
          <w:sz w:val="22"/>
          <w:szCs w:val="22"/>
        </w:rPr>
        <w:t xml:space="preserve">, M. (2025). Cluster-based geospatial optimization of gas flaring sites in the Niger Delta for enhanced gas recovery. Journal of Engineering Research and Reports, 27(12), 441–454. </w:t>
      </w:r>
      <w:hyperlink r:id="rId29" w:history="1">
        <w:r w:rsidR="00D30B29" w:rsidRPr="00897436">
          <w:rPr>
            <w:rStyle w:val="Hyperlink"/>
            <w:rFonts w:ascii="Arial" w:hAnsi="Arial" w:cs="Arial"/>
            <w:sz w:val="22"/>
            <w:szCs w:val="22"/>
          </w:rPr>
          <w:t>https://doi.org/10.9734/jerr/2025/v27i121751</w:t>
        </w:r>
      </w:hyperlink>
    </w:p>
    <w:p w14:paraId="199C0170" w14:textId="2D5AAC7D" w:rsidR="008A2EDF" w:rsidRPr="00D30B29" w:rsidRDefault="008A2EDF" w:rsidP="00D30B29">
      <w:pPr>
        <w:pStyle w:val="ListParagraph"/>
        <w:numPr>
          <w:ilvl w:val="0"/>
          <w:numId w:val="36"/>
        </w:numPr>
        <w:rPr>
          <w:rFonts w:ascii="Arial" w:hAnsi="Arial" w:cs="Arial"/>
          <w:sz w:val="22"/>
          <w:szCs w:val="22"/>
        </w:rPr>
      </w:pPr>
      <w:r w:rsidRPr="00D30B29">
        <w:rPr>
          <w:rFonts w:ascii="Arial" w:hAnsi="Arial" w:cs="Arial"/>
          <w:sz w:val="22"/>
          <w:szCs w:val="22"/>
        </w:rPr>
        <w:t xml:space="preserve">Molière, M. (2023). The fuel flexibility of gas turbines: A review and retrospective outlook. Energies, 16(9), 3962. </w:t>
      </w:r>
      <w:hyperlink r:id="rId30" w:history="1">
        <w:r w:rsidR="00D30B29" w:rsidRPr="00897436">
          <w:rPr>
            <w:rStyle w:val="Hyperlink"/>
            <w:rFonts w:ascii="Arial" w:hAnsi="Arial" w:cs="Arial"/>
            <w:sz w:val="22"/>
            <w:szCs w:val="22"/>
          </w:rPr>
          <w:t>https://doi.org/10.3390/en16093962</w:t>
        </w:r>
      </w:hyperlink>
    </w:p>
    <w:p w14:paraId="10EFE41B" w14:textId="1B1B1C07" w:rsidR="008A2EDF" w:rsidRPr="00D30B29" w:rsidRDefault="008A2EDF" w:rsidP="00D30B29">
      <w:pPr>
        <w:pStyle w:val="ListParagraph"/>
        <w:numPr>
          <w:ilvl w:val="0"/>
          <w:numId w:val="36"/>
        </w:numPr>
        <w:rPr>
          <w:rFonts w:ascii="Arial" w:hAnsi="Arial" w:cs="Arial"/>
          <w:sz w:val="22"/>
          <w:szCs w:val="22"/>
        </w:rPr>
      </w:pPr>
      <w:r w:rsidRPr="00D30B29">
        <w:rPr>
          <w:rFonts w:ascii="Arial" w:hAnsi="Arial" w:cs="Arial"/>
          <w:sz w:val="22"/>
          <w:szCs w:val="22"/>
        </w:rPr>
        <w:t xml:space="preserve">Liu, G., Zhang, X., Chen, Y., &amp; Li, H. (2022). Technical, Economical, and Environmental Performance Assessment of an Improved </w:t>
      </w:r>
      <w:proofErr w:type="spellStart"/>
      <w:r w:rsidRPr="00D30B29">
        <w:rPr>
          <w:rFonts w:ascii="Arial" w:hAnsi="Arial" w:cs="Arial"/>
          <w:sz w:val="22"/>
          <w:szCs w:val="22"/>
        </w:rPr>
        <w:t>Triethylene</w:t>
      </w:r>
      <w:proofErr w:type="spellEnd"/>
      <w:r w:rsidRPr="00D30B29">
        <w:rPr>
          <w:rFonts w:ascii="Arial" w:hAnsi="Arial" w:cs="Arial"/>
          <w:sz w:val="22"/>
          <w:szCs w:val="22"/>
        </w:rPr>
        <w:t xml:space="preserve"> Glycol Dehydration Process for Shale Gas. ACS Omega, 7(9), 8163–8174. </w:t>
      </w:r>
      <w:hyperlink r:id="rId31" w:history="1">
        <w:r w:rsidR="00D30B29" w:rsidRPr="00897436">
          <w:rPr>
            <w:rStyle w:val="Hyperlink"/>
            <w:rFonts w:ascii="Arial" w:hAnsi="Arial" w:cs="Arial"/>
            <w:sz w:val="22"/>
            <w:szCs w:val="22"/>
          </w:rPr>
          <w:t>https://doi.org/10.1021/acsomega.1c05236</w:t>
        </w:r>
      </w:hyperlink>
    </w:p>
    <w:p w14:paraId="5E0E9F0C" w14:textId="6F9F913A" w:rsidR="008A2EDF" w:rsidRPr="00D30B29" w:rsidRDefault="008A2EDF" w:rsidP="00D30B29">
      <w:pPr>
        <w:pStyle w:val="ListParagraph"/>
        <w:numPr>
          <w:ilvl w:val="0"/>
          <w:numId w:val="36"/>
        </w:numPr>
        <w:rPr>
          <w:rFonts w:ascii="Arial" w:hAnsi="Arial" w:cs="Arial"/>
          <w:sz w:val="22"/>
          <w:szCs w:val="22"/>
        </w:rPr>
      </w:pPr>
      <w:r w:rsidRPr="00D30B29">
        <w:rPr>
          <w:rFonts w:ascii="Arial" w:hAnsi="Arial" w:cs="Arial"/>
          <w:sz w:val="22"/>
          <w:szCs w:val="22"/>
        </w:rPr>
        <w:t xml:space="preserve">Islam, M., Al-Sobhi, S. A., </w:t>
      </w:r>
      <w:proofErr w:type="spellStart"/>
      <w:r w:rsidRPr="00D30B29">
        <w:rPr>
          <w:rFonts w:ascii="Arial" w:hAnsi="Arial" w:cs="Arial"/>
          <w:sz w:val="22"/>
          <w:szCs w:val="22"/>
        </w:rPr>
        <w:t>Naquash</w:t>
      </w:r>
      <w:proofErr w:type="spellEnd"/>
      <w:r w:rsidRPr="00D30B29">
        <w:rPr>
          <w:rFonts w:ascii="Arial" w:hAnsi="Arial" w:cs="Arial"/>
          <w:sz w:val="22"/>
          <w:szCs w:val="22"/>
        </w:rPr>
        <w:t xml:space="preserve">, A., </w:t>
      </w:r>
      <w:proofErr w:type="spellStart"/>
      <w:r w:rsidRPr="00D30B29">
        <w:rPr>
          <w:rFonts w:ascii="Arial" w:hAnsi="Arial" w:cs="Arial"/>
          <w:sz w:val="22"/>
          <w:szCs w:val="22"/>
        </w:rPr>
        <w:t>Qyyum</w:t>
      </w:r>
      <w:proofErr w:type="spellEnd"/>
      <w:r w:rsidRPr="00D30B29">
        <w:rPr>
          <w:rFonts w:ascii="Arial" w:hAnsi="Arial" w:cs="Arial"/>
          <w:sz w:val="22"/>
          <w:szCs w:val="22"/>
        </w:rPr>
        <w:t xml:space="preserve">, M. A., &amp; Lee, M. (2024). Optimal process selection for natural gas liquids recovery… Energy, 289, 129757. </w:t>
      </w:r>
      <w:hyperlink r:id="rId32" w:history="1">
        <w:r w:rsidR="00D30B29" w:rsidRPr="00897436">
          <w:rPr>
            <w:rStyle w:val="Hyperlink"/>
            <w:rFonts w:ascii="Arial" w:hAnsi="Arial" w:cs="Arial"/>
            <w:sz w:val="22"/>
            <w:szCs w:val="22"/>
          </w:rPr>
          <w:t>https://doi.org/10.1016/j.energy.2023.129757</w:t>
        </w:r>
      </w:hyperlink>
    </w:p>
    <w:p w14:paraId="71F874E2" w14:textId="2B686034" w:rsidR="008A2EDF" w:rsidRPr="00D30B29" w:rsidRDefault="008A2EDF" w:rsidP="00D30B29">
      <w:pPr>
        <w:pStyle w:val="ListParagraph"/>
        <w:numPr>
          <w:ilvl w:val="0"/>
          <w:numId w:val="36"/>
        </w:numPr>
        <w:rPr>
          <w:rFonts w:ascii="Arial" w:hAnsi="Arial" w:cs="Arial"/>
          <w:sz w:val="22"/>
          <w:szCs w:val="22"/>
        </w:rPr>
      </w:pPr>
      <w:r w:rsidRPr="00D30B29">
        <w:rPr>
          <w:rFonts w:ascii="Arial" w:hAnsi="Arial" w:cs="Arial"/>
          <w:sz w:val="22"/>
          <w:szCs w:val="22"/>
        </w:rPr>
        <w:t xml:space="preserve">Kazemi, A. (2025). Natural gas liquids (NGL) recovery: A framework for environmental, technical and economic assessments and optimizations. Chemical Engineering Science, 316, 121928. </w:t>
      </w:r>
      <w:hyperlink r:id="rId33" w:history="1">
        <w:r w:rsidR="00D30B29" w:rsidRPr="00897436">
          <w:rPr>
            <w:rStyle w:val="Hyperlink"/>
            <w:rFonts w:ascii="Arial" w:hAnsi="Arial" w:cs="Arial"/>
            <w:sz w:val="22"/>
            <w:szCs w:val="22"/>
          </w:rPr>
          <w:t>https://doi.org/10.1016/j.ces.2025.121928</w:t>
        </w:r>
      </w:hyperlink>
    </w:p>
    <w:p w14:paraId="63A90706" w14:textId="612F70E4" w:rsidR="008A2EDF" w:rsidRPr="00D92D49" w:rsidRDefault="008A2EDF" w:rsidP="00D92D49">
      <w:pPr>
        <w:pStyle w:val="ListParagraph"/>
        <w:numPr>
          <w:ilvl w:val="0"/>
          <w:numId w:val="36"/>
        </w:numPr>
        <w:rPr>
          <w:rFonts w:ascii="Arial" w:hAnsi="Arial" w:cs="Arial"/>
          <w:sz w:val="22"/>
          <w:szCs w:val="22"/>
        </w:rPr>
      </w:pPr>
      <w:r w:rsidRPr="00D92D49">
        <w:rPr>
          <w:rFonts w:ascii="Arial" w:hAnsi="Arial" w:cs="Arial"/>
          <w:sz w:val="22"/>
          <w:szCs w:val="22"/>
        </w:rPr>
        <w:t xml:space="preserve">Clarke Energy. (n.d.). Heating value. In Clarke Energy US. Retrieved June 28, 2025, from </w:t>
      </w:r>
      <w:hyperlink r:id="rId34" w:history="1">
        <w:r w:rsidR="00D92D49" w:rsidRPr="00D92D49">
          <w:rPr>
            <w:rStyle w:val="Hyperlink"/>
            <w:rFonts w:ascii="Arial" w:hAnsi="Arial" w:cs="Arial"/>
            <w:sz w:val="22"/>
            <w:szCs w:val="22"/>
          </w:rPr>
          <w:t>https://www.clarke-energy.com/us/heating-value/</w:t>
        </w:r>
      </w:hyperlink>
    </w:p>
    <w:p w14:paraId="667F5402" w14:textId="3B0EC1C1" w:rsidR="008A2EDF" w:rsidRPr="00D92D49" w:rsidRDefault="008A2EDF" w:rsidP="00D92D49">
      <w:pPr>
        <w:pStyle w:val="ListParagraph"/>
        <w:numPr>
          <w:ilvl w:val="0"/>
          <w:numId w:val="36"/>
        </w:numPr>
        <w:rPr>
          <w:rFonts w:ascii="Arial" w:hAnsi="Arial" w:cs="Arial"/>
          <w:sz w:val="22"/>
          <w:szCs w:val="22"/>
        </w:rPr>
      </w:pPr>
      <w:proofErr w:type="spellStart"/>
      <w:r w:rsidRPr="00D92D49">
        <w:rPr>
          <w:rFonts w:ascii="Arial" w:hAnsi="Arial" w:cs="Arial"/>
          <w:sz w:val="22"/>
          <w:szCs w:val="22"/>
        </w:rPr>
        <w:t>Emekwuru</w:t>
      </w:r>
      <w:proofErr w:type="spellEnd"/>
      <w:r w:rsidRPr="00D92D49">
        <w:rPr>
          <w:rFonts w:ascii="Arial" w:hAnsi="Arial" w:cs="Arial"/>
          <w:sz w:val="22"/>
          <w:szCs w:val="22"/>
        </w:rPr>
        <w:t xml:space="preserve">, N. (2024). Characterization of the dominant stages at which gas flaring is introduced in the Niger Delta: Impacts and policy options to ameliorate them. Environments, 11(7), 158.  </w:t>
      </w:r>
      <w:hyperlink r:id="rId35" w:history="1">
        <w:r w:rsidR="00D92D49" w:rsidRPr="00897436">
          <w:rPr>
            <w:rStyle w:val="Hyperlink"/>
            <w:rFonts w:ascii="Arial" w:hAnsi="Arial" w:cs="Arial"/>
            <w:sz w:val="22"/>
            <w:szCs w:val="22"/>
          </w:rPr>
          <w:t>https://doi.org/10.3390/environments11070158</w:t>
        </w:r>
      </w:hyperlink>
    </w:p>
    <w:p w14:paraId="3DC6C0F8" w14:textId="6C7491D6" w:rsidR="008A2EDF" w:rsidRPr="00D92D49" w:rsidRDefault="008A2EDF" w:rsidP="00D92D49">
      <w:pPr>
        <w:pStyle w:val="ListParagraph"/>
        <w:numPr>
          <w:ilvl w:val="0"/>
          <w:numId w:val="36"/>
        </w:numPr>
        <w:rPr>
          <w:rFonts w:ascii="Arial" w:hAnsi="Arial" w:cs="Arial"/>
          <w:sz w:val="22"/>
          <w:szCs w:val="22"/>
        </w:rPr>
      </w:pPr>
      <w:proofErr w:type="spellStart"/>
      <w:r w:rsidRPr="00D92D49">
        <w:rPr>
          <w:rFonts w:ascii="Arial" w:hAnsi="Arial" w:cs="Arial"/>
          <w:sz w:val="22"/>
          <w:szCs w:val="22"/>
        </w:rPr>
        <w:lastRenderedPageBreak/>
        <w:t>Olujobi</w:t>
      </w:r>
      <w:proofErr w:type="spellEnd"/>
      <w:r w:rsidRPr="00D92D49">
        <w:rPr>
          <w:rFonts w:ascii="Arial" w:hAnsi="Arial" w:cs="Arial"/>
          <w:sz w:val="22"/>
          <w:szCs w:val="22"/>
        </w:rPr>
        <w:t xml:space="preserve">, O. J., </w:t>
      </w:r>
      <w:proofErr w:type="spellStart"/>
      <w:r w:rsidRPr="00D92D49">
        <w:rPr>
          <w:rFonts w:ascii="Arial" w:hAnsi="Arial" w:cs="Arial"/>
          <w:sz w:val="22"/>
          <w:szCs w:val="22"/>
        </w:rPr>
        <w:t>Yebisi</w:t>
      </w:r>
      <w:proofErr w:type="spellEnd"/>
      <w:r w:rsidRPr="00D92D49">
        <w:rPr>
          <w:rFonts w:ascii="Arial" w:hAnsi="Arial" w:cs="Arial"/>
          <w:sz w:val="22"/>
          <w:szCs w:val="22"/>
        </w:rPr>
        <w:t xml:space="preserve">, T. E., Patrick, O. P., &amp; </w:t>
      </w:r>
      <w:proofErr w:type="spellStart"/>
      <w:r w:rsidRPr="00D92D49">
        <w:rPr>
          <w:rFonts w:ascii="Arial" w:hAnsi="Arial" w:cs="Arial"/>
          <w:sz w:val="22"/>
          <w:szCs w:val="22"/>
        </w:rPr>
        <w:t>Ariremako</w:t>
      </w:r>
      <w:proofErr w:type="spellEnd"/>
      <w:r w:rsidRPr="00D92D49">
        <w:rPr>
          <w:rFonts w:ascii="Arial" w:hAnsi="Arial" w:cs="Arial"/>
          <w:sz w:val="22"/>
          <w:szCs w:val="22"/>
        </w:rPr>
        <w:t xml:space="preserve">, A. I. (2022). The legal framework for combating gas flaring in Nigeria’s oil and gas industry: Can it promote sustainable energy security? Sustainability, 14(13), 7626. </w:t>
      </w:r>
      <w:hyperlink r:id="rId36" w:history="1">
        <w:r w:rsidR="00D92D49" w:rsidRPr="00897436">
          <w:rPr>
            <w:rStyle w:val="Hyperlink"/>
            <w:rFonts w:ascii="Arial" w:hAnsi="Arial" w:cs="Arial"/>
            <w:sz w:val="22"/>
            <w:szCs w:val="22"/>
          </w:rPr>
          <w:t>https://doi.org/10.3390/su14137626</w:t>
        </w:r>
      </w:hyperlink>
    </w:p>
    <w:p w14:paraId="0CE5C7AF" w14:textId="137546E2" w:rsidR="008A2EDF" w:rsidRPr="00D92D49" w:rsidRDefault="008A2EDF" w:rsidP="00D92D49">
      <w:pPr>
        <w:pStyle w:val="ListParagraph"/>
        <w:numPr>
          <w:ilvl w:val="0"/>
          <w:numId w:val="36"/>
        </w:numPr>
        <w:rPr>
          <w:rFonts w:ascii="Arial" w:hAnsi="Arial" w:cs="Arial"/>
          <w:sz w:val="22"/>
          <w:szCs w:val="22"/>
        </w:rPr>
      </w:pPr>
      <w:r w:rsidRPr="00D92D49">
        <w:rPr>
          <w:rFonts w:ascii="Arial" w:hAnsi="Arial" w:cs="Arial"/>
          <w:sz w:val="22"/>
          <w:szCs w:val="22"/>
        </w:rPr>
        <w:t xml:space="preserve">Fan, Y., </w:t>
      </w:r>
      <w:proofErr w:type="spellStart"/>
      <w:r w:rsidRPr="00D92D49">
        <w:rPr>
          <w:rFonts w:ascii="Arial" w:hAnsi="Arial" w:cs="Arial"/>
          <w:sz w:val="22"/>
          <w:szCs w:val="22"/>
        </w:rPr>
        <w:t>Masnadi</w:t>
      </w:r>
      <w:proofErr w:type="spellEnd"/>
      <w:r w:rsidRPr="00D92D49">
        <w:rPr>
          <w:rFonts w:ascii="Arial" w:hAnsi="Arial" w:cs="Arial"/>
          <w:sz w:val="22"/>
          <w:szCs w:val="22"/>
        </w:rPr>
        <w:t xml:space="preserve">, M. S., Jing, L., Ren, B., &amp; Brandt, A. R. (2025). The Pyxis Project: A geospatial data system for emission estimation monitoring in the oil and gas industry. Energy and AI, 22, 100601. </w:t>
      </w:r>
      <w:hyperlink r:id="rId37" w:history="1">
        <w:r w:rsidR="00D92D49" w:rsidRPr="00897436">
          <w:rPr>
            <w:rStyle w:val="Hyperlink"/>
            <w:rFonts w:ascii="Arial" w:hAnsi="Arial" w:cs="Arial"/>
            <w:sz w:val="22"/>
            <w:szCs w:val="22"/>
          </w:rPr>
          <w:t>https://doi.org/10.1016/j.egyai.2025.100601</w:t>
        </w:r>
      </w:hyperlink>
    </w:p>
    <w:p w14:paraId="662A3307" w14:textId="6B2D3A13" w:rsidR="008A2EDF" w:rsidRPr="00D92D49" w:rsidRDefault="008A2EDF" w:rsidP="00D92D49">
      <w:pPr>
        <w:pStyle w:val="ListParagraph"/>
        <w:numPr>
          <w:ilvl w:val="0"/>
          <w:numId w:val="36"/>
        </w:numPr>
        <w:rPr>
          <w:rFonts w:ascii="Arial" w:hAnsi="Arial" w:cs="Arial"/>
          <w:sz w:val="22"/>
          <w:szCs w:val="22"/>
        </w:rPr>
      </w:pPr>
      <w:r w:rsidRPr="00D92D49">
        <w:rPr>
          <w:rFonts w:ascii="Arial" w:hAnsi="Arial" w:cs="Arial"/>
          <w:sz w:val="22"/>
          <w:szCs w:val="22"/>
        </w:rPr>
        <w:t xml:space="preserve">Wu, Y., Cui, Z. Y., Lin, H., Wang, Y. F., &amp; Feng, X. (2022). An optimization method for shale gas gathering system—Consideration of reliability enhancement under earthquake-related uncertainties. Petroleum Science, 19(5), 2431–2447. </w:t>
      </w:r>
      <w:hyperlink r:id="rId38" w:history="1">
        <w:r w:rsidR="00D92D49" w:rsidRPr="00897436">
          <w:rPr>
            <w:rStyle w:val="Hyperlink"/>
            <w:rFonts w:ascii="Arial" w:hAnsi="Arial" w:cs="Arial"/>
            <w:sz w:val="22"/>
            <w:szCs w:val="22"/>
          </w:rPr>
          <w:t>https://doi.org/10.1016/j.petsci.2021.12.029</w:t>
        </w:r>
      </w:hyperlink>
    </w:p>
    <w:p w14:paraId="7BF4850E" w14:textId="058351DB" w:rsidR="008A2EDF" w:rsidRPr="00D92D49" w:rsidRDefault="008A2EDF" w:rsidP="00D92D49">
      <w:pPr>
        <w:pStyle w:val="ListParagraph"/>
        <w:numPr>
          <w:ilvl w:val="0"/>
          <w:numId w:val="36"/>
        </w:numPr>
        <w:rPr>
          <w:rFonts w:ascii="Arial" w:hAnsi="Arial" w:cs="Arial"/>
          <w:sz w:val="22"/>
          <w:szCs w:val="22"/>
        </w:rPr>
      </w:pPr>
      <w:r w:rsidRPr="00D92D49">
        <w:rPr>
          <w:rFonts w:ascii="Arial" w:hAnsi="Arial" w:cs="Arial"/>
          <w:sz w:val="22"/>
          <w:szCs w:val="22"/>
        </w:rPr>
        <w:t xml:space="preserve">Fagbami, D., </w:t>
      </w:r>
      <w:proofErr w:type="spellStart"/>
      <w:r w:rsidRPr="00D92D49">
        <w:rPr>
          <w:rFonts w:ascii="Arial" w:hAnsi="Arial" w:cs="Arial"/>
          <w:sz w:val="22"/>
          <w:szCs w:val="22"/>
        </w:rPr>
        <w:t>Ekpeti</w:t>
      </w:r>
      <w:proofErr w:type="spellEnd"/>
      <w:r w:rsidRPr="00D92D49">
        <w:rPr>
          <w:rFonts w:ascii="Arial" w:hAnsi="Arial" w:cs="Arial"/>
          <w:sz w:val="22"/>
          <w:szCs w:val="22"/>
        </w:rPr>
        <w:t xml:space="preserve">, E., Bamidele, A., Odeh, A., </w:t>
      </w:r>
      <w:proofErr w:type="spellStart"/>
      <w:r w:rsidRPr="00D92D49">
        <w:rPr>
          <w:rFonts w:ascii="Arial" w:hAnsi="Arial" w:cs="Arial"/>
          <w:sz w:val="22"/>
          <w:szCs w:val="22"/>
        </w:rPr>
        <w:t>Odogbo</w:t>
      </w:r>
      <w:proofErr w:type="spellEnd"/>
      <w:r w:rsidRPr="00D92D49">
        <w:rPr>
          <w:rFonts w:ascii="Arial" w:hAnsi="Arial" w:cs="Arial"/>
          <w:sz w:val="22"/>
          <w:szCs w:val="22"/>
        </w:rPr>
        <w:t xml:space="preserve">, A., &amp; Jimmy, D. (2024). Cluster gathering of associated and non-associated natural gas: The KGG case study (Paper No. SPE-221681-MS). </w:t>
      </w:r>
      <w:hyperlink r:id="rId39" w:history="1">
        <w:r w:rsidR="00D92D49" w:rsidRPr="00897436">
          <w:rPr>
            <w:rStyle w:val="Hyperlink"/>
            <w:rFonts w:ascii="Arial" w:hAnsi="Arial" w:cs="Arial"/>
            <w:sz w:val="22"/>
            <w:szCs w:val="22"/>
          </w:rPr>
          <w:t>https://doi.org/10.2118/221681-MS</w:t>
        </w:r>
      </w:hyperlink>
    </w:p>
    <w:p w14:paraId="6EA17167" w14:textId="22816A32" w:rsidR="008A2EDF" w:rsidRPr="00D92D49" w:rsidRDefault="008A2EDF" w:rsidP="00D92D49">
      <w:pPr>
        <w:pStyle w:val="ListParagraph"/>
        <w:numPr>
          <w:ilvl w:val="0"/>
          <w:numId w:val="36"/>
        </w:numPr>
        <w:rPr>
          <w:rFonts w:ascii="Arial" w:hAnsi="Arial" w:cs="Arial"/>
          <w:sz w:val="22"/>
          <w:szCs w:val="22"/>
        </w:rPr>
      </w:pPr>
      <w:r w:rsidRPr="00D92D49">
        <w:rPr>
          <w:rFonts w:ascii="Arial" w:hAnsi="Arial" w:cs="Arial"/>
          <w:sz w:val="22"/>
          <w:szCs w:val="22"/>
        </w:rPr>
        <w:t xml:space="preserve">Chong, D. J. S., Foo, D. C. Y., &amp; Putra, Z. A. (2023). A reduced order model for </w:t>
      </w:r>
      <w:proofErr w:type="spellStart"/>
      <w:r w:rsidRPr="00D92D49">
        <w:rPr>
          <w:rFonts w:ascii="Arial" w:hAnsi="Arial" w:cs="Arial"/>
          <w:sz w:val="22"/>
          <w:szCs w:val="22"/>
        </w:rPr>
        <w:t>triethylene</w:t>
      </w:r>
      <w:proofErr w:type="spellEnd"/>
      <w:r w:rsidRPr="00D92D49">
        <w:rPr>
          <w:rFonts w:ascii="Arial" w:hAnsi="Arial" w:cs="Arial"/>
          <w:sz w:val="22"/>
          <w:szCs w:val="22"/>
        </w:rPr>
        <w:t xml:space="preserve"> glycol natural gas dehydration system. South African Journal of Chemical Engineering, 44, 51–67. </w:t>
      </w:r>
      <w:hyperlink r:id="rId40" w:history="1">
        <w:r w:rsidR="00D92D49" w:rsidRPr="00897436">
          <w:rPr>
            <w:rStyle w:val="Hyperlink"/>
            <w:rFonts w:ascii="Arial" w:hAnsi="Arial" w:cs="Arial"/>
            <w:sz w:val="22"/>
            <w:szCs w:val="22"/>
          </w:rPr>
          <w:t>https://doi.org/10.1016/j.sajce.2023.01.001</w:t>
        </w:r>
      </w:hyperlink>
    </w:p>
    <w:p w14:paraId="42887E6B" w14:textId="30B9A2D8" w:rsidR="008A2EDF" w:rsidRPr="00D92D49" w:rsidRDefault="008A2EDF" w:rsidP="00D92D49">
      <w:pPr>
        <w:pStyle w:val="ListParagraph"/>
        <w:numPr>
          <w:ilvl w:val="0"/>
          <w:numId w:val="36"/>
        </w:numPr>
        <w:rPr>
          <w:rFonts w:ascii="Arial" w:hAnsi="Arial" w:cs="Arial"/>
          <w:sz w:val="22"/>
          <w:szCs w:val="22"/>
        </w:rPr>
      </w:pPr>
      <w:r w:rsidRPr="00D92D49">
        <w:rPr>
          <w:rFonts w:ascii="Arial" w:hAnsi="Arial" w:cs="Arial"/>
          <w:sz w:val="22"/>
          <w:szCs w:val="22"/>
        </w:rPr>
        <w:t xml:space="preserve">Welch, M. (2013). Gas Turbine Fuel and Fuel Quality Requirements for Use in Industrial Gas Turbines. </w:t>
      </w:r>
      <w:hyperlink r:id="rId41" w:history="1">
        <w:r w:rsidR="00D92D49" w:rsidRPr="00897436">
          <w:rPr>
            <w:rStyle w:val="Hyperlink"/>
            <w:rFonts w:ascii="Arial" w:hAnsi="Arial" w:cs="Arial"/>
            <w:sz w:val="22"/>
            <w:szCs w:val="22"/>
          </w:rPr>
          <w:t>https://files01.core.ac.uk/download/pdf/186719088.pdf</w:t>
        </w:r>
      </w:hyperlink>
    </w:p>
    <w:p w14:paraId="0966AE69" w14:textId="4F392A5F" w:rsidR="008A2EDF" w:rsidRPr="00D92D49" w:rsidRDefault="008A2EDF" w:rsidP="00D92D49">
      <w:pPr>
        <w:pStyle w:val="ListParagraph"/>
        <w:numPr>
          <w:ilvl w:val="0"/>
          <w:numId w:val="36"/>
        </w:numPr>
        <w:rPr>
          <w:rFonts w:ascii="Arial" w:hAnsi="Arial" w:cs="Arial"/>
          <w:sz w:val="22"/>
          <w:szCs w:val="22"/>
        </w:rPr>
      </w:pPr>
      <w:r w:rsidRPr="00D92D49">
        <w:rPr>
          <w:rFonts w:ascii="Arial" w:hAnsi="Arial" w:cs="Arial"/>
          <w:sz w:val="22"/>
          <w:szCs w:val="22"/>
        </w:rPr>
        <w:t xml:space="preserve">Kuczyński, S., </w:t>
      </w:r>
      <w:proofErr w:type="spellStart"/>
      <w:r w:rsidRPr="00D92D49">
        <w:rPr>
          <w:rFonts w:ascii="Arial" w:hAnsi="Arial" w:cs="Arial"/>
          <w:sz w:val="22"/>
          <w:szCs w:val="22"/>
        </w:rPr>
        <w:t>Łaciak</w:t>
      </w:r>
      <w:proofErr w:type="spellEnd"/>
      <w:r w:rsidRPr="00D92D49">
        <w:rPr>
          <w:rFonts w:ascii="Arial" w:hAnsi="Arial" w:cs="Arial"/>
          <w:sz w:val="22"/>
          <w:szCs w:val="22"/>
        </w:rPr>
        <w:t xml:space="preserve">, M., Szurlej, A., &amp; Włodek, T. (2020). Impact of Liquefied Natural Gas Composition Changes on Methane Number and Wobbe Index. Energies, 13(19), 5060. </w:t>
      </w:r>
      <w:hyperlink r:id="rId42" w:history="1">
        <w:r w:rsidR="00D92D49" w:rsidRPr="00897436">
          <w:rPr>
            <w:rStyle w:val="Hyperlink"/>
            <w:rFonts w:ascii="Arial" w:hAnsi="Arial" w:cs="Arial"/>
            <w:sz w:val="22"/>
            <w:szCs w:val="22"/>
          </w:rPr>
          <w:t>https://doi.org/10.3390/en13195060</w:t>
        </w:r>
      </w:hyperlink>
    </w:p>
    <w:p w14:paraId="433D95F6" w14:textId="7EC7A93B" w:rsidR="008A2EDF" w:rsidRPr="00D92D49" w:rsidRDefault="008A2EDF" w:rsidP="00D92D49">
      <w:pPr>
        <w:pStyle w:val="ListParagraph"/>
        <w:numPr>
          <w:ilvl w:val="0"/>
          <w:numId w:val="36"/>
        </w:numPr>
        <w:rPr>
          <w:rFonts w:ascii="Arial" w:hAnsi="Arial" w:cs="Arial"/>
          <w:sz w:val="22"/>
          <w:szCs w:val="22"/>
        </w:rPr>
      </w:pPr>
      <w:r w:rsidRPr="00D92D49">
        <w:rPr>
          <w:rFonts w:ascii="Arial" w:hAnsi="Arial" w:cs="Arial"/>
          <w:sz w:val="22"/>
          <w:szCs w:val="22"/>
        </w:rPr>
        <w:t xml:space="preserve">Statista. (2023). Per capita electricity consumption in Nigeria from 2000 to 2022. </w:t>
      </w:r>
      <w:hyperlink r:id="rId43" w:history="1">
        <w:r w:rsidR="00D92D49" w:rsidRPr="00D92D49">
          <w:rPr>
            <w:rStyle w:val="Hyperlink"/>
            <w:rFonts w:ascii="Arial" w:hAnsi="Arial" w:cs="Arial"/>
            <w:sz w:val="22"/>
            <w:szCs w:val="22"/>
          </w:rPr>
          <w:t>https://www.statista.com/statistics/1306967/per-capita-electricity-demand-in-nigeria/</w:t>
        </w:r>
      </w:hyperlink>
    </w:p>
    <w:p w14:paraId="31C48BCD" w14:textId="77777777" w:rsidR="00B01FCD" w:rsidRPr="00FB3A86" w:rsidRDefault="00B01FCD" w:rsidP="00441B6F">
      <w:pPr>
        <w:pStyle w:val="Appendix"/>
        <w:spacing w:after="0"/>
        <w:jc w:val="both"/>
        <w:rPr>
          <w:rFonts w:ascii="Arial" w:hAnsi="Arial" w:cs="Arial"/>
          <w:b w:val="0"/>
        </w:rPr>
      </w:pPr>
    </w:p>
    <w:sectPr w:rsidR="00B01FCD" w:rsidRPr="00FB3A86" w:rsidSect="005E06F7">
      <w:headerReference w:type="even" r:id="rId44"/>
      <w:headerReference w:type="default" r:id="rId45"/>
      <w:footerReference w:type="default" r:id="rId46"/>
      <w:headerReference w:type="first" r:id="rId4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46722E" w14:textId="77777777" w:rsidR="002E3384" w:rsidRDefault="002E3384" w:rsidP="00C37E61">
      <w:r>
        <w:separator/>
      </w:r>
    </w:p>
  </w:endnote>
  <w:endnote w:type="continuationSeparator" w:id="0">
    <w:p w14:paraId="3042D522" w14:textId="77777777" w:rsidR="002E3384" w:rsidRDefault="002E338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9B37D" w14:textId="77777777" w:rsidR="005E06F7" w:rsidRDefault="005E06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E88EA" w14:textId="77777777" w:rsidR="005E06F7" w:rsidRDefault="005E06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4EC87" w14:textId="5123D8D4" w:rsidR="00754C9A" w:rsidRPr="00FF4AFB" w:rsidRDefault="00754C9A" w:rsidP="00FF4AFB">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6C595"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6AA25" w14:textId="77777777" w:rsidR="002E3384" w:rsidRDefault="002E3384" w:rsidP="00C37E61">
      <w:r>
        <w:separator/>
      </w:r>
    </w:p>
  </w:footnote>
  <w:footnote w:type="continuationSeparator" w:id="0">
    <w:p w14:paraId="7B6BCCEB" w14:textId="77777777" w:rsidR="002E3384" w:rsidRDefault="002E338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ECE5B" w14:textId="7A085D48" w:rsidR="005E06F7" w:rsidRDefault="005E06F7">
    <w:pPr>
      <w:pStyle w:val="Header"/>
    </w:pPr>
    <w:r>
      <w:rPr>
        <w:noProof/>
      </w:rPr>
      <w:pict w14:anchorId="002081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990266"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C7F21" w14:textId="4CCF7BEA" w:rsidR="005E06F7" w:rsidRDefault="005E06F7">
    <w:pPr>
      <w:pStyle w:val="Header"/>
    </w:pPr>
    <w:r>
      <w:rPr>
        <w:noProof/>
      </w:rPr>
      <w:pict w14:anchorId="4D5B90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990267"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4E6F8" w14:textId="4905602E" w:rsidR="00296529" w:rsidRPr="00296529" w:rsidRDefault="005E06F7" w:rsidP="00296529">
    <w:pPr>
      <w:ind w:left="2160"/>
      <w:jc w:val="center"/>
      <w:rPr>
        <w:rFonts w:ascii="Times New Roman" w:eastAsia="Calibri" w:hAnsi="Times New Roman"/>
        <w:i/>
        <w:sz w:val="18"/>
        <w:szCs w:val="22"/>
      </w:rPr>
    </w:pPr>
    <w:r>
      <w:rPr>
        <w:noProof/>
      </w:rPr>
      <w:pict w14:anchorId="14457E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990265"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20D602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62FA55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CE7ED2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880C6A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F50FEC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14C096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D3004" w14:textId="3BEB0F6B" w:rsidR="005E06F7" w:rsidRDefault="005E06F7">
    <w:pPr>
      <w:pStyle w:val="Header"/>
    </w:pPr>
    <w:r>
      <w:rPr>
        <w:noProof/>
      </w:rPr>
      <w:pict w14:anchorId="0E6E63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990269"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3CD48" w14:textId="703754DA" w:rsidR="005E06F7" w:rsidRDefault="005E06F7">
    <w:pPr>
      <w:pStyle w:val="Header"/>
    </w:pPr>
    <w:r>
      <w:rPr>
        <w:noProof/>
      </w:rPr>
      <w:pict w14:anchorId="65BF1F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990270"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5418B" w14:textId="36FECC3E" w:rsidR="005E06F7" w:rsidRDefault="005E06F7">
    <w:pPr>
      <w:pStyle w:val="Header"/>
    </w:pPr>
    <w:r>
      <w:rPr>
        <w:noProof/>
      </w:rPr>
      <w:pict w14:anchorId="710DBC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990268"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DD6CA7"/>
    <w:multiLevelType w:val="multilevel"/>
    <w:tmpl w:val="18CED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AFC349A"/>
    <w:multiLevelType w:val="multilevel"/>
    <w:tmpl w:val="53D45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C1738D"/>
    <w:multiLevelType w:val="hybridMultilevel"/>
    <w:tmpl w:val="41665174"/>
    <w:lvl w:ilvl="0" w:tplc="EEB4F728">
      <w:start w:val="1"/>
      <w:numFmt w:val="decimal"/>
      <w:lvlText w:val="%1"/>
      <w:lvlJc w:val="left"/>
      <w:pPr>
        <w:ind w:left="930" w:hanging="57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71846C7"/>
    <w:multiLevelType w:val="multilevel"/>
    <w:tmpl w:val="1E2A8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C65F2E"/>
    <w:multiLevelType w:val="multilevel"/>
    <w:tmpl w:val="62EC8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692A3C"/>
    <w:multiLevelType w:val="multilevel"/>
    <w:tmpl w:val="D2E6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30"/>
  </w:num>
  <w:num w:numId="10">
    <w:abstractNumId w:val="2"/>
  </w:num>
  <w:num w:numId="11">
    <w:abstractNumId w:val="23"/>
  </w:num>
  <w:num w:numId="12">
    <w:abstractNumId w:val="3"/>
  </w:num>
  <w:num w:numId="13">
    <w:abstractNumId w:val="22"/>
  </w:num>
  <w:num w:numId="14">
    <w:abstractNumId w:val="8"/>
  </w:num>
  <w:num w:numId="15">
    <w:abstractNumId w:val="26"/>
  </w:num>
  <w:num w:numId="16">
    <w:abstractNumId w:val="5"/>
  </w:num>
  <w:num w:numId="17">
    <w:abstractNumId w:val="27"/>
  </w:num>
  <w:num w:numId="18">
    <w:abstractNumId w:val="16"/>
  </w:num>
  <w:num w:numId="19">
    <w:abstractNumId w:val="34"/>
  </w:num>
  <w:num w:numId="20">
    <w:abstractNumId w:val="12"/>
  </w:num>
  <w:num w:numId="21">
    <w:abstractNumId w:val="9"/>
  </w:num>
  <w:num w:numId="22">
    <w:abstractNumId w:val="15"/>
  </w:num>
  <w:num w:numId="23">
    <w:abstractNumId w:val="24"/>
  </w:num>
  <w:num w:numId="24">
    <w:abstractNumId w:val="31"/>
  </w:num>
  <w:num w:numId="25">
    <w:abstractNumId w:val="4"/>
  </w:num>
  <w:num w:numId="26">
    <w:abstractNumId w:val="21"/>
  </w:num>
  <w:num w:numId="27">
    <w:abstractNumId w:val="25"/>
  </w:num>
  <w:num w:numId="28">
    <w:abstractNumId w:val="32"/>
  </w:num>
  <w:num w:numId="29">
    <w:abstractNumId w:val="29"/>
  </w:num>
  <w:num w:numId="30">
    <w:abstractNumId w:val="10"/>
  </w:num>
  <w:num w:numId="31">
    <w:abstractNumId w:val="18"/>
  </w:num>
  <w:num w:numId="32">
    <w:abstractNumId w:val="19"/>
  </w:num>
  <w:num w:numId="33">
    <w:abstractNumId w:val="33"/>
  </w:num>
  <w:num w:numId="34">
    <w:abstractNumId w:val="11"/>
  </w:num>
  <w:num w:numId="35">
    <w:abstractNumId w:val="13"/>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1C0C"/>
    <w:rsid w:val="00030174"/>
    <w:rsid w:val="0004579C"/>
    <w:rsid w:val="00081D0B"/>
    <w:rsid w:val="00086646"/>
    <w:rsid w:val="00087FDD"/>
    <w:rsid w:val="000A47FA"/>
    <w:rsid w:val="000A65D3"/>
    <w:rsid w:val="000B1E33"/>
    <w:rsid w:val="000D689F"/>
    <w:rsid w:val="000E7324"/>
    <w:rsid w:val="000E7B7B"/>
    <w:rsid w:val="000E7D62"/>
    <w:rsid w:val="00103357"/>
    <w:rsid w:val="00103412"/>
    <w:rsid w:val="00115525"/>
    <w:rsid w:val="00123C9F"/>
    <w:rsid w:val="00126190"/>
    <w:rsid w:val="00130F17"/>
    <w:rsid w:val="001320BF"/>
    <w:rsid w:val="0014496B"/>
    <w:rsid w:val="00151871"/>
    <w:rsid w:val="00163BC4"/>
    <w:rsid w:val="00191062"/>
    <w:rsid w:val="00192B72"/>
    <w:rsid w:val="001A29D8"/>
    <w:rsid w:val="001A5CAA"/>
    <w:rsid w:val="001A5FF5"/>
    <w:rsid w:val="001B0427"/>
    <w:rsid w:val="001D3A51"/>
    <w:rsid w:val="001E10D2"/>
    <w:rsid w:val="001E25B4"/>
    <w:rsid w:val="001E44FE"/>
    <w:rsid w:val="00200595"/>
    <w:rsid w:val="00200A0B"/>
    <w:rsid w:val="00200B42"/>
    <w:rsid w:val="00204835"/>
    <w:rsid w:val="00217FF4"/>
    <w:rsid w:val="00231920"/>
    <w:rsid w:val="0023195C"/>
    <w:rsid w:val="0024282C"/>
    <w:rsid w:val="002460DC"/>
    <w:rsid w:val="00250985"/>
    <w:rsid w:val="002556F6"/>
    <w:rsid w:val="00256627"/>
    <w:rsid w:val="00264B97"/>
    <w:rsid w:val="0028031C"/>
    <w:rsid w:val="00283105"/>
    <w:rsid w:val="00284C4C"/>
    <w:rsid w:val="0028793D"/>
    <w:rsid w:val="00287E68"/>
    <w:rsid w:val="00296529"/>
    <w:rsid w:val="002A5CB7"/>
    <w:rsid w:val="002B27FB"/>
    <w:rsid w:val="002B685A"/>
    <w:rsid w:val="002C33BF"/>
    <w:rsid w:val="002C57D2"/>
    <w:rsid w:val="002E0D56"/>
    <w:rsid w:val="002E3384"/>
    <w:rsid w:val="002E5C6E"/>
    <w:rsid w:val="00315186"/>
    <w:rsid w:val="00326B59"/>
    <w:rsid w:val="0033343E"/>
    <w:rsid w:val="003408EF"/>
    <w:rsid w:val="003512C2"/>
    <w:rsid w:val="00371FB6"/>
    <w:rsid w:val="003763C1"/>
    <w:rsid w:val="00376BBE"/>
    <w:rsid w:val="0039224F"/>
    <w:rsid w:val="003A43A4"/>
    <w:rsid w:val="003A7E18"/>
    <w:rsid w:val="003C3873"/>
    <w:rsid w:val="003C4054"/>
    <w:rsid w:val="003C4C86"/>
    <w:rsid w:val="003C6258"/>
    <w:rsid w:val="003E2904"/>
    <w:rsid w:val="00401927"/>
    <w:rsid w:val="0041027F"/>
    <w:rsid w:val="00412475"/>
    <w:rsid w:val="00414A28"/>
    <w:rsid w:val="00423789"/>
    <w:rsid w:val="00440F43"/>
    <w:rsid w:val="00441B6F"/>
    <w:rsid w:val="00446221"/>
    <w:rsid w:val="00450E62"/>
    <w:rsid w:val="0045392D"/>
    <w:rsid w:val="004539DB"/>
    <w:rsid w:val="00471A80"/>
    <w:rsid w:val="004D305E"/>
    <w:rsid w:val="004D4277"/>
    <w:rsid w:val="004E7419"/>
    <w:rsid w:val="00502516"/>
    <w:rsid w:val="00505F06"/>
    <w:rsid w:val="00506828"/>
    <w:rsid w:val="0053056E"/>
    <w:rsid w:val="00554FDA"/>
    <w:rsid w:val="005C2ADD"/>
    <w:rsid w:val="005C784C"/>
    <w:rsid w:val="005D0519"/>
    <w:rsid w:val="005D17F6"/>
    <w:rsid w:val="005E06F7"/>
    <w:rsid w:val="005E5539"/>
    <w:rsid w:val="00602BF5"/>
    <w:rsid w:val="00617FDD"/>
    <w:rsid w:val="00633614"/>
    <w:rsid w:val="00633F68"/>
    <w:rsid w:val="0063471C"/>
    <w:rsid w:val="00636EB2"/>
    <w:rsid w:val="006375B8"/>
    <w:rsid w:val="00645407"/>
    <w:rsid w:val="00654008"/>
    <w:rsid w:val="0066510A"/>
    <w:rsid w:val="006654C6"/>
    <w:rsid w:val="00673F9F"/>
    <w:rsid w:val="006743A7"/>
    <w:rsid w:val="00686953"/>
    <w:rsid w:val="00687DEA"/>
    <w:rsid w:val="00687E67"/>
    <w:rsid w:val="00695299"/>
    <w:rsid w:val="0069632E"/>
    <w:rsid w:val="006967F7"/>
    <w:rsid w:val="006A250C"/>
    <w:rsid w:val="006B21D3"/>
    <w:rsid w:val="006B57D0"/>
    <w:rsid w:val="006C4EC0"/>
    <w:rsid w:val="006C780E"/>
    <w:rsid w:val="006D30FF"/>
    <w:rsid w:val="006D6940"/>
    <w:rsid w:val="006E716E"/>
    <w:rsid w:val="006F11EC"/>
    <w:rsid w:val="006F3BE8"/>
    <w:rsid w:val="006F7842"/>
    <w:rsid w:val="0070082C"/>
    <w:rsid w:val="007369E6"/>
    <w:rsid w:val="00746E59"/>
    <w:rsid w:val="00754C9A"/>
    <w:rsid w:val="0075599A"/>
    <w:rsid w:val="00761D52"/>
    <w:rsid w:val="00771BC7"/>
    <w:rsid w:val="0077749E"/>
    <w:rsid w:val="00790ADA"/>
    <w:rsid w:val="007D2288"/>
    <w:rsid w:val="007E088F"/>
    <w:rsid w:val="007F7B32"/>
    <w:rsid w:val="00804BC2"/>
    <w:rsid w:val="00805651"/>
    <w:rsid w:val="0081431A"/>
    <w:rsid w:val="00815A98"/>
    <w:rsid w:val="0083216F"/>
    <w:rsid w:val="008372D6"/>
    <w:rsid w:val="00860000"/>
    <w:rsid w:val="00863BD3"/>
    <w:rsid w:val="008641ED"/>
    <w:rsid w:val="00866D66"/>
    <w:rsid w:val="008671C6"/>
    <w:rsid w:val="008714A0"/>
    <w:rsid w:val="00875803"/>
    <w:rsid w:val="008A2EDF"/>
    <w:rsid w:val="008B459E"/>
    <w:rsid w:val="008E13AE"/>
    <w:rsid w:val="008E1506"/>
    <w:rsid w:val="008E710C"/>
    <w:rsid w:val="008F69D6"/>
    <w:rsid w:val="00902823"/>
    <w:rsid w:val="009070A7"/>
    <w:rsid w:val="00915CA6"/>
    <w:rsid w:val="00922072"/>
    <w:rsid w:val="009243D7"/>
    <w:rsid w:val="00927834"/>
    <w:rsid w:val="00936A83"/>
    <w:rsid w:val="00944613"/>
    <w:rsid w:val="009500A6"/>
    <w:rsid w:val="009520E8"/>
    <w:rsid w:val="00957C18"/>
    <w:rsid w:val="009659BA"/>
    <w:rsid w:val="00977DB1"/>
    <w:rsid w:val="00983040"/>
    <w:rsid w:val="009A1D9D"/>
    <w:rsid w:val="009B3FB9"/>
    <w:rsid w:val="009C2465"/>
    <w:rsid w:val="009D35A0"/>
    <w:rsid w:val="009D7EB7"/>
    <w:rsid w:val="009E048A"/>
    <w:rsid w:val="009E08E9"/>
    <w:rsid w:val="009E3DB9"/>
    <w:rsid w:val="009E6E35"/>
    <w:rsid w:val="009F0EDA"/>
    <w:rsid w:val="009F1524"/>
    <w:rsid w:val="00A03B96"/>
    <w:rsid w:val="00A05B19"/>
    <w:rsid w:val="00A1134E"/>
    <w:rsid w:val="00A24E7E"/>
    <w:rsid w:val="00A258C3"/>
    <w:rsid w:val="00A347C0"/>
    <w:rsid w:val="00A429DB"/>
    <w:rsid w:val="00A51431"/>
    <w:rsid w:val="00A539AD"/>
    <w:rsid w:val="00A94063"/>
    <w:rsid w:val="00AA6219"/>
    <w:rsid w:val="00AA74E0"/>
    <w:rsid w:val="00AB703F"/>
    <w:rsid w:val="00AC5FC4"/>
    <w:rsid w:val="00AC6BB8"/>
    <w:rsid w:val="00AC7619"/>
    <w:rsid w:val="00AD3D6E"/>
    <w:rsid w:val="00AE008F"/>
    <w:rsid w:val="00AE27B3"/>
    <w:rsid w:val="00AF68D3"/>
    <w:rsid w:val="00B01FCD"/>
    <w:rsid w:val="00B14EE7"/>
    <w:rsid w:val="00B1776C"/>
    <w:rsid w:val="00B52583"/>
    <w:rsid w:val="00B52896"/>
    <w:rsid w:val="00B6000C"/>
    <w:rsid w:val="00B87651"/>
    <w:rsid w:val="00B95236"/>
    <w:rsid w:val="00B96BD9"/>
    <w:rsid w:val="00BA1B01"/>
    <w:rsid w:val="00BA2641"/>
    <w:rsid w:val="00BB37AA"/>
    <w:rsid w:val="00BC53A0"/>
    <w:rsid w:val="00BD68B8"/>
    <w:rsid w:val="00BE62AD"/>
    <w:rsid w:val="00BF121F"/>
    <w:rsid w:val="00BF1F80"/>
    <w:rsid w:val="00C11447"/>
    <w:rsid w:val="00C166EF"/>
    <w:rsid w:val="00C17EB0"/>
    <w:rsid w:val="00C27F5F"/>
    <w:rsid w:val="00C30A0F"/>
    <w:rsid w:val="00C37E61"/>
    <w:rsid w:val="00C60577"/>
    <w:rsid w:val="00C606AC"/>
    <w:rsid w:val="00C70F1B"/>
    <w:rsid w:val="00C71A47"/>
    <w:rsid w:val="00C7464C"/>
    <w:rsid w:val="00C85588"/>
    <w:rsid w:val="00CB54C1"/>
    <w:rsid w:val="00CD6755"/>
    <w:rsid w:val="00CD6856"/>
    <w:rsid w:val="00CE0089"/>
    <w:rsid w:val="00CE793C"/>
    <w:rsid w:val="00CF193C"/>
    <w:rsid w:val="00CF462B"/>
    <w:rsid w:val="00D11AE3"/>
    <w:rsid w:val="00D173F1"/>
    <w:rsid w:val="00D17670"/>
    <w:rsid w:val="00D20360"/>
    <w:rsid w:val="00D26D79"/>
    <w:rsid w:val="00D30B29"/>
    <w:rsid w:val="00D74CB0"/>
    <w:rsid w:val="00D7550C"/>
    <w:rsid w:val="00D8295D"/>
    <w:rsid w:val="00D9083E"/>
    <w:rsid w:val="00D92D49"/>
    <w:rsid w:val="00DC2A65"/>
    <w:rsid w:val="00DC6003"/>
    <w:rsid w:val="00DE15F0"/>
    <w:rsid w:val="00DE5663"/>
    <w:rsid w:val="00DE78AA"/>
    <w:rsid w:val="00E053D0"/>
    <w:rsid w:val="00E146DA"/>
    <w:rsid w:val="00E15994"/>
    <w:rsid w:val="00E3114E"/>
    <w:rsid w:val="00E31A70"/>
    <w:rsid w:val="00E35B02"/>
    <w:rsid w:val="00E571BE"/>
    <w:rsid w:val="00E66496"/>
    <w:rsid w:val="00E66B35"/>
    <w:rsid w:val="00E66E10"/>
    <w:rsid w:val="00E67416"/>
    <w:rsid w:val="00E769F6"/>
    <w:rsid w:val="00E8407C"/>
    <w:rsid w:val="00E84F3C"/>
    <w:rsid w:val="00EA012C"/>
    <w:rsid w:val="00EC6A55"/>
    <w:rsid w:val="00EC78A4"/>
    <w:rsid w:val="00ED0288"/>
    <w:rsid w:val="00ED34AB"/>
    <w:rsid w:val="00EE52CB"/>
    <w:rsid w:val="00EF581D"/>
    <w:rsid w:val="00EF7FD8"/>
    <w:rsid w:val="00F02799"/>
    <w:rsid w:val="00F03993"/>
    <w:rsid w:val="00F06F59"/>
    <w:rsid w:val="00F17988"/>
    <w:rsid w:val="00F27FC7"/>
    <w:rsid w:val="00F469F0"/>
    <w:rsid w:val="00F53273"/>
    <w:rsid w:val="00F61F63"/>
    <w:rsid w:val="00F755E4"/>
    <w:rsid w:val="00F77D02"/>
    <w:rsid w:val="00FA35BC"/>
    <w:rsid w:val="00FB3A86"/>
    <w:rsid w:val="00FD36C8"/>
    <w:rsid w:val="00FF4AFB"/>
    <w:rsid w:val="00FF5A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F0399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F03993"/>
    <w:rPr>
      <w:rFonts w:asciiTheme="majorHAnsi" w:eastAsiaTheme="majorEastAsia" w:hAnsiTheme="majorHAnsi" w:cstheme="majorBidi"/>
      <w:color w:val="243F60" w:themeColor="accent1" w:themeShade="7F"/>
      <w:sz w:val="24"/>
      <w:szCs w:val="24"/>
    </w:rPr>
  </w:style>
  <w:style w:type="paragraph" w:customStyle="1" w:styleId="Tables">
    <w:name w:val="Tables"/>
    <w:basedOn w:val="Caption"/>
    <w:link w:val="TablesChar"/>
    <w:qFormat/>
    <w:rsid w:val="00944613"/>
    <w:pPr>
      <w:keepNext/>
      <w:jc w:val="both"/>
    </w:pPr>
    <w:rPr>
      <w:rFonts w:ascii="Times New Roman" w:eastAsiaTheme="minorHAnsi" w:hAnsi="Times New Roman" w:cstheme="minorBidi"/>
      <w:color w:val="000000" w:themeColor="text1"/>
      <w:kern w:val="2"/>
      <w:sz w:val="24"/>
    </w:rPr>
  </w:style>
  <w:style w:type="character" w:customStyle="1" w:styleId="TablesChar">
    <w:name w:val="Tables Char"/>
    <w:basedOn w:val="DefaultParagraphFont"/>
    <w:link w:val="Tables"/>
    <w:rsid w:val="00944613"/>
    <w:rPr>
      <w:rFonts w:eastAsiaTheme="minorHAnsi" w:cstheme="minorBidi"/>
      <w:i/>
      <w:iCs/>
      <w:color w:val="000000" w:themeColor="text1"/>
      <w:kern w:val="2"/>
      <w:sz w:val="24"/>
      <w:szCs w:val="18"/>
    </w:rPr>
  </w:style>
  <w:style w:type="paragraph" w:styleId="Caption">
    <w:name w:val="caption"/>
    <w:basedOn w:val="Normal"/>
    <w:next w:val="Normal"/>
    <w:semiHidden/>
    <w:unhideWhenUsed/>
    <w:qFormat/>
    <w:rsid w:val="00944613"/>
    <w:pPr>
      <w:spacing w:after="200"/>
    </w:pPr>
    <w:rPr>
      <w:i/>
      <w:iCs/>
      <w:color w:val="1F497D" w:themeColor="text2"/>
      <w:sz w:val="18"/>
      <w:szCs w:val="18"/>
    </w:rPr>
  </w:style>
  <w:style w:type="paragraph" w:styleId="ListParagraph">
    <w:name w:val="List Paragraph"/>
    <w:basedOn w:val="Normal"/>
    <w:uiPriority w:val="34"/>
    <w:qFormat/>
    <w:rsid w:val="001518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1016/j.ijepes.2023.109103" TargetMode="External"/><Relationship Id="rId39" Type="http://schemas.openxmlformats.org/officeDocument/2006/relationships/hyperlink" Target="https://doi.org/10.2118/221681-MS" TargetMode="External"/><Relationship Id="rId21" Type="http://schemas.openxmlformats.org/officeDocument/2006/relationships/hyperlink" Target="https://doi.org/10.1016/j.enpol.2021.112260" TargetMode="External"/><Relationship Id="rId34" Type="http://schemas.openxmlformats.org/officeDocument/2006/relationships/hyperlink" Target="https://www.clarke-energy.com/us/heating-value/" TargetMode="External"/><Relationship Id="rId42" Type="http://schemas.openxmlformats.org/officeDocument/2006/relationships/hyperlink" Target="https://doi.org/10.3390/en13195060" TargetMode="External"/><Relationship Id="rId47"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doi.org/10.9734/jerr/2025/v27i121751" TargetMode="External"/><Relationship Id="rId11" Type="http://schemas.openxmlformats.org/officeDocument/2006/relationships/footer" Target="footer2.xml"/><Relationship Id="rId24" Type="http://schemas.openxmlformats.org/officeDocument/2006/relationships/hyperlink" Target="https://doi.org/10.1007/s44177-023-00045-5" TargetMode="External"/><Relationship Id="rId32" Type="http://schemas.openxmlformats.org/officeDocument/2006/relationships/hyperlink" Target="https://doi.org/10.1016/j.energy.2023.129757" TargetMode="External"/><Relationship Id="rId37" Type="http://schemas.openxmlformats.org/officeDocument/2006/relationships/hyperlink" Target="https://doi.org/10.1016/j.egyai.2025.100601" TargetMode="External"/><Relationship Id="rId40" Type="http://schemas.openxmlformats.org/officeDocument/2006/relationships/hyperlink" Target="https://doi.org/10.1016/j.sajce.2023.01.001" TargetMode="Externa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worldbank.org/en/programs/gasflaringreduction" TargetMode="External"/><Relationship Id="rId28" Type="http://schemas.openxmlformats.org/officeDocument/2006/relationships/hyperlink" Target="https://doi.org/10.1016/j.ins.2022.11.139" TargetMode="External"/><Relationship Id="rId36" Type="http://schemas.openxmlformats.org/officeDocument/2006/relationships/hyperlink" Target="https://doi.org/10.3390/su14137626"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thisdaylive.com/2025/04/12/nuprc-nigerias-oil-reserves-hit-37-28-billion-barrels-gas-210-54-tcf-in-2025/" TargetMode="External"/><Relationship Id="rId31" Type="http://schemas.openxmlformats.org/officeDocument/2006/relationships/hyperlink" Target="https://doi.org/10.1021/acsomega.1c05236"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20935/AL3799" TargetMode="External"/><Relationship Id="rId27" Type="http://schemas.openxmlformats.org/officeDocument/2006/relationships/hyperlink" Target="https://doi.org/10.1016/j.patrec.2009.09.011" TargetMode="External"/><Relationship Id="rId30" Type="http://schemas.openxmlformats.org/officeDocument/2006/relationships/hyperlink" Target="https://doi.org/10.3390/en16093962" TargetMode="External"/><Relationship Id="rId35" Type="http://schemas.openxmlformats.org/officeDocument/2006/relationships/hyperlink" Target="https://doi.org/10.3390/environments11070158" TargetMode="External"/><Relationship Id="rId43" Type="http://schemas.openxmlformats.org/officeDocument/2006/relationships/hyperlink" Target="https://www.statista.com/statistics/1306967/per-capita-electricity-demand-in-nigeria/" TargetMode="Externa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5281/zenodo.17686587" TargetMode="External"/><Relationship Id="rId33" Type="http://schemas.openxmlformats.org/officeDocument/2006/relationships/hyperlink" Target="https://doi.org/10.1016/j.ces.2025.121928" TargetMode="External"/><Relationship Id="rId38" Type="http://schemas.openxmlformats.org/officeDocument/2006/relationships/hyperlink" Target="https://doi.org/10.1016/j.petsci.2021.12.029" TargetMode="External"/><Relationship Id="rId46" Type="http://schemas.openxmlformats.org/officeDocument/2006/relationships/footer" Target="footer4.xml"/><Relationship Id="rId20" Type="http://schemas.openxmlformats.org/officeDocument/2006/relationships/hyperlink" Target="https://doi.org/10.1016/j.resourpol.2025.105721" TargetMode="External"/><Relationship Id="rId41" Type="http://schemas.openxmlformats.org/officeDocument/2006/relationships/hyperlink" Target="https://files01.core.ac.uk/download/pdf/186719088.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3393A-4C1B-46BC-8133-D7AF7FDAC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87</TotalTime>
  <Pages>14</Pages>
  <Words>6382</Words>
  <Characters>36378</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42675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103</cp:revision>
  <cp:lastPrinted>1999-07-06T11:00:00Z</cp:lastPrinted>
  <dcterms:created xsi:type="dcterms:W3CDTF">2014-10-25T14:34:00Z</dcterms:created>
  <dcterms:modified xsi:type="dcterms:W3CDTF">2026-01-20T12:02:00Z</dcterms:modified>
</cp:coreProperties>
</file>