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861" w:rsidRDefault="00AA6861">
      <w:pPr>
        <w:pStyle w:val="Title"/>
        <w:spacing w:after="0"/>
        <w:jc w:val="both"/>
        <w:rPr>
          <w:rFonts w:ascii="Arial" w:hAnsi="Arial" w:cs="Arial"/>
        </w:rPr>
      </w:pPr>
    </w:p>
    <w:p w:rsidR="00905287" w:rsidRPr="00CF2566" w:rsidRDefault="00905287">
      <w:pPr>
        <w:pStyle w:val="Author"/>
        <w:spacing w:line="240" w:lineRule="auto"/>
        <w:rPr>
          <w:rFonts w:ascii="Arial" w:hAnsi="Arial" w:cs="Arial"/>
          <w:bCs/>
          <w:iCs/>
          <w:kern w:val="28"/>
          <w:sz w:val="36"/>
        </w:rPr>
      </w:pPr>
      <w:bookmarkStart w:id="0" w:name="_Hlk140842584"/>
      <w:bookmarkStart w:id="1" w:name="_Hlk140842555"/>
      <w:r w:rsidRPr="00CF2566">
        <w:rPr>
          <w:rFonts w:ascii="Arial" w:hAnsi="Arial" w:cs="Arial"/>
          <w:bCs/>
          <w:iCs/>
          <w:kern w:val="28"/>
          <w:sz w:val="36"/>
        </w:rPr>
        <w:t>Review Article</w:t>
      </w:r>
    </w:p>
    <w:p w:rsidR="00AA6861" w:rsidRPr="00CF2566" w:rsidRDefault="00397A73">
      <w:pPr>
        <w:pStyle w:val="Author"/>
        <w:spacing w:line="240" w:lineRule="auto"/>
        <w:rPr>
          <w:rFonts w:ascii="Arial" w:hAnsi="Arial" w:cs="Arial"/>
          <w:bCs/>
          <w:iCs/>
          <w:kern w:val="28"/>
          <w:sz w:val="36"/>
        </w:rPr>
      </w:pPr>
      <w:r w:rsidRPr="00CF2566">
        <w:rPr>
          <w:rFonts w:ascii="Arial" w:hAnsi="Arial" w:cs="Arial" w:hint="eastAsia"/>
          <w:bCs/>
          <w:iCs/>
          <w:kern w:val="28"/>
          <w:sz w:val="36"/>
        </w:rPr>
        <w:t>Application of X-ray Diffraction Technology in the Analysis of Cement-Based Materials</w:t>
      </w:r>
    </w:p>
    <w:p w:rsidR="00AA6861" w:rsidRPr="00CF2566" w:rsidRDefault="00AA6861">
      <w:pPr>
        <w:pStyle w:val="Author"/>
        <w:spacing w:line="240" w:lineRule="auto"/>
        <w:jc w:val="both"/>
        <w:rPr>
          <w:rFonts w:ascii="Arial" w:hAnsi="Arial" w:cs="Arial"/>
          <w:sz w:val="36"/>
        </w:rPr>
      </w:pPr>
    </w:p>
    <w:bookmarkEnd w:id="0"/>
    <w:p w:rsidR="00AA6861" w:rsidRPr="00CF2566" w:rsidRDefault="00397A73">
      <w:pPr>
        <w:pStyle w:val="Copyright"/>
        <w:spacing w:after="0" w:line="240" w:lineRule="auto"/>
        <w:jc w:val="both"/>
        <w:rPr>
          <w:rFonts w:ascii="Arial" w:hAnsi="Arial" w:cs="Arial"/>
        </w:rPr>
        <w:sectPr w:rsidR="00AA6861" w:rsidRPr="00CF2566" w:rsidSect="00600662">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sidRPr="00CF2566">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sidRPr="00CF2566">
        <w:rPr>
          <w:rFonts w:ascii="Arial" w:hAnsi="Arial" w:cs="Arial"/>
        </w:rPr>
        <w:t>.</w:t>
      </w:r>
    </w:p>
    <w:p w:rsidR="00AA6861" w:rsidRPr="00CF2566" w:rsidRDefault="00397A73">
      <w:pPr>
        <w:pStyle w:val="AbstHead"/>
        <w:spacing w:after="0"/>
        <w:jc w:val="both"/>
        <w:rPr>
          <w:rFonts w:ascii="Arial" w:hAnsi="Arial" w:cs="Arial"/>
        </w:rPr>
      </w:pPr>
      <w:r w:rsidRPr="00CF2566">
        <w:rPr>
          <w:rFonts w:ascii="Arial" w:hAnsi="Arial" w:cs="Arial"/>
        </w:rPr>
        <w:t xml:space="preserve">ABSTRACT </w:t>
      </w:r>
    </w:p>
    <w:bookmarkEnd w:id="1"/>
    <w:p w:rsidR="00AA6861" w:rsidRPr="00CF2566" w:rsidRDefault="00AA6861">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AA6861" w:rsidRPr="00CF2566">
        <w:trPr>
          <w:trHeight w:val="2602"/>
        </w:trPr>
        <w:tc>
          <w:tcPr>
            <w:tcW w:w="8549" w:type="dxa"/>
            <w:shd w:val="clear" w:color="auto" w:fill="F2F2F2"/>
          </w:tcPr>
          <w:p w:rsidR="00AA6861" w:rsidRPr="00CF2566" w:rsidRDefault="00397A73">
            <w:pPr>
              <w:pStyle w:val="Body"/>
              <w:spacing w:after="0"/>
              <w:rPr>
                <w:rFonts w:ascii="Arial" w:hAnsi="Arial" w:cs="Arial"/>
                <w:szCs w:val="22"/>
                <w:lang w:eastAsia="zh-CN"/>
              </w:rPr>
            </w:pPr>
            <w:r w:rsidRPr="00CF2566">
              <w:rPr>
                <w:rFonts w:ascii="Arial" w:eastAsia="Calibri" w:hAnsi="Arial" w:cs="Arial" w:hint="eastAsia"/>
                <w:szCs w:val="22"/>
              </w:rPr>
              <w:t xml:space="preserve">The application of X-ray diffraction (XRD) technology in analyzing high-temperature sintered products can provide detailed crystallographic information and phase analysis. By preparing scanned samples, the X-ray beam interacts with the sample to produce diffraction patterns, which can be used to determine crystal structure, lattice parameters, and relative crystal orientation. Through X-ray diffraction analysis, we can understand key parameters of crystals in high-temperature sintered products, such as relative abundance, particle size, and morphology. X-ray diffraction technology has significant value in the quantitative analysis of cement-based materials. Using this technology, we can accurately quantify substances such as cement clinker, gypsum, and mineral admixtures, gaining insight into their composition, structure, and properties, thus providing strong technical support for cement production and application. </w:t>
            </w:r>
          </w:p>
        </w:tc>
      </w:tr>
    </w:tbl>
    <w:p w:rsidR="00AA6861" w:rsidRPr="00CF2566" w:rsidRDefault="00AA6861">
      <w:pPr>
        <w:pStyle w:val="Body"/>
        <w:spacing w:after="0"/>
        <w:rPr>
          <w:rFonts w:ascii="Arial" w:hAnsi="Arial" w:cs="Arial"/>
          <w:i/>
          <w:lang w:eastAsia="zh-CN"/>
        </w:rPr>
      </w:pPr>
    </w:p>
    <w:p w:rsidR="00AA6861" w:rsidRPr="00CF2566" w:rsidRDefault="00397A73">
      <w:pPr>
        <w:pStyle w:val="Body"/>
        <w:ind w:left="1000" w:hangingChars="500" w:hanging="1000"/>
        <w:rPr>
          <w:rFonts w:ascii="Arial" w:hAnsi="Arial" w:cs="Arial"/>
          <w:i/>
        </w:rPr>
      </w:pPr>
      <w:r w:rsidRPr="00CF2566">
        <w:rPr>
          <w:rFonts w:ascii="Arial" w:hAnsi="Arial" w:cs="Arial"/>
          <w:i/>
        </w:rPr>
        <w:t xml:space="preserve">Keywords: </w:t>
      </w:r>
      <w:r w:rsidRPr="00CF2566">
        <w:rPr>
          <w:rFonts w:ascii="Arial" w:hAnsi="Arial" w:cs="Arial" w:hint="eastAsia"/>
          <w:i/>
        </w:rPr>
        <w:t>X-ray diffraction technology; XRD instrument parameter settings; XRD pattern analysis;</w:t>
      </w:r>
    </w:p>
    <w:p w:rsidR="00AA6861" w:rsidRPr="00CF2566" w:rsidRDefault="00AA6861">
      <w:pPr>
        <w:pStyle w:val="Body"/>
        <w:spacing w:after="0"/>
        <w:rPr>
          <w:rFonts w:ascii="Arial" w:hAnsi="Arial" w:cs="Arial"/>
          <w:i/>
        </w:rPr>
      </w:pPr>
    </w:p>
    <w:p w:rsidR="00AA6861" w:rsidRPr="00CF2566" w:rsidRDefault="00397A73">
      <w:pPr>
        <w:pStyle w:val="AbstHead"/>
        <w:numPr>
          <w:ilvl w:val="0"/>
          <w:numId w:val="2"/>
        </w:numPr>
        <w:spacing w:after="0"/>
        <w:jc w:val="both"/>
        <w:rPr>
          <w:rFonts w:ascii="Arial" w:hAnsi="Arial" w:cs="Arial"/>
        </w:rPr>
      </w:pPr>
      <w:r w:rsidRPr="00CF2566">
        <w:rPr>
          <w:rFonts w:ascii="Arial" w:hAnsi="Arial" w:cs="Arial"/>
        </w:rPr>
        <w:t>INTRODUCTION</w:t>
      </w:r>
    </w:p>
    <w:p w:rsidR="00AA6861" w:rsidRPr="00CF2566" w:rsidRDefault="00AA6861">
      <w:pPr>
        <w:pStyle w:val="AbstHead"/>
        <w:spacing w:after="0"/>
        <w:ind w:left="360"/>
        <w:jc w:val="both"/>
        <w:rPr>
          <w:rFonts w:ascii="Arial" w:hAnsi="Arial" w:cs="Arial"/>
          <w:lang w:eastAsia="zh-CN"/>
        </w:rPr>
      </w:pPr>
    </w:p>
    <w:p w:rsidR="00AA6861" w:rsidRPr="00CF2566" w:rsidRDefault="00397A73">
      <w:pPr>
        <w:pStyle w:val="Body"/>
        <w:spacing w:after="0"/>
        <w:rPr>
          <w:rFonts w:ascii="Arial" w:hAnsi="Arial" w:cs="Arial"/>
        </w:rPr>
      </w:pPr>
      <w:r w:rsidRPr="00CF2566">
        <w:rPr>
          <w:rFonts w:ascii="Arial" w:hAnsi="Arial" w:cs="Arial" w:hint="eastAsia"/>
        </w:rPr>
        <w:t xml:space="preserve">Cement-based materials are indispensable core foundational materials in the field of modern architecture and civil engineering, and they are also typical complex systems interwoven with multiple phases, multiple components, and multiple scales. The complexity of their composition and structure poses numerous challenges to the evaluation of material properties. Taking ordinary Portland cement paste as an example, before the initiation of the hydration reaction, the system already contains a variety of mineral phases with different chemical compositions and crystal structures, mainly including tricalcium silicate (C3S), dicalcium silicate (C2S), tricalcium aluminate (C3A), and </w:t>
      </w:r>
      <w:proofErr w:type="spellStart"/>
      <w:r w:rsidRPr="00CF2566">
        <w:rPr>
          <w:rFonts w:ascii="Arial" w:hAnsi="Arial" w:cs="Arial" w:hint="eastAsia"/>
        </w:rPr>
        <w:t>tetracalcium</w:t>
      </w:r>
      <w:proofErr w:type="spellEnd"/>
      <w:r w:rsidRPr="00CF2566">
        <w:rPr>
          <w:rFonts w:ascii="Arial" w:hAnsi="Arial" w:cs="Arial" w:hint="eastAsia"/>
        </w:rPr>
        <w:t xml:space="preserve"> </w:t>
      </w:r>
      <w:proofErr w:type="spellStart"/>
      <w:r w:rsidRPr="00CF2566">
        <w:rPr>
          <w:rFonts w:ascii="Arial" w:hAnsi="Arial" w:cs="Arial" w:hint="eastAsia"/>
        </w:rPr>
        <w:t>aluminoferrite</w:t>
      </w:r>
      <w:proofErr w:type="spellEnd"/>
      <w:r w:rsidRPr="00CF2566">
        <w:rPr>
          <w:rFonts w:ascii="Arial" w:hAnsi="Arial" w:cs="Arial" w:hint="eastAsia"/>
        </w:rPr>
        <w:t xml:space="preserve"> (C4AF), supplemented by gypsum as a set-retarding component. These mineral phases coexist in different proportions, forming the initial framework of the cement paste. When the mineral phases come into contact with water, the hydration reaction occurs immediately, generating crystalline phases such as calcium hydroxide (CH) and ettringite (Aft), accompanied by the production of a large amount of amorphous C</w:t>
      </w:r>
      <w:r w:rsidRPr="00CF2566">
        <w:rPr>
          <w:rFonts w:ascii="Arial" w:hAnsi="Arial" w:cs="Arial" w:hint="eastAsia"/>
        </w:rPr>
        <w:t>–</w:t>
      </w:r>
      <w:r w:rsidRPr="00CF2566">
        <w:rPr>
          <w:rFonts w:ascii="Arial" w:hAnsi="Arial" w:cs="Arial" w:hint="eastAsia"/>
        </w:rPr>
        <w:t>S</w:t>
      </w:r>
      <w:r w:rsidRPr="00CF2566">
        <w:rPr>
          <w:rFonts w:ascii="Arial" w:hAnsi="Arial" w:cs="Arial" w:hint="eastAsia"/>
        </w:rPr>
        <w:t>–</w:t>
      </w:r>
      <w:r w:rsidRPr="00CF2566">
        <w:rPr>
          <w:rFonts w:ascii="Arial" w:hAnsi="Arial" w:cs="Arial" w:hint="eastAsia"/>
        </w:rPr>
        <w:t>H gel phase. These hydration products interweave and overlap, forming a dynamically changing microstructure.</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hint="eastAsia"/>
        </w:rPr>
        <w:t xml:space="preserve">In addition to the aforementioned inorganic phase components, artificially added chemical admixtures further increase the complexity of the system. During the cement production stage, grinding aids added to improve grinding efficiency, as well as superplasticizers and set retarders incorporated during the concrete mixing process to enhance workability and adjust setting time, all belong to organic components. They may undergo physical adsorption or chemical reactions with inorganic mineral phases and hydration products, thereby affecting the reaction process of the system. When considering commonly used cement admixtures and concrete </w:t>
      </w:r>
      <w:r w:rsidRPr="00CF2566">
        <w:rPr>
          <w:rFonts w:ascii="Arial" w:hAnsi="Arial" w:cs="Arial" w:hint="eastAsia"/>
        </w:rPr>
        <w:lastRenderedPageBreak/>
        <w:t>admixtures in engineering, such as highly active silica fume, fly ash requiring secondary hydration, and slag, the incorporation of these components not only changes the initial component ratio of the system but also their secondary reactions with cement hydration products form new product phases. This makes the composition, structure, and reaction mechanism of the entire cement-based material system more complex, exhibiting multi-dimensional and multi-scale complex characteristics.</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lang w:eastAsia="zh-CN"/>
        </w:rPr>
      </w:pPr>
      <w:r w:rsidRPr="00CF2566">
        <w:rPr>
          <w:rFonts w:ascii="Arial" w:hAnsi="Arial" w:cs="Arial" w:hint="eastAsia"/>
          <w:lang w:eastAsia="zh-CN"/>
        </w:rPr>
        <w:t>The stability of performance and reliability of quality of cement-based materials, as the cornerstone of modern construction and civil engineering, directly determine the long-term stable operation and safety performance of engineering projects. Their performance directly affects the durability, load-bearing capacity and service life of structures, so conducting accurate quantitative analysis on them and precisely grasping the intrinsic correlation between composition, microstructure, and macroscopic performance are core keys to ensuring engineering quality and reducing potential safety hazards. Among numerous analytical technologies, X-ray diffraction (XRD) technology has been widely applied in the quantitative analysis of cement-based materials due to its unique advantages of non-destructiveness, high precision and efficiency. The core principle of this technology is based on the interaction and diffraction phenomenon between X-rays and the periodic lattice of crystals in the sample [1]. By scanning the X-ray beam uniformly on the sample surface, characteristic diffraction patterns with specific peak positions and intensities can be obtained. Through the systematic analysis and data processing of the diffraction patterns, the specific structure, relative orientation, lattice parameters, and other key properties of the crystals present in the sample can be accurately determined. Furthermore, important information such as the relative abundance, particle size, and crystal morphology of the products can be obtained, providing strong and reliable technical support for in-depth analysis of material microstructure and mechanism research.</w:t>
      </w:r>
    </w:p>
    <w:p w:rsidR="00AA6861" w:rsidRPr="00CF2566" w:rsidRDefault="00AA6861">
      <w:pPr>
        <w:pStyle w:val="Body"/>
        <w:spacing w:after="0"/>
        <w:rPr>
          <w:rFonts w:ascii="Arial" w:hAnsi="Arial" w:cs="Arial"/>
          <w:lang w:eastAsia="zh-CN"/>
        </w:rPr>
      </w:pPr>
    </w:p>
    <w:p w:rsidR="00AA6861" w:rsidRPr="00CF2566" w:rsidRDefault="00397A73">
      <w:pPr>
        <w:pStyle w:val="Body"/>
        <w:spacing w:after="0"/>
        <w:rPr>
          <w:rFonts w:ascii="Arial" w:hAnsi="Arial" w:cs="Arial"/>
          <w:lang w:eastAsia="zh-CN"/>
        </w:rPr>
      </w:pPr>
      <w:r w:rsidRPr="00CF2566">
        <w:rPr>
          <w:rFonts w:ascii="Arial" w:hAnsi="Arial" w:cs="Arial"/>
          <w:lang w:eastAsia="zh-CN"/>
        </w:rPr>
        <w:t>Compared with other analytical technologies such as chemical titration and thermogravimetric analysis, X-ray diffraction (XRD) technology has significant advantages of high precision, high efficiency, and non-destructive testing. Unlike chemical titration which is prone to interference from impurity components and thermogravimetric analysis that can only reflect weight changes of specific phases, XRD technology can not only realize the accurate qualitative identification of various crystalline phases in complex cement-based materials but also complete reliable quantitative analysis. A prominent advantage of this technology is that it avoids irreversible damage to the sample during the testing process, allowing the same sample to be used for subsequent multi-dimensional analysis. At the same time, it can quickly obtain accurate diffraction data through automated scanning and data processing, greatly shortening the analysis cycle and improving research efficiency. After years of continuous exploration, practice and accumulation by scientific researchers in the field of materials science, a relatively complete and standardized database corresponding to cement phase structures has been established. This database systematically covers standard diffraction data of main mineral phases in cement clinker (such as C3S, C2S), various hydration product phases (including CH, Aft) and common mineral admixture phases (like silica fume, fly ash), which provides a solid and reliable theoretical and data foundation for the accurate qualitative and quantitative analysis of phases in cement clinker production quality control and mineral admixture application research [2][3].</w:t>
      </w:r>
    </w:p>
    <w:p w:rsidR="00AA6861" w:rsidRPr="00CF2566" w:rsidRDefault="00AA6861">
      <w:pPr>
        <w:pStyle w:val="Body"/>
        <w:spacing w:after="0"/>
        <w:rPr>
          <w:rFonts w:ascii="Arial" w:hAnsi="Arial" w:cs="Arial"/>
          <w:lang w:eastAsia="zh-CN"/>
        </w:rPr>
      </w:pPr>
    </w:p>
    <w:p w:rsidR="00AA6861" w:rsidRPr="00CF2566" w:rsidRDefault="00397A73">
      <w:pPr>
        <w:pStyle w:val="Body"/>
        <w:spacing w:after="0"/>
        <w:rPr>
          <w:rFonts w:ascii="Arial" w:hAnsi="Arial" w:cs="Arial"/>
          <w:lang w:eastAsia="zh-CN"/>
        </w:rPr>
      </w:pPr>
      <w:r w:rsidRPr="00CF2566">
        <w:rPr>
          <w:rFonts w:ascii="Arial" w:hAnsi="Arial" w:cs="Arial"/>
          <w:lang w:eastAsia="zh-CN"/>
        </w:rPr>
        <w:t xml:space="preserve">In recent years, with the continuous upgrading of testing technology, the application scenarios of X-ray diffraction technology in the quantitative analysis of cement-based materials have continued to expand. It can not only be used for quality control in the cement clinker production process, accurately detecting the content of each mineral phase in the clinker to ensure clinker quality, but also for dynamic monitoring of the hydration process, real-time tracking the formation and evolution law of hydration products to reveal the hydration mechanism. At the same time, it also plays an important role in the performance evaluation of cement-based </w:t>
      </w:r>
      <w:r w:rsidRPr="00CF2566">
        <w:rPr>
          <w:rFonts w:ascii="Arial" w:hAnsi="Arial" w:cs="Arial"/>
          <w:lang w:eastAsia="zh-CN"/>
        </w:rPr>
        <w:lastRenderedPageBreak/>
        <w:t>materials during the service stage. By analyzing the changes of phases during aging, corrosion, and other processes, it provides data support for the evaluation of material durability and life prediction. This paper will review the quantitative analysis principle of X-ray diffraction technology, its application methods in different research scenarios of cement-based materials, technical advantages and limitations, and look forward to its future development trends, aiming to provide reference for research and engineering practice in related fields.</w:t>
      </w:r>
    </w:p>
    <w:p w:rsidR="00AA6861" w:rsidRPr="00CF2566" w:rsidRDefault="00AA6861">
      <w:pPr>
        <w:pStyle w:val="Body"/>
        <w:spacing w:after="0"/>
        <w:rPr>
          <w:rFonts w:ascii="Arial" w:hAnsi="Arial" w:cs="Arial"/>
          <w:lang w:eastAsia="zh-CN"/>
        </w:rPr>
      </w:pPr>
    </w:p>
    <w:p w:rsidR="00AA6861" w:rsidRPr="00CF2566" w:rsidRDefault="00397A73">
      <w:pPr>
        <w:pStyle w:val="AbstHead"/>
        <w:numPr>
          <w:ilvl w:val="0"/>
          <w:numId w:val="2"/>
        </w:numPr>
        <w:spacing w:after="0"/>
        <w:jc w:val="both"/>
        <w:rPr>
          <w:rFonts w:ascii="Arial" w:hAnsi="Arial" w:cs="Arial"/>
          <w:lang w:eastAsia="zh-CN"/>
        </w:rPr>
      </w:pPr>
      <w:r w:rsidRPr="00CF2566">
        <w:rPr>
          <w:rFonts w:ascii="Arial" w:hAnsi="Arial" w:cs="Arial" w:hint="eastAsia"/>
          <w:lang w:eastAsia="zh-CN"/>
        </w:rPr>
        <w:t>Principles of X-ray Diffraction and Sample Preparation</w:t>
      </w:r>
    </w:p>
    <w:p w:rsidR="00AA6861" w:rsidRPr="00CF2566" w:rsidRDefault="00AA6861">
      <w:pPr>
        <w:pStyle w:val="AbstHead"/>
        <w:spacing w:after="0"/>
        <w:jc w:val="both"/>
        <w:rPr>
          <w:rFonts w:ascii="Arial" w:hAnsi="Arial" w:cs="Arial"/>
          <w:lang w:eastAsia="zh-CN"/>
        </w:rPr>
      </w:pPr>
    </w:p>
    <w:p w:rsidR="00AA6861" w:rsidRPr="00CF2566" w:rsidRDefault="00397A73">
      <w:pPr>
        <w:pStyle w:val="AbstHead"/>
        <w:numPr>
          <w:ilvl w:val="1"/>
          <w:numId w:val="2"/>
        </w:numPr>
        <w:spacing w:after="0"/>
        <w:jc w:val="both"/>
        <w:rPr>
          <w:rFonts w:ascii="Arial" w:hAnsi="Arial" w:cs="Arial"/>
          <w:caps w:val="0"/>
        </w:rPr>
      </w:pPr>
      <w:r w:rsidRPr="00CF2566">
        <w:rPr>
          <w:rFonts w:ascii="Arial" w:hAnsi="Arial" w:cs="Arial" w:hint="eastAsia"/>
          <w:caps w:val="0"/>
          <w:lang w:eastAsia="zh-CN"/>
        </w:rPr>
        <w:t>Principles of X-ray Diffraction</w:t>
      </w:r>
    </w:p>
    <w:p w:rsidR="00AA6861" w:rsidRPr="00CF2566" w:rsidRDefault="00AA6861">
      <w:pPr>
        <w:pStyle w:val="Body"/>
        <w:spacing w:after="0"/>
        <w:rPr>
          <w:rFonts w:ascii="Arial" w:hAnsi="Arial" w:cs="Arial"/>
          <w:lang w:eastAsia="zh-CN"/>
        </w:rPr>
      </w:pPr>
    </w:p>
    <w:p w:rsidR="00AA6861" w:rsidRPr="00CF2566" w:rsidRDefault="00397A73">
      <w:pPr>
        <w:pStyle w:val="Body"/>
        <w:spacing w:after="0"/>
        <w:rPr>
          <w:rFonts w:ascii="Arial" w:hAnsi="Arial" w:cs="Arial"/>
        </w:rPr>
      </w:pPr>
      <w:r w:rsidRPr="00CF2566">
        <w:rPr>
          <w:rFonts w:ascii="Arial" w:hAnsi="Arial" w:cs="Arial" w:hint="eastAsia"/>
        </w:rPr>
        <w:t>X-rays are a type of electromagnetic wave or electromagnetic radiation that is essentially the same as visible light, except that X-rays are produced by the interaction of high-speed charged particles with the inner electrons of atoms in matter. Therefore, they have high energy, short wavelengths (</w:t>
      </w:r>
      <w:r w:rsidRPr="00CF2566">
        <w:rPr>
          <w:rFonts w:ascii="Arial" w:hAnsi="Arial" w:cs="Arial" w:hint="eastAsia"/>
        </w:rPr>
        <w:t>λ</w:t>
      </w:r>
      <w:r w:rsidRPr="00CF2566">
        <w:rPr>
          <w:rFonts w:ascii="Arial" w:hAnsi="Arial" w:cs="Arial" w:hint="eastAsia"/>
        </w:rPr>
        <w:t xml:space="preserve"> = 10^</w:t>
      </w:r>
      <w:r w:rsidRPr="00CF2566">
        <w:rPr>
          <w:rFonts w:ascii="Arial" w:hAnsi="Arial" w:cs="Arial" w:hint="eastAsia"/>
          <w:vertAlign w:val="superscript"/>
        </w:rPr>
        <w:t>-8</w:t>
      </w:r>
      <w:r w:rsidRPr="00CF2566">
        <w:rPr>
          <w:rFonts w:ascii="Arial" w:hAnsi="Arial" w:cs="Arial" w:hint="eastAsia"/>
        </w:rPr>
        <w:t>~10^</w:t>
      </w:r>
      <w:r w:rsidRPr="00CF2566">
        <w:rPr>
          <w:rFonts w:ascii="Arial" w:hAnsi="Arial" w:cs="Arial" w:hint="eastAsia"/>
          <w:vertAlign w:val="superscript"/>
        </w:rPr>
        <w:t>-11</w:t>
      </w:r>
      <w:r w:rsidRPr="00CF2566">
        <w:rPr>
          <w:rFonts w:ascii="Arial" w:hAnsi="Arial" w:cs="Arial" w:hint="eastAsia"/>
        </w:rPr>
        <w:t xml:space="preserve"> m), and strong penetrating ability. The X-ray generation device mainly consists of an X-ray tube, a high-voltage transformer, voltage and current regulation, and a stabilization system. Among these, the X-ray tube is the core component of the X-ray generation device. [</w:t>
      </w:r>
      <w:r w:rsidRPr="00CF2566">
        <w:rPr>
          <w:rFonts w:ascii="Arial" w:hAnsi="Arial" w:cs="Arial" w:hint="eastAsia"/>
          <w:lang w:eastAsia="zh-CN"/>
        </w:rPr>
        <w:t>4</w:t>
      </w:r>
      <w:r w:rsidRPr="00CF2566">
        <w:rPr>
          <w:rFonts w:ascii="Arial" w:hAnsi="Arial" w:cs="Arial" w:hint="eastAsia"/>
        </w:rPr>
        <w:t xml:space="preserve">]X-ray diffraction is a method used to analyze material structures. Its principle is that when X-rays pass through a substance, they are scattered, and the scattered rays produce interference, forming a diffraction pattern. These diffraction patterns can provide information about the crystal structure of materials. The principle of X-ray diffraction is based on geometrical optics and Bragg's law. </w:t>
      </w:r>
      <w:r w:rsidRPr="00CF2566">
        <w:rPr>
          <w:rFonts w:ascii="Arial" w:hAnsi="Arial" w:cs="Arial" w:hint="eastAsia"/>
          <w:lang w:eastAsia="zh-CN"/>
        </w:rPr>
        <w:t>[</w:t>
      </w:r>
      <w:proofErr w:type="gramStart"/>
      <w:r w:rsidRPr="00CF2566">
        <w:rPr>
          <w:rFonts w:ascii="Arial" w:hAnsi="Arial" w:cs="Arial" w:hint="eastAsia"/>
          <w:lang w:eastAsia="zh-CN"/>
        </w:rPr>
        <w:t>5]</w:t>
      </w:r>
      <w:r w:rsidRPr="00CF2566">
        <w:rPr>
          <w:rFonts w:ascii="Arial" w:hAnsi="Arial" w:cs="Arial" w:hint="eastAsia"/>
        </w:rPr>
        <w:t>When</w:t>
      </w:r>
      <w:proofErr w:type="gramEnd"/>
      <w:r w:rsidRPr="00CF2566">
        <w:rPr>
          <w:rFonts w:ascii="Arial" w:hAnsi="Arial" w:cs="Arial" w:hint="eastAsia"/>
        </w:rPr>
        <w:t xml:space="preserve"> X-rays pass through a material structure, they interact with the electron clouds of atoms, producing diffraction phenomena. The wavelength, angle, and intensity of these diffracted rays can be calculated using Bragg's law. According to Bragg's law, when incident rays strike a crystal surface at a certain angle, the reflected rays will interfere at a specific angle, forming an interference pattern. This pattern reflects the periodic structural information of the crystal and can therefore be used to analyze the crystal </w:t>
      </w:r>
      <w:proofErr w:type="gramStart"/>
      <w:r w:rsidRPr="00CF2566">
        <w:rPr>
          <w:rFonts w:ascii="Arial" w:hAnsi="Arial" w:cs="Arial" w:hint="eastAsia"/>
        </w:rPr>
        <w:t>structure.</w:t>
      </w:r>
      <w:r w:rsidRPr="00CF2566">
        <w:rPr>
          <w:rFonts w:ascii="Arial" w:hAnsi="Arial" w:cs="Arial" w:hint="eastAsia"/>
          <w:lang w:eastAsia="zh-CN"/>
        </w:rPr>
        <w:t>[</w:t>
      </w:r>
      <w:proofErr w:type="gramEnd"/>
      <w:r w:rsidRPr="00CF2566">
        <w:rPr>
          <w:rFonts w:ascii="Arial" w:hAnsi="Arial" w:cs="Arial" w:hint="eastAsia"/>
          <w:lang w:eastAsia="zh-CN"/>
        </w:rPr>
        <w:t>6]</w:t>
      </w:r>
      <w:r w:rsidRPr="00CF2566">
        <w:rPr>
          <w:rFonts w:ascii="Arial" w:hAnsi="Arial" w:cs="Arial" w:hint="eastAsia"/>
        </w:rPr>
        <w:t>In practical applications, X-ray diffraction can be used to study the crystal structures of various materials, such as metals, ceramics, biomolecules, and crystalline materials. X-ray diffraction analysis methods are commonly used in material characterization, drug development, and structural analysis of substances.</w:t>
      </w:r>
      <w:r w:rsidRPr="00CF2566">
        <w:rPr>
          <w:rFonts w:ascii="Arial" w:hAnsi="Arial" w:cs="Arial" w:hint="eastAsia"/>
          <w:lang w:eastAsia="zh-CN"/>
        </w:rPr>
        <w:t>[7]</w:t>
      </w:r>
    </w:p>
    <w:p w:rsidR="00AA6861" w:rsidRPr="00CF2566" w:rsidRDefault="00AA6861">
      <w:pPr>
        <w:pStyle w:val="Body"/>
        <w:spacing w:after="0"/>
        <w:rPr>
          <w:rFonts w:ascii="Arial" w:hAnsi="Arial" w:cs="Arial"/>
        </w:rPr>
      </w:pPr>
    </w:p>
    <w:p w:rsidR="00AA6861" w:rsidRPr="00CF2566" w:rsidRDefault="00397A73">
      <w:pPr>
        <w:pStyle w:val="AbstHead"/>
        <w:spacing w:after="0"/>
        <w:ind w:left="442" w:hangingChars="200" w:hanging="442"/>
        <w:jc w:val="both"/>
        <w:rPr>
          <w:rFonts w:ascii="Arial" w:hAnsi="Arial" w:cs="Arial"/>
          <w:caps w:val="0"/>
          <w:lang w:eastAsia="zh-CN"/>
        </w:rPr>
      </w:pPr>
      <w:r w:rsidRPr="00CF2566">
        <w:rPr>
          <w:rFonts w:ascii="Arial" w:hAnsi="Arial" w:cs="Arial" w:hint="eastAsia"/>
          <w:caps w:val="0"/>
        </w:rPr>
        <w:t>2</w:t>
      </w:r>
      <w:r w:rsidRPr="00CF2566">
        <w:rPr>
          <w:rFonts w:ascii="Arial" w:hAnsi="Arial" w:cs="Arial"/>
          <w:caps w:val="0"/>
        </w:rPr>
        <w:t xml:space="preserve">.2 </w:t>
      </w:r>
      <w:r w:rsidRPr="00CF2566">
        <w:rPr>
          <w:rFonts w:ascii="Arial" w:hAnsi="Arial" w:cs="Arial" w:hint="eastAsia"/>
          <w:bCs/>
          <w:caps w:val="0"/>
          <w:lang w:eastAsia="zh-CN"/>
        </w:rPr>
        <w:t>X-ray Diffraction Sample Preparation</w:t>
      </w:r>
      <w:r w:rsidRPr="00CF2566">
        <w:rPr>
          <w:rFonts w:ascii="Arial" w:hAnsi="Arial" w:cs="Arial"/>
          <w:bCs/>
          <w:caps w:val="0"/>
          <w:lang w:eastAsia="zh-CN"/>
        </w:rPr>
        <w:t>​</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hint="eastAsia"/>
        </w:rPr>
        <w:t>Before performing X-ray diffraction, it is necessary to prepare suitable samples. Here are some common sample preparation methods:</w:t>
      </w:r>
    </w:p>
    <w:p w:rsidR="00AA6861" w:rsidRPr="00CF2566" w:rsidRDefault="00AA6861">
      <w:pPr>
        <w:pStyle w:val="Body"/>
        <w:spacing w:after="0"/>
        <w:rPr>
          <w:rFonts w:ascii="Arial" w:hAnsi="Arial" w:cs="Arial"/>
        </w:rPr>
      </w:pPr>
    </w:p>
    <w:p w:rsidR="00AA6861" w:rsidRPr="00CF2566" w:rsidRDefault="00397A73">
      <w:pPr>
        <w:pStyle w:val="Body"/>
        <w:numPr>
          <w:ilvl w:val="0"/>
          <w:numId w:val="3"/>
        </w:numPr>
        <w:spacing w:after="0"/>
        <w:rPr>
          <w:rFonts w:ascii="Arial" w:hAnsi="Arial" w:cs="Arial"/>
        </w:rPr>
      </w:pPr>
      <w:r w:rsidRPr="00CF2566">
        <w:rPr>
          <w:rFonts w:ascii="Arial" w:hAnsi="Arial" w:cs="Arial" w:hint="eastAsia"/>
        </w:rPr>
        <w:t>Powder samples: The sample to be analyzed is powdered, usually obtained through mechanical grinding or chemical synthesis. The powder needs to be prepared in an impurity-free, dry environment, and the grinding time and method should be optimized to ensure uniform particle size.</w:t>
      </w:r>
    </w:p>
    <w:p w:rsidR="00AA6861" w:rsidRPr="00CF2566" w:rsidRDefault="00AA6861">
      <w:pPr>
        <w:pStyle w:val="Body"/>
        <w:spacing w:after="0"/>
        <w:rPr>
          <w:rFonts w:ascii="Arial" w:hAnsi="Arial" w:cs="Arial"/>
        </w:rPr>
      </w:pPr>
    </w:p>
    <w:p w:rsidR="00AA6861" w:rsidRPr="00CF2566" w:rsidRDefault="00397A73">
      <w:pPr>
        <w:pStyle w:val="Body"/>
        <w:numPr>
          <w:ilvl w:val="0"/>
          <w:numId w:val="3"/>
        </w:numPr>
        <w:spacing w:after="0"/>
        <w:rPr>
          <w:rFonts w:ascii="Arial" w:hAnsi="Arial" w:cs="Arial"/>
        </w:rPr>
      </w:pPr>
      <w:r w:rsidRPr="00CF2566">
        <w:rPr>
          <w:rFonts w:ascii="Arial" w:hAnsi="Arial" w:cs="Arial" w:hint="eastAsia"/>
        </w:rPr>
        <w:t>Single-crystal samples: Suitable-sized crystals are cut from known crystals. This method requires a high level of skill and advanced equipment to obtain crystals of appropriate size.</w:t>
      </w:r>
    </w:p>
    <w:p w:rsidR="00AA6861" w:rsidRPr="00CF2566" w:rsidRDefault="00AA6861">
      <w:pPr>
        <w:pStyle w:val="Body"/>
        <w:spacing w:after="0"/>
        <w:rPr>
          <w:rFonts w:ascii="Arial" w:hAnsi="Arial" w:cs="Arial"/>
        </w:rPr>
      </w:pPr>
    </w:p>
    <w:p w:rsidR="00AA6861" w:rsidRPr="00CF2566" w:rsidRDefault="00397A73">
      <w:pPr>
        <w:pStyle w:val="Body"/>
        <w:numPr>
          <w:ilvl w:val="0"/>
          <w:numId w:val="3"/>
        </w:numPr>
        <w:spacing w:after="0"/>
        <w:rPr>
          <w:rFonts w:ascii="Arial" w:hAnsi="Arial" w:cs="Arial"/>
        </w:rPr>
      </w:pPr>
      <w:r w:rsidRPr="00CF2566">
        <w:rPr>
          <w:rFonts w:ascii="Arial" w:hAnsi="Arial" w:cs="Arial" w:hint="eastAsia"/>
        </w:rPr>
        <w:t>Amorphous materials: Some materials do not exist in crystalline form. For these non-crystalline materials, samples can be prepared using solution, melt, or vapor deposition methods.[</w:t>
      </w:r>
      <w:r w:rsidRPr="00CF2566">
        <w:rPr>
          <w:rFonts w:ascii="Arial" w:hAnsi="Arial" w:cs="Arial" w:hint="eastAsia"/>
          <w:lang w:eastAsia="zh-CN"/>
        </w:rPr>
        <w:t>8</w:t>
      </w:r>
      <w:r w:rsidRPr="00CF2566">
        <w:rPr>
          <w:rFonts w:ascii="Arial" w:hAnsi="Arial" w:cs="Arial" w:hint="eastAsia"/>
        </w:rPr>
        <w:t>]</w:t>
      </w:r>
    </w:p>
    <w:p w:rsidR="00AA6861" w:rsidRPr="00CF2566" w:rsidRDefault="00AA6861">
      <w:pPr>
        <w:pStyle w:val="Body"/>
        <w:spacing w:after="0"/>
        <w:rPr>
          <w:rFonts w:ascii="Arial" w:hAnsi="Arial" w:cs="Arial"/>
        </w:rPr>
      </w:pPr>
    </w:p>
    <w:p w:rsidR="00AA6861" w:rsidRPr="00CF2566" w:rsidRDefault="00397A73">
      <w:pPr>
        <w:pStyle w:val="Body"/>
        <w:numPr>
          <w:ilvl w:val="0"/>
          <w:numId w:val="3"/>
        </w:numPr>
        <w:spacing w:after="0"/>
        <w:rPr>
          <w:rFonts w:ascii="Arial" w:hAnsi="Arial" w:cs="Arial"/>
        </w:rPr>
      </w:pPr>
      <w:r w:rsidRPr="00CF2566">
        <w:rPr>
          <w:rFonts w:ascii="Arial" w:hAnsi="Arial" w:cs="Arial" w:hint="eastAsia"/>
        </w:rPr>
        <w:t>Thin film materials: For thin film materials, various physical or chemical methods can be used, such as chemical etching or ion beam polishing, to prepare the samples.</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hint="eastAsia"/>
        </w:rPr>
        <w:lastRenderedPageBreak/>
        <w:t>The choice of the above analytical methods depends on the intrinsic nature of the material to be analyzed (such as phase composition, crystallinity, and stability) and the specific purpose of the experiment (e.g., qualitative identification, quantitative content determination, or microstructure characterization). To obtain high-quality specimens that can truly reflect the material's inherent properties and ensure the accuracy and reliability of XRD test results, the sample preparation process must be strictly controlled [9]. The first point to note is that before preparing the sample, it is essential to fully understand the physical and chemical properties of the substance to be tested, such as its reactivity with water or air, hardness, and thermal stability, so as to avoid errors or even sample degradation caused by improper preparation methods. The second point is that X-ray diffraction experiments belong to a specialized scientific research field; the specific sample preparation methods (e.g., grinding fineness, pressing pressure) and operational steps may vary significantly depending on different research purposes and equipment conditions (such as the type of diffractometer). Therefore, it is necessary to carefully read relevant academic literature and instrument operation manuals before conducting experiments, and preferably operate under the guidance of professionals with rich experience to avoid operational risks and data deviations. The third point to note is that during sample preparation, attention should be paid to avoiding cross-contamination of the samples by selecting clean, inert containers and tools (such as agate mortars instead of metal ones) to ensure the purity of the test materials. Finally, it is also important to minimize artificial errors during the preparation process: for example, when using a grinder, strictly control the grinding time to avoid excessive grinding that may change the crystal structure; avoid using organic solvents or acidic/alkaline solutions to clean the samples, as these substances may react with the sample components and alter the original phase composition.</w:t>
      </w:r>
    </w:p>
    <w:p w:rsidR="00AA6861" w:rsidRPr="00CF2566" w:rsidRDefault="00AA6861">
      <w:pPr>
        <w:pStyle w:val="Body"/>
        <w:spacing w:after="0"/>
        <w:rPr>
          <w:rFonts w:ascii="Arial" w:hAnsi="Arial" w:cs="Arial"/>
          <w:lang w:eastAsia="zh-CN"/>
        </w:rPr>
      </w:pPr>
    </w:p>
    <w:p w:rsidR="00AA6861" w:rsidRPr="00CF2566" w:rsidRDefault="00397A73">
      <w:pPr>
        <w:pStyle w:val="ConcHead"/>
        <w:numPr>
          <w:ilvl w:val="0"/>
          <w:numId w:val="2"/>
        </w:numPr>
        <w:spacing w:after="0"/>
        <w:jc w:val="both"/>
        <w:rPr>
          <w:rFonts w:ascii="Arial" w:hAnsi="Arial" w:cs="Arial"/>
          <w:bCs/>
          <w:lang w:eastAsia="zh-CN"/>
        </w:rPr>
      </w:pPr>
      <w:r w:rsidRPr="00CF2566">
        <w:rPr>
          <w:rFonts w:ascii="Arial" w:hAnsi="Arial" w:cs="Arial" w:hint="eastAsia"/>
          <w:bCs/>
          <w:lang w:eastAsia="zh-CN"/>
        </w:rPr>
        <w:t>Qualitative Analysis</w:t>
      </w:r>
    </w:p>
    <w:p w:rsidR="00AA6861" w:rsidRPr="00CF2566" w:rsidRDefault="00AA6861">
      <w:pPr>
        <w:pStyle w:val="AbstHead"/>
        <w:spacing w:after="0"/>
        <w:jc w:val="both"/>
        <w:rPr>
          <w:rFonts w:ascii="Arial" w:hAnsi="Arial" w:cs="Arial"/>
          <w:lang w:eastAsia="zh-CN"/>
        </w:rPr>
      </w:pPr>
    </w:p>
    <w:p w:rsidR="00AA6861" w:rsidRPr="00CF2566" w:rsidRDefault="00397A73">
      <w:pPr>
        <w:pStyle w:val="AbstHead"/>
        <w:numPr>
          <w:ilvl w:val="1"/>
          <w:numId w:val="2"/>
        </w:numPr>
        <w:spacing w:after="0"/>
        <w:jc w:val="both"/>
        <w:rPr>
          <w:rFonts w:ascii="Arial" w:hAnsi="Arial" w:cs="Arial"/>
          <w:caps w:val="0"/>
        </w:rPr>
      </w:pPr>
      <w:r w:rsidRPr="00CF2566">
        <w:rPr>
          <w:rFonts w:ascii="Arial" w:hAnsi="Arial" w:cs="Arial" w:hint="eastAsia"/>
          <w:caps w:val="0"/>
          <w:lang w:eastAsia="zh-CN"/>
        </w:rPr>
        <w:t>Definition of Qualitative Analysis</w:t>
      </w:r>
    </w:p>
    <w:p w:rsidR="00AA6861" w:rsidRPr="00CF2566" w:rsidRDefault="00AA6861">
      <w:pPr>
        <w:pStyle w:val="Body"/>
        <w:spacing w:after="0"/>
        <w:rPr>
          <w:rFonts w:ascii="Arial" w:hAnsi="Arial" w:cs="Arial"/>
          <w:lang w:eastAsia="zh-CN"/>
        </w:rPr>
      </w:pPr>
    </w:p>
    <w:p w:rsidR="00AA6861" w:rsidRPr="00CF2566" w:rsidRDefault="00397A73">
      <w:pPr>
        <w:pStyle w:val="Body"/>
        <w:spacing w:after="0"/>
        <w:rPr>
          <w:rFonts w:ascii="Arial" w:hAnsi="Arial" w:cs="Arial"/>
          <w:lang w:eastAsia="zh-CN"/>
        </w:rPr>
      </w:pPr>
      <w:r w:rsidRPr="00CF2566">
        <w:rPr>
          <w:rFonts w:ascii="Arial" w:hAnsi="Arial" w:cs="Arial" w:hint="eastAsia"/>
          <w:lang w:eastAsia="zh-CN"/>
        </w:rPr>
        <w:t>Every crystalline substance possesses a unique crystal structure, where atoms or ions are arranged in a regular, periodic lattice. When irradiated with X-rays of a specific wavelength, the lattice of each crystalline substance interacts with the X-rays to produce a distinctive diffraction pattern, which is characterized by specific diffraction peak positions (determined by lattice parameters) and peak intensities (related to atomic scattering power and arrangement density), as shown in the figure below. This correspondence between crystalline substances and diffraction patterns is highly exclusive</w:t>
      </w:r>
      <w:r w:rsidRPr="00CF2566">
        <w:rPr>
          <w:rFonts w:ascii="Arial" w:hAnsi="Arial" w:cs="Arial" w:hint="eastAsia"/>
          <w:lang w:eastAsia="zh-CN"/>
        </w:rPr>
        <w:t>—</w:t>
      </w:r>
      <w:r w:rsidRPr="00CF2566">
        <w:rPr>
          <w:rFonts w:ascii="Arial" w:hAnsi="Arial" w:cs="Arial" w:hint="eastAsia"/>
          <w:lang w:eastAsia="zh-CN"/>
        </w:rPr>
        <w:t>no two distinct crystalline substances can have identical diffraction patterns, as even minor differences in lattice structure will alter the diffraction peak positions and intensities. To enable phase identification, a comprehensive database of standard X-ray diffraction patterns can be established by subjecting all known crystalline substances to X-ray diffraction tests under strictly standardized conditions (e.g., fixed X-ray wavelength, uniform sample preparation protocols). During phase analysis of an unknown material, the experimental diffraction pattern obtained from the sample is compared with the standard patterns in the database. By matching the characteristic peaks, the types of crystalline phases in the material can be accurately determined. This identification principle is analogous to fingerprint recognition for individuals: just as each person has a unique set of fingerprints for identification, each crystalline substance has a unique diffraction pattern that serves as its "structural fingerprint" [10].</w:t>
      </w:r>
    </w:p>
    <w:p w:rsidR="00AA6861" w:rsidRPr="00CF2566" w:rsidRDefault="00AA6861">
      <w:pPr>
        <w:pStyle w:val="Body"/>
        <w:spacing w:after="0"/>
        <w:rPr>
          <w:rFonts w:ascii="Arial" w:hAnsi="Arial" w:cs="Arial"/>
          <w:lang w:eastAsia="zh-CN"/>
        </w:rPr>
      </w:pPr>
    </w:p>
    <w:p w:rsidR="00AA6861" w:rsidRPr="00CF2566" w:rsidRDefault="00397A73">
      <w:pPr>
        <w:pStyle w:val="AbstHead"/>
        <w:numPr>
          <w:ilvl w:val="1"/>
          <w:numId w:val="2"/>
        </w:numPr>
        <w:spacing w:after="0"/>
        <w:jc w:val="both"/>
        <w:rPr>
          <w:rFonts w:ascii="Arial" w:hAnsi="Arial" w:cs="Arial"/>
          <w:caps w:val="0"/>
        </w:rPr>
      </w:pPr>
      <w:r w:rsidRPr="00CF2566">
        <w:rPr>
          <w:rFonts w:ascii="Arial" w:hAnsi="Arial" w:cs="Arial" w:hint="eastAsia"/>
          <w:caps w:val="0"/>
          <w:lang w:eastAsia="zh-CN"/>
        </w:rPr>
        <w:t>Qualitative Analysis Applications</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lang w:eastAsia="zh-CN"/>
        </w:rPr>
      </w:pPr>
      <w:r w:rsidRPr="00CF2566">
        <w:rPr>
          <w:rFonts w:ascii="Arial" w:hAnsi="Arial" w:cs="Arial" w:hint="eastAsia"/>
          <w:lang w:eastAsia="zh-CN"/>
        </w:rPr>
        <w:t xml:space="preserve">Jiang </w:t>
      </w:r>
      <w:proofErr w:type="spellStart"/>
      <w:r w:rsidRPr="00CF2566">
        <w:rPr>
          <w:rFonts w:ascii="Arial" w:hAnsi="Arial" w:cs="Arial" w:hint="eastAsia"/>
          <w:lang w:eastAsia="zh-CN"/>
        </w:rPr>
        <w:t>Mingshen</w:t>
      </w:r>
      <w:proofErr w:type="spellEnd"/>
      <w:r w:rsidRPr="00CF2566">
        <w:rPr>
          <w:rFonts w:ascii="Arial" w:hAnsi="Arial" w:cs="Arial" w:hint="eastAsia"/>
          <w:lang w:eastAsia="zh-CN"/>
        </w:rPr>
        <w:t xml:space="preserve"> [11] and others used sodium carbonate to replace sodium hydroxide to adjust the modulus of water glass to prepare a composite alkali activator. They studied the effects of the incorporation ratio of sodium carbonate under different alkali dosages on the flowability, setting time, and compressive strength of geopolymers (as shown in the table below), and </w:t>
      </w:r>
      <w:r w:rsidRPr="00CF2566">
        <w:rPr>
          <w:rFonts w:ascii="Arial" w:hAnsi="Arial" w:cs="Arial" w:hint="eastAsia"/>
          <w:lang w:eastAsia="zh-CN"/>
        </w:rPr>
        <w:lastRenderedPageBreak/>
        <w:t>analyzed the phase composition and microstructure of the hydration products of the geopolymer materials through FT-IR, XRD, and SEM tests. The activation effect of the activator composed of sodium hydroxide and sodium carbonate with water glass was better than that of the activator composed of either one alone with water glass. When the alkali dosage was 6% (by mass) and the sodium carbonate replacement ratio was 40% (by mass), the flowability of the geopolymer paste was 185 mm, and the 28-day compressive strength was 94.4 MPa. Increasing the sodium carbonate replacement ratio can prolong the setting time of the geopolymer paste. XRD showed that the hydration products of the geopolymer materials were similar under the action of different alkali component activators, with amorphous aluminosilicate C-(A)-S-H gel as the main phase.</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lang w:eastAsia="zh-CN"/>
        </w:rPr>
      </w:pPr>
      <w:r w:rsidRPr="00CF2566">
        <w:rPr>
          <w:rFonts w:ascii="Arial" w:hAnsi="Arial" w:cs="Arial" w:hint="eastAsia"/>
        </w:rPr>
        <w:t xml:space="preserve">Figures </w:t>
      </w:r>
      <w:r w:rsidRPr="00CF2566">
        <w:rPr>
          <w:rFonts w:ascii="Arial" w:hAnsi="Arial" w:cs="Arial" w:hint="eastAsia"/>
          <w:lang w:eastAsia="zh-CN"/>
        </w:rPr>
        <w:t>1</w:t>
      </w:r>
      <w:r w:rsidRPr="00CF2566">
        <w:rPr>
          <w:rFonts w:ascii="Arial" w:hAnsi="Arial" w:cs="Arial" w:hint="eastAsia"/>
        </w:rPr>
        <w:t>(a) and (b) show the XRD spectra of geopolymer cementitious materials after 3 and 28 days of hydration, respectively. The XRD spectra generally display a diffuse hump, indicating that the hydration products of the geopolymer cementitious materials are mostly amorphous gels with poor crystallinity. It can be observed from the figures that in the early reaction stage, Ca</w:t>
      </w:r>
      <w:r w:rsidRPr="00CF2566">
        <w:rPr>
          <w:rFonts w:ascii="Arial" w:hAnsi="Arial" w:cs="Arial" w:hint="eastAsia"/>
          <w:vertAlign w:val="superscript"/>
          <w:lang w:eastAsia="zh-CN"/>
        </w:rPr>
        <w:t xml:space="preserve">2+ </w:t>
      </w:r>
      <w:r w:rsidRPr="00CF2566">
        <w:rPr>
          <w:rFonts w:ascii="Arial" w:hAnsi="Arial" w:cs="Arial" w:hint="eastAsia"/>
        </w:rPr>
        <w:t>released from slag dissolution preferentially combines with CO</w:t>
      </w:r>
      <w:r w:rsidRPr="00CF2566">
        <w:rPr>
          <w:rFonts w:ascii="Arial" w:hAnsi="Arial" w:cs="Arial" w:hint="eastAsia"/>
          <w:vertAlign w:val="subscript"/>
          <w:lang w:eastAsia="zh-CN"/>
        </w:rPr>
        <w:t>3</w:t>
      </w:r>
      <w:r w:rsidRPr="00CF2566">
        <w:rPr>
          <w:rFonts w:ascii="Arial" w:hAnsi="Arial" w:cs="Arial" w:hint="eastAsia"/>
          <w:vertAlign w:val="superscript"/>
          <w:lang w:eastAsia="zh-CN"/>
        </w:rPr>
        <w:t>2-</w:t>
      </w:r>
    </w:p>
    <w:p w:rsidR="00AA6861" w:rsidRPr="00CF2566" w:rsidRDefault="00397A73">
      <w:pPr>
        <w:pStyle w:val="Body"/>
        <w:spacing w:after="0"/>
        <w:rPr>
          <w:rFonts w:ascii="SimSun" w:eastAsia="SimSun" w:hAnsi="SimSun" w:cs="SimSun"/>
          <w:sz w:val="21"/>
          <w:szCs w:val="21"/>
          <w:lang w:eastAsia="zh-CN"/>
        </w:rPr>
      </w:pPr>
      <w:r w:rsidRPr="00CF2566">
        <w:rPr>
          <w:rFonts w:ascii="Arial" w:hAnsi="Arial" w:cs="Arial" w:hint="eastAsia"/>
        </w:rPr>
        <w:t xml:space="preserve"> in the pore solution, while only a small amount of Ca</w:t>
      </w:r>
      <w:r w:rsidRPr="00CF2566">
        <w:rPr>
          <w:rFonts w:ascii="Arial" w:hAnsi="Arial" w:cs="Arial" w:hint="eastAsia"/>
          <w:lang w:eastAsia="zh-CN"/>
        </w:rPr>
        <w:t>2+</w:t>
      </w:r>
      <w:r w:rsidRPr="00CF2566">
        <w:rPr>
          <w:rFonts w:ascii="Arial" w:hAnsi="Arial" w:cs="Arial" w:hint="eastAsia"/>
        </w:rPr>
        <w:t>combines with [SiO</w:t>
      </w:r>
      <w:r w:rsidRPr="00CF2566">
        <w:rPr>
          <w:rFonts w:ascii="Arial" w:hAnsi="Arial" w:cs="Arial" w:hint="eastAsia"/>
          <w:lang w:eastAsia="zh-CN"/>
        </w:rPr>
        <w:t>4</w:t>
      </w:r>
      <w:r w:rsidRPr="00CF2566">
        <w:rPr>
          <w:rFonts w:ascii="Arial" w:hAnsi="Arial" w:cs="Arial" w:hint="eastAsia"/>
        </w:rPr>
        <w:t>]</w:t>
      </w:r>
      <w:r w:rsidRPr="00CF2566">
        <w:rPr>
          <w:rFonts w:ascii="Arial" w:hAnsi="Arial" w:cs="Arial" w:hint="eastAsia"/>
          <w:vertAlign w:val="superscript"/>
          <w:lang w:eastAsia="zh-CN"/>
        </w:rPr>
        <w:t>4-</w:t>
      </w:r>
      <w:r w:rsidRPr="00CF2566">
        <w:rPr>
          <w:rFonts w:ascii="Arial" w:hAnsi="Arial" w:cs="Arial" w:hint="eastAsia"/>
        </w:rPr>
        <w:t>. The main hydration products are CaCO</w:t>
      </w:r>
      <w:r w:rsidRPr="00CF2566">
        <w:rPr>
          <w:rFonts w:ascii="Arial" w:hAnsi="Arial" w:cs="Arial" w:hint="eastAsia"/>
          <w:vertAlign w:val="subscript"/>
          <w:lang w:eastAsia="zh-CN"/>
        </w:rPr>
        <w:t>3</w:t>
      </w:r>
      <w:r w:rsidRPr="00CF2566">
        <w:rPr>
          <w:rFonts w:ascii="Arial" w:hAnsi="Arial" w:cs="Arial" w:hint="eastAsia"/>
        </w:rPr>
        <w:t xml:space="preserve"> and C-(A)-S-H gel. With the increase of sodium carbonate content, the intensity of CaCO</w:t>
      </w:r>
      <w:r w:rsidRPr="00CF2566">
        <w:rPr>
          <w:rFonts w:ascii="Arial" w:hAnsi="Arial" w:cs="Arial" w:hint="eastAsia"/>
          <w:vertAlign w:val="subscript"/>
          <w:lang w:eastAsia="zh-CN"/>
        </w:rPr>
        <w:t>3</w:t>
      </w:r>
      <w:r w:rsidRPr="00CF2566">
        <w:rPr>
          <w:rFonts w:ascii="Arial" w:hAnsi="Arial" w:cs="Arial" w:hint="eastAsia"/>
        </w:rPr>
        <w:t>diffraction peaks significantly increases, and diffraction peaks of monoclinic sodium feldspar (Na</w:t>
      </w:r>
      <w:r w:rsidRPr="00CF2566">
        <w:rPr>
          <w:rFonts w:ascii="Arial" w:hAnsi="Arial" w:cs="Arial" w:hint="eastAsia"/>
          <w:vertAlign w:val="subscript"/>
          <w:lang w:eastAsia="zh-CN"/>
        </w:rPr>
        <w:t>2</w:t>
      </w:r>
      <w:proofErr w:type="gramStart"/>
      <w:r w:rsidRPr="00CF2566">
        <w:rPr>
          <w:rFonts w:ascii="Arial" w:hAnsi="Arial" w:cs="Arial" w:hint="eastAsia"/>
        </w:rPr>
        <w:t>Ca(</w:t>
      </w:r>
      <w:proofErr w:type="gramEnd"/>
      <w:r w:rsidRPr="00CF2566">
        <w:rPr>
          <w:rFonts w:ascii="Arial" w:hAnsi="Arial" w:cs="Arial" w:hint="eastAsia"/>
        </w:rPr>
        <w:t>CO</w:t>
      </w:r>
      <w:r w:rsidRPr="00CF2566">
        <w:rPr>
          <w:rFonts w:ascii="Arial" w:hAnsi="Arial" w:cs="Arial" w:hint="eastAsia"/>
          <w:vertAlign w:val="subscript"/>
          <w:lang w:eastAsia="zh-CN"/>
        </w:rPr>
        <w:t>3</w:t>
      </w:r>
      <w:r w:rsidRPr="00CF2566">
        <w:rPr>
          <w:rFonts w:ascii="Arial" w:hAnsi="Arial" w:cs="Arial" w:hint="eastAsia"/>
        </w:rPr>
        <w:t>)</w:t>
      </w:r>
      <w:r w:rsidRPr="00CF2566">
        <w:rPr>
          <w:rFonts w:ascii="Arial" w:hAnsi="Arial" w:cs="Arial" w:hint="eastAsia"/>
          <w:vertAlign w:val="subscript"/>
          <w:lang w:eastAsia="zh-CN"/>
        </w:rPr>
        <w:t>2</w:t>
      </w:r>
      <w:r w:rsidRPr="00CF2566">
        <w:rPr>
          <w:rFonts w:ascii="Arial" w:hAnsi="Arial" w:cs="Arial" w:hint="eastAsia"/>
        </w:rPr>
        <w:t>·</w:t>
      </w:r>
      <w:r w:rsidRPr="00CF2566">
        <w:rPr>
          <w:rFonts w:ascii="Arial" w:hAnsi="Arial" w:cs="Arial" w:hint="eastAsia"/>
        </w:rPr>
        <w:t>5H</w:t>
      </w:r>
      <w:r w:rsidRPr="00CF2566">
        <w:rPr>
          <w:rFonts w:ascii="Arial" w:hAnsi="Arial" w:cs="Arial" w:hint="eastAsia"/>
          <w:vertAlign w:val="subscript"/>
          <w:lang w:eastAsia="zh-CN"/>
        </w:rPr>
        <w:t>2</w:t>
      </w:r>
      <w:r w:rsidRPr="00CF2566">
        <w:rPr>
          <w:rFonts w:ascii="Arial" w:hAnsi="Arial" w:cs="Arial" w:hint="eastAsia"/>
        </w:rPr>
        <w:t>O) and sodium zeolite (Na</w:t>
      </w:r>
      <w:r w:rsidRPr="00CF2566">
        <w:rPr>
          <w:rFonts w:ascii="Arial" w:hAnsi="Arial" w:cs="Arial" w:hint="eastAsia"/>
          <w:vertAlign w:val="subscript"/>
          <w:lang w:eastAsia="zh-CN"/>
        </w:rPr>
        <w:t>12</w:t>
      </w:r>
      <w:r w:rsidRPr="00CF2566">
        <w:rPr>
          <w:rFonts w:ascii="Arial" w:hAnsi="Arial" w:cs="Arial" w:hint="eastAsia"/>
        </w:rPr>
        <w:t>Al</w:t>
      </w:r>
      <w:r w:rsidRPr="00CF2566">
        <w:rPr>
          <w:rFonts w:ascii="Arial" w:hAnsi="Arial" w:cs="Arial" w:hint="eastAsia"/>
          <w:vertAlign w:val="subscript"/>
          <w:lang w:eastAsia="zh-CN"/>
        </w:rPr>
        <w:t>12</w:t>
      </w:r>
      <w:r w:rsidRPr="00CF2566">
        <w:rPr>
          <w:rFonts w:ascii="Arial" w:hAnsi="Arial" w:cs="Arial" w:hint="eastAsia"/>
        </w:rPr>
        <w:t>Si</w:t>
      </w:r>
      <w:r w:rsidRPr="00CF2566">
        <w:rPr>
          <w:rFonts w:ascii="Arial" w:hAnsi="Arial" w:cs="Arial" w:hint="eastAsia"/>
          <w:vertAlign w:val="subscript"/>
          <w:lang w:eastAsia="zh-CN"/>
        </w:rPr>
        <w:t>12</w:t>
      </w:r>
      <w:r w:rsidRPr="00CF2566">
        <w:rPr>
          <w:rFonts w:ascii="Arial" w:hAnsi="Arial" w:cs="Arial" w:hint="eastAsia"/>
        </w:rPr>
        <w:t>O</w:t>
      </w:r>
      <w:r w:rsidRPr="00CF2566">
        <w:rPr>
          <w:rFonts w:ascii="Arial" w:hAnsi="Arial" w:cs="Arial" w:hint="eastAsia"/>
          <w:vertAlign w:val="subscript"/>
          <w:lang w:eastAsia="zh-CN"/>
        </w:rPr>
        <w:t>48</w:t>
      </w:r>
      <w:r w:rsidRPr="00CF2566">
        <w:rPr>
          <w:rFonts w:ascii="Arial" w:hAnsi="Arial" w:cs="Arial" w:hint="eastAsia"/>
        </w:rPr>
        <w:t>·</w:t>
      </w:r>
      <w:r w:rsidRPr="00CF2566">
        <w:rPr>
          <w:rFonts w:ascii="Arial" w:hAnsi="Arial" w:cs="Arial" w:hint="eastAsia"/>
        </w:rPr>
        <w:t>nH</w:t>
      </w:r>
      <w:r w:rsidRPr="00CF2566">
        <w:rPr>
          <w:rFonts w:ascii="Arial" w:hAnsi="Arial" w:cs="Arial" w:hint="eastAsia"/>
          <w:vertAlign w:val="subscript"/>
          <w:lang w:eastAsia="zh-CN"/>
        </w:rPr>
        <w:t>2</w:t>
      </w:r>
      <w:r w:rsidRPr="00CF2566">
        <w:rPr>
          <w:rFonts w:ascii="Arial" w:hAnsi="Arial" w:cs="Arial" w:hint="eastAsia"/>
        </w:rPr>
        <w:t>O) begin to appear. The consumption of Ca</w:t>
      </w:r>
      <w:r w:rsidRPr="00CF2566">
        <w:rPr>
          <w:rFonts w:ascii="Arial" w:hAnsi="Arial" w:cs="Arial" w:hint="eastAsia"/>
          <w:vertAlign w:val="superscript"/>
          <w:lang w:eastAsia="zh-CN"/>
        </w:rPr>
        <w:t>2+</w:t>
      </w:r>
      <w:r w:rsidRPr="00CF2566">
        <w:rPr>
          <w:rFonts w:ascii="Arial" w:hAnsi="Arial" w:cs="Arial" w:hint="eastAsia"/>
        </w:rPr>
        <w:t xml:space="preserve"> by CO</w:t>
      </w:r>
      <w:r w:rsidRPr="00CF2566">
        <w:rPr>
          <w:rFonts w:ascii="Arial" w:hAnsi="Arial" w:cs="Arial" w:hint="eastAsia"/>
          <w:vertAlign w:val="subscript"/>
          <w:lang w:eastAsia="zh-CN"/>
        </w:rPr>
        <w:t>3</w:t>
      </w:r>
      <w:r w:rsidRPr="00CF2566">
        <w:rPr>
          <w:rFonts w:ascii="Arial" w:hAnsi="Arial" w:cs="Arial" w:hint="eastAsia"/>
          <w:vertAlign w:val="superscript"/>
          <w:lang w:eastAsia="zh-CN"/>
        </w:rPr>
        <w:t>2-</w:t>
      </w:r>
      <w:r w:rsidRPr="00CF2566">
        <w:rPr>
          <w:rFonts w:ascii="Arial" w:hAnsi="Arial" w:cs="Arial" w:hint="eastAsia"/>
        </w:rPr>
        <w:t>leads to saturation of Si and Al in sodium zeolite. After 28 days of hydration, the intensity of monoclinic sodium feldspar and sodium zeolite diffraction peaks can be clearly observed to decrease, while the diffraction peaks of hydrotalcite (Mg</w:t>
      </w:r>
      <w:r w:rsidRPr="00CF2566">
        <w:rPr>
          <w:rFonts w:ascii="Arial" w:hAnsi="Arial" w:cs="Arial" w:hint="eastAsia"/>
          <w:vertAlign w:val="subscript"/>
          <w:lang w:eastAsia="zh-CN"/>
        </w:rPr>
        <w:t>6</w:t>
      </w:r>
      <w:r w:rsidRPr="00CF2566">
        <w:rPr>
          <w:rFonts w:ascii="Arial" w:hAnsi="Arial" w:cs="Arial" w:hint="eastAsia"/>
        </w:rPr>
        <w:t>Al</w:t>
      </w:r>
      <w:r w:rsidRPr="00CF2566">
        <w:rPr>
          <w:rFonts w:ascii="Arial" w:hAnsi="Arial" w:cs="Arial" w:hint="eastAsia"/>
          <w:vertAlign w:val="subscript"/>
          <w:lang w:eastAsia="zh-CN"/>
        </w:rPr>
        <w:t>2</w:t>
      </w:r>
      <w:r w:rsidRPr="00CF2566">
        <w:rPr>
          <w:rFonts w:ascii="Arial" w:hAnsi="Arial" w:cs="Arial" w:hint="eastAsia"/>
        </w:rPr>
        <w:t>(OH)</w:t>
      </w:r>
      <w:r w:rsidRPr="00CF2566">
        <w:rPr>
          <w:rFonts w:ascii="Arial" w:hAnsi="Arial" w:cs="Arial" w:hint="eastAsia"/>
          <w:vertAlign w:val="subscript"/>
          <w:lang w:eastAsia="zh-CN"/>
        </w:rPr>
        <w:t>16</w:t>
      </w:r>
      <w:r w:rsidRPr="00CF2566">
        <w:rPr>
          <w:rFonts w:ascii="Arial" w:hAnsi="Arial" w:cs="Arial" w:hint="eastAsia"/>
        </w:rPr>
        <w:t>CO</w:t>
      </w:r>
      <w:r w:rsidRPr="00CF2566">
        <w:rPr>
          <w:rFonts w:ascii="Arial" w:hAnsi="Arial" w:cs="Arial" w:hint="eastAsia"/>
          <w:vertAlign w:val="subscript"/>
          <w:lang w:eastAsia="zh-CN"/>
        </w:rPr>
        <w:t>3</w:t>
      </w:r>
      <w:r w:rsidRPr="00CF2566">
        <w:rPr>
          <w:rFonts w:ascii="Arial" w:hAnsi="Arial" w:cs="Arial" w:hint="eastAsia"/>
        </w:rPr>
        <w:t>·</w:t>
      </w:r>
      <w:r w:rsidRPr="00CF2566">
        <w:rPr>
          <w:rFonts w:ascii="Arial" w:hAnsi="Arial" w:cs="Arial" w:hint="eastAsia"/>
        </w:rPr>
        <w:t>4H</w:t>
      </w:r>
      <w:r w:rsidRPr="00CF2566">
        <w:rPr>
          <w:rFonts w:ascii="Arial" w:hAnsi="Arial" w:cs="Arial" w:hint="eastAsia"/>
          <w:vertAlign w:val="subscript"/>
          <w:lang w:eastAsia="zh-CN"/>
        </w:rPr>
        <w:t>2</w:t>
      </w:r>
      <w:r w:rsidRPr="00CF2566">
        <w:rPr>
          <w:rFonts w:ascii="Arial" w:hAnsi="Arial" w:cs="Arial" w:hint="eastAsia"/>
        </w:rPr>
        <w:t>O) begin to appear. Researchers believe that the presence of monoclinic sodium feldspar and sodium zeolite in hydration products is not stable, and over time, they further transform into stable products such as C-(A)-S-H, hydrotalcite, and calcium zeolite (CaA</w:t>
      </w:r>
      <w:r w:rsidRPr="00CF2566">
        <w:rPr>
          <w:rFonts w:ascii="Arial" w:hAnsi="Arial" w:cs="Arial" w:hint="eastAsia"/>
          <w:vertAlign w:val="subscript"/>
          <w:lang w:eastAsia="zh-CN"/>
        </w:rPr>
        <w:t>l2</w:t>
      </w:r>
      <w:r w:rsidRPr="00CF2566">
        <w:rPr>
          <w:rFonts w:ascii="Arial" w:hAnsi="Arial" w:cs="Arial" w:hint="eastAsia"/>
        </w:rPr>
        <w:t>Si</w:t>
      </w:r>
      <w:r w:rsidRPr="00CF2566">
        <w:rPr>
          <w:rFonts w:ascii="Arial" w:hAnsi="Arial" w:cs="Arial" w:hint="eastAsia"/>
          <w:vertAlign w:val="subscript"/>
          <w:lang w:eastAsia="zh-CN"/>
        </w:rPr>
        <w:t>7</w:t>
      </w:r>
      <w:r w:rsidRPr="00CF2566">
        <w:rPr>
          <w:rFonts w:ascii="Arial" w:hAnsi="Arial" w:cs="Arial" w:hint="eastAsia"/>
        </w:rPr>
        <w:t>O</w:t>
      </w:r>
      <w:r w:rsidRPr="00CF2566">
        <w:rPr>
          <w:rFonts w:ascii="Arial" w:hAnsi="Arial" w:cs="Arial" w:hint="eastAsia"/>
          <w:vertAlign w:val="subscript"/>
          <w:lang w:eastAsia="zh-CN"/>
        </w:rPr>
        <w:t>18</w:t>
      </w:r>
      <w:r w:rsidRPr="00CF2566">
        <w:rPr>
          <w:rFonts w:ascii="Arial" w:hAnsi="Arial" w:cs="Arial" w:hint="eastAsia"/>
        </w:rPr>
        <w:t>·</w:t>
      </w:r>
      <w:r w:rsidRPr="00CF2566">
        <w:rPr>
          <w:rFonts w:ascii="Arial" w:hAnsi="Arial" w:cs="Arial" w:hint="eastAsia"/>
        </w:rPr>
        <w:t>nH</w:t>
      </w:r>
      <w:r w:rsidRPr="00CF2566">
        <w:rPr>
          <w:rFonts w:ascii="Arial" w:hAnsi="Arial" w:cs="Arial" w:hint="eastAsia"/>
          <w:vertAlign w:val="subscript"/>
          <w:lang w:eastAsia="zh-CN"/>
        </w:rPr>
        <w:t>2</w:t>
      </w:r>
      <w:r w:rsidRPr="00CF2566">
        <w:rPr>
          <w:rFonts w:ascii="Arial" w:hAnsi="Arial" w:cs="Arial" w:hint="eastAsia"/>
        </w:rPr>
        <w:t xml:space="preserve">O). Comparing Figures 9(a) and (b) confirms the transformation of the products from early to late stages. Additionally, the diffraction peaks of quartz and mullite originate from </w:t>
      </w:r>
      <w:proofErr w:type="spellStart"/>
      <w:r w:rsidRPr="00CF2566">
        <w:rPr>
          <w:rFonts w:ascii="Arial" w:hAnsi="Arial" w:cs="Arial" w:hint="eastAsia"/>
        </w:rPr>
        <w:t>unhydrated</w:t>
      </w:r>
      <w:proofErr w:type="spellEnd"/>
      <w:r w:rsidRPr="00CF2566">
        <w:rPr>
          <w:rFonts w:ascii="Arial" w:hAnsi="Arial" w:cs="Arial" w:hint="eastAsia"/>
        </w:rPr>
        <w:t xml:space="preserve"> fly ash in the system. The XRD analysis further confirms the conclusion that the synergistic activator of sodium hydroxide and sodium carbonate for water glass has a better activation effect than either activator used alone with water glass.</w:t>
      </w:r>
    </w:p>
    <w:p w:rsidR="00AA6861" w:rsidRPr="00CF2566" w:rsidRDefault="00AA6861">
      <w:pPr>
        <w:pStyle w:val="Body"/>
        <w:spacing w:after="0"/>
        <w:jc w:val="center"/>
      </w:pPr>
    </w:p>
    <w:p w:rsidR="00AA6861" w:rsidRPr="00CF2566" w:rsidRDefault="00397A73">
      <w:pPr>
        <w:pStyle w:val="Body"/>
        <w:spacing w:after="0"/>
        <w:jc w:val="center"/>
      </w:pPr>
      <w:r w:rsidRPr="00CF2566">
        <w:rPr>
          <w:noProof/>
        </w:rPr>
        <w:drawing>
          <wp:inline distT="0" distB="0" distL="114300" distR="114300">
            <wp:extent cx="4494530" cy="1807845"/>
            <wp:effectExtent l="0" t="0" r="127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rcRect b="16924"/>
                    <a:stretch>
                      <a:fillRect/>
                    </a:stretch>
                  </pic:blipFill>
                  <pic:spPr>
                    <a:xfrm>
                      <a:off x="0" y="0"/>
                      <a:ext cx="4494530" cy="1807845"/>
                    </a:xfrm>
                    <a:prstGeom prst="rect">
                      <a:avLst/>
                    </a:prstGeom>
                    <a:noFill/>
                    <a:ln>
                      <a:noFill/>
                    </a:ln>
                  </pic:spPr>
                </pic:pic>
              </a:graphicData>
            </a:graphic>
          </wp:inline>
        </w:drawing>
      </w:r>
    </w:p>
    <w:p w:rsidR="00AA6861" w:rsidRPr="00CF2566" w:rsidRDefault="00AA6861">
      <w:pPr>
        <w:pStyle w:val="Body"/>
        <w:spacing w:after="0"/>
        <w:jc w:val="center"/>
        <w:rPr>
          <w:rFonts w:ascii="Arial" w:hAnsi="Arial" w:cs="Arial"/>
          <w:b/>
          <w:bCs/>
          <w:lang w:eastAsia="zh-CN"/>
        </w:rPr>
      </w:pPr>
    </w:p>
    <w:p w:rsidR="00AA6861" w:rsidRPr="00CF2566" w:rsidRDefault="00397A73">
      <w:pPr>
        <w:pStyle w:val="Body"/>
        <w:spacing w:after="0"/>
        <w:jc w:val="center"/>
        <w:rPr>
          <w:rFonts w:ascii="Arial" w:hAnsi="Arial" w:cs="Arial"/>
          <w:b/>
          <w:bCs/>
          <w:lang w:eastAsia="zh-CN"/>
        </w:rPr>
      </w:pPr>
      <w:r w:rsidRPr="00CF2566">
        <w:rPr>
          <w:rFonts w:ascii="Arial" w:hAnsi="Arial" w:cs="Arial"/>
          <w:b/>
          <w:bCs/>
          <w:lang w:eastAsia="zh-CN"/>
        </w:rPr>
        <w:t xml:space="preserve">Figure 1. </w:t>
      </w:r>
      <w:r w:rsidRPr="00CF2566">
        <w:rPr>
          <w:rFonts w:ascii="Arial" w:hAnsi="Arial" w:cs="Arial" w:hint="eastAsia"/>
          <w:b/>
          <w:bCs/>
          <w:lang w:eastAsia="zh-CN"/>
        </w:rPr>
        <w:t>XRD patterns of geopolymer cementitious materials for 3 and 28 d</w:t>
      </w:r>
    </w:p>
    <w:p w:rsidR="00AA6861" w:rsidRPr="00CF2566" w:rsidRDefault="00AA6861">
      <w:pPr>
        <w:pStyle w:val="Body"/>
        <w:spacing w:after="0"/>
        <w:rPr>
          <w:lang w:eastAsia="zh-CN"/>
        </w:rPr>
      </w:pPr>
    </w:p>
    <w:p w:rsidR="00AA6861" w:rsidRPr="00CF2566" w:rsidRDefault="00397A73">
      <w:pPr>
        <w:pStyle w:val="AbstHead"/>
        <w:numPr>
          <w:ilvl w:val="1"/>
          <w:numId w:val="2"/>
        </w:numPr>
        <w:spacing w:after="0"/>
        <w:jc w:val="both"/>
        <w:rPr>
          <w:rFonts w:ascii="Arial" w:hAnsi="Arial" w:cs="Arial"/>
          <w:caps w:val="0"/>
        </w:rPr>
      </w:pPr>
      <w:r w:rsidRPr="00CF2566">
        <w:rPr>
          <w:rFonts w:ascii="Arial" w:hAnsi="Arial" w:cs="Arial" w:hint="eastAsia"/>
          <w:caps w:val="0"/>
          <w:lang w:eastAsia="zh-CN"/>
        </w:rPr>
        <w:t>Problems in qualitative analysis</w:t>
      </w:r>
    </w:p>
    <w:p w:rsidR="00AA6861" w:rsidRPr="00CF2566" w:rsidRDefault="00AA6861">
      <w:pPr>
        <w:pStyle w:val="AbstHead"/>
        <w:spacing w:after="0"/>
        <w:jc w:val="both"/>
        <w:rPr>
          <w:rFonts w:ascii="Arial" w:hAnsi="Arial" w:cs="Arial"/>
          <w:caps w:val="0"/>
        </w:rPr>
      </w:pPr>
    </w:p>
    <w:p w:rsidR="00AA6861" w:rsidRPr="00CF2566" w:rsidRDefault="00397A73">
      <w:pPr>
        <w:pStyle w:val="Body"/>
        <w:spacing w:after="0"/>
        <w:rPr>
          <w:rFonts w:ascii="Arial" w:hAnsi="Arial" w:cs="Arial"/>
        </w:rPr>
      </w:pPr>
      <w:r w:rsidRPr="00CF2566">
        <w:rPr>
          <w:rFonts w:ascii="Arial" w:hAnsi="Arial" w:cs="Arial" w:hint="eastAsia"/>
        </w:rPr>
        <w:t xml:space="preserve">In the XRD phase identification of complex cement-based materials, two key challenges often arise. Firstly, the strongest diffraction line in the sample's diffraction pattern may not originate </w:t>
      </w:r>
      <w:r w:rsidRPr="00CF2566">
        <w:rPr>
          <w:rFonts w:ascii="Arial" w:hAnsi="Arial" w:cs="Arial" w:hint="eastAsia"/>
        </w:rPr>
        <w:lastRenderedPageBreak/>
        <w:t>from the strongest line of a single phase. Instead, it is likely the result of the superposition of secondary or tertiary strongest lines from two or more coexisting phases. In such cases, if this superimposed line is mistakenly regarded as the strongest characteristic line of a certain single phase, it will be impossible to find a matching standard PDF card, leading to erroneous phase identification. Secondly, identifying eligible standard cards from the massive database is a highly complex and cumbersome task. Even with the assistance of computer-aided search tools, which can filter cards based on diffraction peak positions, the interference from overlapping peaks, background noise, and sample-specific factors still makes it difficult to achieve satisfactory and accurate matching results [14].</w:t>
      </w:r>
    </w:p>
    <w:p w:rsidR="00AA6861" w:rsidRPr="00CF2566" w:rsidRDefault="00AA6861">
      <w:pPr>
        <w:pStyle w:val="Body"/>
        <w:spacing w:after="0"/>
        <w:rPr>
          <w:rFonts w:ascii="Arial" w:hAnsi="Arial" w:cs="Arial"/>
          <w:lang w:eastAsia="zh-CN"/>
        </w:rPr>
      </w:pPr>
    </w:p>
    <w:p w:rsidR="00AA6861" w:rsidRPr="00CF2566" w:rsidRDefault="00397A73">
      <w:pPr>
        <w:pStyle w:val="ConcHead"/>
        <w:spacing w:after="0"/>
        <w:jc w:val="both"/>
        <w:rPr>
          <w:rFonts w:ascii="Arial" w:hAnsi="Arial" w:cs="Arial"/>
          <w:lang w:eastAsia="zh-CN"/>
        </w:rPr>
      </w:pPr>
      <w:r w:rsidRPr="00CF2566">
        <w:rPr>
          <w:rFonts w:ascii="Arial" w:hAnsi="Arial" w:cs="Arial" w:hint="eastAsia"/>
          <w:lang w:eastAsia="zh-CN"/>
        </w:rPr>
        <w:t>4</w:t>
      </w:r>
      <w:r w:rsidRPr="00CF2566">
        <w:rPr>
          <w:rFonts w:ascii="Arial" w:hAnsi="Arial" w:cs="Arial"/>
        </w:rPr>
        <w:t xml:space="preserve">. </w:t>
      </w:r>
      <w:r w:rsidRPr="00CF2566">
        <w:rPr>
          <w:rFonts w:ascii="Arial" w:hAnsi="Arial" w:cs="Arial" w:hint="eastAsia"/>
          <w:lang w:eastAsia="zh-CN"/>
        </w:rPr>
        <w:t>Quantitative Analysis</w:t>
      </w:r>
    </w:p>
    <w:p w:rsidR="00AA6861" w:rsidRPr="00CF2566" w:rsidRDefault="00AA6861">
      <w:pPr>
        <w:pStyle w:val="ConcHead"/>
        <w:spacing w:after="0"/>
        <w:jc w:val="both"/>
        <w:rPr>
          <w:rFonts w:ascii="Arial" w:hAnsi="Arial" w:cs="Arial"/>
          <w:lang w:eastAsia="zh-CN"/>
        </w:rPr>
      </w:pPr>
    </w:p>
    <w:p w:rsidR="00AA6861" w:rsidRPr="00CF2566" w:rsidRDefault="00397A73">
      <w:pPr>
        <w:pStyle w:val="ConcHead"/>
        <w:spacing w:after="0"/>
        <w:jc w:val="both"/>
        <w:rPr>
          <w:rFonts w:ascii="Arial" w:hAnsi="Arial" w:cs="Arial"/>
          <w:caps w:val="0"/>
          <w:lang w:eastAsia="zh-CN"/>
        </w:rPr>
      </w:pPr>
      <w:r w:rsidRPr="00CF2566">
        <w:rPr>
          <w:rFonts w:ascii="Arial" w:hAnsi="Arial" w:cs="Arial" w:hint="eastAsia"/>
          <w:lang w:eastAsia="zh-CN"/>
        </w:rPr>
        <w:t>4</w:t>
      </w:r>
      <w:r w:rsidRPr="00CF2566">
        <w:rPr>
          <w:rFonts w:ascii="Arial" w:hAnsi="Arial" w:cs="Arial"/>
        </w:rPr>
        <w:t>.</w:t>
      </w:r>
      <w:r w:rsidRPr="00CF2566">
        <w:rPr>
          <w:rFonts w:ascii="Arial" w:hAnsi="Arial" w:cs="Arial" w:hint="eastAsia"/>
          <w:lang w:eastAsia="zh-CN"/>
        </w:rPr>
        <w:t>1</w:t>
      </w:r>
      <w:r w:rsidRPr="00CF2566">
        <w:rPr>
          <w:rFonts w:ascii="Arial" w:hAnsi="Arial" w:cs="Arial"/>
        </w:rPr>
        <w:t xml:space="preserve"> </w:t>
      </w:r>
      <w:r w:rsidRPr="00CF2566">
        <w:rPr>
          <w:rFonts w:ascii="Arial" w:hAnsi="Arial" w:cs="Arial" w:hint="eastAsia"/>
          <w:caps w:val="0"/>
        </w:rPr>
        <w:t>Definition of quantitative analysis</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hint="eastAsia"/>
        </w:rPr>
        <w:t>After qualitative analysis of multiphase substances, which primarily identifies the types of constituent phases in cement-based materials, if one intends to further grasp the relative content of each phase</w:t>
      </w:r>
      <w:r w:rsidRPr="00CF2566">
        <w:rPr>
          <w:rFonts w:ascii="Arial" w:hAnsi="Arial" w:cs="Arial" w:hint="eastAsia"/>
        </w:rPr>
        <w:t>—</w:t>
      </w:r>
      <w:r w:rsidRPr="00CF2566">
        <w:rPr>
          <w:rFonts w:ascii="Arial" w:hAnsi="Arial" w:cs="Arial" w:hint="eastAsia"/>
        </w:rPr>
        <w:t>a key basis for evaluating material performance and hydration degree</w:t>
      </w:r>
      <w:r w:rsidRPr="00CF2566">
        <w:rPr>
          <w:rFonts w:ascii="Arial" w:hAnsi="Arial" w:cs="Arial" w:hint="eastAsia"/>
        </w:rPr>
        <w:t>—</w:t>
      </w:r>
      <w:r w:rsidRPr="00CF2566">
        <w:rPr>
          <w:rFonts w:ascii="Arial" w:hAnsi="Arial" w:cs="Arial" w:hint="eastAsia"/>
        </w:rPr>
        <w:t xml:space="preserve">X-ray phase quantitative analysis becomes an indispensable step. In a multiphase mixture like cement paste, the intensity of the diffraction lines corresponding to each phase exhibits a positive correlation with its content: specifically, the higher the relative content of a phase, the higher the relative intensity of its characteristic X-ray diffraction lines [15]. However, this relationship is generally not a simple linear one, as it is affected by multiple factors beyond sample absorption, such as crystal orientation, particle size distribution, and the degree of crystallinity of the phases. These factors can cause deviations between diffraction intensity and actual content, making direct quantitative calculation infeasible. The fundamental principle of quantitative analysis lies in establishing a reliable relationship curve between diffraction intensity and phase content through either experimental </w:t>
      </w:r>
      <w:proofErr w:type="gramStart"/>
      <w:r w:rsidRPr="00CF2566">
        <w:rPr>
          <w:rFonts w:ascii="Arial" w:hAnsi="Arial" w:cs="Arial" w:hint="eastAsia"/>
        </w:rPr>
        <w:t>measurements</w:t>
      </w:r>
      <w:proofErr w:type="gramEnd"/>
      <w:r w:rsidRPr="00CF2566">
        <w:rPr>
          <w:rFonts w:ascii="Arial" w:hAnsi="Arial" w:cs="Arial" w:hint="eastAsia"/>
        </w:rPr>
        <w:t xml:space="preserve"> (e.g., preparing standard samples with known content to determine calibration curves) or theoretical analysis (e.g., constructing crystal structure models for intensity correction). With this curve, the content of the target phase can be accurately calculated from the measured diffraction intensity. Scrivener K [16] conducted a systematic comparison of various quantitative analysis methods, including chemical titration, thermogravimetric analysis, and X-ray diffraction. The results indicated that X-ray diffraction technology outperformed other methods in terms of operational simplicity, analysis efficiency, and repeatability, making it a more practical and effective choice for the quantitative analysis of cement-based material phases</w:t>
      </w:r>
    </w:p>
    <w:p w:rsidR="00AA6861" w:rsidRPr="00CF2566" w:rsidRDefault="00397A73">
      <w:pPr>
        <w:pStyle w:val="ConcHead"/>
        <w:spacing w:after="0"/>
        <w:jc w:val="both"/>
        <w:rPr>
          <w:rFonts w:ascii="Arial" w:hAnsi="Arial" w:cs="Arial"/>
          <w:caps w:val="0"/>
          <w:lang w:eastAsia="zh-CN"/>
        </w:rPr>
      </w:pPr>
      <w:r w:rsidRPr="00CF2566">
        <w:rPr>
          <w:rFonts w:ascii="Arial" w:hAnsi="Arial" w:cs="Arial" w:hint="eastAsia"/>
          <w:lang w:eastAsia="zh-CN"/>
        </w:rPr>
        <w:t>4</w:t>
      </w:r>
      <w:r w:rsidRPr="00CF2566">
        <w:rPr>
          <w:rFonts w:ascii="Arial" w:hAnsi="Arial" w:cs="Arial"/>
        </w:rPr>
        <w:t>.</w:t>
      </w:r>
      <w:r w:rsidRPr="00CF2566">
        <w:rPr>
          <w:rFonts w:ascii="Arial" w:hAnsi="Arial" w:cs="Arial" w:hint="eastAsia"/>
          <w:lang w:eastAsia="zh-CN"/>
        </w:rPr>
        <w:t>2</w:t>
      </w:r>
      <w:r w:rsidRPr="00CF2566">
        <w:rPr>
          <w:rFonts w:ascii="Arial" w:hAnsi="Arial" w:cs="Arial"/>
        </w:rPr>
        <w:t xml:space="preserve"> </w:t>
      </w:r>
      <w:r w:rsidRPr="00CF2566">
        <w:rPr>
          <w:rFonts w:ascii="Arial" w:hAnsi="Arial" w:cs="Arial" w:hint="eastAsia"/>
          <w:caps w:val="0"/>
        </w:rPr>
        <w:t>Definition of quantitative analysis</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hint="eastAsia"/>
        </w:rPr>
        <w:t>Depending on the known parameter quantities used in the full-spectrum fitting process, quantitative analysis methods can be divided into two main categories. One category requires the use of crystal structure data of the phases, namely the Rietveld method [17]; the other category does not require knowledge of the crystal structure data of the phases but requires the standard spectra of each phase in its pure form. The commonly used method is the Rietveld method.</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hint="eastAsia"/>
        </w:rPr>
        <w:t xml:space="preserve">Rietveld proposed the Rietveld neutron diffraction method in 1969. It not only solves the problem of overlapping peaks but also allows for effective correction of certain physical effects. Its principle is: by scanning in small steps and taking the scanned intensity </w:t>
      </w:r>
      <w:proofErr w:type="spellStart"/>
      <w:r w:rsidRPr="00CF2566">
        <w:rPr>
          <w:rFonts w:ascii="Arial" w:hAnsi="Arial" w:cs="Arial" w:hint="eastAsia"/>
        </w:rPr>
        <w:t>y</w:t>
      </w:r>
      <w:r w:rsidRPr="00CF2566">
        <w:rPr>
          <w:rFonts w:ascii="Arial" w:hAnsi="Arial" w:cs="Arial" w:hint="eastAsia"/>
          <w:vertAlign w:val="subscript"/>
        </w:rPr>
        <w:t>i</w:t>
      </w:r>
      <w:proofErr w:type="spellEnd"/>
      <w:r w:rsidRPr="00CF2566">
        <w:rPr>
          <w:rFonts w:ascii="Arial" w:hAnsi="Arial" w:cs="Arial" w:hint="eastAsia"/>
          <w:vertAlign w:val="subscript"/>
        </w:rPr>
        <w:t xml:space="preserve"> </w:t>
      </w:r>
      <w:r w:rsidRPr="00CF2566">
        <w:rPr>
          <w:rFonts w:ascii="Arial" w:hAnsi="Arial" w:cs="Arial" w:hint="eastAsia"/>
        </w:rPr>
        <w:t xml:space="preserve">at each step along the diffraction pattern as a data point, it replaces the integrated intensity of the phase peaks. This produces thousands of intensity points </w:t>
      </w:r>
      <w:proofErr w:type="spellStart"/>
      <w:r w:rsidRPr="00CF2566">
        <w:rPr>
          <w:rFonts w:ascii="Arial" w:hAnsi="Arial" w:cs="Arial" w:hint="eastAsia"/>
        </w:rPr>
        <w:t>yi</w:t>
      </w:r>
      <w:proofErr w:type="spellEnd"/>
      <w:r w:rsidRPr="00CF2566">
        <w:rPr>
          <w:rFonts w:ascii="Arial" w:hAnsi="Arial" w:cs="Arial" w:hint="eastAsia"/>
        </w:rPr>
        <w:t xml:space="preserve"> on the XRD pattern, forming a set of data. The Rietveld method uses nonlinear least squares to fit a calculated pattern to the observed XRD pattern. [</w:t>
      </w:r>
      <w:proofErr w:type="gramStart"/>
      <w:r w:rsidRPr="00CF2566">
        <w:rPr>
          <w:rFonts w:ascii="Arial" w:hAnsi="Arial" w:cs="Arial" w:hint="eastAsia"/>
        </w:rPr>
        <w:t>1</w:t>
      </w:r>
      <w:r w:rsidRPr="00CF2566">
        <w:rPr>
          <w:rFonts w:ascii="Arial" w:hAnsi="Arial" w:cs="Arial" w:hint="eastAsia"/>
          <w:lang w:eastAsia="zh-CN"/>
        </w:rPr>
        <w:t>7</w:t>
      </w:r>
      <w:r w:rsidRPr="00CF2566">
        <w:rPr>
          <w:rFonts w:ascii="Arial" w:hAnsi="Arial" w:cs="Arial" w:hint="eastAsia"/>
        </w:rPr>
        <w:t>][</w:t>
      </w:r>
      <w:proofErr w:type="gramEnd"/>
      <w:r w:rsidRPr="00CF2566">
        <w:rPr>
          <w:rFonts w:ascii="Arial" w:hAnsi="Arial" w:cs="Arial" w:hint="eastAsia"/>
        </w:rPr>
        <w:t>1</w:t>
      </w:r>
      <w:r w:rsidRPr="00CF2566">
        <w:rPr>
          <w:rFonts w:ascii="Arial" w:hAnsi="Arial" w:cs="Arial" w:hint="eastAsia"/>
          <w:lang w:eastAsia="zh-CN"/>
        </w:rPr>
        <w:t>8</w:t>
      </w:r>
      <w:r w:rsidRPr="00CF2566">
        <w:rPr>
          <w:rFonts w:ascii="Arial" w:hAnsi="Arial" w:cs="Arial" w:hint="eastAsia"/>
        </w:rPr>
        <w:t xml:space="preserve">]The prerequisites for quantitatively analyzing phases using the Rietveld method are: (1) the phase to be quantified must be a crystalline phase; (2) the crystal structure </w:t>
      </w:r>
      <w:r w:rsidRPr="00CF2566">
        <w:rPr>
          <w:rFonts w:ascii="Arial" w:hAnsi="Arial" w:cs="Arial" w:hint="eastAsia"/>
        </w:rPr>
        <w:lastRenderedPageBreak/>
        <w:t>of the phase must be known. Only under these conditions can analysis software perform a calculated fit of the sample's diffraction pattern.[1</w:t>
      </w:r>
      <w:r w:rsidRPr="00CF2566">
        <w:rPr>
          <w:rFonts w:ascii="Arial" w:hAnsi="Arial" w:cs="Arial" w:hint="eastAsia"/>
          <w:lang w:eastAsia="zh-CN"/>
        </w:rPr>
        <w:t>9</w:t>
      </w:r>
      <w:r w:rsidRPr="00CF2566">
        <w:rPr>
          <w:rFonts w:ascii="Arial" w:hAnsi="Arial" w:cs="Arial" w:hint="eastAsia"/>
        </w:rPr>
        <w:t>]</w:t>
      </w:r>
    </w:p>
    <w:p w:rsidR="00AA6861" w:rsidRPr="00CF2566" w:rsidRDefault="00AA6861">
      <w:pPr>
        <w:pStyle w:val="Body"/>
        <w:spacing w:after="0"/>
        <w:rPr>
          <w:rFonts w:ascii="Arial" w:hAnsi="Arial" w:cs="Arial"/>
        </w:rPr>
      </w:pPr>
    </w:p>
    <w:p w:rsidR="00AA6861" w:rsidRPr="00CF2566" w:rsidRDefault="00397A73">
      <w:pPr>
        <w:pStyle w:val="ConcHead"/>
        <w:spacing w:after="0"/>
        <w:jc w:val="both"/>
        <w:rPr>
          <w:rFonts w:ascii="Arial" w:hAnsi="Arial" w:cs="Arial"/>
          <w:caps w:val="0"/>
          <w:lang w:eastAsia="zh-CN"/>
        </w:rPr>
      </w:pPr>
      <w:r w:rsidRPr="00CF2566">
        <w:rPr>
          <w:rFonts w:ascii="Arial" w:hAnsi="Arial" w:cs="Arial" w:hint="eastAsia"/>
          <w:lang w:eastAsia="zh-CN"/>
        </w:rPr>
        <w:t>4</w:t>
      </w:r>
      <w:r w:rsidRPr="00CF2566">
        <w:rPr>
          <w:rFonts w:ascii="Arial" w:hAnsi="Arial" w:cs="Arial"/>
        </w:rPr>
        <w:t>.</w:t>
      </w:r>
      <w:r w:rsidRPr="00CF2566">
        <w:rPr>
          <w:rFonts w:ascii="Arial" w:hAnsi="Arial" w:cs="Arial" w:hint="eastAsia"/>
          <w:lang w:eastAsia="zh-CN"/>
        </w:rPr>
        <w:t>3</w:t>
      </w:r>
      <w:r w:rsidRPr="00CF2566">
        <w:rPr>
          <w:rFonts w:ascii="Arial" w:hAnsi="Arial" w:cs="Arial"/>
        </w:rPr>
        <w:t xml:space="preserve"> </w:t>
      </w:r>
      <w:r w:rsidRPr="00CF2566">
        <w:rPr>
          <w:rFonts w:ascii="Arial" w:hAnsi="Arial" w:cs="Arial" w:hint="eastAsia"/>
          <w:caps w:val="0"/>
        </w:rPr>
        <w:t>Quantitative Analysis Applications</w:t>
      </w:r>
    </w:p>
    <w:p w:rsidR="00AA6861" w:rsidRPr="00CF2566" w:rsidRDefault="00AA6861">
      <w:pPr>
        <w:pStyle w:val="Body"/>
        <w:spacing w:after="0"/>
        <w:rPr>
          <w:rFonts w:ascii="Arial" w:hAnsi="Arial" w:cs="Arial"/>
          <w:lang w:eastAsia="zh-CN"/>
        </w:rPr>
      </w:pPr>
    </w:p>
    <w:p w:rsidR="00AA6861" w:rsidRPr="00CF2566" w:rsidRDefault="00397A73">
      <w:pPr>
        <w:pStyle w:val="Body"/>
        <w:spacing w:after="0"/>
        <w:rPr>
          <w:rFonts w:ascii="Arial" w:hAnsi="Arial" w:cs="Arial"/>
        </w:rPr>
      </w:pPr>
      <w:r w:rsidRPr="00CF2566">
        <w:rPr>
          <w:rFonts w:ascii="Arial" w:hAnsi="Arial" w:cs="Arial" w:hint="eastAsia"/>
        </w:rPr>
        <w:t xml:space="preserve">The quality of cement mainly depends on the mineral composition and content of the clinker. Jiang </w:t>
      </w:r>
      <w:proofErr w:type="spellStart"/>
      <w:r w:rsidRPr="00CF2566">
        <w:rPr>
          <w:rFonts w:ascii="Arial" w:hAnsi="Arial" w:cs="Arial" w:hint="eastAsia"/>
        </w:rPr>
        <w:t>Hejun</w:t>
      </w:r>
      <w:proofErr w:type="spellEnd"/>
      <w:r w:rsidRPr="00CF2566">
        <w:rPr>
          <w:rFonts w:ascii="Arial" w:hAnsi="Arial" w:cs="Arial" w:hint="eastAsia"/>
        </w:rPr>
        <w:t xml:space="preserve"> and others compared and analyzed the application of the Bogue method and the Rietveld full-pattern fitting method in quantifying multi-component cement clinker mineral phases, using industrial cement clinker as the research object, and quantified the phase composition content of industrial cement clinker with the help of the Bogue method and the Rietveld full-pattern fitting method.[20]</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lang w:eastAsia="zh-CN"/>
        </w:rPr>
      </w:pPr>
      <w:r w:rsidRPr="00CF2566">
        <w:rPr>
          <w:rFonts w:ascii="Arial" w:hAnsi="Arial" w:cs="Arial" w:hint="eastAsia"/>
          <w:lang w:eastAsia="zh-CN"/>
        </w:rPr>
        <w:t>The industrial clinker from two cement plants was ground and then pressed into thin slices using a tablet press. These slices were scanned with an X-ray diffractometer to obtain detailed XRD patterns, which were subsequently subjected to full-pattern fitting using GSAS software. Using a reasonable refinement strategy, a Rietveld quantitative analysis was performed on the industrial clinker from both cement plants. The resulting Rietveld refinement diagrams and mineral phase contents are shown in Figures 2 and 3, respectively. The mass fractions of each mineral were calculated using the quantitative analysis software that comes with the X-ray diffractometer.</w:t>
      </w:r>
    </w:p>
    <w:p w:rsidR="00AA6861" w:rsidRPr="00CF2566" w:rsidRDefault="00AA6861">
      <w:pPr>
        <w:pStyle w:val="Body"/>
        <w:spacing w:after="0"/>
        <w:rPr>
          <w:rFonts w:ascii="Arial" w:hAnsi="Arial" w:cs="Arial"/>
          <w:lang w:eastAsia="zh-CN"/>
        </w:rPr>
      </w:pPr>
    </w:p>
    <w:p w:rsidR="00AA6861" w:rsidRPr="00CF2566" w:rsidRDefault="00AA6861">
      <w:pPr>
        <w:pStyle w:val="Body"/>
        <w:spacing w:after="0"/>
        <w:rPr>
          <w:rFonts w:ascii="SimSun" w:eastAsia="SimSun" w:hAnsi="SimSun" w:cs="SimSun"/>
          <w:sz w:val="21"/>
          <w:szCs w:val="21"/>
          <w:lang w:eastAsia="zh-CN"/>
        </w:rPr>
      </w:pPr>
    </w:p>
    <w:p w:rsidR="00AA6861" w:rsidRPr="00CF2566" w:rsidRDefault="00AA6861">
      <w:pPr>
        <w:pStyle w:val="Body"/>
        <w:spacing w:after="0"/>
        <w:rPr>
          <w:rFonts w:ascii="SimSun" w:eastAsia="SimSun" w:hAnsi="SimSun" w:cs="SimSun"/>
          <w:sz w:val="21"/>
          <w:szCs w:val="21"/>
          <w:lang w:eastAsia="zh-CN"/>
        </w:rPr>
      </w:pPr>
    </w:p>
    <w:p w:rsidR="00AA6861" w:rsidRPr="00CF2566" w:rsidRDefault="00397A73">
      <w:pPr>
        <w:pStyle w:val="Body"/>
        <w:spacing w:after="0"/>
        <w:jc w:val="center"/>
        <w:rPr>
          <w:rFonts w:ascii="Arial" w:hAnsi="Arial" w:cs="Arial"/>
          <w:lang w:eastAsia="zh-CN"/>
        </w:rPr>
      </w:pPr>
      <w:r w:rsidRPr="00CF2566">
        <w:rPr>
          <w:rFonts w:ascii="SimSun" w:eastAsia="SimSun" w:hAnsi="SimSun" w:cs="SimSun"/>
          <w:noProof/>
          <w:sz w:val="21"/>
          <w:szCs w:val="21"/>
          <w:lang w:eastAsia="zh-CN"/>
        </w:rPr>
        <w:drawing>
          <wp:inline distT="0" distB="0" distL="114300" distR="114300">
            <wp:extent cx="3446145" cy="2259965"/>
            <wp:effectExtent l="0" t="0" r="13335" b="10795"/>
            <wp:docPr id="6" name="图片 6" descr="bd4131b261bc69d6a9b22bfd700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4131b261bc69d6a9b22bfd7006493"/>
                    <pic:cNvPicPr>
                      <a:picLocks noChangeAspect="1"/>
                    </pic:cNvPicPr>
                  </pic:nvPicPr>
                  <pic:blipFill>
                    <a:blip r:embed="rId16"/>
                    <a:srcRect r="49632" b="23776"/>
                    <a:stretch>
                      <a:fillRect/>
                    </a:stretch>
                  </pic:blipFill>
                  <pic:spPr>
                    <a:xfrm>
                      <a:off x="0" y="0"/>
                      <a:ext cx="3446145" cy="2259965"/>
                    </a:xfrm>
                    <a:prstGeom prst="rect">
                      <a:avLst/>
                    </a:prstGeom>
                  </pic:spPr>
                </pic:pic>
              </a:graphicData>
            </a:graphic>
          </wp:inline>
        </w:drawing>
      </w:r>
    </w:p>
    <w:p w:rsidR="00AA6861" w:rsidRPr="00CF2566" w:rsidRDefault="00AA6861">
      <w:pPr>
        <w:pStyle w:val="Body"/>
        <w:spacing w:after="0"/>
        <w:jc w:val="center"/>
        <w:rPr>
          <w:rFonts w:ascii="Arial" w:hAnsi="Arial" w:cs="Arial"/>
          <w:b/>
          <w:bCs/>
          <w:lang w:eastAsia="zh-CN"/>
        </w:rPr>
      </w:pPr>
    </w:p>
    <w:p w:rsidR="00AA6861" w:rsidRPr="00CF2566" w:rsidRDefault="00397A73">
      <w:pPr>
        <w:pStyle w:val="Body"/>
        <w:spacing w:after="0"/>
        <w:jc w:val="center"/>
        <w:rPr>
          <w:rFonts w:ascii="Arial" w:hAnsi="Arial" w:cs="Arial"/>
          <w:b/>
          <w:bCs/>
          <w:lang w:eastAsia="zh-CN"/>
        </w:rPr>
      </w:pPr>
      <w:r w:rsidRPr="00CF2566">
        <w:rPr>
          <w:rFonts w:ascii="Arial" w:hAnsi="Arial" w:cs="Arial"/>
          <w:b/>
          <w:bCs/>
          <w:lang w:eastAsia="zh-CN"/>
        </w:rPr>
        <w:t xml:space="preserve">Figure </w:t>
      </w:r>
      <w:r w:rsidRPr="00CF2566">
        <w:rPr>
          <w:rFonts w:ascii="Arial" w:hAnsi="Arial" w:cs="Arial" w:hint="eastAsia"/>
          <w:b/>
          <w:bCs/>
          <w:lang w:eastAsia="zh-CN"/>
        </w:rPr>
        <w:t>2</w:t>
      </w:r>
      <w:r w:rsidRPr="00CF2566">
        <w:rPr>
          <w:rFonts w:ascii="Arial" w:hAnsi="Arial" w:cs="Arial"/>
          <w:b/>
          <w:bCs/>
          <w:lang w:eastAsia="zh-CN"/>
        </w:rPr>
        <w:t xml:space="preserve">. </w:t>
      </w:r>
      <w:r w:rsidRPr="00CF2566">
        <w:rPr>
          <w:rFonts w:ascii="Arial" w:hAnsi="Arial" w:cs="Arial" w:hint="eastAsia"/>
          <w:b/>
          <w:bCs/>
          <w:lang w:eastAsia="zh-CN"/>
        </w:rPr>
        <w:t>Rietveld quantitative analysis of XZ clinker</w:t>
      </w:r>
    </w:p>
    <w:p w:rsidR="00AA6861" w:rsidRPr="00CF2566" w:rsidRDefault="00AA6861">
      <w:pPr>
        <w:pStyle w:val="Body"/>
        <w:spacing w:after="0"/>
        <w:rPr>
          <w:rFonts w:ascii="Arial" w:hAnsi="Arial" w:cs="Arial"/>
          <w:b/>
          <w:bCs/>
          <w:lang w:eastAsia="zh-CN"/>
        </w:rPr>
      </w:pPr>
    </w:p>
    <w:p w:rsidR="00AA6861" w:rsidRPr="00CF2566" w:rsidRDefault="00397A73">
      <w:pPr>
        <w:pStyle w:val="Body"/>
        <w:spacing w:after="0"/>
        <w:jc w:val="center"/>
        <w:rPr>
          <w:rFonts w:ascii="Arial" w:hAnsi="Arial" w:cs="Arial"/>
          <w:b/>
          <w:bCs/>
          <w:lang w:eastAsia="zh-CN"/>
        </w:rPr>
      </w:pPr>
      <w:r w:rsidRPr="00CF2566">
        <w:rPr>
          <w:rFonts w:ascii="SimSun" w:eastAsia="SimSun" w:hAnsi="SimSun" w:cs="SimSun"/>
          <w:noProof/>
          <w:sz w:val="21"/>
          <w:szCs w:val="21"/>
          <w:lang w:eastAsia="zh-CN"/>
        </w:rPr>
        <w:lastRenderedPageBreak/>
        <w:drawing>
          <wp:inline distT="0" distB="0" distL="114300" distR="114300">
            <wp:extent cx="3227070" cy="2247900"/>
            <wp:effectExtent l="0" t="0" r="3810" b="7620"/>
            <wp:docPr id="3" name="图片 3" descr="bd4131b261bc69d6a9b22bfd700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4131b261bc69d6a9b22bfd7006493"/>
                    <pic:cNvPicPr>
                      <a:picLocks noChangeAspect="1"/>
                    </pic:cNvPicPr>
                  </pic:nvPicPr>
                  <pic:blipFill>
                    <a:blip r:embed="rId16"/>
                    <a:srcRect l="49018" b="20884"/>
                    <a:stretch>
                      <a:fillRect/>
                    </a:stretch>
                  </pic:blipFill>
                  <pic:spPr>
                    <a:xfrm>
                      <a:off x="0" y="0"/>
                      <a:ext cx="3227070" cy="2247900"/>
                    </a:xfrm>
                    <a:prstGeom prst="rect">
                      <a:avLst/>
                    </a:prstGeom>
                  </pic:spPr>
                </pic:pic>
              </a:graphicData>
            </a:graphic>
          </wp:inline>
        </w:drawing>
      </w:r>
    </w:p>
    <w:p w:rsidR="00AA6861" w:rsidRPr="00CF2566" w:rsidRDefault="00AA6861">
      <w:pPr>
        <w:pStyle w:val="Body"/>
        <w:spacing w:after="0"/>
        <w:rPr>
          <w:rFonts w:ascii="Arial" w:hAnsi="Arial" w:cs="Arial"/>
          <w:b/>
          <w:bCs/>
          <w:lang w:eastAsia="zh-CN"/>
        </w:rPr>
      </w:pPr>
    </w:p>
    <w:p w:rsidR="00AA6861" w:rsidRPr="00CF2566" w:rsidRDefault="00397A73">
      <w:pPr>
        <w:pStyle w:val="Body"/>
        <w:spacing w:after="0"/>
        <w:jc w:val="center"/>
        <w:rPr>
          <w:rFonts w:ascii="Arial" w:hAnsi="Arial" w:cs="Arial"/>
          <w:b/>
          <w:bCs/>
          <w:lang w:eastAsia="zh-CN"/>
        </w:rPr>
      </w:pPr>
      <w:r w:rsidRPr="00CF2566">
        <w:rPr>
          <w:rFonts w:ascii="Arial" w:hAnsi="Arial" w:cs="Arial"/>
          <w:b/>
          <w:bCs/>
          <w:lang w:eastAsia="zh-CN"/>
        </w:rPr>
        <w:t xml:space="preserve">Figure </w:t>
      </w:r>
      <w:r w:rsidRPr="00CF2566">
        <w:rPr>
          <w:rFonts w:ascii="Arial" w:hAnsi="Arial" w:cs="Arial" w:hint="eastAsia"/>
          <w:b/>
          <w:bCs/>
          <w:lang w:eastAsia="zh-CN"/>
        </w:rPr>
        <w:t>3</w:t>
      </w:r>
      <w:r w:rsidRPr="00CF2566">
        <w:rPr>
          <w:rFonts w:ascii="Arial" w:hAnsi="Arial" w:cs="Arial"/>
          <w:b/>
          <w:bCs/>
          <w:lang w:eastAsia="zh-CN"/>
        </w:rPr>
        <w:t xml:space="preserve">. </w:t>
      </w:r>
      <w:r w:rsidRPr="00CF2566">
        <w:rPr>
          <w:rFonts w:ascii="Arial" w:hAnsi="Arial" w:cs="Arial" w:hint="eastAsia"/>
          <w:b/>
          <w:bCs/>
          <w:lang w:eastAsia="zh-CN"/>
        </w:rPr>
        <w:t>Rietveld quantitative analysis of XZ clinker</w:t>
      </w:r>
    </w:p>
    <w:p w:rsidR="00AA6861" w:rsidRPr="00CF2566" w:rsidRDefault="00AA6861">
      <w:pPr>
        <w:pStyle w:val="Body"/>
        <w:spacing w:after="0"/>
        <w:jc w:val="center"/>
        <w:rPr>
          <w:rFonts w:ascii="Arial" w:hAnsi="Arial" w:cs="Arial"/>
          <w:b/>
          <w:bCs/>
          <w:lang w:eastAsia="zh-CN"/>
        </w:rPr>
      </w:pPr>
    </w:p>
    <w:p w:rsidR="00AA6861" w:rsidRPr="00CF2566" w:rsidRDefault="00AA6861">
      <w:pPr>
        <w:ind w:firstLineChars="200" w:firstLine="400"/>
        <w:jc w:val="both"/>
        <w:rPr>
          <w:rFonts w:ascii="SimSun" w:hAnsi="SimSun" w:cs="SimSun"/>
          <w:color w:val="000000"/>
          <w:szCs w:val="21"/>
          <w:lang w:bidi="ar"/>
        </w:rPr>
      </w:pPr>
    </w:p>
    <w:p w:rsidR="00AA6861" w:rsidRPr="00CF2566" w:rsidRDefault="00397A73">
      <w:pPr>
        <w:ind w:firstLineChars="200" w:firstLine="400"/>
        <w:jc w:val="both"/>
        <w:rPr>
          <w:rFonts w:ascii="SimSun" w:hAnsi="SimSun" w:cs="SimSun"/>
          <w:color w:val="000000"/>
          <w:szCs w:val="21"/>
          <w:lang w:bidi="ar"/>
        </w:rPr>
      </w:pPr>
      <w:r w:rsidRPr="00CF2566">
        <w:rPr>
          <w:rFonts w:ascii="Arial" w:hAnsi="Arial" w:cs="Arial" w:hint="eastAsia"/>
          <w:lang w:eastAsia="zh-CN"/>
        </w:rPr>
        <w:t xml:space="preserve">Comparing the Rietveld method and the </w:t>
      </w:r>
      <w:proofErr w:type="spellStart"/>
      <w:r w:rsidRPr="00CF2566">
        <w:rPr>
          <w:rFonts w:ascii="Arial" w:hAnsi="Arial" w:cs="Arial" w:hint="eastAsia"/>
          <w:lang w:eastAsia="zh-CN"/>
        </w:rPr>
        <w:t>Bouge</w:t>
      </w:r>
      <w:proofErr w:type="spellEnd"/>
      <w:r w:rsidRPr="00CF2566">
        <w:rPr>
          <w:rFonts w:ascii="Arial" w:hAnsi="Arial" w:cs="Arial" w:hint="eastAsia"/>
          <w:lang w:eastAsia="zh-CN"/>
        </w:rPr>
        <w:t xml:space="preserve"> method for quantitative analysis of the mineral phase content in industrial cement clinker, as shown in Tables 1 and 2. The C3S content obtained by Rietveld quantitative analysis is higher than the value calculated by the </w:t>
      </w:r>
      <w:proofErr w:type="spellStart"/>
      <w:r w:rsidRPr="00CF2566">
        <w:rPr>
          <w:rFonts w:ascii="Arial" w:hAnsi="Arial" w:cs="Arial" w:hint="eastAsia"/>
          <w:lang w:eastAsia="zh-CN"/>
        </w:rPr>
        <w:t>Bouge</w:t>
      </w:r>
      <w:proofErr w:type="spellEnd"/>
      <w:r w:rsidRPr="00CF2566">
        <w:rPr>
          <w:rFonts w:ascii="Arial" w:hAnsi="Arial" w:cs="Arial" w:hint="eastAsia"/>
          <w:lang w:eastAsia="zh-CN"/>
        </w:rPr>
        <w:t xml:space="preserve"> method. </w:t>
      </w:r>
      <w:proofErr w:type="spellStart"/>
      <w:r w:rsidRPr="00CF2566">
        <w:rPr>
          <w:rFonts w:ascii="Arial" w:hAnsi="Arial" w:cs="Arial" w:hint="eastAsia"/>
          <w:lang w:eastAsia="zh-CN"/>
        </w:rPr>
        <w:t>Knofel</w:t>
      </w:r>
      <w:proofErr w:type="spellEnd"/>
      <w:r w:rsidRPr="00CF2566">
        <w:rPr>
          <w:rFonts w:ascii="Arial" w:hAnsi="Arial" w:cs="Arial" w:hint="eastAsia"/>
          <w:lang w:eastAsia="zh-CN"/>
        </w:rPr>
        <w:t xml:space="preserve"> and Spohn [21] suggested that this phenomenon may be due to the isomorphic substitution of MgO in C3S. On the other hand, the contents of C2S and C4AF are relatively low. In addition, the C3A content obtained by X-ray diffraction is significantly lower than the value calculated by the </w:t>
      </w:r>
      <w:proofErr w:type="spellStart"/>
      <w:r w:rsidRPr="00CF2566">
        <w:rPr>
          <w:rFonts w:ascii="Arial" w:hAnsi="Arial" w:cs="Arial" w:hint="eastAsia"/>
          <w:lang w:eastAsia="zh-CN"/>
        </w:rPr>
        <w:t>Bouge</w:t>
      </w:r>
      <w:proofErr w:type="spellEnd"/>
      <w:r w:rsidRPr="00CF2566">
        <w:rPr>
          <w:rFonts w:ascii="Arial" w:hAnsi="Arial" w:cs="Arial" w:hint="eastAsia"/>
          <w:lang w:eastAsia="zh-CN"/>
        </w:rPr>
        <w:t xml:space="preserve"> method. This is mainly because the </w:t>
      </w:r>
      <w:proofErr w:type="spellStart"/>
      <w:r w:rsidRPr="00CF2566">
        <w:rPr>
          <w:rFonts w:ascii="Arial" w:hAnsi="Arial" w:cs="Arial" w:hint="eastAsia"/>
          <w:lang w:eastAsia="zh-CN"/>
        </w:rPr>
        <w:t>Bouge</w:t>
      </w:r>
      <w:proofErr w:type="spellEnd"/>
      <w:r w:rsidRPr="00CF2566">
        <w:rPr>
          <w:rFonts w:ascii="Arial" w:hAnsi="Arial" w:cs="Arial" w:hint="eastAsia"/>
          <w:lang w:eastAsia="zh-CN"/>
        </w:rPr>
        <w:t xml:space="preserve"> method formula is derived under the condition of equilibrium crystallization, which differs greatly from the actual cement production conditions. It can be seen that the Rietveld quantitative analysis method can accurately analyze the content of various mineral phases in clinker, providing a scientific basis for cement production and quality control.</w:t>
      </w:r>
    </w:p>
    <w:p w:rsidR="00AA6861" w:rsidRPr="00CF2566" w:rsidRDefault="00AA6861">
      <w:pPr>
        <w:ind w:firstLineChars="200" w:firstLine="416"/>
        <w:jc w:val="center"/>
        <w:rPr>
          <w:rFonts w:ascii="Times New Roman" w:hAnsi="Times New Roman"/>
          <w:color w:val="231F20"/>
          <w:spacing w:val="8"/>
          <w:szCs w:val="21"/>
        </w:rPr>
      </w:pPr>
    </w:p>
    <w:p w:rsidR="00AA6861" w:rsidRPr="00CF2566" w:rsidRDefault="00AA6861">
      <w:pPr>
        <w:widowControl w:val="0"/>
        <w:autoSpaceDE w:val="0"/>
        <w:autoSpaceDN w:val="0"/>
        <w:spacing w:line="300" w:lineRule="auto"/>
        <w:jc w:val="both"/>
        <w:rPr>
          <w:rFonts w:ascii="Times New Roman" w:eastAsia="SimSun" w:hAnsi="Times New Roman"/>
          <w:b/>
          <w:sz w:val="21"/>
          <w:szCs w:val="24"/>
          <w:lang w:eastAsia="zh-CN"/>
        </w:rPr>
      </w:pPr>
    </w:p>
    <w:p w:rsidR="00AA6861" w:rsidRPr="00CF2566" w:rsidRDefault="00AA6861">
      <w:pPr>
        <w:widowControl w:val="0"/>
        <w:autoSpaceDE w:val="0"/>
        <w:autoSpaceDN w:val="0"/>
        <w:spacing w:line="300" w:lineRule="auto"/>
        <w:jc w:val="center"/>
        <w:rPr>
          <w:rFonts w:ascii="Times New Roman" w:eastAsia="SimSun" w:hAnsi="Times New Roman"/>
          <w:b/>
          <w:sz w:val="21"/>
          <w:szCs w:val="24"/>
          <w:lang w:eastAsia="zh-CN"/>
        </w:rPr>
      </w:pPr>
    </w:p>
    <w:p w:rsidR="00AA6861" w:rsidRPr="00CF2566" w:rsidRDefault="00AA6861">
      <w:pPr>
        <w:widowControl w:val="0"/>
        <w:autoSpaceDE w:val="0"/>
        <w:autoSpaceDN w:val="0"/>
        <w:spacing w:line="300" w:lineRule="auto"/>
        <w:jc w:val="both"/>
        <w:rPr>
          <w:rFonts w:ascii="Times New Roman" w:eastAsia="SimSun" w:hAnsi="Times New Roman"/>
          <w:b/>
          <w:sz w:val="21"/>
          <w:szCs w:val="24"/>
          <w:lang w:eastAsia="zh-CN"/>
        </w:rPr>
      </w:pPr>
    </w:p>
    <w:p w:rsidR="00AA6861" w:rsidRPr="00CF2566" w:rsidRDefault="00397A73">
      <w:pPr>
        <w:pStyle w:val="Body"/>
        <w:spacing w:after="0"/>
        <w:jc w:val="center"/>
        <w:rPr>
          <w:rFonts w:ascii="Arial" w:hAnsi="Arial" w:cs="Arial"/>
          <w:b/>
          <w:bCs/>
          <w:lang w:eastAsia="zh-CN"/>
        </w:rPr>
      </w:pPr>
      <w:r w:rsidRPr="00CF2566">
        <w:rPr>
          <w:rFonts w:ascii="Arial" w:hAnsi="Arial" w:cs="Arial"/>
          <w:b/>
          <w:bCs/>
          <w:lang w:eastAsia="zh-CN"/>
        </w:rPr>
        <w:t xml:space="preserve">Table </w:t>
      </w:r>
      <w:r w:rsidRPr="00CF2566">
        <w:rPr>
          <w:rFonts w:ascii="Arial" w:hAnsi="Arial" w:cs="Arial" w:hint="eastAsia"/>
          <w:b/>
          <w:bCs/>
          <w:lang w:eastAsia="zh-CN"/>
        </w:rPr>
        <w:t>1</w:t>
      </w:r>
      <w:r w:rsidRPr="00CF2566">
        <w:rPr>
          <w:rFonts w:ascii="Arial" w:hAnsi="Arial" w:cs="Arial"/>
          <w:b/>
          <w:bCs/>
          <w:lang w:eastAsia="zh-CN"/>
        </w:rPr>
        <w:t xml:space="preserve"> </w:t>
      </w:r>
      <w:r w:rsidRPr="00CF2566">
        <w:rPr>
          <w:rFonts w:ascii="Arial" w:hAnsi="Arial" w:cs="Arial" w:hint="eastAsia"/>
          <w:b/>
          <w:bCs/>
          <w:lang w:eastAsia="zh-CN"/>
        </w:rPr>
        <w:t xml:space="preserve">Rietveld quantitative analysis of minerals </w:t>
      </w:r>
      <w:proofErr w:type="spellStart"/>
      <w:r w:rsidRPr="00CF2566">
        <w:rPr>
          <w:rFonts w:ascii="Arial" w:hAnsi="Arial" w:cs="Arial" w:hint="eastAsia"/>
          <w:b/>
          <w:bCs/>
          <w:lang w:eastAsia="zh-CN"/>
        </w:rPr>
        <w:t>inclinker</w:t>
      </w:r>
      <w:proofErr w:type="spellEnd"/>
      <w:r w:rsidRPr="00CF2566">
        <w:rPr>
          <w:rFonts w:ascii="Arial" w:hAnsi="Arial" w:cs="Arial" w:hint="eastAsia"/>
          <w:b/>
          <w:bCs/>
          <w:lang w:eastAsia="zh-CN"/>
        </w:rPr>
        <w:t xml:space="preserve"> (</w:t>
      </w:r>
      <w:proofErr w:type="spellStart"/>
      <w:r w:rsidRPr="00CF2566">
        <w:rPr>
          <w:rFonts w:ascii="Arial" w:hAnsi="Arial" w:cs="Arial" w:hint="eastAsia"/>
          <w:b/>
          <w:bCs/>
          <w:lang w:eastAsia="zh-CN"/>
        </w:rPr>
        <w:t>wt</w:t>
      </w:r>
      <w:proofErr w:type="spellEnd"/>
      <w:r w:rsidRPr="00CF2566">
        <w:rPr>
          <w:rFonts w:ascii="Arial" w:hAnsi="Arial" w:cs="Arial" w:hint="eastAsia"/>
          <w:b/>
          <w:bCs/>
          <w:lang w:eastAsia="zh-CN"/>
        </w:rPr>
        <w:t>%)</w:t>
      </w:r>
    </w:p>
    <w:p w:rsidR="00AA6861" w:rsidRPr="00CF2566" w:rsidRDefault="00AA6861">
      <w:pPr>
        <w:widowControl w:val="0"/>
        <w:autoSpaceDE w:val="0"/>
        <w:autoSpaceDN w:val="0"/>
        <w:spacing w:line="300" w:lineRule="auto"/>
        <w:jc w:val="center"/>
        <w:rPr>
          <w:rFonts w:ascii="Times New Roman" w:eastAsia="SimSun" w:hAnsi="Times New Roman"/>
          <w:b/>
          <w:sz w:val="21"/>
          <w:szCs w:val="24"/>
          <w:lang w:eastAsia="zh-CN"/>
        </w:rPr>
      </w:pPr>
    </w:p>
    <w:tbl>
      <w:tblPr>
        <w:tblStyle w:val="TableGrid"/>
        <w:tblW w:w="3668" w:type="pct"/>
        <w:jc w:val="center"/>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65"/>
        <w:gridCol w:w="745"/>
        <w:gridCol w:w="785"/>
        <w:gridCol w:w="975"/>
        <w:gridCol w:w="700"/>
        <w:gridCol w:w="803"/>
        <w:gridCol w:w="844"/>
      </w:tblGrid>
      <w:tr w:rsidR="00AA6861" w:rsidRPr="00CF2566">
        <w:trPr>
          <w:trHeight w:hRule="exact" w:val="419"/>
          <w:jc w:val="center"/>
        </w:trPr>
        <w:tc>
          <w:tcPr>
            <w:tcW w:w="966"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Sample</w:t>
            </w:r>
          </w:p>
        </w:tc>
        <w:tc>
          <w:tcPr>
            <w:tcW w:w="619"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G3S</w:t>
            </w:r>
          </w:p>
        </w:tc>
        <w:tc>
          <w:tcPr>
            <w:tcW w:w="652"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C2S</w:t>
            </w:r>
          </w:p>
        </w:tc>
        <w:tc>
          <w:tcPr>
            <w:tcW w:w="810"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C3A</w:t>
            </w:r>
          </w:p>
        </w:tc>
        <w:tc>
          <w:tcPr>
            <w:tcW w:w="582"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kern w:val="2"/>
                <w:sz w:val="21"/>
                <w:szCs w:val="21"/>
                <w:lang w:eastAsia="zh-CN"/>
              </w:rPr>
              <w:t>C</w:t>
            </w:r>
            <w:r w:rsidRPr="00CF2566">
              <w:rPr>
                <w:rFonts w:ascii="Calibri" w:eastAsia="SimSun" w:hAnsi="Calibri" w:hint="eastAsia"/>
                <w:kern w:val="2"/>
                <w:sz w:val="21"/>
                <w:szCs w:val="21"/>
                <w:lang w:eastAsia="zh-CN"/>
              </w:rPr>
              <w:t>4AF</w:t>
            </w:r>
          </w:p>
        </w:tc>
        <w:tc>
          <w:tcPr>
            <w:tcW w:w="667"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proofErr w:type="spellStart"/>
            <w:r w:rsidRPr="00CF2566">
              <w:rPr>
                <w:rFonts w:ascii="Calibri" w:eastAsia="SimSun" w:hAnsi="Calibri" w:hint="eastAsia"/>
                <w:kern w:val="2"/>
                <w:sz w:val="21"/>
                <w:szCs w:val="21"/>
                <w:lang w:eastAsia="zh-CN"/>
              </w:rPr>
              <w:t>Rvp</w:t>
            </w:r>
            <w:proofErr w:type="spellEnd"/>
          </w:p>
        </w:tc>
        <w:tc>
          <w:tcPr>
            <w:tcW w:w="701"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RF</w:t>
            </w:r>
          </w:p>
        </w:tc>
      </w:tr>
      <w:tr w:rsidR="00AA6861" w:rsidRPr="00CF2566">
        <w:trPr>
          <w:trHeight w:hRule="exact" w:val="419"/>
          <w:jc w:val="center"/>
        </w:trPr>
        <w:tc>
          <w:tcPr>
            <w:tcW w:w="966"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XZ</w:t>
            </w:r>
          </w:p>
        </w:tc>
        <w:tc>
          <w:tcPr>
            <w:tcW w:w="619"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56.90</w:t>
            </w:r>
          </w:p>
        </w:tc>
        <w:tc>
          <w:tcPr>
            <w:tcW w:w="652"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25.12</w:t>
            </w:r>
          </w:p>
        </w:tc>
        <w:tc>
          <w:tcPr>
            <w:tcW w:w="810"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7.35</w:t>
            </w:r>
          </w:p>
        </w:tc>
        <w:tc>
          <w:tcPr>
            <w:tcW w:w="582"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9.60</w:t>
            </w:r>
          </w:p>
        </w:tc>
        <w:tc>
          <w:tcPr>
            <w:tcW w:w="667"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11.24</w:t>
            </w:r>
          </w:p>
        </w:tc>
        <w:tc>
          <w:tcPr>
            <w:tcW w:w="701"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8.35</w:t>
            </w:r>
          </w:p>
        </w:tc>
      </w:tr>
      <w:tr w:rsidR="00AA6861" w:rsidRPr="00CF2566">
        <w:trPr>
          <w:trHeight w:hRule="exact" w:val="482"/>
          <w:jc w:val="center"/>
        </w:trPr>
        <w:tc>
          <w:tcPr>
            <w:tcW w:w="966"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ZJ</w:t>
            </w:r>
          </w:p>
        </w:tc>
        <w:tc>
          <w:tcPr>
            <w:tcW w:w="619"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65.24</w:t>
            </w:r>
          </w:p>
        </w:tc>
        <w:tc>
          <w:tcPr>
            <w:tcW w:w="652"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16.45</w:t>
            </w:r>
          </w:p>
        </w:tc>
        <w:tc>
          <w:tcPr>
            <w:tcW w:w="810"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5.46</w:t>
            </w:r>
          </w:p>
        </w:tc>
        <w:tc>
          <w:tcPr>
            <w:tcW w:w="582"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12.12</w:t>
            </w:r>
          </w:p>
        </w:tc>
        <w:tc>
          <w:tcPr>
            <w:tcW w:w="667"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10.81</w:t>
            </w:r>
          </w:p>
        </w:tc>
        <w:tc>
          <w:tcPr>
            <w:tcW w:w="701"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7.75</w:t>
            </w:r>
          </w:p>
        </w:tc>
      </w:tr>
    </w:tbl>
    <w:p w:rsidR="00AA6861" w:rsidRPr="00CF2566" w:rsidRDefault="00AA6861">
      <w:pPr>
        <w:jc w:val="both"/>
        <w:rPr>
          <w:rFonts w:ascii="SimSun" w:eastAsia="SimSun" w:hAnsi="SimSun" w:cs="SimSun"/>
          <w:sz w:val="21"/>
          <w:szCs w:val="21"/>
          <w:lang w:eastAsia="zh-CN"/>
        </w:rPr>
      </w:pPr>
    </w:p>
    <w:p w:rsidR="00AA6861" w:rsidRPr="00CF2566" w:rsidRDefault="00397A73">
      <w:pPr>
        <w:pStyle w:val="Body"/>
        <w:spacing w:after="0"/>
        <w:jc w:val="center"/>
        <w:rPr>
          <w:rFonts w:ascii="Arial" w:hAnsi="Arial" w:cs="Arial"/>
          <w:b/>
          <w:bCs/>
          <w:lang w:eastAsia="zh-CN"/>
        </w:rPr>
      </w:pPr>
      <w:r w:rsidRPr="00CF2566">
        <w:rPr>
          <w:rFonts w:ascii="Arial" w:hAnsi="Arial" w:cs="Arial"/>
          <w:b/>
          <w:bCs/>
          <w:lang w:eastAsia="zh-CN"/>
        </w:rPr>
        <w:t xml:space="preserve">Table </w:t>
      </w:r>
      <w:r w:rsidRPr="00CF2566">
        <w:rPr>
          <w:rFonts w:ascii="Arial" w:hAnsi="Arial" w:cs="Arial" w:hint="eastAsia"/>
          <w:b/>
          <w:bCs/>
          <w:lang w:eastAsia="zh-CN"/>
        </w:rPr>
        <w:t>2</w:t>
      </w:r>
      <w:r w:rsidRPr="00CF2566">
        <w:rPr>
          <w:rFonts w:ascii="Arial" w:hAnsi="Arial" w:cs="Arial"/>
          <w:b/>
          <w:bCs/>
          <w:lang w:eastAsia="zh-CN"/>
        </w:rPr>
        <w:t xml:space="preserve"> </w:t>
      </w:r>
      <w:r w:rsidRPr="00CF2566">
        <w:rPr>
          <w:rFonts w:ascii="Arial" w:hAnsi="Arial" w:cs="Arial" w:hint="eastAsia"/>
          <w:b/>
          <w:bCs/>
          <w:lang w:eastAsia="zh-CN"/>
        </w:rPr>
        <w:t xml:space="preserve">Bogue quantitative analysis of minerals </w:t>
      </w:r>
      <w:proofErr w:type="spellStart"/>
      <w:r w:rsidRPr="00CF2566">
        <w:rPr>
          <w:rFonts w:ascii="Arial" w:hAnsi="Arial" w:cs="Arial" w:hint="eastAsia"/>
          <w:b/>
          <w:bCs/>
          <w:lang w:eastAsia="zh-CN"/>
        </w:rPr>
        <w:t>inclinker</w:t>
      </w:r>
      <w:proofErr w:type="spellEnd"/>
      <w:r w:rsidRPr="00CF2566">
        <w:rPr>
          <w:rFonts w:ascii="Arial" w:hAnsi="Arial" w:cs="Arial" w:hint="eastAsia"/>
          <w:b/>
          <w:bCs/>
          <w:lang w:eastAsia="zh-CN"/>
        </w:rPr>
        <w:t>(</w:t>
      </w:r>
      <w:proofErr w:type="spellStart"/>
      <w:r w:rsidRPr="00CF2566">
        <w:rPr>
          <w:rFonts w:ascii="Arial" w:hAnsi="Arial" w:cs="Arial" w:hint="eastAsia"/>
          <w:b/>
          <w:bCs/>
          <w:lang w:eastAsia="zh-CN"/>
        </w:rPr>
        <w:t>wt</w:t>
      </w:r>
      <w:proofErr w:type="spellEnd"/>
      <w:r w:rsidRPr="00CF2566">
        <w:rPr>
          <w:rFonts w:ascii="Arial" w:hAnsi="Arial" w:cs="Arial" w:hint="eastAsia"/>
          <w:b/>
          <w:bCs/>
          <w:lang w:eastAsia="zh-CN"/>
        </w:rPr>
        <w:t>%)</w:t>
      </w:r>
    </w:p>
    <w:p w:rsidR="00AA6861" w:rsidRPr="00CF2566" w:rsidRDefault="00AA6861">
      <w:pPr>
        <w:jc w:val="both"/>
        <w:rPr>
          <w:rFonts w:ascii="SimSun" w:eastAsia="SimSun" w:hAnsi="SimSun" w:cs="SimSun"/>
          <w:sz w:val="21"/>
          <w:szCs w:val="21"/>
          <w:lang w:eastAsia="zh-CN"/>
        </w:rPr>
      </w:pPr>
    </w:p>
    <w:tbl>
      <w:tblPr>
        <w:tblStyle w:val="TableGrid"/>
        <w:tblW w:w="3669" w:type="pct"/>
        <w:jc w:val="center"/>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02"/>
        <w:gridCol w:w="1028"/>
        <w:gridCol w:w="1082"/>
        <w:gridCol w:w="1343"/>
        <w:gridCol w:w="964"/>
      </w:tblGrid>
      <w:tr w:rsidR="00AA6861" w:rsidRPr="00CF2566">
        <w:trPr>
          <w:trHeight w:hRule="exact" w:val="395"/>
          <w:jc w:val="center"/>
        </w:trPr>
        <w:tc>
          <w:tcPr>
            <w:tcW w:w="1329"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Sample</w:t>
            </w:r>
          </w:p>
        </w:tc>
        <w:tc>
          <w:tcPr>
            <w:tcW w:w="853"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G3S</w:t>
            </w:r>
          </w:p>
        </w:tc>
        <w:tc>
          <w:tcPr>
            <w:tcW w:w="899"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C2S</w:t>
            </w:r>
          </w:p>
        </w:tc>
        <w:tc>
          <w:tcPr>
            <w:tcW w:w="1116"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C3A</w:t>
            </w:r>
          </w:p>
        </w:tc>
        <w:tc>
          <w:tcPr>
            <w:tcW w:w="801" w:type="pct"/>
            <w:tcBorders>
              <w:top w:val="single" w:sz="12"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kern w:val="2"/>
                <w:sz w:val="21"/>
                <w:szCs w:val="21"/>
                <w:lang w:eastAsia="zh-CN"/>
              </w:rPr>
              <w:t>C</w:t>
            </w:r>
            <w:r w:rsidRPr="00CF2566">
              <w:rPr>
                <w:rFonts w:ascii="Calibri" w:eastAsia="SimSun" w:hAnsi="Calibri" w:hint="eastAsia"/>
                <w:kern w:val="2"/>
                <w:sz w:val="21"/>
                <w:szCs w:val="21"/>
                <w:lang w:eastAsia="zh-CN"/>
              </w:rPr>
              <w:t>4AF</w:t>
            </w:r>
          </w:p>
        </w:tc>
      </w:tr>
      <w:tr w:rsidR="00AA6861" w:rsidRPr="00CF2566">
        <w:trPr>
          <w:trHeight w:hRule="exact" w:val="395"/>
          <w:jc w:val="center"/>
        </w:trPr>
        <w:tc>
          <w:tcPr>
            <w:tcW w:w="1329"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XZ</w:t>
            </w:r>
          </w:p>
        </w:tc>
        <w:tc>
          <w:tcPr>
            <w:tcW w:w="853"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55.66</w:t>
            </w:r>
          </w:p>
        </w:tc>
        <w:tc>
          <w:tcPr>
            <w:tcW w:w="899"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20.7</w:t>
            </w:r>
          </w:p>
        </w:tc>
        <w:tc>
          <w:tcPr>
            <w:tcW w:w="1116"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8.31</w:t>
            </w:r>
          </w:p>
        </w:tc>
        <w:tc>
          <w:tcPr>
            <w:tcW w:w="801" w:type="pct"/>
            <w:tcBorders>
              <w:top w:val="single" w:sz="6" w:space="0" w:color="auto"/>
              <w:bottom w:val="single" w:sz="6"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10.37</w:t>
            </w:r>
          </w:p>
        </w:tc>
      </w:tr>
      <w:tr w:rsidR="00AA6861" w:rsidRPr="00CF2566">
        <w:trPr>
          <w:trHeight w:hRule="exact" w:val="424"/>
          <w:jc w:val="center"/>
        </w:trPr>
        <w:tc>
          <w:tcPr>
            <w:tcW w:w="1329"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ZJ</w:t>
            </w:r>
          </w:p>
        </w:tc>
        <w:tc>
          <w:tcPr>
            <w:tcW w:w="853"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62.35</w:t>
            </w:r>
          </w:p>
        </w:tc>
        <w:tc>
          <w:tcPr>
            <w:tcW w:w="899"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14.16</w:t>
            </w:r>
          </w:p>
        </w:tc>
        <w:tc>
          <w:tcPr>
            <w:tcW w:w="1116"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8.23</w:t>
            </w:r>
          </w:p>
        </w:tc>
        <w:tc>
          <w:tcPr>
            <w:tcW w:w="801" w:type="pct"/>
            <w:tcBorders>
              <w:top w:val="single" w:sz="6" w:space="0" w:color="auto"/>
              <w:bottom w:val="single" w:sz="12" w:space="0" w:color="auto"/>
            </w:tcBorders>
            <w:vAlign w:val="center"/>
          </w:tcPr>
          <w:p w:rsidR="00AA6861" w:rsidRPr="00CF2566" w:rsidRDefault="00397A73">
            <w:pPr>
              <w:widowControl w:val="0"/>
              <w:autoSpaceDE w:val="0"/>
              <w:autoSpaceDN w:val="0"/>
              <w:spacing w:line="360" w:lineRule="exact"/>
              <w:jc w:val="center"/>
              <w:rPr>
                <w:rFonts w:ascii="Calibri" w:eastAsia="SimSun" w:hAnsi="Calibri"/>
                <w:kern w:val="2"/>
                <w:sz w:val="21"/>
                <w:szCs w:val="21"/>
                <w:lang w:eastAsia="zh-CN"/>
              </w:rPr>
            </w:pPr>
            <w:r w:rsidRPr="00CF2566">
              <w:rPr>
                <w:rFonts w:ascii="Calibri" w:eastAsia="SimSun" w:hAnsi="Calibri" w:hint="eastAsia"/>
                <w:kern w:val="2"/>
                <w:sz w:val="21"/>
                <w:szCs w:val="21"/>
                <w:lang w:eastAsia="zh-CN"/>
              </w:rPr>
              <w:t>14.24</w:t>
            </w:r>
          </w:p>
        </w:tc>
      </w:tr>
    </w:tbl>
    <w:p w:rsidR="00AA6861" w:rsidRPr="00CF2566" w:rsidRDefault="00AA6861">
      <w:pPr>
        <w:pStyle w:val="Body"/>
        <w:spacing w:after="0"/>
        <w:rPr>
          <w:rFonts w:ascii="SimSun" w:eastAsia="SimSun" w:hAnsi="SimSun" w:cs="SimSun"/>
          <w:sz w:val="21"/>
          <w:szCs w:val="21"/>
          <w:lang w:eastAsia="zh-CN"/>
        </w:rPr>
      </w:pPr>
    </w:p>
    <w:p w:rsidR="00AA6861" w:rsidRPr="00CF2566" w:rsidRDefault="00397A73">
      <w:pPr>
        <w:pStyle w:val="Body"/>
        <w:spacing w:after="0"/>
        <w:rPr>
          <w:rFonts w:ascii="Arial" w:hAnsi="Arial" w:cs="Arial"/>
        </w:rPr>
      </w:pPr>
      <w:r w:rsidRPr="00CF2566">
        <w:rPr>
          <w:rFonts w:ascii="Arial" w:hAnsi="Arial" w:cs="Arial" w:hint="eastAsia"/>
        </w:rPr>
        <w:lastRenderedPageBreak/>
        <w:t xml:space="preserve">In the process of quantitative analysis, preparing samples, plotting calibration curves, or determining and calculating k values are complex and arduous tasks. Sample preparation requires strict control of uniformity and particle size to avoid interference, while calibrating curves and calculating k values involve numerous repetitive experiments and tedious data processing, which are time-consuming and labor-intensive. To address this, some have proposed a possible solution, suggesting that, from an opposite perspective, preliminary results from qualitative analysis can be used to perform multi-phase fitting with a computer based on standard </w:t>
      </w:r>
      <w:proofErr w:type="gramStart"/>
      <w:r w:rsidRPr="00CF2566">
        <w:rPr>
          <w:rFonts w:ascii="Arial" w:hAnsi="Arial" w:cs="Arial" w:hint="eastAsia"/>
        </w:rPr>
        <w:t>data  to</w:t>
      </w:r>
      <w:proofErr w:type="gramEnd"/>
      <w:r w:rsidRPr="00CF2566">
        <w:rPr>
          <w:rFonts w:ascii="Arial" w:hAnsi="Arial" w:cs="Arial" w:hint="eastAsia"/>
        </w:rPr>
        <w:t xml:space="preserve"> generate simulated diffraction curves of diffraction angle versus diffraction intensity. By continuously adjusting the proportion of each phase and comparing the simulated curve with the diffraction pattern obtained from the diffractometer scan until optimal matching is achieved, more accurate qualitative and quantitative analysis results can be obtained. This approach effectively eliminates some of the experimental and calculation processes involved in traditional qualitative analysis and the entire tedious quantitative analysis, significantly improving analysis efficiency.</w:t>
      </w:r>
    </w:p>
    <w:p w:rsidR="00AA6861" w:rsidRPr="00CF2566" w:rsidRDefault="00AA6861">
      <w:pPr>
        <w:pStyle w:val="Body"/>
        <w:spacing w:after="0"/>
        <w:rPr>
          <w:rFonts w:ascii="Arial" w:hAnsi="Arial" w:cs="Arial"/>
          <w:lang w:eastAsia="zh-CN"/>
        </w:rPr>
      </w:pPr>
    </w:p>
    <w:p w:rsidR="00AA6861" w:rsidRPr="00CF2566" w:rsidRDefault="00397A73">
      <w:pPr>
        <w:pStyle w:val="ConcHead"/>
        <w:spacing w:after="0"/>
        <w:jc w:val="both"/>
        <w:rPr>
          <w:rFonts w:ascii="Arial" w:hAnsi="Arial" w:cs="Arial"/>
          <w:lang w:eastAsia="zh-CN"/>
        </w:rPr>
      </w:pPr>
      <w:r w:rsidRPr="00CF2566">
        <w:rPr>
          <w:rFonts w:ascii="Arial" w:hAnsi="Arial" w:cs="Arial" w:hint="eastAsia"/>
          <w:lang w:eastAsia="zh-CN"/>
        </w:rPr>
        <w:t>5</w:t>
      </w:r>
      <w:r w:rsidRPr="00CF2566">
        <w:rPr>
          <w:rFonts w:ascii="Arial" w:hAnsi="Arial" w:cs="Arial"/>
        </w:rPr>
        <w:t xml:space="preserve">. </w:t>
      </w:r>
      <w:r w:rsidRPr="00CF2566">
        <w:rPr>
          <w:rFonts w:ascii="Arial" w:hAnsi="Arial" w:cs="Arial"/>
          <w:bCs/>
          <w:lang w:eastAsia="zh-CN"/>
        </w:rPr>
        <w:t>Conclusions and Perspectives</w:t>
      </w:r>
    </w:p>
    <w:p w:rsidR="00AA6861" w:rsidRPr="00CF2566" w:rsidRDefault="00AA6861">
      <w:pPr>
        <w:pStyle w:val="ConcHead"/>
        <w:spacing w:after="0"/>
        <w:jc w:val="both"/>
        <w:rPr>
          <w:rFonts w:ascii="Arial" w:hAnsi="Arial" w:cs="Arial"/>
        </w:rPr>
      </w:pPr>
    </w:p>
    <w:p w:rsidR="00AA6861" w:rsidRPr="00CF2566" w:rsidRDefault="00397A73">
      <w:pPr>
        <w:pStyle w:val="Body"/>
        <w:numPr>
          <w:ilvl w:val="0"/>
          <w:numId w:val="4"/>
        </w:numPr>
        <w:spacing w:after="0"/>
        <w:rPr>
          <w:rFonts w:ascii="Arial" w:hAnsi="Arial" w:cs="Arial"/>
        </w:rPr>
      </w:pPr>
      <w:r w:rsidRPr="00CF2566">
        <w:rPr>
          <w:rFonts w:ascii="Arial" w:hAnsi="Arial" w:cs="Arial" w:hint="eastAsia"/>
        </w:rPr>
        <w:t>X-ray diffraction (XRD) technology is a powerful tool for qualitative and quantitative analysis of phases in cement-based materials. It is fast, convenient, and requires simple sample preparation. The application of full-pattern fitting technology has elevated the quantitative analysis of phases in cement-based materials to a new level. Proper sample preparation and handling methods, along with reasonable experimental parameter settings to obtain high-quality XRD patterns, can further improve the accuracy of quantitative analysis using full-pattern fitting. Through this technology, we can obtain detailed crystallographic information, phase analysis, and crystal property parameters of cement-based materials, thereby gaining a deeper understanding of the material's structure and properties. This is of great significance for optimizing experimental processes, improving material performance, and designing more advanced functional materials.</w:t>
      </w:r>
    </w:p>
    <w:p w:rsidR="00AA6861" w:rsidRPr="00CF2566" w:rsidRDefault="00AA6861">
      <w:pPr>
        <w:pStyle w:val="Body"/>
        <w:spacing w:after="0"/>
        <w:rPr>
          <w:rFonts w:ascii="Arial" w:hAnsi="Arial" w:cs="Arial"/>
        </w:rPr>
      </w:pPr>
    </w:p>
    <w:p w:rsidR="00AA6861" w:rsidRPr="00CF2566" w:rsidRDefault="00397A73">
      <w:pPr>
        <w:pStyle w:val="Body"/>
        <w:numPr>
          <w:ilvl w:val="0"/>
          <w:numId w:val="4"/>
        </w:numPr>
        <w:spacing w:after="0"/>
        <w:rPr>
          <w:rFonts w:ascii="Arial" w:hAnsi="Arial" w:cs="Arial"/>
        </w:rPr>
      </w:pPr>
      <w:r w:rsidRPr="00CF2566">
        <w:rPr>
          <w:rFonts w:ascii="Arial" w:hAnsi="Arial" w:cs="Arial" w:hint="eastAsia"/>
        </w:rPr>
        <w:t>In conclusion, X-ray diffraction technology has achieved remarkable results in the qualitative and quantitative analysis of cement-based materials, effectively supporting the exploration of hydration mechanisms and performance optimization. Future developments, driven by technological innovation, will further deepen our understanding of the intricate relationship between the microstructure and macroscopic properties of cement-based materials. This will not only provide more in-depth theoretical insights but also offer practical guidance for advancing research in materials science and civil engineering fields.</w:t>
      </w:r>
    </w:p>
    <w:p w:rsidR="00AA6861" w:rsidRPr="00CF2566" w:rsidRDefault="00AA6861">
      <w:pPr>
        <w:pStyle w:val="Body"/>
        <w:spacing w:after="0"/>
        <w:rPr>
          <w:rFonts w:ascii="Arial" w:hAnsi="Arial" w:cs="Arial"/>
          <w:lang w:eastAsia="zh-CN"/>
        </w:rPr>
      </w:pPr>
      <w:bookmarkStart w:id="2" w:name="_GoBack"/>
    </w:p>
    <w:p w:rsidR="00AA6861" w:rsidRPr="00CF2566" w:rsidRDefault="00397A73">
      <w:pPr>
        <w:pStyle w:val="Body"/>
        <w:spacing w:after="0"/>
      </w:pPr>
      <w:r w:rsidRPr="00CF2566">
        <w:rPr>
          <w:rFonts w:ascii="Arial" w:hAnsi="Arial" w:cs="Arial"/>
          <w:b/>
          <w:caps/>
          <w:sz w:val="22"/>
        </w:rPr>
        <w:t>COMPETING INTERESTS</w:t>
      </w:r>
      <w:r w:rsidRPr="00CF2566">
        <w:t xml:space="preserve"> </w:t>
      </w:r>
    </w:p>
    <w:p w:rsidR="00AA6861" w:rsidRPr="00CF2566" w:rsidRDefault="00AA6861">
      <w:pPr>
        <w:pStyle w:val="Body"/>
        <w:spacing w:after="0"/>
        <w:rPr>
          <w:rFonts w:ascii="Arial" w:hAnsi="Arial" w:cs="Arial"/>
        </w:rPr>
      </w:pPr>
    </w:p>
    <w:p w:rsidR="00AA6861" w:rsidRPr="00CF2566" w:rsidRDefault="00397A73">
      <w:pPr>
        <w:pStyle w:val="Body"/>
        <w:spacing w:after="0"/>
        <w:rPr>
          <w:rFonts w:ascii="Arial" w:hAnsi="Arial" w:cs="Arial"/>
        </w:rPr>
      </w:pPr>
      <w:r w:rsidRPr="00CF2566">
        <w:rPr>
          <w:rFonts w:ascii="Arial" w:hAnsi="Arial" w:cs="Arial"/>
        </w:rPr>
        <w:t>Author has declared that no competing interests exist.</w:t>
      </w:r>
    </w:p>
    <w:bookmarkEnd w:id="2"/>
    <w:p w:rsidR="00AA6861" w:rsidRPr="00CF2566" w:rsidRDefault="00AA6861">
      <w:pPr>
        <w:pStyle w:val="Body"/>
        <w:spacing w:after="0"/>
        <w:rPr>
          <w:rFonts w:ascii="Arial" w:hAnsi="Arial" w:cs="Arial"/>
        </w:rPr>
      </w:pPr>
    </w:p>
    <w:p w:rsidR="00AA6861" w:rsidRPr="00CF2566" w:rsidRDefault="00397A73">
      <w:pPr>
        <w:pStyle w:val="Appendix"/>
        <w:spacing w:after="0"/>
        <w:jc w:val="both"/>
      </w:pPr>
      <w:r w:rsidRPr="00CF2566">
        <w:t>REFERENCES</w:t>
      </w:r>
    </w:p>
    <w:p w:rsidR="00AA6861" w:rsidRPr="00CF2566" w:rsidRDefault="00AA6861">
      <w:pPr>
        <w:pStyle w:val="Appendix"/>
        <w:spacing w:after="0"/>
        <w:jc w:val="both"/>
      </w:pP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rPr>
        <w:t xml:space="preserve"> </w:t>
      </w:r>
      <w:r w:rsidRPr="00CF2566">
        <w:rPr>
          <w:rFonts w:ascii="Arial" w:hAnsi="Arial" w:cs="Arial" w:hint="eastAsia"/>
        </w:rPr>
        <w:t>Guo, L. H., &amp; Zhong, H. (1994). X-ray diffraction and its application in metallurgy and materials science. Sichuan Nonferrous Metals, (4), 19-21.</w:t>
      </w:r>
    </w:p>
    <w:p w:rsidR="00AA6861" w:rsidRPr="00CF2566" w:rsidRDefault="00397A73">
      <w:pPr>
        <w:numPr>
          <w:ilvl w:val="0"/>
          <w:numId w:val="5"/>
        </w:numPr>
        <w:snapToGrid w:val="0"/>
        <w:ind w:left="320" w:hangingChars="160" w:hanging="320"/>
        <w:rPr>
          <w:rFonts w:ascii="Arial" w:hAnsi="Arial" w:cs="Arial"/>
        </w:rPr>
      </w:pPr>
      <w:proofErr w:type="spellStart"/>
      <w:r w:rsidRPr="00CF2566">
        <w:rPr>
          <w:rFonts w:ascii="Arial" w:hAnsi="Arial" w:cs="Arial" w:hint="eastAsia"/>
        </w:rPr>
        <w:t>Jin</w:t>
      </w:r>
      <w:proofErr w:type="spellEnd"/>
      <w:r w:rsidRPr="00CF2566">
        <w:rPr>
          <w:rFonts w:ascii="Arial" w:hAnsi="Arial" w:cs="Arial" w:hint="eastAsia"/>
        </w:rPr>
        <w:t xml:space="preserve">, Y., Sun, X. S., &amp; </w:t>
      </w:r>
      <w:proofErr w:type="spellStart"/>
      <w:r w:rsidRPr="00CF2566">
        <w:rPr>
          <w:rFonts w:ascii="Arial" w:hAnsi="Arial" w:cs="Arial" w:hint="eastAsia"/>
        </w:rPr>
        <w:t>Xue</w:t>
      </w:r>
      <w:proofErr w:type="spellEnd"/>
      <w:r w:rsidRPr="00CF2566">
        <w:rPr>
          <w:rFonts w:ascii="Arial" w:hAnsi="Arial" w:cs="Arial" w:hint="eastAsia"/>
        </w:rPr>
        <w:t>, Q. (2008). X-ray Diffraction Analysis Technology (in Chinese). Beijing: National Defense Industry Press, 262-274.</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Ding, H. (2017). Preliminary study on quantitative analysis of glass content in industrial cement clinker by full spectrum fitting Rietveld method. Cement, (4), 63-65.</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Zhang, Y., &amp; Ren, Y. (2011). Research Methods of Inorganic Non-Metallic Materials (in Chinese). Beijing: Metallurgical Engineering Press.</w:t>
      </w:r>
    </w:p>
    <w:p w:rsidR="00AA6861" w:rsidRPr="00CF2566" w:rsidRDefault="00B0106C">
      <w:pPr>
        <w:numPr>
          <w:ilvl w:val="0"/>
          <w:numId w:val="5"/>
        </w:numPr>
        <w:snapToGrid w:val="0"/>
        <w:ind w:left="320" w:hangingChars="160" w:hanging="320"/>
        <w:rPr>
          <w:rFonts w:ascii="Arial" w:hAnsi="Arial" w:cs="Arial"/>
        </w:rPr>
      </w:pPr>
      <w:r w:rsidRPr="00B0106C">
        <w:rPr>
          <w:rFonts w:ascii="Arial" w:hAnsi="Arial" w:cs="Arial"/>
        </w:rPr>
        <w:t xml:space="preserve">Snellings, R., </w:t>
      </w:r>
      <w:proofErr w:type="spellStart"/>
      <w:r w:rsidRPr="00B0106C">
        <w:rPr>
          <w:rFonts w:ascii="Arial" w:hAnsi="Arial" w:cs="Arial"/>
        </w:rPr>
        <w:t>Salze</w:t>
      </w:r>
      <w:proofErr w:type="spellEnd"/>
      <w:r w:rsidRPr="00B0106C">
        <w:rPr>
          <w:rFonts w:ascii="Arial" w:hAnsi="Arial" w:cs="Arial"/>
        </w:rPr>
        <w:t xml:space="preserve">, A., &amp; Scrivener, K. L. (2014). Use of X-ray diffraction to quantify amorphous supplementary cementitious materials in anhydrous and hydrated blended </w:t>
      </w:r>
      <w:r w:rsidRPr="00B0106C">
        <w:rPr>
          <w:rFonts w:ascii="Arial" w:hAnsi="Arial" w:cs="Arial"/>
        </w:rPr>
        <w:lastRenderedPageBreak/>
        <w:t xml:space="preserve">cements. Cement and Concrete Research, 64, 89-98. </w:t>
      </w:r>
      <w:hyperlink r:id="rId17" w:history="1">
        <w:r w:rsidRPr="0084687B">
          <w:rPr>
            <w:rStyle w:val="Hyperlink"/>
            <w:rFonts w:ascii="Arial" w:hAnsi="Arial" w:cs="Arial"/>
          </w:rPr>
          <w:t>https://doi.org/10.1016/j.cemconres.2014.06.011</w:t>
        </w:r>
      </w:hyperlink>
      <w:r>
        <w:rPr>
          <w:rFonts w:ascii="Arial" w:hAnsi="Arial" w:cs="Arial"/>
        </w:rPr>
        <w:t xml:space="preserve"> </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Zhang, X. H. (2006). Application of X-ray diffraction in material analysis. Journal of Shenyang Institute of Engineering (Natural Science Edition), 2(3), 281-282.</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 xml:space="preserve"> </w:t>
      </w:r>
      <w:proofErr w:type="spellStart"/>
      <w:r w:rsidR="00786D87" w:rsidRPr="00786D87">
        <w:rPr>
          <w:rFonts w:ascii="Arial" w:hAnsi="Arial" w:cs="Arial"/>
        </w:rPr>
        <w:t>Cullity</w:t>
      </w:r>
      <w:proofErr w:type="spellEnd"/>
      <w:r w:rsidR="00786D87" w:rsidRPr="00786D87">
        <w:rPr>
          <w:rFonts w:ascii="Arial" w:hAnsi="Arial" w:cs="Arial"/>
        </w:rPr>
        <w:t>, B. D. (1978). Elements of X-ray Diffraction. Addison-Wesley.</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Yang, J. J., Bao, T. T., Yin, X. N., et al. (2023). Differences between XRD analysis and chemical analysis of cement clinker mineral composition. China Cement, (S1), 58-61.</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Liu, H. C., &amp; Guo, C. L. (1996). Application of full spectrum fitting method of X-ray polycrystalline diffraction in inorganic materials research. Journal of Inorganic Materials, 11(3), 407-414.</w:t>
      </w:r>
    </w:p>
    <w:p w:rsidR="00AA6861" w:rsidRPr="00CF2566" w:rsidRDefault="00786D87">
      <w:pPr>
        <w:numPr>
          <w:ilvl w:val="0"/>
          <w:numId w:val="5"/>
        </w:numPr>
        <w:snapToGrid w:val="0"/>
        <w:ind w:left="320" w:hangingChars="160" w:hanging="320"/>
        <w:rPr>
          <w:rFonts w:ascii="Arial" w:hAnsi="Arial" w:cs="Arial"/>
        </w:rPr>
      </w:pPr>
      <w:proofErr w:type="spellStart"/>
      <w:r w:rsidRPr="00786D87">
        <w:rPr>
          <w:rFonts w:ascii="Arial" w:hAnsi="Arial" w:cs="Arial"/>
        </w:rPr>
        <w:t>Bensted</w:t>
      </w:r>
      <w:proofErr w:type="spellEnd"/>
      <w:r w:rsidRPr="00786D87">
        <w:rPr>
          <w:rFonts w:ascii="Arial" w:hAnsi="Arial" w:cs="Arial"/>
        </w:rPr>
        <w:t xml:space="preserve">, J., &amp; Barnes, P. (2002). Structure and Performance of Cements (2nd ed.). Spon Press. </w:t>
      </w:r>
      <w:hyperlink r:id="rId18" w:history="1">
        <w:r w:rsidRPr="0084687B">
          <w:rPr>
            <w:rStyle w:val="Hyperlink"/>
            <w:rFonts w:ascii="Arial" w:hAnsi="Arial" w:cs="Arial"/>
          </w:rPr>
          <w:t>https://doi.org/10.1201/9781482295016</w:t>
        </w:r>
      </w:hyperlink>
      <w:r>
        <w:rPr>
          <w:rFonts w:ascii="Arial" w:hAnsi="Arial" w:cs="Arial"/>
        </w:rPr>
        <w:t xml:space="preserve"> </w:t>
      </w:r>
    </w:p>
    <w:p w:rsidR="00AA6861" w:rsidRPr="00CF2566" w:rsidRDefault="00672D3A">
      <w:pPr>
        <w:numPr>
          <w:ilvl w:val="0"/>
          <w:numId w:val="5"/>
        </w:numPr>
        <w:snapToGrid w:val="0"/>
        <w:ind w:left="320" w:hangingChars="160" w:hanging="320"/>
        <w:rPr>
          <w:rFonts w:ascii="Arial" w:hAnsi="Arial" w:cs="Arial"/>
        </w:rPr>
      </w:pPr>
      <w:r w:rsidRPr="00672D3A">
        <w:rPr>
          <w:rFonts w:ascii="Arial" w:hAnsi="Arial" w:cs="Arial"/>
        </w:rPr>
        <w:t xml:space="preserve">Jiang, M. S., Li, F., Zhou, L. A., Ning, J. R., &amp; Zhang, Z. (2024). Effect of compound activation of sodium carbonate, sodium hydroxide and water glass on properties of geopolymer cementitious materials. Bulletin of the Chinese Ceramic Society, 43(3), 929-937. </w:t>
      </w:r>
      <w:hyperlink r:id="rId19" w:history="1">
        <w:r w:rsidRPr="0084687B">
          <w:rPr>
            <w:rStyle w:val="Hyperlink"/>
            <w:rFonts w:ascii="Arial" w:hAnsi="Arial" w:cs="Arial"/>
          </w:rPr>
          <w:t>https://doi.org/10.16552/j.cnki.issn1001-1625.2024.03.011</w:t>
        </w:r>
      </w:hyperlink>
      <w:r>
        <w:rPr>
          <w:rFonts w:ascii="Arial" w:hAnsi="Arial" w:cs="Arial"/>
        </w:rPr>
        <w:t xml:space="preserve"> </w:t>
      </w:r>
    </w:p>
    <w:p w:rsidR="00AA6861" w:rsidRPr="00CF2566" w:rsidRDefault="003D1B73">
      <w:pPr>
        <w:numPr>
          <w:ilvl w:val="0"/>
          <w:numId w:val="5"/>
        </w:numPr>
        <w:snapToGrid w:val="0"/>
        <w:ind w:left="320" w:hangingChars="160" w:hanging="320"/>
        <w:rPr>
          <w:rFonts w:ascii="Arial" w:hAnsi="Arial" w:cs="Arial"/>
        </w:rPr>
      </w:pPr>
      <w:r w:rsidRPr="003D1B73">
        <w:rPr>
          <w:rFonts w:ascii="Arial" w:hAnsi="Arial" w:cs="Arial"/>
        </w:rPr>
        <w:t xml:space="preserve">Bernal, S. A., </w:t>
      </w:r>
      <w:proofErr w:type="spellStart"/>
      <w:r w:rsidRPr="003D1B73">
        <w:rPr>
          <w:rFonts w:ascii="Arial" w:hAnsi="Arial" w:cs="Arial"/>
        </w:rPr>
        <w:t>Provis</w:t>
      </w:r>
      <w:proofErr w:type="spellEnd"/>
      <w:r w:rsidRPr="003D1B73">
        <w:rPr>
          <w:rFonts w:ascii="Arial" w:hAnsi="Arial" w:cs="Arial"/>
        </w:rPr>
        <w:t xml:space="preserve">, J. L., Myers, R. J., San Nicolas, R., &amp; van Deventer, J. S. J. (2015). Role of carbonates in the chemical evolution of sodium carbonate-activated slag binders. Materials and Structures, 48(3), 517-529. </w:t>
      </w:r>
      <w:hyperlink r:id="rId20" w:history="1">
        <w:r w:rsidRPr="0084687B">
          <w:rPr>
            <w:rStyle w:val="Hyperlink"/>
            <w:rFonts w:ascii="Arial" w:hAnsi="Arial" w:cs="Arial"/>
          </w:rPr>
          <w:t>https://doi.org/10.1617/s11527-014-0412-6</w:t>
        </w:r>
      </w:hyperlink>
      <w:r>
        <w:rPr>
          <w:rFonts w:ascii="Arial" w:hAnsi="Arial" w:cs="Arial"/>
        </w:rPr>
        <w:t xml:space="preserve"> </w:t>
      </w:r>
    </w:p>
    <w:p w:rsidR="00AA6861" w:rsidRPr="00CF2566" w:rsidRDefault="00DB6E93">
      <w:pPr>
        <w:numPr>
          <w:ilvl w:val="0"/>
          <w:numId w:val="5"/>
        </w:numPr>
        <w:snapToGrid w:val="0"/>
        <w:ind w:left="320" w:hangingChars="160" w:hanging="320"/>
        <w:rPr>
          <w:rFonts w:ascii="Arial" w:hAnsi="Arial" w:cs="Arial"/>
        </w:rPr>
      </w:pPr>
      <w:proofErr w:type="spellStart"/>
      <w:r w:rsidRPr="00DB6E93">
        <w:rPr>
          <w:rFonts w:ascii="Arial" w:hAnsi="Arial" w:cs="Arial"/>
        </w:rPr>
        <w:t>Abdalqader</w:t>
      </w:r>
      <w:proofErr w:type="spellEnd"/>
      <w:r w:rsidRPr="00DB6E93">
        <w:rPr>
          <w:rFonts w:ascii="Arial" w:hAnsi="Arial" w:cs="Arial"/>
        </w:rPr>
        <w:t xml:space="preserve">, A. F., </w:t>
      </w:r>
      <w:proofErr w:type="spellStart"/>
      <w:r w:rsidRPr="00DB6E93">
        <w:rPr>
          <w:rFonts w:ascii="Arial" w:hAnsi="Arial" w:cs="Arial"/>
        </w:rPr>
        <w:t>Jin</w:t>
      </w:r>
      <w:proofErr w:type="spellEnd"/>
      <w:r w:rsidRPr="00DB6E93">
        <w:rPr>
          <w:rFonts w:ascii="Arial" w:hAnsi="Arial" w:cs="Arial"/>
        </w:rPr>
        <w:t>, F., &amp; Al-</w:t>
      </w:r>
      <w:proofErr w:type="spellStart"/>
      <w:r w:rsidRPr="00DB6E93">
        <w:rPr>
          <w:rFonts w:ascii="Arial" w:hAnsi="Arial" w:cs="Arial"/>
        </w:rPr>
        <w:t>Tabbaa</w:t>
      </w:r>
      <w:proofErr w:type="spellEnd"/>
      <w:r w:rsidRPr="00DB6E93">
        <w:rPr>
          <w:rFonts w:ascii="Arial" w:hAnsi="Arial" w:cs="Arial"/>
        </w:rPr>
        <w:t xml:space="preserve">, A. (2016). Development of greener alkali-activated cement: </w:t>
      </w:r>
      <w:proofErr w:type="spellStart"/>
      <w:r w:rsidRPr="00DB6E93">
        <w:rPr>
          <w:rFonts w:ascii="Arial" w:hAnsi="Arial" w:cs="Arial"/>
        </w:rPr>
        <w:t>Utilisation</w:t>
      </w:r>
      <w:proofErr w:type="spellEnd"/>
      <w:r w:rsidRPr="00DB6E93">
        <w:rPr>
          <w:rFonts w:ascii="Arial" w:hAnsi="Arial" w:cs="Arial"/>
        </w:rPr>
        <w:t xml:space="preserve"> of sodium carbonate for activating slag and fly ash mixtures. Journal of Cleaner Production, 113, 66-75. </w:t>
      </w:r>
      <w:hyperlink r:id="rId21" w:history="1">
        <w:r w:rsidRPr="0084687B">
          <w:rPr>
            <w:rStyle w:val="Hyperlink"/>
            <w:rFonts w:ascii="Arial" w:hAnsi="Arial" w:cs="Arial"/>
          </w:rPr>
          <w:t>https://doi.org/10.1016/j.jclepro.2015.12.010</w:t>
        </w:r>
      </w:hyperlink>
      <w:r>
        <w:rPr>
          <w:rFonts w:ascii="Arial" w:hAnsi="Arial" w:cs="Arial"/>
        </w:rPr>
        <w:t xml:space="preserve"> </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Li, X., &amp; Teng, X. Y. (2008). Principle of X-ray diffraction and its application in material analysis. Physics Bulletin, (9), 58-59.</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Bao, T. T., Yang, J. J., Zhang, Q., et al. (2023). Correlation study between XRD crystalline phase analysis and setting time of Portland cement. China Cement, (S1), 101-105.</w:t>
      </w:r>
    </w:p>
    <w:p w:rsidR="00AA6861" w:rsidRPr="00CF2566" w:rsidRDefault="001060CF">
      <w:pPr>
        <w:numPr>
          <w:ilvl w:val="0"/>
          <w:numId w:val="5"/>
        </w:numPr>
        <w:snapToGrid w:val="0"/>
        <w:ind w:left="320" w:hangingChars="160" w:hanging="320"/>
        <w:rPr>
          <w:rFonts w:ascii="Arial" w:hAnsi="Arial" w:cs="Arial"/>
        </w:rPr>
      </w:pPr>
      <w:r w:rsidRPr="001060CF">
        <w:rPr>
          <w:rFonts w:ascii="Arial" w:hAnsi="Arial" w:cs="Arial"/>
        </w:rPr>
        <w:t xml:space="preserve">Scrivener, K. L., </w:t>
      </w:r>
      <w:proofErr w:type="spellStart"/>
      <w:r w:rsidRPr="001060CF">
        <w:rPr>
          <w:rFonts w:ascii="Arial" w:hAnsi="Arial" w:cs="Arial"/>
        </w:rPr>
        <w:t>Füllmann</w:t>
      </w:r>
      <w:proofErr w:type="spellEnd"/>
      <w:r w:rsidRPr="001060CF">
        <w:rPr>
          <w:rFonts w:ascii="Arial" w:hAnsi="Arial" w:cs="Arial"/>
        </w:rPr>
        <w:t xml:space="preserve">, T., Gallucci, E., </w:t>
      </w:r>
      <w:proofErr w:type="spellStart"/>
      <w:r w:rsidRPr="001060CF">
        <w:rPr>
          <w:rFonts w:ascii="Arial" w:hAnsi="Arial" w:cs="Arial"/>
        </w:rPr>
        <w:t>Walenta</w:t>
      </w:r>
      <w:proofErr w:type="spellEnd"/>
      <w:r w:rsidRPr="001060CF">
        <w:rPr>
          <w:rFonts w:ascii="Arial" w:hAnsi="Arial" w:cs="Arial"/>
        </w:rPr>
        <w:t xml:space="preserve">, G., &amp; Bermejo, E. (2004). Quantitative study of Portland cement hydration by X-ray diffraction/Rietveld analysis and independent methods. Cement and Concrete Research, 34(9), 1541-1547. </w:t>
      </w:r>
      <w:hyperlink r:id="rId22" w:history="1">
        <w:r w:rsidRPr="0084687B">
          <w:rPr>
            <w:rStyle w:val="Hyperlink"/>
            <w:rFonts w:ascii="Arial" w:hAnsi="Arial" w:cs="Arial"/>
          </w:rPr>
          <w:t>https://doi.org/10.1016/j.cemconres.2004.04.014</w:t>
        </w:r>
      </w:hyperlink>
      <w:r>
        <w:rPr>
          <w:rFonts w:ascii="Arial" w:hAnsi="Arial" w:cs="Arial"/>
        </w:rPr>
        <w:t xml:space="preserve"> </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 xml:space="preserve"> </w:t>
      </w:r>
      <w:r w:rsidR="005B13CA" w:rsidRPr="005B13CA">
        <w:rPr>
          <w:rFonts w:ascii="Arial" w:hAnsi="Arial" w:cs="Arial"/>
        </w:rPr>
        <w:t xml:space="preserve">Rietveld, H. M. (1967). Line profiles of neutron powder-diffraction peaks for structure refinement. Acta </w:t>
      </w:r>
      <w:proofErr w:type="spellStart"/>
      <w:r w:rsidR="005B13CA" w:rsidRPr="005B13CA">
        <w:rPr>
          <w:rFonts w:ascii="Arial" w:hAnsi="Arial" w:cs="Arial"/>
        </w:rPr>
        <w:t>Crystallographica</w:t>
      </w:r>
      <w:proofErr w:type="spellEnd"/>
      <w:r w:rsidR="005B13CA" w:rsidRPr="005B13CA">
        <w:rPr>
          <w:rFonts w:ascii="Arial" w:hAnsi="Arial" w:cs="Arial"/>
        </w:rPr>
        <w:t xml:space="preserve">, 22, 151-152. </w:t>
      </w:r>
      <w:hyperlink r:id="rId23" w:history="1">
        <w:r w:rsidR="005B13CA" w:rsidRPr="0084687B">
          <w:rPr>
            <w:rStyle w:val="Hyperlink"/>
            <w:rFonts w:ascii="Arial" w:hAnsi="Arial" w:cs="Arial"/>
          </w:rPr>
          <w:t>https://doi.org/10.1107/S0365110X67000234</w:t>
        </w:r>
      </w:hyperlink>
      <w:r w:rsidR="005B13CA">
        <w:rPr>
          <w:rFonts w:ascii="Arial" w:hAnsi="Arial" w:cs="Arial"/>
        </w:rPr>
        <w:t xml:space="preserve"> </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 xml:space="preserve"> </w:t>
      </w:r>
      <w:r w:rsidR="005B13CA" w:rsidRPr="005B13CA">
        <w:rPr>
          <w:rFonts w:ascii="Arial" w:hAnsi="Arial" w:cs="Arial"/>
        </w:rPr>
        <w:t xml:space="preserve">Rietveld, H. M. (1969). A profile refinement method for nuclear and magnetic structures. Journal of Applied Crystallography, 2, 65-71. </w:t>
      </w:r>
      <w:hyperlink r:id="rId24" w:history="1">
        <w:r w:rsidR="005B13CA" w:rsidRPr="0084687B">
          <w:rPr>
            <w:rStyle w:val="Hyperlink"/>
            <w:rFonts w:ascii="Arial" w:hAnsi="Arial" w:cs="Arial"/>
          </w:rPr>
          <w:t>https://doi.org/10.1107/S0021889869006558</w:t>
        </w:r>
      </w:hyperlink>
      <w:r w:rsidR="005B13CA">
        <w:rPr>
          <w:rFonts w:ascii="Arial" w:hAnsi="Arial" w:cs="Arial"/>
        </w:rPr>
        <w:t xml:space="preserve"> </w:t>
      </w:r>
    </w:p>
    <w:p w:rsidR="00AA6861" w:rsidRPr="00CF2566" w:rsidRDefault="005B13CA">
      <w:pPr>
        <w:numPr>
          <w:ilvl w:val="0"/>
          <w:numId w:val="5"/>
        </w:numPr>
        <w:snapToGrid w:val="0"/>
        <w:ind w:left="320" w:hangingChars="160" w:hanging="320"/>
        <w:rPr>
          <w:rFonts w:ascii="Arial" w:hAnsi="Arial" w:cs="Arial"/>
        </w:rPr>
      </w:pPr>
      <w:r w:rsidRPr="005B13CA">
        <w:rPr>
          <w:rFonts w:ascii="Arial" w:hAnsi="Arial" w:cs="Arial"/>
        </w:rPr>
        <w:t xml:space="preserve">Le </w:t>
      </w:r>
      <w:proofErr w:type="spellStart"/>
      <w:r w:rsidRPr="005B13CA">
        <w:rPr>
          <w:rFonts w:ascii="Arial" w:hAnsi="Arial" w:cs="Arial"/>
        </w:rPr>
        <w:t>Saout</w:t>
      </w:r>
      <w:proofErr w:type="spellEnd"/>
      <w:r w:rsidRPr="005B13CA">
        <w:rPr>
          <w:rFonts w:ascii="Arial" w:hAnsi="Arial" w:cs="Arial"/>
        </w:rPr>
        <w:t xml:space="preserve">, G., </w:t>
      </w:r>
      <w:proofErr w:type="spellStart"/>
      <w:r w:rsidRPr="005B13CA">
        <w:rPr>
          <w:rFonts w:ascii="Arial" w:hAnsi="Arial" w:cs="Arial"/>
        </w:rPr>
        <w:t>Kocaba</w:t>
      </w:r>
      <w:proofErr w:type="spellEnd"/>
      <w:r w:rsidRPr="005B13CA">
        <w:rPr>
          <w:rFonts w:ascii="Arial" w:hAnsi="Arial" w:cs="Arial"/>
        </w:rPr>
        <w:t xml:space="preserve">, V., &amp; Scrivener, K. (2011). Application of the Rietveld method to the analysis of anhydrous cement. Cement and Concrete Research, 41(2), 133-148. </w:t>
      </w:r>
      <w:hyperlink r:id="rId25" w:history="1">
        <w:r w:rsidRPr="0084687B">
          <w:rPr>
            <w:rStyle w:val="Hyperlink"/>
            <w:rFonts w:ascii="Arial" w:hAnsi="Arial" w:cs="Arial"/>
          </w:rPr>
          <w:t>https://doi.org/10.1016/j.cemconres.2010.10.003</w:t>
        </w:r>
      </w:hyperlink>
      <w:r>
        <w:rPr>
          <w:rFonts w:ascii="Arial" w:hAnsi="Arial" w:cs="Arial"/>
        </w:rPr>
        <w:t xml:space="preserve"> </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Jiang, H. J., Pan, Z. G., &amp; Shen, X. D. (2012). Study on X-ray quantitative phase analysis of cement clinker. Journal of Ceramics, 33(4), 416-419. https://doi.org/10.13957/j.cnki.tcxb.2012.04.017</w:t>
      </w:r>
    </w:p>
    <w:p w:rsidR="00AA6861" w:rsidRPr="00CF2566" w:rsidRDefault="00397A73">
      <w:pPr>
        <w:numPr>
          <w:ilvl w:val="0"/>
          <w:numId w:val="5"/>
        </w:numPr>
        <w:snapToGrid w:val="0"/>
        <w:ind w:left="320" w:hangingChars="160" w:hanging="320"/>
        <w:rPr>
          <w:rFonts w:ascii="Arial" w:hAnsi="Arial" w:cs="Arial"/>
        </w:rPr>
      </w:pPr>
      <w:r w:rsidRPr="00CF2566">
        <w:rPr>
          <w:rFonts w:ascii="Arial" w:hAnsi="Arial" w:cs="Arial" w:hint="eastAsia"/>
        </w:rPr>
        <w:t xml:space="preserve"> </w:t>
      </w:r>
      <w:proofErr w:type="spellStart"/>
      <w:r w:rsidRPr="00CF2566">
        <w:rPr>
          <w:rFonts w:ascii="Arial" w:hAnsi="Arial" w:cs="Arial" w:hint="eastAsia"/>
        </w:rPr>
        <w:t>Knöfel</w:t>
      </w:r>
      <w:proofErr w:type="spellEnd"/>
      <w:r w:rsidRPr="00CF2566">
        <w:rPr>
          <w:rFonts w:ascii="Arial" w:hAnsi="Arial" w:cs="Arial" w:hint="eastAsia"/>
        </w:rPr>
        <w:t xml:space="preserve">, D., &amp; Spohn, E. (1969). </w:t>
      </w:r>
      <w:proofErr w:type="spellStart"/>
      <w:r w:rsidRPr="00CF2566">
        <w:rPr>
          <w:rFonts w:ascii="Arial" w:hAnsi="Arial" w:cs="Arial" w:hint="eastAsia"/>
        </w:rPr>
        <w:t>Zement-Kalk-Gips</w:t>
      </w:r>
      <w:proofErr w:type="spellEnd"/>
      <w:r w:rsidRPr="00CF2566">
        <w:rPr>
          <w:rFonts w:ascii="Arial" w:hAnsi="Arial" w:cs="Arial" w:hint="eastAsia"/>
        </w:rPr>
        <w:t>, 22, 471-476.</w:t>
      </w:r>
    </w:p>
    <w:sectPr w:rsidR="00AA6861" w:rsidRPr="00CF2566" w:rsidSect="00600662">
      <w:headerReference w:type="even" r:id="rId26"/>
      <w:headerReference w:type="default" r:id="rId27"/>
      <w:footerReference w:type="default" r:id="rId28"/>
      <w:headerReference w:type="first" r:id="rId29"/>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BB3" w:rsidRDefault="00592BB3">
      <w:r>
        <w:separator/>
      </w:r>
    </w:p>
  </w:endnote>
  <w:endnote w:type="continuationSeparator" w:id="0">
    <w:p w:rsidR="00592BB3" w:rsidRDefault="0059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662" w:rsidRDefault="00600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Pr="00905287" w:rsidRDefault="00AA6861" w:rsidP="00905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Default="00AA6861">
    <w:pPr>
      <w:pStyle w:val="Footer"/>
      <w:rPr>
        <w:rFonts w:ascii="Arial" w:hAnsi="Arial" w:cs="Arial"/>
        <w:sz w:val="16"/>
      </w:rPr>
    </w:pPr>
  </w:p>
  <w:p w:rsidR="00AA6861" w:rsidRDefault="00397A7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A6861" w:rsidRDefault="00AA6861">
    <w:pPr>
      <w:pStyle w:val="Footer"/>
      <w:rPr>
        <w:rFonts w:ascii="Arial" w:hAnsi="Arial" w:cs="Arial"/>
        <w:sz w:val="16"/>
      </w:rPr>
    </w:pPr>
  </w:p>
  <w:p w:rsidR="00AA6861" w:rsidRDefault="00397A73">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Default="00AA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BB3" w:rsidRDefault="00592BB3">
      <w:r>
        <w:separator/>
      </w:r>
    </w:p>
  </w:footnote>
  <w:footnote w:type="continuationSeparator" w:id="0">
    <w:p w:rsidR="00592BB3" w:rsidRDefault="0059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662" w:rsidRDefault="00600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385579"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662" w:rsidRDefault="00600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385580"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Default="00600662">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385578"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AA6861" w:rsidRDefault="00397A7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AA6861" w:rsidRDefault="00397A73">
    <w:pPr>
      <w:jc w:val="center"/>
      <w:rPr>
        <w:rFonts w:ascii="Times New Roman" w:eastAsia="Calibri" w:hAnsi="Times New Roman"/>
        <w:i/>
        <w:sz w:val="18"/>
        <w:szCs w:val="22"/>
      </w:rPr>
    </w:pPr>
    <w:r>
      <w:rPr>
        <w:rFonts w:ascii="Times New Roman" w:eastAsia="Calibri" w:hAnsi="Times New Roman"/>
        <w:i/>
        <w:sz w:val="18"/>
        <w:szCs w:val="22"/>
      </w:rPr>
      <w:t>.</w:t>
    </w:r>
  </w:p>
  <w:p w:rsidR="00AA6861" w:rsidRDefault="00397A7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AA6861" w:rsidRDefault="00397A7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AA6861" w:rsidRDefault="00397A7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A6861" w:rsidRDefault="00397A7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662" w:rsidRDefault="00600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385582"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662" w:rsidRDefault="00600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385583"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662" w:rsidRDefault="00600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385581"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7A4D2"/>
    <w:multiLevelType w:val="singleLevel"/>
    <w:tmpl w:val="39F7A4D2"/>
    <w:lvl w:ilvl="0">
      <w:start w:val="1"/>
      <w:numFmt w:val="decimal"/>
      <w:suff w:val="space"/>
      <w:lvlText w:val="%1)"/>
      <w:lvlJc w:val="left"/>
    </w:lvl>
  </w:abstractNum>
  <w:abstractNum w:abstractNumId="1" w15:restartNumberingAfterBreak="0">
    <w:nsid w:val="4450AAAA"/>
    <w:multiLevelType w:val="singleLevel"/>
    <w:tmpl w:val="4450AAAA"/>
    <w:lvl w:ilvl="0">
      <w:start w:val="1"/>
      <w:numFmt w:val="decimal"/>
      <w:suff w:val="space"/>
      <w:lvlText w:val="%1."/>
      <w:lvlJc w:val="left"/>
    </w:lvl>
  </w:abstractNum>
  <w:abstractNum w:abstractNumId="2"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CB42E4E"/>
    <w:multiLevelType w:val="singleLevel"/>
    <w:tmpl w:val="4CB42E4E"/>
    <w:lvl w:ilvl="0">
      <w:start w:val="1"/>
      <w:numFmt w:val="decimal"/>
      <w:suff w:val="space"/>
      <w:lvlText w:val="%1."/>
      <w:lvlJc w:val="left"/>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060CF"/>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172F4"/>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512C2"/>
    <w:rsid w:val="00371FB6"/>
    <w:rsid w:val="003763C1"/>
    <w:rsid w:val="00376BBE"/>
    <w:rsid w:val="0039224F"/>
    <w:rsid w:val="0039329C"/>
    <w:rsid w:val="00397A73"/>
    <w:rsid w:val="003A43A4"/>
    <w:rsid w:val="003A7E18"/>
    <w:rsid w:val="003C4C86"/>
    <w:rsid w:val="003C6258"/>
    <w:rsid w:val="003D1B73"/>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4DD4"/>
    <w:rsid w:val="00554FDA"/>
    <w:rsid w:val="00557178"/>
    <w:rsid w:val="00563D5C"/>
    <w:rsid w:val="005703BA"/>
    <w:rsid w:val="00592BB3"/>
    <w:rsid w:val="005A4B0A"/>
    <w:rsid w:val="005B13CA"/>
    <w:rsid w:val="005C784C"/>
    <w:rsid w:val="005D17F6"/>
    <w:rsid w:val="005E5539"/>
    <w:rsid w:val="00600662"/>
    <w:rsid w:val="00602BF5"/>
    <w:rsid w:val="00617FDD"/>
    <w:rsid w:val="00633614"/>
    <w:rsid w:val="00633F68"/>
    <w:rsid w:val="00636EB2"/>
    <w:rsid w:val="006375B8"/>
    <w:rsid w:val="006466A1"/>
    <w:rsid w:val="0065301B"/>
    <w:rsid w:val="00657DF9"/>
    <w:rsid w:val="0066510A"/>
    <w:rsid w:val="00672D3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86D87"/>
    <w:rsid w:val="00790ADA"/>
    <w:rsid w:val="007936B6"/>
    <w:rsid w:val="007D2288"/>
    <w:rsid w:val="007E088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05287"/>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6861"/>
    <w:rsid w:val="00AA74E0"/>
    <w:rsid w:val="00AB703F"/>
    <w:rsid w:val="00AC6BB8"/>
    <w:rsid w:val="00AD1C1C"/>
    <w:rsid w:val="00AE008F"/>
    <w:rsid w:val="00B0000F"/>
    <w:rsid w:val="00B0106C"/>
    <w:rsid w:val="00B01FCD"/>
    <w:rsid w:val="00B1776C"/>
    <w:rsid w:val="00B52896"/>
    <w:rsid w:val="00B53ACB"/>
    <w:rsid w:val="00B73EC1"/>
    <w:rsid w:val="00B91515"/>
    <w:rsid w:val="00B95236"/>
    <w:rsid w:val="00B96BD9"/>
    <w:rsid w:val="00BA1B01"/>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CF2566"/>
    <w:rsid w:val="00D05B98"/>
    <w:rsid w:val="00D173F1"/>
    <w:rsid w:val="00D60979"/>
    <w:rsid w:val="00D76B9D"/>
    <w:rsid w:val="00D8295D"/>
    <w:rsid w:val="00DB6E93"/>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54FB0"/>
    <w:rsid w:val="00F67D7E"/>
    <w:rsid w:val="00F755E4"/>
    <w:rsid w:val="00F77D02"/>
    <w:rsid w:val="00FB3A86"/>
    <w:rsid w:val="00FD2DDA"/>
    <w:rsid w:val="00FD36C8"/>
    <w:rsid w:val="00FF03F8"/>
    <w:rsid w:val="28665E9B"/>
    <w:rsid w:val="2B4B000B"/>
    <w:rsid w:val="2D2D51D9"/>
    <w:rsid w:val="3D785A44"/>
    <w:rsid w:val="53A02CCB"/>
    <w:rsid w:val="5E007C1C"/>
    <w:rsid w:val="6005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BC6DBC84-A4A3-479E-86CF-6A71B850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character" w:styleId="UnresolvedMention">
    <w:name w:val="Unresolved Mention"/>
    <w:basedOn w:val="DefaultParagraphFont"/>
    <w:uiPriority w:val="99"/>
    <w:semiHidden/>
    <w:unhideWhenUsed/>
    <w:rsid w:val="0090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201/9781482295016"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doi.org/10.1016/j.jclepro.2015.12.01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16/j.cemconres.2014.06.011" TargetMode="External"/><Relationship Id="rId25" Type="http://schemas.openxmlformats.org/officeDocument/2006/relationships/hyperlink" Target="https://doi.org/10.1016/j.cemconres.2010.10.003"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617/s11527-014-0412-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07/S0021889869006558"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07/S0365110X67000234"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16552/j.cnki.issn1001-1625.2024.03.011"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cemconres.2004.04.014"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026ED-39C8-4558-8AA1-B18847E9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4847</Words>
  <Characters>27628</Characters>
  <Application>Microsoft Office Word</Application>
  <DocSecurity>0</DocSecurity>
  <Lines>230</Lines>
  <Paragraphs>64</Paragraphs>
  <ScaleCrop>false</ScaleCrop>
  <Company>aaaa</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2023-07-21T09:01:00Z</dcterms:created>
  <dcterms:modified xsi:type="dcterms:W3CDTF">2026-01-02T11:39:00Z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eyJoZGlkIjoiNTNlYzU2NDZlZWRhZGY1YzdjNGExMDUwNGJjODllMjkiLCJ1c2VySWQiOiIxMjEyOTQ2MDM2In0=</vt:lpwstr>
  </property>
  <property fmtid="{D5CDD505-2E9C-101B-9397-08002B2CF9AE}" pid="3" name="KSOProductBuildVer">
    <vt:lpwstr>2052-12.1.0.24034</vt:lpwstr>
  </property>
  <property fmtid="{D5CDD505-2E9C-101B-9397-08002B2CF9AE}" pid="4" name="ICV">
    <vt:lpwstr>B81113649B50418193DB010095D801AE_13</vt:lpwstr>
  </property>
</Properties>
</file>