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67122" w14:textId="3651BB08" w:rsidR="003478CA" w:rsidRDefault="00007BA1" w:rsidP="00007BA1">
      <w:pPr>
        <w:pStyle w:val="Title"/>
        <w:widowControl/>
        <w:spacing w:after="0"/>
        <w:contextualSpacing w:val="0"/>
        <w:jc w:val="right"/>
        <w:rPr>
          <w:rFonts w:ascii="Arial" w:eastAsiaTheme="minorEastAsia" w:hAnsi="Arial" w:cs="Arial"/>
          <w:b/>
          <w:spacing w:val="0"/>
          <w:sz w:val="36"/>
          <w:szCs w:val="20"/>
          <w:lang w:eastAsia="en-US"/>
          <w14:ligatures w14:val="none"/>
        </w:rPr>
      </w:pPr>
      <w:r w:rsidRPr="00007BA1">
        <w:rPr>
          <w:rFonts w:ascii="Arial" w:eastAsiaTheme="minorEastAsia" w:hAnsi="Arial" w:cs="Arial"/>
          <w:b/>
          <w:spacing w:val="0"/>
          <w:sz w:val="36"/>
          <w:szCs w:val="20"/>
          <w:lang w:eastAsia="en-US"/>
          <w14:ligatures w14:val="none"/>
        </w:rPr>
        <w:t>Research Status of Phase Change Materials and Microcapsules</w:t>
      </w:r>
    </w:p>
    <w:p w14:paraId="7C8C9604" w14:textId="77777777" w:rsidR="00640664" w:rsidRPr="00640664" w:rsidRDefault="00640664" w:rsidP="00640664">
      <w:pPr>
        <w:rPr>
          <w:lang w:eastAsia="en-US"/>
        </w:rPr>
      </w:pPr>
    </w:p>
    <w:p w14:paraId="6F1E6413" w14:textId="12E279ED" w:rsidR="00007BA1" w:rsidRPr="00DF6FCA" w:rsidRDefault="00DF6FCA" w:rsidP="00007BA1">
      <w:pPr>
        <w:rPr>
          <w:b/>
          <w:bCs/>
          <w:sz w:val="22"/>
          <w:szCs w:val="22"/>
        </w:rPr>
      </w:pPr>
      <w:bookmarkStart w:id="0" w:name="_GoBack"/>
      <w:bookmarkEnd w:id="0"/>
      <w:r w:rsidRPr="00DF6FCA">
        <w:rPr>
          <w:rFonts w:ascii="Arial" w:hAnsi="Arial" w:cs="Arial"/>
          <w:b/>
          <w:bCs/>
          <w:sz w:val="22"/>
          <w:szCs w:val="22"/>
        </w:rPr>
        <w:t>ABSTRACT</w:t>
      </w:r>
    </w:p>
    <w:p w14:paraId="5D2F40C0" w14:textId="02B7B909" w:rsidR="00285C44" w:rsidRPr="003509A8" w:rsidRDefault="00285C44" w:rsidP="00285C44">
      <w:r w:rsidRPr="003509A8">
        <w:t>With the intensification of global warming and the explosive growth of cold chain logistics demand, the energy consumption and carbon emissions of refrigeration systems are becoming increasingly prominent. Phase change materials (PCMs) show broad application prospects in cold chain transportation, building energy conservation, electronic cooling and smart textiles due to their high latent heat energy storage density and temperature control capabilities. however, conventional phase change materials suffer from problems such as supercooling, phase separation, leakage and poor thermal conductivity, which limit their practical application. Microcapsule encapsulation technology effectively solves the above problems by constructing a core-shell structure, significantly improving the stability and thermal response efficiency of the material. This paper systematically reviews the classification, properties and current status of low-temperature phase change materials in different fields, focusing on the preparation methods, wall material selection, modification strategies and research progress of phase change microcapsules in improving thermal conductivity and suppressing supercooling. Studies have shown that the comprehensive performance of phase-change microcapsules can be significantly improved through the modification of shell and core materials, providing theoretical basis and technical support for their large-scale application in high-efficiency energy storage and temperature control systems.</w:t>
      </w:r>
    </w:p>
    <w:p w14:paraId="51F9B452" w14:textId="11D93808" w:rsidR="00007BA1" w:rsidRDefault="00285C44" w:rsidP="00007BA1">
      <w:pPr>
        <w:rPr>
          <w:rFonts w:ascii="Arial" w:hAnsi="Arial" w:cs="Arial"/>
          <w:i/>
          <w:kern w:val="0"/>
          <w:sz w:val="20"/>
          <w:szCs w:val="20"/>
          <w14:ligatures w14:val="none"/>
        </w:rPr>
      </w:pPr>
      <w:r w:rsidRPr="00285C44">
        <w:rPr>
          <w:rFonts w:ascii="Arial" w:hAnsi="Arial" w:cs="Arial"/>
          <w:i/>
          <w:kern w:val="0"/>
          <w:sz w:val="20"/>
          <w:szCs w:val="20"/>
          <w:lang w:eastAsia="en-US"/>
          <w14:ligatures w14:val="none"/>
        </w:rPr>
        <w:t>Keywords:Phase change material</w:t>
      </w:r>
      <w:r w:rsidRPr="00285C44">
        <w:rPr>
          <w:rFonts w:ascii="Arial" w:hAnsi="Arial" w:cs="Arial" w:hint="eastAsia"/>
          <w:i/>
          <w:kern w:val="0"/>
          <w:sz w:val="20"/>
          <w:szCs w:val="20"/>
          <w14:ligatures w14:val="none"/>
        </w:rPr>
        <w:t>,</w:t>
      </w:r>
      <w:r>
        <w:rPr>
          <w:rFonts w:ascii="Arial" w:hAnsi="Arial" w:cs="Arial" w:hint="eastAsia"/>
          <w:i/>
          <w:kern w:val="0"/>
          <w:sz w:val="20"/>
          <w:szCs w:val="20"/>
          <w14:ligatures w14:val="none"/>
        </w:rPr>
        <w:t xml:space="preserve"> </w:t>
      </w:r>
      <w:r w:rsidRPr="00285C44">
        <w:rPr>
          <w:rFonts w:ascii="Arial" w:hAnsi="Arial" w:cs="Arial"/>
          <w:i/>
          <w:kern w:val="0"/>
          <w:sz w:val="20"/>
          <w:szCs w:val="20"/>
          <w14:ligatures w14:val="none"/>
        </w:rPr>
        <w:t>Microcapsule</w:t>
      </w:r>
      <w:r w:rsidRPr="00285C44">
        <w:rPr>
          <w:rFonts w:ascii="Arial" w:hAnsi="Arial" w:cs="Arial" w:hint="eastAsia"/>
          <w:i/>
          <w:kern w:val="0"/>
          <w:sz w:val="20"/>
          <w:szCs w:val="20"/>
          <w14:ligatures w14:val="none"/>
        </w:rPr>
        <w:t xml:space="preserve">, </w:t>
      </w:r>
      <w:r w:rsidRPr="00285C44">
        <w:rPr>
          <w:rFonts w:ascii="Arial" w:hAnsi="Arial" w:cs="Arial"/>
          <w:i/>
          <w:kern w:val="0"/>
          <w:sz w:val="20"/>
          <w:szCs w:val="20"/>
          <w14:ligatures w14:val="none"/>
        </w:rPr>
        <w:t>Low temperature</w:t>
      </w:r>
      <w:r w:rsidRPr="00285C44">
        <w:rPr>
          <w:rFonts w:ascii="Arial" w:hAnsi="Arial" w:cs="Arial" w:hint="eastAsia"/>
          <w:i/>
          <w:kern w:val="0"/>
          <w:sz w:val="20"/>
          <w:szCs w:val="20"/>
          <w14:ligatures w14:val="none"/>
        </w:rPr>
        <w:t>,</w:t>
      </w:r>
      <w:r w:rsidRPr="00285C44">
        <w:rPr>
          <w:rFonts w:ascii="Arial" w:hAnsi="Arial" w:cs="Arial"/>
          <w:color w:val="3C51B4"/>
          <w:sz w:val="60"/>
          <w:szCs w:val="60"/>
          <w:shd w:val="clear" w:color="auto" w:fill="F8F4F1"/>
        </w:rPr>
        <w:t xml:space="preserve"> </w:t>
      </w:r>
      <w:r w:rsidRPr="00285C44">
        <w:rPr>
          <w:rFonts w:ascii="Arial" w:hAnsi="Arial" w:cs="Arial"/>
          <w:i/>
          <w:kern w:val="0"/>
          <w:sz w:val="20"/>
          <w:szCs w:val="20"/>
          <w14:ligatures w14:val="none"/>
        </w:rPr>
        <w:t>Modification</w:t>
      </w:r>
    </w:p>
    <w:p w14:paraId="6CB5C41E" w14:textId="69D1CC6F" w:rsidR="00285C44" w:rsidRPr="00285C44" w:rsidRDefault="00285C44" w:rsidP="00285C44">
      <w:pPr>
        <w:pStyle w:val="ConcHead"/>
        <w:spacing w:after="0"/>
        <w:jc w:val="both"/>
        <w:rPr>
          <w:rFonts w:ascii="Arial" w:hAnsi="Arial" w:cs="Arial"/>
        </w:rPr>
      </w:pPr>
      <w:r w:rsidRPr="00285C44">
        <w:rPr>
          <w:rFonts w:ascii="Arial" w:hAnsi="Arial" w:cs="Arial"/>
        </w:rPr>
        <w:t>1. INTRODUCTION</w:t>
      </w:r>
    </w:p>
    <w:p w14:paraId="06400519" w14:textId="77777777" w:rsidR="00285C44" w:rsidRDefault="00285C44" w:rsidP="00285C44">
      <w:bookmarkStart w:id="1" w:name="OLE_LINK1"/>
      <w:r>
        <w:rPr>
          <w:rFonts w:hint="eastAsia"/>
        </w:rPr>
        <w:t>With the intensification of global warming, the improvement of residents' living standards and the rapid development of the Internet economy, the demand for cold chain logistics has shown explosive growth[1]. However, the carbon emissions problem brought about by refrigeration and air-conditioning systems is becoming increasingly serious. Studies show that by 2050, global refrigeration energy consumption may surge tenfold[2], creating huge environmental pressure. The current storage and transportation of temperature-sensitive products such as fresh food and pharmaceutical products face huge challenges</w:t>
      </w:r>
      <w:r>
        <w:rPr>
          <w:rFonts w:hint="eastAsia"/>
        </w:rPr>
        <w:t>——</w:t>
      </w:r>
      <w:r>
        <w:rPr>
          <w:rFonts w:hint="eastAsia"/>
        </w:rPr>
        <w:t xml:space="preserve">In order to control costs, domestic intra-city cold chains often use simple incubators instead of professional refrigerated trucks, resulting in a high rate of product quality change and loss. In the context of </w:t>
      </w:r>
      <w:r>
        <w:rPr>
          <w:rFonts w:hint="eastAsia"/>
        </w:rPr>
        <w:lastRenderedPageBreak/>
        <w:t>new energy transformation, although clean electricity such as solar and wind power provide solutions to the cooling energy consumption gap, their intermittent and volatile characteristics can easily lead to supply and demand imbalances. Therefore, the development of efficient energy storage technology has become a key breakthrough in coordinating the consumption of renewable energy and matching cooling demand.</w:t>
      </w:r>
    </w:p>
    <w:bookmarkEnd w:id="1"/>
    <w:p w14:paraId="61103AB7" w14:textId="77777777" w:rsidR="00285C44" w:rsidRDefault="00285C44" w:rsidP="00285C44">
      <w:r>
        <w:rPr>
          <w:rFonts w:hint="eastAsia"/>
        </w:rPr>
        <w:t>As an important means of regulating the "peak shifting and valley filling" of refrigeration systems, cold storage technology has demonstrated unique advantages in the cold chain field in recent years. Among them, low-temperature phase change cold storage agents are widely used due to their low cost and convenient operation. This type of material achieves cold storage through latent heat absorption/release during solid-liquid phase transition, and can maintain a stable temperature zone during specific periods of time. However, traditional phase change materials generally suffer from problems such as high supercooling, phase separation and leakage risk, which seriously restrict their practical application. Microcapsule encapsulation technology can effectively solve the above defects by constructing a core-shell structure and wrapping the phase change material in a polymer wall material, while giving the material a higher specific surface area and thermal response efficiency, providing an innovative solution for cold chain transportation. For more than a decade, there have been few researchers on microcapsules in the field of cold storage. Therefore, preparing cold storage phase change microcapsule working materials and applying them in the field of cold storage has great application prospects and extremely high practical value. Studying their heat exchange and heat transfer characteristics and necessary influencing factors is one of the key areas of focus for current scholars and researchers.</w:t>
      </w:r>
    </w:p>
    <w:p w14:paraId="76DE21A3" w14:textId="12AFA5F1" w:rsidR="00285C44" w:rsidRPr="00285C44" w:rsidRDefault="00285C44" w:rsidP="00285C44">
      <w:pPr>
        <w:pStyle w:val="ConcHead"/>
        <w:spacing w:after="0"/>
        <w:jc w:val="both"/>
        <w:rPr>
          <w:rFonts w:ascii="Arial" w:hAnsi="Arial" w:cs="Arial"/>
        </w:rPr>
      </w:pPr>
      <w:r w:rsidRPr="00285C44">
        <w:rPr>
          <w:rFonts w:ascii="Arial" w:hAnsi="Arial" w:cs="Arial" w:hint="eastAsia"/>
        </w:rPr>
        <w:t>2. Low temperature phase change materials</w:t>
      </w:r>
    </w:p>
    <w:p w14:paraId="42BD5523" w14:textId="77777777" w:rsidR="00285C44" w:rsidRDefault="00285C44" w:rsidP="00285C44">
      <w:r>
        <w:rPr>
          <w:rFonts w:hint="eastAsia"/>
        </w:rPr>
        <w:t>Phase change materials (PCMs) are a type of functional energy storage material that stores and releases thermal energy through a phase change process. When a phase change occurs, heat is transferred to the external environment. Researchers have applied this feature of phase change materials to thermal energy storage, cold energy storage, and regulating the temperature of the surrounding environment. Due to its high latent heat and energy storage density, it is also widely used in solar energy, textiles, construction and other fields[3].</w:t>
      </w:r>
    </w:p>
    <w:p w14:paraId="74780158" w14:textId="77777777" w:rsidR="00285C44" w:rsidRDefault="00285C44" w:rsidP="00285C44">
      <w:r>
        <w:rPr>
          <w:rFonts w:hint="eastAsia"/>
        </w:rPr>
        <w:t>Based on the phase change temperature standard, phase change materials can be divided into four types (550</w:t>
      </w:r>
      <w:r>
        <w:rPr>
          <w:rFonts w:hint="eastAsia"/>
        </w:rPr>
        <w:t>℃</w:t>
      </w:r>
      <w:r>
        <w:rPr>
          <w:rFonts w:hint="eastAsia"/>
        </w:rPr>
        <w:t xml:space="preserve"> or more): refrigeration (0</w:t>
      </w:r>
      <w:r>
        <w:rPr>
          <w:rFonts w:hint="eastAsia"/>
        </w:rPr>
        <w:t>℃</w:t>
      </w:r>
      <w:r>
        <w:rPr>
          <w:rFonts w:hint="eastAsia"/>
        </w:rPr>
        <w:t xml:space="preserve"> or less), low temperature (0 ~ 120</w:t>
      </w:r>
      <w:r>
        <w:rPr>
          <w:rFonts w:hint="eastAsia"/>
        </w:rPr>
        <w:t>℃</w:t>
      </w:r>
      <w:r>
        <w:rPr>
          <w:rFonts w:hint="eastAsia"/>
        </w:rPr>
        <w:t>), medium temperature (120 ~ 550</w:t>
      </w:r>
      <w:r>
        <w:rPr>
          <w:rFonts w:hint="eastAsia"/>
        </w:rPr>
        <w:t>℃</w:t>
      </w:r>
      <w:r>
        <w:rPr>
          <w:rFonts w:hint="eastAsia"/>
        </w:rPr>
        <w:t xml:space="preserve">) and high temperature. Among them, refrigeration and low-temperature phase change materials are widely used because </w:t>
      </w:r>
      <w:r>
        <w:rPr>
          <w:rFonts w:hint="eastAsia"/>
        </w:rPr>
        <w:lastRenderedPageBreak/>
        <w:t>they are closely related to life and can be better applied in life and production practices; in addition, some clean energy technologies such as solar energy and wind energy have developed rapidly due to the impact of the energy crisis, and refrigeration and low-temperature phase change material energy storage technologies have also been improved.</w:t>
      </w:r>
    </w:p>
    <w:p w14:paraId="3AD880CF" w14:textId="77777777" w:rsidR="00285C44" w:rsidRDefault="00285C44" w:rsidP="00285C44">
      <w:r>
        <w:rPr>
          <w:rFonts w:hint="eastAsia"/>
        </w:rPr>
        <w:t xml:space="preserve">According to the change of physical state, phase change materials can be divided into solid </w:t>
      </w:r>
      <w:r>
        <w:rPr>
          <w:rFonts w:hint="eastAsia"/>
        </w:rPr>
        <w:t>→</w:t>
      </w:r>
      <w:r>
        <w:rPr>
          <w:rFonts w:hint="eastAsia"/>
        </w:rPr>
        <w:t xml:space="preserve"> solid, solid </w:t>
      </w:r>
      <w:r>
        <w:rPr>
          <w:rFonts w:hint="eastAsia"/>
        </w:rPr>
        <w:t>→</w:t>
      </w:r>
      <w:r>
        <w:rPr>
          <w:rFonts w:hint="eastAsia"/>
        </w:rPr>
        <w:t xml:space="preserve"> gas, liquid </w:t>
      </w:r>
      <w:r>
        <w:rPr>
          <w:rFonts w:hint="eastAsia"/>
        </w:rPr>
        <w:t>→</w:t>
      </w:r>
      <w:r>
        <w:rPr>
          <w:rFonts w:hint="eastAsia"/>
        </w:rPr>
        <w:t xml:space="preserve"> gas and solid </w:t>
      </w:r>
      <w:r>
        <w:rPr>
          <w:rFonts w:hint="eastAsia"/>
        </w:rPr>
        <w:t>→</w:t>
      </w:r>
      <w:r>
        <w:rPr>
          <w:rFonts w:hint="eastAsia"/>
        </w:rPr>
        <w:t xml:space="preserve"> liquid. Solid-solid transformation uses crystal form change to generate latent heat, which has advantages such as good stability and no leakage. However, due to the higher phase transition temperature and fewer types, there are currently few related applications. The latent heat properties of solid-gas transformation and liquid-gas transformation are good, but the volume expansion rate of the transformation into gas is too large to be used in actual conditions. the thermal storage properties and volume expansion rate of solid-liquid transition meet the needs, and the wide variety of materials, which can meet the needs of different temperature domains, have become a hot topic of interest to researchers. Solid-liquid phase change materials can be divided into inorganic, organic and composite phase change materials according to the material classification of phase change materials. The inorganic and organic phase change materials are compared in Table 1 below. The properties of composite phase change materials are all at an intermediate level, but due to the differences in properties between the two, it is difficult to form a stable mixture, so there are relatively few related studies.</w:t>
      </w:r>
    </w:p>
    <w:p w14:paraId="1ED25826" w14:textId="05A6346E" w:rsidR="00285C44" w:rsidRDefault="00285C44" w:rsidP="002701A8">
      <w:pPr>
        <w:jc w:val="both"/>
        <w:rPr>
          <w:rFonts w:ascii="Arial" w:eastAsiaTheme="minorEastAsia" w:hAnsi="Arial"/>
          <w:b/>
          <w:kern w:val="0"/>
          <w:sz w:val="20"/>
          <w:szCs w:val="20"/>
          <w:lang w:eastAsia="en-US"/>
          <w14:ligatures w14:val="none"/>
        </w:rPr>
      </w:pPr>
      <w:r w:rsidRPr="002701A8">
        <w:rPr>
          <w:rFonts w:ascii="Arial" w:eastAsiaTheme="minorEastAsia" w:hAnsi="Arial" w:hint="eastAsia"/>
          <w:b/>
          <w:kern w:val="0"/>
          <w:sz w:val="20"/>
          <w:szCs w:val="20"/>
          <w:lang w:eastAsia="en-US"/>
          <w14:ligatures w14:val="none"/>
        </w:rPr>
        <w:t>Table 1</w:t>
      </w:r>
      <w:r w:rsidR="002701A8">
        <w:rPr>
          <w:rFonts w:ascii="Arial" w:eastAsiaTheme="minorEastAsia" w:hAnsi="Arial" w:hint="eastAsia"/>
          <w:b/>
          <w:kern w:val="0"/>
          <w:sz w:val="20"/>
          <w:szCs w:val="20"/>
          <w14:ligatures w14:val="none"/>
        </w:rPr>
        <w:t xml:space="preserve">. </w:t>
      </w:r>
      <w:r w:rsidRPr="002701A8">
        <w:rPr>
          <w:rFonts w:ascii="Arial" w:eastAsiaTheme="minorEastAsia" w:hAnsi="Arial" w:hint="eastAsia"/>
          <w:b/>
          <w:kern w:val="0"/>
          <w:sz w:val="20"/>
          <w:szCs w:val="20"/>
          <w:lang w:eastAsia="en-US"/>
          <w14:ligatures w14:val="none"/>
        </w:rPr>
        <w:t>Phase change material properties</w:t>
      </w:r>
    </w:p>
    <w:p w14:paraId="10CB5ACE" w14:textId="77777777" w:rsidR="002701A8" w:rsidRPr="002701A8" w:rsidRDefault="002701A8" w:rsidP="002701A8">
      <w:pPr>
        <w:widowControl/>
        <w:spacing w:after="0" w:line="240" w:lineRule="auto"/>
        <w:jc w:val="both"/>
        <w:rPr>
          <w:rFonts w:ascii="Arial" w:eastAsiaTheme="minorEastAsia" w:hAnsi="Arial"/>
          <w:b/>
          <w:kern w:val="0"/>
          <w:sz w:val="20"/>
          <w:szCs w:val="20"/>
          <w:lang w:eastAsia="en-US"/>
          <w14:ligatures w14:val="none"/>
        </w:rPr>
      </w:pPr>
    </w:p>
    <w:tbl>
      <w:tblPr>
        <w:tblStyle w:val="TableGrid"/>
        <w:tblW w:w="7491" w:type="dxa"/>
        <w:jc w:val="center"/>
        <w:tblBorders>
          <w:left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497"/>
        <w:gridCol w:w="2497"/>
        <w:gridCol w:w="2497"/>
      </w:tblGrid>
      <w:tr w:rsidR="00285C44" w:rsidRPr="002701A8" w14:paraId="62C385EA" w14:textId="77777777" w:rsidTr="002701A8">
        <w:trPr>
          <w:trHeight w:val="351"/>
          <w:jc w:val="center"/>
        </w:trPr>
        <w:tc>
          <w:tcPr>
            <w:tcW w:w="2497" w:type="dxa"/>
            <w:tcBorders>
              <w:top w:val="single" w:sz="4" w:space="0" w:color="auto"/>
              <w:bottom w:val="single" w:sz="4" w:space="0" w:color="auto"/>
            </w:tcBorders>
            <w:hideMark/>
          </w:tcPr>
          <w:p w14:paraId="068C6035" w14:textId="77777777" w:rsidR="00285C44" w:rsidRPr="002701A8" w:rsidRDefault="00285C44" w:rsidP="002701A8">
            <w:pPr>
              <w:widowControl/>
              <w:jc w:val="both"/>
              <w:rPr>
                <w:rFonts w:ascii="Arial" w:hAnsi="Arial"/>
                <w:b/>
                <w:kern w:val="0"/>
                <w:sz w:val="20"/>
                <w:szCs w:val="20"/>
                <w:lang w:eastAsia="en-US"/>
                <w14:ligatures w14:val="none"/>
              </w:rPr>
            </w:pPr>
            <w:r w:rsidRPr="002701A8">
              <w:rPr>
                <w:rFonts w:ascii="Arial" w:hAnsi="Arial"/>
                <w:b/>
                <w:kern w:val="0"/>
                <w:sz w:val="20"/>
                <w:szCs w:val="20"/>
                <w:lang w:eastAsia="en-US"/>
                <w14:ligatures w14:val="none"/>
              </w:rPr>
              <w:t>Performance</w:t>
            </w:r>
          </w:p>
        </w:tc>
        <w:tc>
          <w:tcPr>
            <w:tcW w:w="2497" w:type="dxa"/>
            <w:tcBorders>
              <w:top w:val="single" w:sz="4" w:space="0" w:color="auto"/>
              <w:bottom w:val="single" w:sz="4" w:space="0" w:color="auto"/>
            </w:tcBorders>
            <w:hideMark/>
          </w:tcPr>
          <w:p w14:paraId="52537FC9" w14:textId="77777777" w:rsidR="00285C44" w:rsidRPr="002701A8" w:rsidRDefault="00285C44" w:rsidP="002701A8">
            <w:pPr>
              <w:widowControl/>
              <w:jc w:val="both"/>
              <w:rPr>
                <w:rFonts w:ascii="Arial" w:hAnsi="Arial"/>
                <w:b/>
                <w:kern w:val="0"/>
                <w:sz w:val="20"/>
                <w:szCs w:val="20"/>
                <w:lang w:eastAsia="en-US"/>
                <w14:ligatures w14:val="none"/>
              </w:rPr>
            </w:pPr>
            <w:r w:rsidRPr="002701A8">
              <w:rPr>
                <w:rFonts w:ascii="Arial" w:hAnsi="Arial"/>
                <w:b/>
                <w:kern w:val="0"/>
                <w:sz w:val="20"/>
                <w:szCs w:val="20"/>
                <w:lang w:eastAsia="en-US"/>
                <w14:ligatures w14:val="none"/>
              </w:rPr>
              <w:t>Inorganic phase change materials</w:t>
            </w:r>
          </w:p>
        </w:tc>
        <w:tc>
          <w:tcPr>
            <w:tcW w:w="2497" w:type="dxa"/>
            <w:tcBorders>
              <w:top w:val="single" w:sz="4" w:space="0" w:color="auto"/>
              <w:bottom w:val="single" w:sz="4" w:space="0" w:color="auto"/>
            </w:tcBorders>
            <w:hideMark/>
          </w:tcPr>
          <w:p w14:paraId="685A1424" w14:textId="77777777" w:rsidR="00285C44" w:rsidRPr="002701A8" w:rsidRDefault="00285C44" w:rsidP="002701A8">
            <w:pPr>
              <w:widowControl/>
              <w:jc w:val="both"/>
              <w:rPr>
                <w:rFonts w:ascii="Arial" w:hAnsi="Arial"/>
                <w:b/>
                <w:kern w:val="0"/>
                <w:sz w:val="20"/>
                <w:szCs w:val="20"/>
                <w:lang w:eastAsia="en-US"/>
                <w14:ligatures w14:val="none"/>
              </w:rPr>
            </w:pPr>
            <w:r w:rsidRPr="002701A8">
              <w:rPr>
                <w:rFonts w:ascii="Arial" w:hAnsi="Arial"/>
                <w:b/>
                <w:kern w:val="0"/>
                <w:sz w:val="20"/>
                <w:szCs w:val="20"/>
                <w:lang w:eastAsia="en-US"/>
                <w14:ligatures w14:val="none"/>
              </w:rPr>
              <w:t>Organic phase change materials</w:t>
            </w:r>
          </w:p>
        </w:tc>
      </w:tr>
      <w:tr w:rsidR="00285C44" w:rsidRPr="002701A8" w14:paraId="4FA07B51" w14:textId="77777777" w:rsidTr="002701A8">
        <w:trPr>
          <w:trHeight w:val="351"/>
          <w:jc w:val="center"/>
        </w:trPr>
        <w:tc>
          <w:tcPr>
            <w:tcW w:w="2497" w:type="dxa"/>
            <w:tcBorders>
              <w:top w:val="single" w:sz="4" w:space="0" w:color="auto"/>
            </w:tcBorders>
            <w:hideMark/>
          </w:tcPr>
          <w:p w14:paraId="01F53DE0"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Latent heat</w:t>
            </w:r>
          </w:p>
        </w:tc>
        <w:tc>
          <w:tcPr>
            <w:tcW w:w="2497" w:type="dxa"/>
            <w:tcBorders>
              <w:top w:val="single" w:sz="4" w:space="0" w:color="auto"/>
            </w:tcBorders>
            <w:hideMark/>
          </w:tcPr>
          <w:p w14:paraId="38536203"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High</w:t>
            </w:r>
          </w:p>
        </w:tc>
        <w:tc>
          <w:tcPr>
            <w:tcW w:w="2497" w:type="dxa"/>
            <w:tcBorders>
              <w:top w:val="single" w:sz="4" w:space="0" w:color="auto"/>
            </w:tcBorders>
            <w:hideMark/>
          </w:tcPr>
          <w:p w14:paraId="71E3EA4D"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Low</w:t>
            </w:r>
          </w:p>
        </w:tc>
      </w:tr>
      <w:tr w:rsidR="00285C44" w:rsidRPr="002701A8" w14:paraId="422830E5" w14:textId="77777777" w:rsidTr="002701A8">
        <w:trPr>
          <w:trHeight w:val="351"/>
          <w:jc w:val="center"/>
        </w:trPr>
        <w:tc>
          <w:tcPr>
            <w:tcW w:w="2497" w:type="dxa"/>
            <w:hideMark/>
          </w:tcPr>
          <w:p w14:paraId="5AA7A944"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Thermal conductivity</w:t>
            </w:r>
          </w:p>
        </w:tc>
        <w:tc>
          <w:tcPr>
            <w:tcW w:w="2497" w:type="dxa"/>
            <w:hideMark/>
          </w:tcPr>
          <w:p w14:paraId="6D15838C"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High</w:t>
            </w:r>
          </w:p>
        </w:tc>
        <w:tc>
          <w:tcPr>
            <w:tcW w:w="2497" w:type="dxa"/>
            <w:hideMark/>
          </w:tcPr>
          <w:p w14:paraId="6D6476A3"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Low</w:t>
            </w:r>
          </w:p>
        </w:tc>
      </w:tr>
      <w:tr w:rsidR="00285C44" w:rsidRPr="002701A8" w14:paraId="5D546DA1" w14:textId="77777777" w:rsidTr="002701A8">
        <w:trPr>
          <w:trHeight w:val="351"/>
          <w:jc w:val="center"/>
        </w:trPr>
        <w:tc>
          <w:tcPr>
            <w:tcW w:w="2497" w:type="dxa"/>
            <w:hideMark/>
          </w:tcPr>
          <w:p w14:paraId="1AE88767"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Thermal stability</w:t>
            </w:r>
          </w:p>
        </w:tc>
        <w:tc>
          <w:tcPr>
            <w:tcW w:w="2497" w:type="dxa"/>
            <w:hideMark/>
          </w:tcPr>
          <w:p w14:paraId="659F3576"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Poor</w:t>
            </w:r>
          </w:p>
        </w:tc>
        <w:tc>
          <w:tcPr>
            <w:tcW w:w="2497" w:type="dxa"/>
            <w:hideMark/>
          </w:tcPr>
          <w:p w14:paraId="27D2CECE"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Good</w:t>
            </w:r>
          </w:p>
        </w:tc>
      </w:tr>
      <w:tr w:rsidR="00285C44" w:rsidRPr="002701A8" w14:paraId="50D16335" w14:textId="77777777" w:rsidTr="002701A8">
        <w:trPr>
          <w:trHeight w:val="351"/>
          <w:jc w:val="center"/>
        </w:trPr>
        <w:tc>
          <w:tcPr>
            <w:tcW w:w="2497" w:type="dxa"/>
            <w:hideMark/>
          </w:tcPr>
          <w:p w14:paraId="0AFEAD8E"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Supercooling</w:t>
            </w:r>
          </w:p>
        </w:tc>
        <w:tc>
          <w:tcPr>
            <w:tcW w:w="2497" w:type="dxa"/>
            <w:hideMark/>
          </w:tcPr>
          <w:p w14:paraId="6754E1EC"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High</w:t>
            </w:r>
          </w:p>
        </w:tc>
        <w:tc>
          <w:tcPr>
            <w:tcW w:w="2497" w:type="dxa"/>
            <w:hideMark/>
          </w:tcPr>
          <w:p w14:paraId="3E6C038F"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Low</w:t>
            </w:r>
          </w:p>
        </w:tc>
      </w:tr>
      <w:tr w:rsidR="00285C44" w:rsidRPr="002701A8" w14:paraId="0DB79A76" w14:textId="77777777" w:rsidTr="002701A8">
        <w:trPr>
          <w:trHeight w:val="351"/>
          <w:jc w:val="center"/>
        </w:trPr>
        <w:tc>
          <w:tcPr>
            <w:tcW w:w="2497" w:type="dxa"/>
            <w:hideMark/>
          </w:tcPr>
          <w:p w14:paraId="0BD7D56E"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Degree of phase separation</w:t>
            </w:r>
          </w:p>
        </w:tc>
        <w:tc>
          <w:tcPr>
            <w:tcW w:w="2497" w:type="dxa"/>
            <w:hideMark/>
          </w:tcPr>
          <w:p w14:paraId="72238306"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High</w:t>
            </w:r>
          </w:p>
        </w:tc>
        <w:tc>
          <w:tcPr>
            <w:tcW w:w="2497" w:type="dxa"/>
            <w:hideMark/>
          </w:tcPr>
          <w:p w14:paraId="57666182"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Low</w:t>
            </w:r>
          </w:p>
        </w:tc>
      </w:tr>
      <w:tr w:rsidR="00285C44" w:rsidRPr="002701A8" w14:paraId="77F59EE7" w14:textId="77777777" w:rsidTr="002701A8">
        <w:trPr>
          <w:trHeight w:val="351"/>
          <w:jc w:val="center"/>
        </w:trPr>
        <w:tc>
          <w:tcPr>
            <w:tcW w:w="2497" w:type="dxa"/>
            <w:hideMark/>
          </w:tcPr>
          <w:p w14:paraId="57AD595D"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Corrosive</w:t>
            </w:r>
          </w:p>
        </w:tc>
        <w:tc>
          <w:tcPr>
            <w:tcW w:w="2497" w:type="dxa"/>
            <w:hideMark/>
          </w:tcPr>
          <w:p w14:paraId="304A1CFA"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High</w:t>
            </w:r>
          </w:p>
        </w:tc>
        <w:tc>
          <w:tcPr>
            <w:tcW w:w="2497" w:type="dxa"/>
            <w:hideMark/>
          </w:tcPr>
          <w:p w14:paraId="264674A5"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Low</w:t>
            </w:r>
          </w:p>
        </w:tc>
      </w:tr>
      <w:tr w:rsidR="00285C44" w:rsidRPr="002701A8" w14:paraId="4DD65667" w14:textId="77777777" w:rsidTr="002701A8">
        <w:trPr>
          <w:trHeight w:val="351"/>
          <w:jc w:val="center"/>
        </w:trPr>
        <w:tc>
          <w:tcPr>
            <w:tcW w:w="2497" w:type="dxa"/>
            <w:hideMark/>
          </w:tcPr>
          <w:p w14:paraId="24DDF044"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Cost</w:t>
            </w:r>
          </w:p>
        </w:tc>
        <w:tc>
          <w:tcPr>
            <w:tcW w:w="2497" w:type="dxa"/>
            <w:hideMark/>
          </w:tcPr>
          <w:p w14:paraId="71572D5A"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Low</w:t>
            </w:r>
          </w:p>
        </w:tc>
        <w:tc>
          <w:tcPr>
            <w:tcW w:w="2497" w:type="dxa"/>
            <w:hideMark/>
          </w:tcPr>
          <w:p w14:paraId="3873CEEE"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High</w:t>
            </w:r>
          </w:p>
        </w:tc>
      </w:tr>
    </w:tbl>
    <w:p w14:paraId="32BD945F" w14:textId="77777777" w:rsidR="00285C44" w:rsidRPr="002701A8" w:rsidRDefault="00285C44" w:rsidP="002701A8">
      <w:pPr>
        <w:widowControl/>
        <w:spacing w:after="0" w:line="240" w:lineRule="auto"/>
        <w:jc w:val="both"/>
        <w:rPr>
          <w:rFonts w:ascii="Arial" w:eastAsiaTheme="minorEastAsia" w:hAnsi="Arial"/>
          <w:b/>
          <w:kern w:val="0"/>
          <w:sz w:val="20"/>
          <w:szCs w:val="20"/>
          <w:lang w:eastAsia="en-US"/>
          <w14:ligatures w14:val="none"/>
        </w:rPr>
      </w:pPr>
    </w:p>
    <w:p w14:paraId="2DF1CA05"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2.1 Inorganic low-temperature phase change materials</w:t>
      </w:r>
    </w:p>
    <w:p w14:paraId="2FDFDC90" w14:textId="77777777" w:rsidR="00285C44" w:rsidRDefault="00285C44" w:rsidP="00285C44">
      <w:r>
        <w:rPr>
          <w:rFonts w:hint="eastAsia"/>
        </w:rPr>
        <w:t xml:space="preserve">Water and partially crystalline hydrated salts are the main inorganic low-temperature phase change materials. The phase change temperature of water is very low and the </w:t>
      </w:r>
      <w:r>
        <w:rPr>
          <w:rFonts w:hint="eastAsia"/>
        </w:rPr>
        <w:lastRenderedPageBreak/>
        <w:t>most common. Some crystalline hydrated salts used in the low-temperature field (Tm&lt;20</w:t>
      </w:r>
      <w:r>
        <w:rPr>
          <w:rFonts w:hint="eastAsia"/>
        </w:rPr>
        <w:t>℃</w:t>
      </w:r>
      <w:r>
        <w:rPr>
          <w:rFonts w:hint="eastAsia"/>
        </w:rPr>
        <w:t>) are shown in Table 2 below.</w:t>
      </w:r>
    </w:p>
    <w:p w14:paraId="3A1D4360" w14:textId="77777777" w:rsidR="00285C44" w:rsidRDefault="00285C44" w:rsidP="002701A8">
      <w:pPr>
        <w:jc w:val="both"/>
        <w:rPr>
          <w:rFonts w:ascii="Arial" w:eastAsiaTheme="minorEastAsia" w:hAnsi="Arial"/>
          <w:b/>
          <w:kern w:val="0"/>
          <w:sz w:val="20"/>
          <w:szCs w:val="20"/>
          <w:lang w:eastAsia="en-US"/>
          <w14:ligatures w14:val="none"/>
        </w:rPr>
      </w:pPr>
      <w:r w:rsidRPr="002701A8">
        <w:rPr>
          <w:rFonts w:ascii="Arial" w:eastAsiaTheme="minorEastAsia" w:hAnsi="Arial" w:hint="eastAsia"/>
          <w:b/>
          <w:kern w:val="0"/>
          <w:sz w:val="20"/>
          <w:szCs w:val="20"/>
          <w:lang w:eastAsia="en-US"/>
          <w14:ligatures w14:val="none"/>
        </w:rPr>
        <w:t>Table 2 Physical properties of inorganic low-temperature phase change materials</w:t>
      </w:r>
    </w:p>
    <w:p w14:paraId="539A9A56" w14:textId="77777777" w:rsidR="002701A8" w:rsidRPr="002701A8" w:rsidRDefault="002701A8" w:rsidP="002701A8">
      <w:pPr>
        <w:jc w:val="both"/>
        <w:rPr>
          <w:rFonts w:ascii="Arial" w:eastAsiaTheme="minorEastAsia" w:hAnsi="Arial"/>
          <w:b/>
          <w:kern w:val="0"/>
          <w:sz w:val="20"/>
          <w:szCs w:val="20"/>
          <w:lang w:eastAsia="en-US"/>
          <w14:ligatures w14:val="none"/>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2165"/>
        <w:gridCol w:w="1372"/>
        <w:gridCol w:w="1052"/>
        <w:gridCol w:w="1394"/>
      </w:tblGrid>
      <w:tr w:rsidR="00285C44" w14:paraId="738F5719" w14:textId="77777777" w:rsidTr="002701A8">
        <w:trPr>
          <w:jc w:val="center"/>
        </w:trPr>
        <w:tc>
          <w:tcPr>
            <w:tcW w:w="1601" w:type="dxa"/>
            <w:tcBorders>
              <w:top w:val="single" w:sz="4" w:space="0" w:color="auto"/>
              <w:bottom w:val="single" w:sz="4" w:space="0" w:color="auto"/>
            </w:tcBorders>
          </w:tcPr>
          <w:p w14:paraId="0FAE8328" w14:textId="7A49975C" w:rsidR="00285C44" w:rsidRPr="002701A8" w:rsidRDefault="002701A8" w:rsidP="002701A8">
            <w:pPr>
              <w:widowControl/>
              <w:jc w:val="both"/>
              <w:rPr>
                <w:rFonts w:ascii="Arial" w:hAnsi="Arial"/>
                <w:b/>
                <w:kern w:val="0"/>
                <w:sz w:val="20"/>
                <w:szCs w:val="20"/>
                <w:lang w:eastAsia="en-US"/>
                <w14:ligatures w14:val="none"/>
              </w:rPr>
            </w:pPr>
            <w:r>
              <w:rPr>
                <w:rFonts w:ascii="Arial" w:hAnsi="Arial" w:hint="eastAsia"/>
                <w:b/>
                <w:kern w:val="0"/>
                <w:sz w:val="20"/>
                <w:szCs w:val="20"/>
                <w14:ligatures w14:val="none"/>
              </w:rPr>
              <w:t>S</w:t>
            </w:r>
            <w:r w:rsidR="00285C44" w:rsidRPr="002701A8">
              <w:rPr>
                <w:rFonts w:ascii="Arial" w:hAnsi="Arial" w:hint="eastAsia"/>
                <w:b/>
                <w:kern w:val="0"/>
                <w:sz w:val="20"/>
                <w:szCs w:val="20"/>
                <w:lang w:eastAsia="en-US"/>
                <w14:ligatures w14:val="none"/>
              </w:rPr>
              <w:t>ubstance</w:t>
            </w:r>
          </w:p>
        </w:tc>
        <w:tc>
          <w:tcPr>
            <w:tcW w:w="2165" w:type="dxa"/>
            <w:tcBorders>
              <w:top w:val="single" w:sz="4" w:space="0" w:color="auto"/>
              <w:bottom w:val="single" w:sz="4" w:space="0" w:color="auto"/>
            </w:tcBorders>
          </w:tcPr>
          <w:p w14:paraId="34EA61BC" w14:textId="77777777" w:rsidR="00285C44" w:rsidRPr="002701A8" w:rsidRDefault="00285C44" w:rsidP="002701A8">
            <w:pPr>
              <w:widowControl/>
              <w:jc w:val="both"/>
              <w:rPr>
                <w:rFonts w:ascii="Arial" w:hAnsi="Arial"/>
                <w:b/>
                <w:kern w:val="0"/>
                <w:sz w:val="20"/>
                <w:szCs w:val="20"/>
                <w:lang w:eastAsia="en-US"/>
                <w14:ligatures w14:val="none"/>
              </w:rPr>
            </w:pPr>
            <w:r w:rsidRPr="002701A8">
              <w:rPr>
                <w:rFonts w:ascii="Arial" w:hAnsi="Arial" w:hint="eastAsia"/>
                <w:b/>
                <w:kern w:val="0"/>
                <w:sz w:val="20"/>
                <w:szCs w:val="20"/>
                <w:lang w:eastAsia="en-US"/>
                <w14:ligatures w14:val="none"/>
              </w:rPr>
              <w:t>Chemical formula</w:t>
            </w:r>
          </w:p>
        </w:tc>
        <w:tc>
          <w:tcPr>
            <w:tcW w:w="1372" w:type="dxa"/>
            <w:tcBorders>
              <w:top w:val="single" w:sz="4" w:space="0" w:color="auto"/>
              <w:bottom w:val="single" w:sz="4" w:space="0" w:color="auto"/>
            </w:tcBorders>
          </w:tcPr>
          <w:p w14:paraId="1EB438B9" w14:textId="77777777" w:rsidR="00285C44" w:rsidRPr="002701A8" w:rsidRDefault="00285C44" w:rsidP="002701A8">
            <w:pPr>
              <w:widowControl/>
              <w:jc w:val="both"/>
              <w:rPr>
                <w:rFonts w:ascii="Arial" w:hAnsi="Arial"/>
                <w:b/>
                <w:kern w:val="0"/>
                <w:sz w:val="20"/>
                <w:szCs w:val="20"/>
                <w:lang w:eastAsia="en-US"/>
                <w14:ligatures w14:val="none"/>
              </w:rPr>
            </w:pPr>
            <w:r w:rsidRPr="002701A8">
              <w:rPr>
                <w:rFonts w:ascii="Arial" w:hAnsi="Arial" w:hint="eastAsia"/>
                <w:b/>
                <w:kern w:val="0"/>
                <w:sz w:val="20"/>
                <w:szCs w:val="20"/>
                <w:lang w:eastAsia="en-US"/>
                <w14:ligatures w14:val="none"/>
              </w:rPr>
              <w:t>Melting temperature Tm</w:t>
            </w:r>
            <w:r w:rsidRPr="002701A8">
              <w:rPr>
                <w:rFonts w:ascii="Arial" w:hAnsi="Arial"/>
                <w:b/>
                <w:kern w:val="0"/>
                <w:sz w:val="20"/>
                <w:szCs w:val="20"/>
                <w:lang w:eastAsia="en-US"/>
                <w14:ligatures w14:val="none"/>
              </w:rPr>
              <w:t>(</w:t>
            </w:r>
            <w:r w:rsidRPr="002701A8">
              <w:rPr>
                <w:rFonts w:ascii="SimSun" w:eastAsia="SimSun" w:hAnsi="SimSun" w:cs="SimSun" w:hint="eastAsia"/>
                <w:b/>
                <w:kern w:val="0"/>
                <w:sz w:val="20"/>
                <w:szCs w:val="20"/>
                <w:lang w:eastAsia="en-US"/>
                <w14:ligatures w14:val="none"/>
              </w:rPr>
              <w:t>℃</w:t>
            </w:r>
            <w:r w:rsidRPr="002701A8">
              <w:rPr>
                <w:rFonts w:ascii="Arial" w:hAnsi="Arial"/>
                <w:b/>
                <w:kern w:val="0"/>
                <w:sz w:val="20"/>
                <w:szCs w:val="20"/>
                <w:lang w:eastAsia="en-US"/>
                <w14:ligatures w14:val="none"/>
              </w:rPr>
              <w:t>)</w:t>
            </w:r>
          </w:p>
        </w:tc>
        <w:tc>
          <w:tcPr>
            <w:tcW w:w="1052" w:type="dxa"/>
            <w:tcBorders>
              <w:top w:val="single" w:sz="4" w:space="0" w:color="auto"/>
              <w:bottom w:val="single" w:sz="4" w:space="0" w:color="auto"/>
            </w:tcBorders>
          </w:tcPr>
          <w:p w14:paraId="02F0D95E" w14:textId="77777777" w:rsidR="00285C44" w:rsidRPr="002701A8" w:rsidRDefault="00285C44" w:rsidP="002701A8">
            <w:pPr>
              <w:widowControl/>
              <w:jc w:val="both"/>
              <w:rPr>
                <w:rFonts w:ascii="Arial" w:hAnsi="Arial"/>
                <w:b/>
                <w:kern w:val="0"/>
                <w:sz w:val="20"/>
                <w:szCs w:val="20"/>
                <w:lang w:eastAsia="en-US"/>
                <w14:ligatures w14:val="none"/>
              </w:rPr>
            </w:pPr>
            <w:r w:rsidRPr="002701A8">
              <w:rPr>
                <w:rFonts w:ascii="Arial" w:hAnsi="Arial" w:hint="eastAsia"/>
                <w:b/>
                <w:kern w:val="0"/>
                <w:sz w:val="20"/>
                <w:szCs w:val="20"/>
                <w:lang w:eastAsia="en-US"/>
                <w14:ligatures w14:val="none"/>
              </w:rPr>
              <w:t>Latent heat H (J/g)</w:t>
            </w:r>
          </w:p>
        </w:tc>
        <w:tc>
          <w:tcPr>
            <w:tcW w:w="1394" w:type="dxa"/>
            <w:tcBorders>
              <w:top w:val="single" w:sz="4" w:space="0" w:color="auto"/>
              <w:bottom w:val="single" w:sz="4" w:space="0" w:color="auto"/>
            </w:tcBorders>
          </w:tcPr>
          <w:p w14:paraId="6CCF9B8D" w14:textId="77777777" w:rsidR="00285C44" w:rsidRPr="002701A8" w:rsidRDefault="00285C44" w:rsidP="002701A8">
            <w:pPr>
              <w:widowControl/>
              <w:jc w:val="both"/>
              <w:rPr>
                <w:rFonts w:ascii="Arial" w:hAnsi="Arial"/>
                <w:b/>
                <w:kern w:val="0"/>
                <w:sz w:val="20"/>
                <w:szCs w:val="20"/>
                <w:lang w:eastAsia="en-US"/>
                <w14:ligatures w14:val="none"/>
              </w:rPr>
            </w:pPr>
            <w:r w:rsidRPr="002701A8">
              <w:rPr>
                <w:rFonts w:ascii="Arial" w:hAnsi="Arial" w:hint="eastAsia"/>
                <w:b/>
                <w:kern w:val="0"/>
                <w:sz w:val="20"/>
                <w:szCs w:val="20"/>
                <w:lang w:eastAsia="en-US"/>
                <w14:ligatures w14:val="none"/>
              </w:rPr>
              <w:t xml:space="preserve">Thermal conductivity k </w:t>
            </w:r>
            <w:r w:rsidRPr="002701A8">
              <w:rPr>
                <w:rFonts w:ascii="Arial" w:hAnsi="Arial"/>
                <w:b/>
                <w:kern w:val="0"/>
                <w:sz w:val="20"/>
                <w:szCs w:val="20"/>
                <w:lang w:eastAsia="en-US"/>
                <w14:ligatures w14:val="none"/>
              </w:rPr>
              <w:t>(W/(m·K))</w:t>
            </w:r>
          </w:p>
        </w:tc>
      </w:tr>
      <w:tr w:rsidR="00285C44" w14:paraId="1CABF255" w14:textId="77777777" w:rsidTr="002701A8">
        <w:trPr>
          <w:jc w:val="center"/>
        </w:trPr>
        <w:tc>
          <w:tcPr>
            <w:tcW w:w="1601" w:type="dxa"/>
            <w:tcBorders>
              <w:top w:val="single" w:sz="4" w:space="0" w:color="auto"/>
            </w:tcBorders>
          </w:tcPr>
          <w:p w14:paraId="5D0D59FC"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water</w:t>
            </w:r>
          </w:p>
        </w:tc>
        <w:tc>
          <w:tcPr>
            <w:tcW w:w="2165" w:type="dxa"/>
            <w:tcBorders>
              <w:top w:val="single" w:sz="4" w:space="0" w:color="auto"/>
            </w:tcBorders>
          </w:tcPr>
          <w:p w14:paraId="6441F4C8"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Borders>
              <w:top w:val="single" w:sz="4" w:space="0" w:color="auto"/>
            </w:tcBorders>
          </w:tcPr>
          <w:p w14:paraId="51588D7F"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0</w:t>
            </w:r>
          </w:p>
        </w:tc>
        <w:tc>
          <w:tcPr>
            <w:tcW w:w="1052" w:type="dxa"/>
            <w:tcBorders>
              <w:top w:val="single" w:sz="4" w:space="0" w:color="auto"/>
            </w:tcBorders>
          </w:tcPr>
          <w:p w14:paraId="4D39301B"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333</w:t>
            </w:r>
          </w:p>
        </w:tc>
        <w:tc>
          <w:tcPr>
            <w:tcW w:w="1394" w:type="dxa"/>
            <w:tcBorders>
              <w:top w:val="single" w:sz="4" w:space="0" w:color="auto"/>
            </w:tcBorders>
          </w:tcPr>
          <w:p w14:paraId="25F75606"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0.612 (20</w:t>
            </w:r>
            <w:r w:rsidRPr="002701A8">
              <w:rPr>
                <w:rFonts w:ascii="Arial" w:hAnsi="Arial"/>
                <w:kern w:val="0"/>
                <w:sz w:val="20"/>
                <w:szCs w:val="20"/>
                <w:lang w:eastAsia="en-US"/>
                <w14:ligatures w14:val="none"/>
              </w:rPr>
              <w:t>°C</w:t>
            </w:r>
            <w:r w:rsidRPr="002701A8">
              <w:rPr>
                <w:rFonts w:ascii="Arial" w:hAnsi="Arial" w:hint="eastAsia"/>
                <w:kern w:val="0"/>
                <w:sz w:val="20"/>
                <w:szCs w:val="20"/>
                <w:lang w:eastAsia="en-US"/>
                <w14:ligatures w14:val="none"/>
              </w:rPr>
              <w:t>)</w:t>
            </w:r>
          </w:p>
        </w:tc>
      </w:tr>
      <w:tr w:rsidR="00285C44" w14:paraId="2AF6CECA" w14:textId="77777777" w:rsidTr="002701A8">
        <w:trPr>
          <w:jc w:val="center"/>
        </w:trPr>
        <w:tc>
          <w:tcPr>
            <w:tcW w:w="1601" w:type="dxa"/>
            <w:vAlign w:val="center"/>
          </w:tcPr>
          <w:p w14:paraId="0B7C6BAB"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Lithium chlorate trihydrate</w:t>
            </w:r>
          </w:p>
        </w:tc>
        <w:tc>
          <w:tcPr>
            <w:tcW w:w="2165" w:type="dxa"/>
          </w:tcPr>
          <w:p w14:paraId="3F3B28DB" w14:textId="0EB23686"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LiClO</w:t>
            </w:r>
            <w:r w:rsidRPr="002701A8">
              <w:rPr>
                <w:rFonts w:ascii="Arial" w:hAnsi="Arial"/>
                <w:kern w:val="0"/>
                <w:sz w:val="20"/>
                <w:szCs w:val="20"/>
                <w:vertAlign w:val="subscript"/>
                <w:lang w:eastAsia="en-US"/>
                <w14:ligatures w14:val="none"/>
              </w:rPr>
              <w:t>3</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3H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Pr>
          <w:p w14:paraId="5B9B3A11"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8.1</w:t>
            </w:r>
          </w:p>
        </w:tc>
        <w:tc>
          <w:tcPr>
            <w:tcW w:w="1052" w:type="dxa"/>
          </w:tcPr>
          <w:p w14:paraId="6D0F7637"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253</w:t>
            </w:r>
          </w:p>
        </w:tc>
        <w:tc>
          <w:tcPr>
            <w:tcW w:w="1394" w:type="dxa"/>
          </w:tcPr>
          <w:p w14:paraId="0537063C"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r>
      <w:tr w:rsidR="00285C44" w14:paraId="7852B075" w14:textId="77777777" w:rsidTr="002701A8">
        <w:trPr>
          <w:jc w:val="center"/>
        </w:trPr>
        <w:tc>
          <w:tcPr>
            <w:tcW w:w="1601" w:type="dxa"/>
          </w:tcPr>
          <w:p w14:paraId="5967EE8D"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Zinc chloride trihydrate</w:t>
            </w:r>
          </w:p>
        </w:tc>
        <w:tc>
          <w:tcPr>
            <w:tcW w:w="2165" w:type="dxa"/>
          </w:tcPr>
          <w:p w14:paraId="033788E5" w14:textId="79EC742C"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ZnCl</w:t>
            </w:r>
            <w:r w:rsidRPr="002701A8">
              <w:rPr>
                <w:rFonts w:ascii="Arial" w:hAnsi="Arial"/>
                <w:kern w:val="0"/>
                <w:sz w:val="20"/>
                <w:szCs w:val="20"/>
                <w:vertAlign w:val="subscript"/>
                <w:lang w:eastAsia="en-US"/>
                <w14:ligatures w14:val="none"/>
              </w:rPr>
              <w:t>2</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3H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Pr>
          <w:p w14:paraId="048B5B5D"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10</w:t>
            </w:r>
          </w:p>
        </w:tc>
        <w:tc>
          <w:tcPr>
            <w:tcW w:w="1052" w:type="dxa"/>
          </w:tcPr>
          <w:p w14:paraId="713CABAB"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c>
          <w:tcPr>
            <w:tcW w:w="1394" w:type="dxa"/>
          </w:tcPr>
          <w:p w14:paraId="3F92A863"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r>
      <w:tr w:rsidR="00285C44" w14:paraId="2952CC3A" w14:textId="77777777" w:rsidTr="002701A8">
        <w:trPr>
          <w:jc w:val="center"/>
        </w:trPr>
        <w:tc>
          <w:tcPr>
            <w:tcW w:w="1601" w:type="dxa"/>
          </w:tcPr>
          <w:p w14:paraId="1748782F"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Dipotassium hydrogen phosphate tetrahydrate</w:t>
            </w:r>
          </w:p>
        </w:tc>
        <w:tc>
          <w:tcPr>
            <w:tcW w:w="2165" w:type="dxa"/>
          </w:tcPr>
          <w:p w14:paraId="52376A55" w14:textId="221E2234"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K</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HPO</w:t>
            </w:r>
            <w:r w:rsidRPr="002701A8">
              <w:rPr>
                <w:rFonts w:ascii="Arial" w:hAnsi="Arial"/>
                <w:kern w:val="0"/>
                <w:sz w:val="20"/>
                <w:szCs w:val="20"/>
                <w:vertAlign w:val="subscript"/>
                <w:lang w:eastAsia="en-US"/>
                <w14:ligatures w14:val="none"/>
              </w:rPr>
              <w:t>4</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4H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Pr>
          <w:p w14:paraId="32F70EC1"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18.5</w:t>
            </w:r>
          </w:p>
        </w:tc>
        <w:tc>
          <w:tcPr>
            <w:tcW w:w="1052" w:type="dxa"/>
          </w:tcPr>
          <w:p w14:paraId="4AFDCDB7"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231</w:t>
            </w:r>
          </w:p>
        </w:tc>
        <w:tc>
          <w:tcPr>
            <w:tcW w:w="1394" w:type="dxa"/>
          </w:tcPr>
          <w:p w14:paraId="05C9C9E3"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r>
      <w:tr w:rsidR="00285C44" w14:paraId="382C4B29" w14:textId="77777777" w:rsidTr="002701A8">
        <w:trPr>
          <w:jc w:val="center"/>
        </w:trPr>
        <w:tc>
          <w:tcPr>
            <w:tcW w:w="1601" w:type="dxa"/>
          </w:tcPr>
          <w:p w14:paraId="6871A0D7"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Potassium fluoride tetrahydrate</w:t>
            </w:r>
          </w:p>
        </w:tc>
        <w:tc>
          <w:tcPr>
            <w:tcW w:w="2165" w:type="dxa"/>
          </w:tcPr>
          <w:p w14:paraId="6A3434CA"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KF·4H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Pr>
          <w:p w14:paraId="6FDA1DAB"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18</w:t>
            </w:r>
          </w:p>
        </w:tc>
        <w:tc>
          <w:tcPr>
            <w:tcW w:w="1052" w:type="dxa"/>
          </w:tcPr>
          <w:p w14:paraId="1DB125BB"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330</w:t>
            </w:r>
          </w:p>
        </w:tc>
        <w:tc>
          <w:tcPr>
            <w:tcW w:w="1394" w:type="dxa"/>
          </w:tcPr>
          <w:p w14:paraId="30012D1C"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r>
      <w:tr w:rsidR="00285C44" w14:paraId="39D36040" w14:textId="77777777" w:rsidTr="002701A8">
        <w:trPr>
          <w:jc w:val="center"/>
        </w:trPr>
        <w:tc>
          <w:tcPr>
            <w:tcW w:w="1601" w:type="dxa"/>
          </w:tcPr>
          <w:p w14:paraId="164C4262"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Dipotassium hydrogen phosphate hexahydrate</w:t>
            </w:r>
          </w:p>
        </w:tc>
        <w:tc>
          <w:tcPr>
            <w:tcW w:w="2165" w:type="dxa"/>
          </w:tcPr>
          <w:p w14:paraId="069B5EF4" w14:textId="46B3B9D3"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K</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HPO</w:t>
            </w:r>
            <w:r w:rsidRPr="002701A8">
              <w:rPr>
                <w:rFonts w:ascii="Arial" w:hAnsi="Arial"/>
                <w:kern w:val="0"/>
                <w:sz w:val="20"/>
                <w:szCs w:val="20"/>
                <w:vertAlign w:val="subscript"/>
                <w:lang w:eastAsia="en-US"/>
                <w14:ligatures w14:val="none"/>
              </w:rPr>
              <w:t>4</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6H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Pr>
          <w:p w14:paraId="119676B5"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14</w:t>
            </w:r>
          </w:p>
        </w:tc>
        <w:tc>
          <w:tcPr>
            <w:tcW w:w="1052" w:type="dxa"/>
          </w:tcPr>
          <w:p w14:paraId="5454BCD8"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109</w:t>
            </w:r>
          </w:p>
        </w:tc>
        <w:tc>
          <w:tcPr>
            <w:tcW w:w="1394" w:type="dxa"/>
          </w:tcPr>
          <w:p w14:paraId="51DD820F"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r>
      <w:tr w:rsidR="00285C44" w14:paraId="7632C599" w14:textId="77777777" w:rsidTr="002701A8">
        <w:trPr>
          <w:jc w:val="center"/>
        </w:trPr>
        <w:tc>
          <w:tcPr>
            <w:tcW w:w="1601" w:type="dxa"/>
          </w:tcPr>
          <w:p w14:paraId="7D20592E"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Ammonium chloride Sodium sulfate decahydrate</w:t>
            </w:r>
          </w:p>
        </w:tc>
        <w:tc>
          <w:tcPr>
            <w:tcW w:w="2165" w:type="dxa"/>
          </w:tcPr>
          <w:p w14:paraId="5D0A230F" w14:textId="2B4CD174"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NH</w:t>
            </w:r>
            <w:r w:rsidRPr="002701A8">
              <w:rPr>
                <w:rFonts w:ascii="Arial" w:hAnsi="Arial"/>
                <w:kern w:val="0"/>
                <w:sz w:val="20"/>
                <w:szCs w:val="20"/>
                <w:vertAlign w:val="subscript"/>
                <w:lang w:eastAsia="en-US"/>
                <w14:ligatures w14:val="none"/>
              </w:rPr>
              <w:t>4</w:t>
            </w:r>
            <w:r w:rsidRPr="002701A8">
              <w:rPr>
                <w:rFonts w:ascii="Arial" w:hAnsi="Arial"/>
                <w:kern w:val="0"/>
                <w:sz w:val="20"/>
                <w:szCs w:val="20"/>
                <w:lang w:eastAsia="en-US"/>
                <w14:ligatures w14:val="none"/>
              </w:rPr>
              <w:t>Cl</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Na</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SO</w:t>
            </w:r>
            <w:r w:rsidRPr="002701A8">
              <w:rPr>
                <w:rFonts w:ascii="Arial" w:hAnsi="Arial"/>
                <w:kern w:val="0"/>
                <w:sz w:val="20"/>
                <w:szCs w:val="20"/>
                <w:vertAlign w:val="subscript"/>
                <w:lang w:eastAsia="en-US"/>
                <w14:ligatures w14:val="none"/>
              </w:rPr>
              <w:t>4</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10H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Pr>
          <w:p w14:paraId="68EFDF46"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11</w:t>
            </w:r>
          </w:p>
        </w:tc>
        <w:tc>
          <w:tcPr>
            <w:tcW w:w="1052" w:type="dxa"/>
          </w:tcPr>
          <w:p w14:paraId="55555EB0"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163</w:t>
            </w:r>
          </w:p>
        </w:tc>
        <w:tc>
          <w:tcPr>
            <w:tcW w:w="1394" w:type="dxa"/>
          </w:tcPr>
          <w:p w14:paraId="471E731C"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r>
      <w:tr w:rsidR="00285C44" w14:paraId="7DE98F42" w14:textId="77777777" w:rsidTr="002701A8">
        <w:trPr>
          <w:jc w:val="center"/>
        </w:trPr>
        <w:tc>
          <w:tcPr>
            <w:tcW w:w="1601" w:type="dxa"/>
          </w:tcPr>
          <w:p w14:paraId="14D362EA"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Sodium chloride Sodium sulfate decahydrate</w:t>
            </w:r>
          </w:p>
        </w:tc>
        <w:tc>
          <w:tcPr>
            <w:tcW w:w="2165" w:type="dxa"/>
          </w:tcPr>
          <w:p w14:paraId="0C8666E1" w14:textId="431FB3A2"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NaCl</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Na</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SO</w:t>
            </w:r>
            <w:r w:rsidRPr="002701A8">
              <w:rPr>
                <w:rFonts w:ascii="Arial" w:hAnsi="Arial"/>
                <w:kern w:val="0"/>
                <w:sz w:val="20"/>
                <w:szCs w:val="20"/>
                <w:vertAlign w:val="subscript"/>
                <w:lang w:eastAsia="en-US"/>
                <w14:ligatures w14:val="none"/>
              </w:rPr>
              <w:t>4</w:t>
            </w:r>
            <w:r w:rsidR="00464F87">
              <w:rPr>
                <w:rFonts w:asciiTheme="minorEastAsia" w:hAnsiTheme="minorEastAsia" w:hint="eastAsia"/>
                <w:kern w:val="0"/>
                <w:sz w:val="20"/>
                <w:szCs w:val="20"/>
                <w:lang w:eastAsia="en-US"/>
                <w14:ligatures w14:val="none"/>
              </w:rPr>
              <w:t>·</w:t>
            </w:r>
            <w:r w:rsidRPr="002701A8">
              <w:rPr>
                <w:rFonts w:ascii="Arial" w:hAnsi="Arial"/>
                <w:kern w:val="0"/>
                <w:sz w:val="20"/>
                <w:szCs w:val="20"/>
                <w:lang w:eastAsia="en-US"/>
                <w14:ligatures w14:val="none"/>
              </w:rPr>
              <w:t>10H</w:t>
            </w:r>
            <w:r w:rsidRPr="002701A8">
              <w:rPr>
                <w:rFonts w:ascii="Arial" w:hAnsi="Arial"/>
                <w:kern w:val="0"/>
                <w:sz w:val="20"/>
                <w:szCs w:val="20"/>
                <w:vertAlign w:val="subscript"/>
                <w:lang w:eastAsia="en-US"/>
                <w14:ligatures w14:val="none"/>
              </w:rPr>
              <w:t>2</w:t>
            </w:r>
            <w:r w:rsidRPr="002701A8">
              <w:rPr>
                <w:rFonts w:ascii="Arial" w:hAnsi="Arial"/>
                <w:kern w:val="0"/>
                <w:sz w:val="20"/>
                <w:szCs w:val="20"/>
                <w:lang w:eastAsia="en-US"/>
                <w14:ligatures w14:val="none"/>
              </w:rPr>
              <w:t>O</w:t>
            </w:r>
          </w:p>
        </w:tc>
        <w:tc>
          <w:tcPr>
            <w:tcW w:w="1372" w:type="dxa"/>
          </w:tcPr>
          <w:p w14:paraId="1B257E3D"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18</w:t>
            </w:r>
          </w:p>
        </w:tc>
        <w:tc>
          <w:tcPr>
            <w:tcW w:w="1052" w:type="dxa"/>
          </w:tcPr>
          <w:p w14:paraId="08689BFE"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286</w:t>
            </w:r>
          </w:p>
        </w:tc>
        <w:tc>
          <w:tcPr>
            <w:tcW w:w="1394" w:type="dxa"/>
          </w:tcPr>
          <w:p w14:paraId="30350ABC" w14:textId="77777777" w:rsidR="00285C44" w:rsidRPr="002701A8" w:rsidRDefault="00285C44" w:rsidP="002701A8">
            <w:pPr>
              <w:widowControl/>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w:t>
            </w:r>
          </w:p>
        </w:tc>
      </w:tr>
    </w:tbl>
    <w:p w14:paraId="0429C354" w14:textId="77777777" w:rsidR="00285C44" w:rsidRPr="00A76FE6" w:rsidRDefault="00285C44" w:rsidP="00285C44"/>
    <w:p w14:paraId="513713CE" w14:textId="77777777" w:rsidR="00285C44" w:rsidRDefault="00285C44" w:rsidP="00285C44">
      <w:r>
        <w:rPr>
          <w:rFonts w:hint="eastAsia"/>
        </w:rPr>
        <w:t>The phase change process of hydrated salts is mainly a dehydration process when heated and a process of re-bonding with water when cooled. Its general chemical formula is represented by XY</w:t>
      </w:r>
      <w:r>
        <w:rPr>
          <w:rFonts w:hint="eastAsia"/>
        </w:rPr>
        <w:t>·</w:t>
      </w:r>
      <w:r>
        <w:rPr>
          <w:rFonts w:hint="eastAsia"/>
        </w:rPr>
        <w:t>nH</w:t>
      </w:r>
      <w:r w:rsidRPr="002701A8">
        <w:rPr>
          <w:rFonts w:hint="eastAsia"/>
          <w:vertAlign w:val="subscript"/>
        </w:rPr>
        <w:t>2</w:t>
      </w:r>
      <w:r>
        <w:rPr>
          <w:rFonts w:hint="eastAsia"/>
        </w:rPr>
        <w:t xml:space="preserve">O. When the temperature is greater than the melting point, the crystalline hydrated salt absorbs heat and releases water of crystallization to complete heat storage; when the temperature is less than the melting point, the hydrated salt releases the stored heat to form salt or partial salt hydrate. The advantages of inorganic hydrated salts are high latent heat and low cost, but there are </w:t>
      </w:r>
      <w:r>
        <w:rPr>
          <w:rFonts w:hint="eastAsia"/>
        </w:rPr>
        <w:lastRenderedPageBreak/>
        <w:t>problems such as phase separation, high supercooling, corrosivity and low thermal conductivity, which restrict their practical application. Therefore, how to suppress phase separation, reduce supercooling, reduce corrosivity and improve the thermal conductivity of the material is crucial for the practical application of phase change materials.</w:t>
      </w:r>
    </w:p>
    <w:p w14:paraId="48FF98B5"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2.2 Organic low-temperature phase change materials</w:t>
      </w:r>
    </w:p>
    <w:p w14:paraId="10922D8D" w14:textId="77777777" w:rsidR="00285C44" w:rsidRDefault="00285C44" w:rsidP="00285C44">
      <w:r>
        <w:rPr>
          <w:rFonts w:hint="eastAsia"/>
        </w:rPr>
        <w:t>Organic low-temperature phase change materials are mainly single-component aliphatic hydrocarbons, aliphatic alcohols, fatty acids and paraffins with fewer carbon atoms. These organic substances can undergo a transition from solid to liquid or vice versa at a specific temperature, during which a large amount of heat can be absorbed or released for the purpose of temperature regulation. Some organic low temperature phase change materials properties are shown in Table 3 below.</w:t>
      </w:r>
    </w:p>
    <w:p w14:paraId="52EA2CE0" w14:textId="77777777" w:rsidR="00285C44" w:rsidRDefault="00285C44" w:rsidP="002701A8">
      <w:pPr>
        <w:jc w:val="both"/>
        <w:rPr>
          <w:rFonts w:ascii="Arial" w:eastAsiaTheme="minorEastAsia" w:hAnsi="Arial"/>
          <w:b/>
          <w:kern w:val="0"/>
          <w:sz w:val="20"/>
          <w:szCs w:val="20"/>
          <w:lang w:eastAsia="en-US"/>
          <w14:ligatures w14:val="none"/>
        </w:rPr>
      </w:pPr>
      <w:r w:rsidRPr="002701A8">
        <w:rPr>
          <w:rFonts w:ascii="Arial" w:eastAsiaTheme="minorEastAsia" w:hAnsi="Arial" w:hint="eastAsia"/>
          <w:b/>
          <w:kern w:val="0"/>
          <w:sz w:val="20"/>
          <w:szCs w:val="20"/>
          <w:lang w:eastAsia="en-US"/>
          <w14:ligatures w14:val="none"/>
        </w:rPr>
        <w:t>Table 3 Properties of different organic phase change materials</w:t>
      </w:r>
    </w:p>
    <w:p w14:paraId="1FEE819C" w14:textId="77777777" w:rsidR="002701A8" w:rsidRPr="002701A8" w:rsidRDefault="002701A8" w:rsidP="002701A8">
      <w:pPr>
        <w:jc w:val="both"/>
        <w:rPr>
          <w:rFonts w:ascii="Arial" w:eastAsiaTheme="minorEastAsia" w:hAnsi="Arial"/>
          <w:b/>
          <w:kern w:val="0"/>
          <w:sz w:val="20"/>
          <w:szCs w:val="20"/>
          <w:lang w:eastAsia="en-US"/>
          <w14:ligatures w14:val="none"/>
        </w:rPr>
      </w:pPr>
    </w:p>
    <w:tbl>
      <w:tblPr>
        <w:tblW w:w="3646" w:type="pct"/>
        <w:jc w:val="center"/>
        <w:tblBorders>
          <w:top w:val="single" w:sz="4" w:space="0" w:color="auto"/>
          <w:bottom w:val="single" w:sz="4" w:space="0" w:color="auto"/>
        </w:tblBorders>
        <w:tblLook w:val="04A0" w:firstRow="1" w:lastRow="0" w:firstColumn="1" w:lastColumn="0" w:noHBand="0" w:noVBand="1"/>
      </w:tblPr>
      <w:tblGrid>
        <w:gridCol w:w="2421"/>
        <w:gridCol w:w="1560"/>
        <w:gridCol w:w="2076"/>
      </w:tblGrid>
      <w:tr w:rsidR="00285C44" w:rsidRPr="00B47956" w14:paraId="18E32185" w14:textId="77777777" w:rsidTr="002701A8">
        <w:trPr>
          <w:jc w:val="center"/>
        </w:trPr>
        <w:tc>
          <w:tcPr>
            <w:tcW w:w="1998" w:type="pct"/>
            <w:tcBorders>
              <w:top w:val="single" w:sz="4" w:space="0" w:color="auto"/>
              <w:bottom w:val="single" w:sz="4" w:space="0" w:color="auto"/>
            </w:tcBorders>
          </w:tcPr>
          <w:p w14:paraId="7CC85F1E" w14:textId="14598E32" w:rsidR="00285C44" w:rsidRPr="002701A8" w:rsidRDefault="002701A8" w:rsidP="002701A8">
            <w:pPr>
              <w:widowControl/>
              <w:spacing w:after="0" w:line="240" w:lineRule="auto"/>
              <w:jc w:val="both"/>
              <w:rPr>
                <w:rFonts w:ascii="Arial" w:hAnsi="Arial"/>
                <w:b/>
                <w:kern w:val="0"/>
                <w:sz w:val="20"/>
                <w:szCs w:val="20"/>
                <w:lang w:eastAsia="en-US"/>
                <w14:ligatures w14:val="none"/>
              </w:rPr>
            </w:pPr>
            <w:r>
              <w:rPr>
                <w:rFonts w:ascii="Arial" w:hAnsi="Arial" w:hint="eastAsia"/>
                <w:b/>
                <w:kern w:val="0"/>
                <w:sz w:val="20"/>
                <w:szCs w:val="20"/>
                <w14:ligatures w14:val="none"/>
              </w:rPr>
              <w:t>S</w:t>
            </w:r>
            <w:r w:rsidR="00285C44" w:rsidRPr="002701A8">
              <w:rPr>
                <w:rFonts w:ascii="Arial" w:hAnsi="Arial" w:hint="eastAsia"/>
                <w:b/>
                <w:kern w:val="0"/>
                <w:sz w:val="20"/>
                <w:szCs w:val="20"/>
                <w:lang w:eastAsia="en-US"/>
                <w14:ligatures w14:val="none"/>
              </w:rPr>
              <w:t>ubstance</w:t>
            </w:r>
          </w:p>
        </w:tc>
        <w:tc>
          <w:tcPr>
            <w:tcW w:w="1288" w:type="pct"/>
            <w:tcBorders>
              <w:top w:val="single" w:sz="4" w:space="0" w:color="auto"/>
              <w:bottom w:val="single" w:sz="4" w:space="0" w:color="auto"/>
            </w:tcBorders>
          </w:tcPr>
          <w:p w14:paraId="2DF6089F" w14:textId="77777777" w:rsidR="00285C44" w:rsidRPr="002701A8" w:rsidRDefault="00285C44" w:rsidP="002701A8">
            <w:pPr>
              <w:widowControl/>
              <w:spacing w:after="0" w:line="240" w:lineRule="auto"/>
              <w:jc w:val="both"/>
              <w:rPr>
                <w:rFonts w:ascii="Arial" w:hAnsi="Arial"/>
                <w:b/>
                <w:kern w:val="0"/>
                <w:sz w:val="20"/>
                <w:szCs w:val="20"/>
                <w:lang w:eastAsia="en-US"/>
                <w14:ligatures w14:val="none"/>
              </w:rPr>
            </w:pPr>
            <w:r w:rsidRPr="002701A8">
              <w:rPr>
                <w:rFonts w:ascii="Arial" w:hAnsi="Arial" w:hint="eastAsia"/>
                <w:b/>
                <w:kern w:val="0"/>
                <w:sz w:val="20"/>
                <w:szCs w:val="20"/>
                <w:lang w:eastAsia="en-US"/>
                <w14:ligatures w14:val="none"/>
              </w:rPr>
              <w:t>Melting point</w:t>
            </w:r>
            <w:r w:rsidRPr="002701A8">
              <w:rPr>
                <w:rFonts w:ascii="Arial" w:hAnsi="Arial"/>
                <w:b/>
                <w:kern w:val="0"/>
                <w:sz w:val="20"/>
                <w:szCs w:val="20"/>
                <w:lang w:eastAsia="en-US"/>
                <w14:ligatures w14:val="none"/>
              </w:rPr>
              <w:t>(°C)</w:t>
            </w:r>
          </w:p>
        </w:tc>
        <w:tc>
          <w:tcPr>
            <w:tcW w:w="1714" w:type="pct"/>
            <w:tcBorders>
              <w:top w:val="single" w:sz="4" w:space="0" w:color="auto"/>
              <w:bottom w:val="single" w:sz="4" w:space="0" w:color="auto"/>
            </w:tcBorders>
          </w:tcPr>
          <w:p w14:paraId="52B58604" w14:textId="77777777" w:rsidR="00285C44" w:rsidRPr="002701A8" w:rsidRDefault="00285C44" w:rsidP="002701A8">
            <w:pPr>
              <w:widowControl/>
              <w:spacing w:after="0" w:line="240" w:lineRule="auto"/>
              <w:jc w:val="both"/>
              <w:rPr>
                <w:rFonts w:ascii="Arial" w:hAnsi="Arial"/>
                <w:b/>
                <w:kern w:val="0"/>
                <w:sz w:val="20"/>
                <w:szCs w:val="20"/>
                <w:lang w:eastAsia="en-US"/>
                <w14:ligatures w14:val="none"/>
              </w:rPr>
            </w:pPr>
            <w:r w:rsidRPr="002701A8">
              <w:rPr>
                <w:rFonts w:ascii="Arial" w:hAnsi="Arial" w:hint="eastAsia"/>
                <w:b/>
                <w:kern w:val="0"/>
                <w:sz w:val="20"/>
                <w:szCs w:val="20"/>
                <w:lang w:eastAsia="en-US"/>
                <w14:ligatures w14:val="none"/>
              </w:rPr>
              <w:t>Latent heat</w:t>
            </w:r>
            <w:r w:rsidRPr="002701A8">
              <w:rPr>
                <w:rFonts w:ascii="Arial" w:hAnsi="Arial"/>
                <w:b/>
                <w:kern w:val="0"/>
                <w:sz w:val="20"/>
                <w:szCs w:val="20"/>
                <w:lang w:eastAsia="en-US"/>
                <w14:ligatures w14:val="none"/>
              </w:rPr>
              <w:t>(J/g)</w:t>
            </w:r>
          </w:p>
        </w:tc>
      </w:tr>
      <w:tr w:rsidR="00285C44" w:rsidRPr="00B47956" w14:paraId="3EEA3009" w14:textId="77777777" w:rsidTr="002701A8">
        <w:trPr>
          <w:jc w:val="center"/>
        </w:trPr>
        <w:tc>
          <w:tcPr>
            <w:tcW w:w="1998" w:type="pct"/>
            <w:tcBorders>
              <w:top w:val="single" w:sz="4" w:space="0" w:color="auto"/>
            </w:tcBorders>
          </w:tcPr>
          <w:p w14:paraId="5C89AB87"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Paraffin</w:t>
            </w:r>
            <w:r w:rsidRPr="002701A8">
              <w:rPr>
                <w:rFonts w:ascii="Arial" w:hAnsi="Arial"/>
                <w:kern w:val="0"/>
                <w:sz w:val="20"/>
                <w:szCs w:val="20"/>
                <w:lang w:eastAsia="en-US"/>
                <w14:ligatures w14:val="none"/>
              </w:rPr>
              <w:t>(C15-C16)</w:t>
            </w:r>
          </w:p>
        </w:tc>
        <w:tc>
          <w:tcPr>
            <w:tcW w:w="1288" w:type="pct"/>
            <w:tcBorders>
              <w:top w:val="single" w:sz="4" w:space="0" w:color="auto"/>
            </w:tcBorders>
          </w:tcPr>
          <w:p w14:paraId="28864D6F"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8</w:t>
            </w:r>
          </w:p>
        </w:tc>
        <w:tc>
          <w:tcPr>
            <w:tcW w:w="1714" w:type="pct"/>
            <w:tcBorders>
              <w:top w:val="single" w:sz="4" w:space="0" w:color="auto"/>
            </w:tcBorders>
          </w:tcPr>
          <w:p w14:paraId="43556AAC"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153</w:t>
            </w:r>
          </w:p>
        </w:tc>
      </w:tr>
      <w:tr w:rsidR="00285C44" w:rsidRPr="00B47956" w14:paraId="2A23ADFD" w14:textId="77777777" w:rsidTr="002701A8">
        <w:trPr>
          <w:jc w:val="center"/>
        </w:trPr>
        <w:tc>
          <w:tcPr>
            <w:tcW w:w="1998" w:type="pct"/>
          </w:tcPr>
          <w:p w14:paraId="3941A429"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C</w:t>
            </w:r>
            <w:r w:rsidRPr="002701A8">
              <w:rPr>
                <w:rFonts w:ascii="Arial" w:hAnsi="Arial"/>
                <w:kern w:val="0"/>
                <w:sz w:val="20"/>
                <w:szCs w:val="20"/>
                <w:vertAlign w:val="subscript"/>
                <w:lang w:eastAsia="en-US"/>
                <w14:ligatures w14:val="none"/>
              </w:rPr>
              <w:t>14</w:t>
            </w:r>
            <w:r w:rsidRPr="002701A8">
              <w:rPr>
                <w:rFonts w:ascii="Arial" w:hAnsi="Arial"/>
                <w:kern w:val="0"/>
                <w:sz w:val="20"/>
                <w:szCs w:val="20"/>
                <w:lang w:eastAsia="en-US"/>
                <w14:ligatures w14:val="none"/>
              </w:rPr>
              <w:t>H</w:t>
            </w:r>
            <w:r w:rsidRPr="002701A8">
              <w:rPr>
                <w:rFonts w:ascii="Arial" w:hAnsi="Arial"/>
                <w:kern w:val="0"/>
                <w:sz w:val="20"/>
                <w:szCs w:val="20"/>
                <w:vertAlign w:val="subscript"/>
                <w:lang w:eastAsia="en-US"/>
                <w14:ligatures w14:val="none"/>
              </w:rPr>
              <w:t>30</w:t>
            </w:r>
          </w:p>
        </w:tc>
        <w:tc>
          <w:tcPr>
            <w:tcW w:w="1288" w:type="pct"/>
          </w:tcPr>
          <w:p w14:paraId="26437909"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6</w:t>
            </w:r>
          </w:p>
        </w:tc>
        <w:tc>
          <w:tcPr>
            <w:tcW w:w="1714" w:type="pct"/>
          </w:tcPr>
          <w:p w14:paraId="05871455"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230</w:t>
            </w:r>
          </w:p>
        </w:tc>
      </w:tr>
      <w:tr w:rsidR="00285C44" w:rsidRPr="00B47956" w14:paraId="7283A7A0" w14:textId="77777777" w:rsidTr="002701A8">
        <w:trPr>
          <w:jc w:val="center"/>
        </w:trPr>
        <w:tc>
          <w:tcPr>
            <w:tcW w:w="1998" w:type="pct"/>
          </w:tcPr>
          <w:p w14:paraId="35D683B9"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C</w:t>
            </w:r>
            <w:r w:rsidRPr="002701A8">
              <w:rPr>
                <w:rFonts w:ascii="Arial" w:hAnsi="Arial"/>
                <w:kern w:val="0"/>
                <w:sz w:val="20"/>
                <w:szCs w:val="20"/>
                <w:vertAlign w:val="subscript"/>
                <w:lang w:eastAsia="en-US"/>
                <w14:ligatures w14:val="none"/>
              </w:rPr>
              <w:t>15</w:t>
            </w:r>
            <w:r w:rsidRPr="002701A8">
              <w:rPr>
                <w:rFonts w:ascii="Arial" w:hAnsi="Arial"/>
                <w:kern w:val="0"/>
                <w:sz w:val="20"/>
                <w:szCs w:val="20"/>
                <w:lang w:eastAsia="en-US"/>
                <w14:ligatures w14:val="none"/>
              </w:rPr>
              <w:t>H</w:t>
            </w:r>
            <w:r w:rsidRPr="002701A8">
              <w:rPr>
                <w:rFonts w:ascii="Arial" w:hAnsi="Arial"/>
                <w:kern w:val="0"/>
                <w:sz w:val="20"/>
                <w:szCs w:val="20"/>
                <w:vertAlign w:val="subscript"/>
                <w:lang w:eastAsia="en-US"/>
                <w14:ligatures w14:val="none"/>
              </w:rPr>
              <w:t>32</w:t>
            </w:r>
          </w:p>
        </w:tc>
        <w:tc>
          <w:tcPr>
            <w:tcW w:w="1288" w:type="pct"/>
          </w:tcPr>
          <w:p w14:paraId="01882E9F"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10</w:t>
            </w:r>
          </w:p>
        </w:tc>
        <w:tc>
          <w:tcPr>
            <w:tcW w:w="1714" w:type="pct"/>
          </w:tcPr>
          <w:p w14:paraId="60713824"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212</w:t>
            </w:r>
          </w:p>
        </w:tc>
      </w:tr>
      <w:tr w:rsidR="00285C44" w:rsidRPr="00B47956" w14:paraId="059F6FA6" w14:textId="77777777" w:rsidTr="002701A8">
        <w:trPr>
          <w:jc w:val="center"/>
        </w:trPr>
        <w:tc>
          <w:tcPr>
            <w:tcW w:w="1998" w:type="pct"/>
          </w:tcPr>
          <w:p w14:paraId="3FC295AB"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N-pentadecane</w:t>
            </w:r>
          </w:p>
        </w:tc>
        <w:tc>
          <w:tcPr>
            <w:tcW w:w="1288" w:type="pct"/>
          </w:tcPr>
          <w:p w14:paraId="26F4945E"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10</w:t>
            </w:r>
          </w:p>
        </w:tc>
        <w:tc>
          <w:tcPr>
            <w:tcW w:w="1714" w:type="pct"/>
          </w:tcPr>
          <w:p w14:paraId="0FECAC6C"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205</w:t>
            </w:r>
          </w:p>
        </w:tc>
      </w:tr>
      <w:tr w:rsidR="00285C44" w:rsidRPr="00B47956" w14:paraId="7249FCD3" w14:textId="77777777" w:rsidTr="002701A8">
        <w:trPr>
          <w:jc w:val="center"/>
        </w:trPr>
        <w:tc>
          <w:tcPr>
            <w:tcW w:w="1998" w:type="pct"/>
          </w:tcPr>
          <w:p w14:paraId="508AE090"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Propyl palmitate</w:t>
            </w:r>
          </w:p>
        </w:tc>
        <w:tc>
          <w:tcPr>
            <w:tcW w:w="1288" w:type="pct"/>
          </w:tcPr>
          <w:p w14:paraId="7AD5C30F"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10</w:t>
            </w:r>
          </w:p>
        </w:tc>
        <w:tc>
          <w:tcPr>
            <w:tcW w:w="1714" w:type="pct"/>
          </w:tcPr>
          <w:p w14:paraId="75A912FA"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186</w:t>
            </w:r>
          </w:p>
        </w:tc>
      </w:tr>
      <w:tr w:rsidR="00285C44" w:rsidRPr="00B47956" w14:paraId="674C2C2C" w14:textId="77777777" w:rsidTr="002701A8">
        <w:trPr>
          <w:jc w:val="center"/>
        </w:trPr>
        <w:tc>
          <w:tcPr>
            <w:tcW w:w="1998" w:type="pct"/>
          </w:tcPr>
          <w:p w14:paraId="1B751C2C"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Isopropyl palmitate</w:t>
            </w:r>
          </w:p>
        </w:tc>
        <w:tc>
          <w:tcPr>
            <w:tcW w:w="1288" w:type="pct"/>
          </w:tcPr>
          <w:p w14:paraId="76C67EA6"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11</w:t>
            </w:r>
          </w:p>
        </w:tc>
        <w:tc>
          <w:tcPr>
            <w:tcW w:w="1714" w:type="pct"/>
          </w:tcPr>
          <w:p w14:paraId="37F5AF20"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95-100</w:t>
            </w:r>
          </w:p>
        </w:tc>
      </w:tr>
      <w:tr w:rsidR="00285C44" w:rsidRPr="00B47956" w14:paraId="539F3034" w14:textId="77777777" w:rsidTr="002701A8">
        <w:trPr>
          <w:jc w:val="center"/>
        </w:trPr>
        <w:tc>
          <w:tcPr>
            <w:tcW w:w="1998" w:type="pct"/>
          </w:tcPr>
          <w:p w14:paraId="7047941C"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Isopropyl stearate</w:t>
            </w:r>
          </w:p>
        </w:tc>
        <w:tc>
          <w:tcPr>
            <w:tcW w:w="1288" w:type="pct"/>
          </w:tcPr>
          <w:p w14:paraId="0509E73E"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14-18</w:t>
            </w:r>
          </w:p>
        </w:tc>
        <w:tc>
          <w:tcPr>
            <w:tcW w:w="1714" w:type="pct"/>
          </w:tcPr>
          <w:p w14:paraId="67F8ECBE"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140-142</w:t>
            </w:r>
          </w:p>
        </w:tc>
      </w:tr>
      <w:tr w:rsidR="00285C44" w:rsidRPr="00B47956" w14:paraId="6BE0BB53" w14:textId="77777777" w:rsidTr="002701A8">
        <w:trPr>
          <w:jc w:val="center"/>
        </w:trPr>
        <w:tc>
          <w:tcPr>
            <w:tcW w:w="1998" w:type="pct"/>
          </w:tcPr>
          <w:p w14:paraId="1D092C69"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Oleic acid</w:t>
            </w:r>
          </w:p>
        </w:tc>
        <w:tc>
          <w:tcPr>
            <w:tcW w:w="1288" w:type="pct"/>
          </w:tcPr>
          <w:p w14:paraId="03F972BE"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12.3</w:t>
            </w:r>
          </w:p>
        </w:tc>
        <w:tc>
          <w:tcPr>
            <w:tcW w:w="1714" w:type="pct"/>
          </w:tcPr>
          <w:p w14:paraId="13B39827"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127</w:t>
            </w:r>
          </w:p>
        </w:tc>
      </w:tr>
      <w:tr w:rsidR="00285C44" w:rsidRPr="00B47956" w14:paraId="6F347356" w14:textId="77777777" w:rsidTr="002701A8">
        <w:trPr>
          <w:jc w:val="center"/>
        </w:trPr>
        <w:tc>
          <w:tcPr>
            <w:tcW w:w="1998" w:type="pct"/>
          </w:tcPr>
          <w:p w14:paraId="277F50F8"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hint="eastAsia"/>
                <w:kern w:val="0"/>
                <w:sz w:val="20"/>
                <w:szCs w:val="20"/>
                <w:lang w:eastAsia="en-US"/>
                <w14:ligatures w14:val="none"/>
              </w:rPr>
              <w:t>Formic acid</w:t>
            </w:r>
          </w:p>
        </w:tc>
        <w:tc>
          <w:tcPr>
            <w:tcW w:w="1288" w:type="pct"/>
          </w:tcPr>
          <w:p w14:paraId="5A5210A2"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7.8</w:t>
            </w:r>
          </w:p>
        </w:tc>
        <w:tc>
          <w:tcPr>
            <w:tcW w:w="1714" w:type="pct"/>
          </w:tcPr>
          <w:p w14:paraId="19550F30"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247</w:t>
            </w:r>
          </w:p>
        </w:tc>
      </w:tr>
      <w:tr w:rsidR="00285C44" w:rsidRPr="00B47956" w14:paraId="55A323CA" w14:textId="77777777" w:rsidTr="002701A8">
        <w:trPr>
          <w:jc w:val="center"/>
        </w:trPr>
        <w:tc>
          <w:tcPr>
            <w:tcW w:w="1998" w:type="pct"/>
          </w:tcPr>
          <w:p w14:paraId="4A398E59"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PEG-E400</w:t>
            </w:r>
          </w:p>
        </w:tc>
        <w:tc>
          <w:tcPr>
            <w:tcW w:w="1288" w:type="pct"/>
          </w:tcPr>
          <w:p w14:paraId="1D16B996"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8</w:t>
            </w:r>
          </w:p>
        </w:tc>
        <w:tc>
          <w:tcPr>
            <w:tcW w:w="1714" w:type="pct"/>
          </w:tcPr>
          <w:p w14:paraId="0BDA6D63" w14:textId="77777777" w:rsidR="00285C44" w:rsidRPr="002701A8" w:rsidRDefault="00285C44" w:rsidP="002701A8">
            <w:pPr>
              <w:widowControl/>
              <w:spacing w:after="0" w:line="240" w:lineRule="auto"/>
              <w:jc w:val="both"/>
              <w:rPr>
                <w:rFonts w:ascii="Arial" w:hAnsi="Arial"/>
                <w:kern w:val="0"/>
                <w:sz w:val="20"/>
                <w:szCs w:val="20"/>
                <w:lang w:eastAsia="en-US"/>
                <w14:ligatures w14:val="none"/>
              </w:rPr>
            </w:pPr>
            <w:r w:rsidRPr="002701A8">
              <w:rPr>
                <w:rFonts w:ascii="Arial" w:hAnsi="Arial"/>
                <w:kern w:val="0"/>
                <w:sz w:val="20"/>
                <w:szCs w:val="20"/>
                <w:lang w:eastAsia="en-US"/>
                <w14:ligatures w14:val="none"/>
              </w:rPr>
              <w:t>99.6</w:t>
            </w:r>
          </w:p>
        </w:tc>
      </w:tr>
    </w:tbl>
    <w:p w14:paraId="6EA0D864" w14:textId="77777777" w:rsidR="00285C44" w:rsidRDefault="00285C44" w:rsidP="00285C44"/>
    <w:p w14:paraId="2B9A76A1" w14:textId="77777777" w:rsidR="00285C44" w:rsidRDefault="00285C44" w:rsidP="00285C44">
      <w:r>
        <w:rPr>
          <w:rFonts w:hint="eastAsia"/>
        </w:rPr>
        <w:t xml:space="preserve">Paraffin phase change materials are composed of straight-chain alkanes. The longer the carbon chain, the more latent heat is absorbed or released. The shorter the carbon chain, the less latent heat is absorbed or released. There is a positive proportional relationship between the latent heat of phase change and the number of carbon atoms. This is because the increase in the number of carbon atoms leads to an increase in the intermolecular interaction force More energy is required to overcome the interaction forces between molecules during phase transitions. Non-paraffins are generally alcohols, esters and fatty acids. Paraffin phase change materials have many advantages, such as being recyclable, having no supercooling, being stable in phase and not being corrosive. However, they have obvious shortcomings, such as </w:t>
      </w:r>
      <w:r>
        <w:rPr>
          <w:rFonts w:hint="eastAsia"/>
        </w:rPr>
        <w:lastRenderedPageBreak/>
        <w:t>inefficient heat conduction, low energy storage density and flammability. In contrast, non-paraffin phase change materials, although they have high latent heat and excellent heat transfer properties, are toxic, flammable, corrosive, environmentally polluting and expensive, which limits their widespread application in practice. Therefore, when selecting phase change materials, it is necessary to select the most suitable materials according to the application scenario requirements.</w:t>
      </w:r>
    </w:p>
    <w:p w14:paraId="5FC5D388"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2.3 Application of Low-Temperature Phase Change Materials</w:t>
      </w:r>
    </w:p>
    <w:p w14:paraId="4350E877" w14:textId="77777777" w:rsidR="00285C44" w:rsidRPr="002701A8" w:rsidRDefault="00285C44" w:rsidP="00285C44">
      <w:pPr>
        <w:rPr>
          <w:rFonts w:ascii="Arial" w:eastAsiaTheme="minorEastAsia" w:hAnsi="Arial" w:cs="Arial"/>
          <w:b/>
          <w:kern w:val="0"/>
          <w:sz w:val="20"/>
          <w:szCs w:val="20"/>
          <w:u w:val="single"/>
          <w:lang w:eastAsia="en-US"/>
          <w14:ligatures w14:val="none"/>
        </w:rPr>
      </w:pPr>
      <w:r w:rsidRPr="002701A8">
        <w:rPr>
          <w:rFonts w:ascii="Arial" w:eastAsiaTheme="minorEastAsia" w:hAnsi="Arial" w:cs="Arial" w:hint="eastAsia"/>
          <w:b/>
          <w:kern w:val="0"/>
          <w:sz w:val="20"/>
          <w:szCs w:val="20"/>
          <w:u w:val="single"/>
          <w:lang w:eastAsia="en-US"/>
          <w14:ligatures w14:val="none"/>
        </w:rPr>
        <w:t>2.3.1 Cold chain transport</w:t>
      </w:r>
    </w:p>
    <w:p w14:paraId="11F2F1D4" w14:textId="77777777" w:rsidR="00285C44" w:rsidRDefault="00285C44" w:rsidP="00285C44">
      <w:r>
        <w:rPr>
          <w:rFonts w:hint="eastAsia"/>
        </w:rPr>
        <w:t>Fluctuations in ambient temperature during cold chain transportation can easily cause product loss. Some foods are prone to spoilage due to temperature during transportation, so it is necessary to maintain a constant temperature during transportation and storage to achieve the function of preservation. If phase change materials are introduced, their phase change temperature control function can be exerted to reduce ambient temperature fluctuations, which can effectively improve the quality of cold chain transportation products. Researchers use low-temperature phase change materials in refrigerated trucks, food packaging and refrigerators. This not only preserves food that is not easily spoiled, maximizes time in cold chain transportation, but also saves energy, reduces operating costs and maximizes benefits. In addition, in food transportation, the storage and transportation of temperature-sensitive products and their importance, so researchers are constantly improving and optimizing different types of phase change materials in order to find phase change materials that are more energy-efficient and have higher cold and heat storage efficiency. Cold chain transportation is divided into passive and active types according to the insulation method[4].</w:t>
      </w:r>
    </w:p>
    <w:p w14:paraId="30340844" w14:textId="77777777" w:rsidR="00285C44" w:rsidRDefault="00285C44" w:rsidP="00285C44">
      <w:r>
        <w:rPr>
          <w:rFonts w:hint="eastAsia"/>
        </w:rPr>
        <w:t>Passive refrigeration is mainly used in refrigerated boxes. Phase change cold storage materials are added to the box body to absorb the heat entering the box body, slow down the temperature rise rate, and provide a low-temperature storage environment for refrigerated objects for a long time [5]. Liu et al. [6] adsorbed KCl-NH4Cl eutectic salt on the superabsorbent polymer SAP to produce a cold storage material with a phase change temperature of -21</w:t>
      </w:r>
      <w:r>
        <w:rPr>
          <w:rFonts w:hint="eastAsia"/>
        </w:rPr>
        <w:t>℃</w:t>
      </w:r>
      <w:r>
        <w:rPr>
          <w:rFonts w:hint="eastAsia"/>
        </w:rPr>
        <w:t xml:space="preserve"> and a latent heat of phase change of 230.62J/g. When the material is refrigerated at -15</w:t>
      </w:r>
      <w:r>
        <w:rPr>
          <w:rFonts w:hint="eastAsia"/>
        </w:rPr>
        <w:t>℃</w:t>
      </w:r>
      <w:r>
        <w:rPr>
          <w:rFonts w:hint="eastAsia"/>
        </w:rPr>
        <w:t xml:space="preserve"> for biological samples, the refrigeration time can reach 16.37 hours, which can effectively ensure the quality of biological samples.</w:t>
      </w:r>
    </w:p>
    <w:p w14:paraId="572DDFA9" w14:textId="77777777" w:rsidR="00285C44" w:rsidRDefault="00285C44" w:rsidP="00285C44">
      <w:r>
        <w:rPr>
          <w:rFonts w:hint="eastAsia"/>
        </w:rPr>
        <w:t xml:space="preserve">Active refrigeration is to install a refrigeration unit containing phase change materials in the car to actively control the temperature inside the car to a low temperature state suitable for food refrigeration[7]. In the active refrigeration system, the addition of </w:t>
      </w:r>
      <w:r>
        <w:rPr>
          <w:rFonts w:hint="eastAsia"/>
        </w:rPr>
        <w:lastRenderedPageBreak/>
        <w:t>phase change materials can assist in temperature control, reduce temperature fluctuations in the carriage, and reduce energy consumption of the active refrigeration system. Zhang et al. [8] studied the impact of integrated phase change materials on the energy consumption of refrigeration systems. The energy cost and operating cost of container refrigeration containing phase change materials were reduced by 71.3% and 85.6% respectively.</w:t>
      </w:r>
    </w:p>
    <w:p w14:paraId="15EA30C3" w14:textId="77777777" w:rsidR="00285C44" w:rsidRDefault="00285C44" w:rsidP="00285C44">
      <w:r>
        <w:rPr>
          <w:rFonts w:hint="eastAsia"/>
        </w:rPr>
        <w:t>Combining phase change materials with cold chain transportation can give excellent play to the high latent heat and phase change temperature control characteristics of phase change materials. It can not only greatly extend the effective refrigeration time, but also reduce the temperature fluctuations in the refrigeration space, improve its temperature uniformity, and effectively reduce the loss rate of refrigerated products. Compared with traditional refrigeration, combining refrigeration systems with phase change materials can greatly reduce energy costs and operating costs, and play a role in reducing carbon emissions.</w:t>
      </w:r>
    </w:p>
    <w:p w14:paraId="545D5E90" w14:textId="77777777" w:rsidR="00285C44" w:rsidRPr="002701A8" w:rsidRDefault="00285C44" w:rsidP="00285C44">
      <w:pPr>
        <w:rPr>
          <w:rFonts w:ascii="Arial" w:eastAsiaTheme="minorEastAsia" w:hAnsi="Arial" w:cs="Arial"/>
          <w:b/>
          <w:kern w:val="0"/>
          <w:sz w:val="20"/>
          <w:szCs w:val="20"/>
          <w:u w:val="single"/>
          <w:lang w:eastAsia="en-US"/>
          <w14:ligatures w14:val="none"/>
        </w:rPr>
      </w:pPr>
      <w:r w:rsidRPr="002701A8">
        <w:rPr>
          <w:rFonts w:ascii="Arial" w:eastAsiaTheme="minorEastAsia" w:hAnsi="Arial" w:cs="Arial" w:hint="eastAsia"/>
          <w:b/>
          <w:kern w:val="0"/>
          <w:sz w:val="20"/>
          <w:szCs w:val="20"/>
          <w:u w:val="single"/>
          <w:lang w:eastAsia="en-US"/>
          <w14:ligatures w14:val="none"/>
        </w:rPr>
        <w:t>2.3.2 Energy saving in buildings</w:t>
      </w:r>
    </w:p>
    <w:p w14:paraId="1D019D38" w14:textId="77777777" w:rsidR="00285C44" w:rsidRDefault="00285C44" w:rsidP="00285C44">
      <w:r>
        <w:rPr>
          <w:rFonts w:hint="eastAsia"/>
        </w:rPr>
        <w:t>In recent years, people's pursuit of quality of life has led to an increase in demand for the function of storing cold and heat in buildings. At high temperatures, the amount of cold is released, and at low temperatures, the amount of heat is released. Phase change materials are used in the field of building energy conservation to release heat. When the temperature is high, the amount of cold is released, and when the temperature is low, the amount of heat is released. Phase change materials are used in the field of building energy conservation to maintain the indoor temperature within a comfortable range, improve people's living and office comfort, and achieve the goals of energy conservation and carbon emission reduction. The cooling storage technology used in the field of building energy conservation can be divided into passive cooling and active cooling according to the cooling storage method.</w:t>
      </w:r>
    </w:p>
    <w:p w14:paraId="61F93E31" w14:textId="77777777" w:rsidR="00285C44" w:rsidRDefault="00285C44" w:rsidP="00285C44">
      <w:r>
        <w:rPr>
          <w:rFonts w:hint="eastAsia"/>
        </w:rPr>
        <w:t>Passive cooling mainly uses phase change energy storage walls made by combining phase change materials with building walls to absorb heat to cool the room during the day and release heat to maintain the indoor temperature at night, which helps adjust the room temperature and reduce the building's heating and cooling energy consumption. Wang et al. [9] incorporated paraffin, expanded graphite and high-density polyethylene into cement mortar to prepare composite phase-change bricks. At 15~30</w:t>
      </w:r>
      <w:r>
        <w:rPr>
          <w:rFonts w:hint="eastAsia"/>
        </w:rPr>
        <w:t>℃</w:t>
      </w:r>
      <w:r>
        <w:rPr>
          <w:rFonts w:hint="eastAsia"/>
        </w:rPr>
        <w:t xml:space="preserve"> and 18~24</w:t>
      </w:r>
      <w:r>
        <w:rPr>
          <w:rFonts w:hint="eastAsia"/>
        </w:rPr>
        <w:t>℃</w:t>
      </w:r>
      <w:r>
        <w:rPr>
          <w:rFonts w:hint="eastAsia"/>
        </w:rPr>
        <w:t>, the energy storage capacity of the 120mm thick phase-change wall was increased by 12.7% and 61% respectively compared with the 240mm thick ordinary wall, effectively reducing indoor temperature fluctuations.</w:t>
      </w:r>
      <w:r>
        <w:t xml:space="preserve"> </w:t>
      </w:r>
    </w:p>
    <w:p w14:paraId="31D3B744" w14:textId="77777777" w:rsidR="00285C44" w:rsidRDefault="00285C44" w:rsidP="00285C44">
      <w:r>
        <w:rPr>
          <w:rFonts w:hint="eastAsia"/>
        </w:rPr>
        <w:t xml:space="preserve">Active cooling mainly converts and stores electricity and solar energy into cooling </w:t>
      </w:r>
      <w:r>
        <w:rPr>
          <w:rFonts w:hint="eastAsia"/>
        </w:rPr>
        <w:lastRenderedPageBreak/>
        <w:t>devices through refrigeration devices. It is commonly found in cold storage, household air conditioning and data center emergency cooling systems. It can release cold energy when needed and help alleviate the problem of mismatch between energy supply and demand. Dogan et al. [10] studied the impact of ice storage systems on the cost of air-to-air electricity in large supermarkets. The introduction of phase change materials improved the performance of refrigeration systems by 4.4%, and the current operating costs have been reduced by 60%.</w:t>
      </w:r>
      <w:r>
        <w:t xml:space="preserve"> </w:t>
      </w:r>
    </w:p>
    <w:p w14:paraId="222A80E6" w14:textId="77777777" w:rsidR="00285C44" w:rsidRPr="002701A8" w:rsidRDefault="00285C44" w:rsidP="00285C44">
      <w:pPr>
        <w:rPr>
          <w:rFonts w:ascii="Arial" w:eastAsiaTheme="minorEastAsia" w:hAnsi="Arial" w:cs="Arial"/>
          <w:b/>
          <w:kern w:val="0"/>
          <w:sz w:val="20"/>
          <w:szCs w:val="20"/>
          <w:u w:val="single"/>
          <w:lang w:eastAsia="en-US"/>
          <w14:ligatures w14:val="none"/>
        </w:rPr>
      </w:pPr>
      <w:r w:rsidRPr="002701A8">
        <w:rPr>
          <w:rFonts w:ascii="Arial" w:eastAsiaTheme="minorEastAsia" w:hAnsi="Arial" w:cs="Arial" w:hint="eastAsia"/>
          <w:b/>
          <w:kern w:val="0"/>
          <w:sz w:val="20"/>
          <w:szCs w:val="20"/>
          <w:u w:val="single"/>
          <w:lang w:eastAsia="en-US"/>
          <w14:ligatures w14:val="none"/>
        </w:rPr>
        <w:t>2.3.3 Electronic cooling</w:t>
      </w:r>
    </w:p>
    <w:p w14:paraId="539FBF2F" w14:textId="77777777" w:rsidR="00285C44" w:rsidRDefault="00285C44" w:rsidP="00285C44">
      <w:r>
        <w:rPr>
          <w:rFonts w:hint="eastAsia"/>
        </w:rPr>
        <w:t>With the progress of society, electronic devices have become an indispensable part of people's lives. Electronic equipment will generate high temperatures when in use, and if it is not cooled in time, it is easy to cause safety hazards such as fire and explosion. Phase change materials absorb a large amount of heat when melting, which can quickly absorb the transient heating of electronic components, delay the temperature rise rate, and avoid local overheating. During intermittent high-load operation of the device, the phase change material maintains the chip surface temperature close to the phase change point through the melting process, reducing the thermal stress damage of temperature fluctuations to electronic devices. Yin Huibin et al. [11] used expanded graphite/paraffin composite phase change material as thermal storage material device, constructed a heat dissipation simulation experimental system for electronic devices based on phase change temperature control, and studied the time change of the simulated chip surface temperature under three different fluctuating thermal load conditions. The results showed that under the same conditions,  The resistance of the phase change temperature controlled heat dissipation experimental system to thermal shock is that of a phase change-free heat dissipation system</w:t>
      </w:r>
      <w:r w:rsidRPr="008F6F50">
        <w:rPr>
          <w:rFonts w:hint="eastAsia"/>
        </w:rPr>
        <w:t>1.4 times. Applying phase change temperature control to transient thermal management of electronic devices can effectively improve the thermal shock resistance of electronic devices and ensure the safe and reliable operation of electronic devices.</w:t>
      </w:r>
    </w:p>
    <w:p w14:paraId="327660CA" w14:textId="77777777" w:rsidR="00285C44" w:rsidRPr="002701A8" w:rsidRDefault="00285C44" w:rsidP="00285C44">
      <w:pPr>
        <w:rPr>
          <w:rFonts w:ascii="Arial" w:eastAsiaTheme="minorEastAsia" w:hAnsi="Arial" w:cs="Arial"/>
          <w:b/>
          <w:kern w:val="0"/>
          <w:sz w:val="20"/>
          <w:szCs w:val="20"/>
          <w:u w:val="single"/>
          <w:lang w:eastAsia="en-US"/>
          <w14:ligatures w14:val="none"/>
        </w:rPr>
      </w:pPr>
      <w:r w:rsidRPr="002701A8">
        <w:rPr>
          <w:rFonts w:ascii="Arial" w:eastAsiaTheme="minorEastAsia" w:hAnsi="Arial" w:cs="Arial" w:hint="eastAsia"/>
          <w:b/>
          <w:kern w:val="0"/>
          <w:sz w:val="20"/>
          <w:szCs w:val="20"/>
          <w:u w:val="single"/>
          <w:lang w:eastAsia="en-US"/>
          <w14:ligatures w14:val="none"/>
        </w:rPr>
        <w:t>2.3.4 Thermal management of textiles</w:t>
      </w:r>
    </w:p>
    <w:p w14:paraId="026C02BF" w14:textId="77777777" w:rsidR="00285C44" w:rsidRDefault="00285C44" w:rsidP="00285C44">
      <w:r>
        <w:rPr>
          <w:rFonts w:hint="eastAsia"/>
        </w:rPr>
        <w:t xml:space="preserve">The human body will sweat to dissipate heat when it feels hot. Similar to sweating to dissipate heat, phase change materials are applied to textiles to improve human comfort by introducing temperature regulation. This textile is called intelligent temperature-regulating textile, which can respond to changes in the human body or the environment, realize the two-way temperature regulation function of warmth and cooling, and adapt to changing environments. There are currently three main ways to combine phase change materials with textiles </w:t>
      </w:r>
      <w:r>
        <w:rPr>
          <w:rFonts w:hint="eastAsia"/>
        </w:rPr>
        <w:t>∶</w:t>
      </w:r>
      <w:r>
        <w:rPr>
          <w:rFonts w:hint="eastAsia"/>
        </w:rPr>
        <w:t>filling method, coating method and fiber hollow filling method.</w:t>
      </w:r>
    </w:p>
    <w:p w14:paraId="04B2194E" w14:textId="77777777" w:rsidR="00285C44" w:rsidRDefault="00285C44" w:rsidP="00285C44">
      <w:r>
        <w:rPr>
          <w:rFonts w:hint="eastAsia"/>
        </w:rPr>
        <w:lastRenderedPageBreak/>
        <w:t>The filling method is to fill the phase change material into fibers or sealed bags, and then place them centrally inside the garment, especially in heat-generating parts such as the chest and back, to control the body surface temperature by directly absorbing or releasing heat through the phase change material. Hou et al. [12] developed a liquid-cooled vest based on phase change materials with a mass of 1.8 kg, which can provide the wearer with a comfortable temperature environment of at least 2 h in hot environments.</w:t>
      </w:r>
    </w:p>
    <w:p w14:paraId="3F81767E" w14:textId="77777777" w:rsidR="00285C44" w:rsidRDefault="00285C44" w:rsidP="00285C44">
      <w:r>
        <w:rPr>
          <w:rFonts w:hint="eastAsia"/>
        </w:rPr>
        <w:t>Coating method Phase change microcapsules are added to the coating liquid, and the liquid is evenly applied to the surface of the fabric with a scraper, so that the phase change microcapsules are adhered to the fiber surface to change the thermal properties of the textile. Xu et al. [13] fixed phase change microcapsules on cotton clothing. The phase change temperature of the clothing produced was 16.5~36.8</w:t>
      </w:r>
      <w:r>
        <w:rPr>
          <w:rFonts w:hint="eastAsia"/>
        </w:rPr>
        <w:t>℃</w:t>
      </w:r>
      <w:r>
        <w:rPr>
          <w:rFonts w:hint="eastAsia"/>
        </w:rPr>
        <w:t>, which was in line with the thermal comfort temperature of the human body. In addition, the insulation coefficient of the clothing increased from 1.05% to 32.2% compared with clothing without phase change materials.</w:t>
      </w:r>
    </w:p>
    <w:p w14:paraId="64AB903C" w14:textId="77777777" w:rsidR="00285C44" w:rsidRDefault="00285C44" w:rsidP="00285C44">
      <w:r>
        <w:rPr>
          <w:rFonts w:hint="eastAsia"/>
        </w:rPr>
        <w:t>The fiber hollow filling method is to process fibers containing hollow structures and fill them with phase change materials to give the fibers energy storage properties. Song et al. [14] used vacuum impregnation to encapsulate lauric acid into kapok fiber microtubes, and obtained a sample with a lauric acid mass fraction of 86.5% and an enthalpy value of 153.5 J/g. The performance remained basically unchanged after 2000 cycles.</w:t>
      </w:r>
    </w:p>
    <w:p w14:paraId="24C941DD" w14:textId="0EAD4828" w:rsidR="00285C44" w:rsidRPr="00285C44" w:rsidRDefault="00285C44" w:rsidP="00285C44">
      <w:pPr>
        <w:pStyle w:val="ConcHead"/>
        <w:spacing w:after="0"/>
        <w:jc w:val="both"/>
        <w:rPr>
          <w:rFonts w:ascii="Arial" w:hAnsi="Arial" w:cs="Arial"/>
        </w:rPr>
      </w:pPr>
      <w:r w:rsidRPr="00285C44">
        <w:rPr>
          <w:rFonts w:ascii="Arial" w:hAnsi="Arial" w:cs="Arial" w:hint="eastAsia"/>
        </w:rPr>
        <w:t>3. Phase change microcapsule technology</w:t>
      </w:r>
    </w:p>
    <w:p w14:paraId="57F07C9F"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3.1 Concept of phase change microcapsule technology</w:t>
      </w:r>
    </w:p>
    <w:p w14:paraId="3FE9C896" w14:textId="77777777" w:rsidR="00285C44" w:rsidRDefault="00285C44" w:rsidP="00285C44">
      <w:r>
        <w:rPr>
          <w:rFonts w:hint="eastAsia"/>
        </w:rPr>
        <w:t>Microencapsulation is a technique that uses film-forming materials to encapsulate substances into particles with core-shell structures at the nano, micro, or millimeter scale. The synthesized microcapsules are solid materials with a core-shell structure. The core part is called the core material, which is usually some volatile, unpleasant odor or easily deactivated and has poor stability; the shell part is called the wall material, which is synthesized from a film-forming and strong material. When selecting wall materials, it should be noted that there must be no chemical reaction between the core walls. Microcapsule technology can play a certain isolating role on substances, hindering the exchange of substances inside and outside the capsule wall. On the one hand, it controls the release of unstable substances in the capsule core and slows down the rate of impact on the external environment; on the other hand, it protects the core material and extends the life cycle and storage time of the capsule core substances.</w:t>
      </w:r>
    </w:p>
    <w:p w14:paraId="06C100C1" w14:textId="77777777" w:rsidR="00285C44" w:rsidRDefault="00285C44" w:rsidP="00285C44">
      <w:r>
        <w:rPr>
          <w:rFonts w:hint="eastAsia"/>
        </w:rPr>
        <w:lastRenderedPageBreak/>
        <w:t>Microcapsule technology deposits a layer of wall material on the surface of the core material, which not only avoids problems such as leakage, phase separation and corrosion of the phase change material, but also significantly improves the stability and heat transfer efficiency of the phase change material, making it perform better in practical applications. In addition to enhancing the physical and chemical properties of phase change materials, the encapsulated form of microcapsules also greatly facilitates the utilization, storage and transportation of phase change materials. Due to the protection of the capsule structure, phase change materials can be stably stored under a wider range of conditions, reducing performance degradation caused by environmental changesEncapsulation also simplifies the handling and transportation of materials, making them easier to integrate into various application scenarios.</w:t>
      </w:r>
    </w:p>
    <w:p w14:paraId="3546B2EC"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3.2 Wall Material Classification of Phase Change Microcapsules</w:t>
      </w:r>
    </w:p>
    <w:p w14:paraId="744AD429" w14:textId="77777777" w:rsidR="00285C44" w:rsidRDefault="00285C44" w:rsidP="00285C44">
      <w:r>
        <w:rPr>
          <w:rFonts w:hint="eastAsia"/>
        </w:rPr>
        <w:t>The wall materials of microcapsules can be divided into three types: organic, inorganic and composite. The inorganic wall materials are most commonly used in existing research in SiO2 and CaCO3. Inorganic wall materials have better thermal conductivity and mechanical strength than organic ones, but poor film-forming and sealing properties. Polymer materials in organic wall materials are the most widely used and are divided into natural, semi-synthetic and synthetic polymers.</w:t>
      </w:r>
    </w:p>
    <w:p w14:paraId="75BA0D38" w14:textId="77777777" w:rsidR="00285C44" w:rsidRDefault="00285C44" w:rsidP="00285C44">
      <w:r>
        <w:rPr>
          <w:rFonts w:hint="eastAsia"/>
        </w:rPr>
        <w:t>Natural polymer substances are biocompatible and completely degradable, and are non-toxic and harmless to the environment. However, due to the presence of a large number of polar groups such as hydroxyl groups, their processing properties, environmental resistance and mechanical properties are poor, so they are often modified to promote their application.</w:t>
      </w:r>
    </w:p>
    <w:p w14:paraId="7D9A25EF" w14:textId="77777777" w:rsidR="00285C44" w:rsidRDefault="00285C44" w:rsidP="00285C44">
      <w:r>
        <w:rPr>
          <w:rFonts w:hint="eastAsia"/>
        </w:rPr>
        <w:t>Semi-synthetic polymers are mainly substances obtained by replacing hydroxyl groups on cellulose with other groups, such as ethyl cellulose, sodium carboxymethyl cellulose, etc. As bio-based materials, semi-synthetic polymers are less toxic, have good environmental compatibility, and the wall materials synthesized with them are more resilient. ethylcellulose is a rare lipid-soluble cellulose derivative widely used due to its good acid and alkaline resistance, film formation and mechanical properties, and is mostly used to coat water-soluble substances.</w:t>
      </w:r>
    </w:p>
    <w:p w14:paraId="1DAE4720" w14:textId="77777777" w:rsidR="00285C44" w:rsidRDefault="00285C44" w:rsidP="00285C44">
      <w:r>
        <w:rPr>
          <w:rFonts w:hint="eastAsia"/>
        </w:rPr>
        <w:t xml:space="preserve">The various aspects of synthetic polymer materials have the best performance compared to the first two. among them, urea-formaldehyde resin and polymethyl methacrylate have been studied more as microcapsule wall materials, but these substances are difficult to degrade in the natural environment and are the main source of formation </w:t>
      </w:r>
      <w:r>
        <w:rPr>
          <w:rFonts w:hint="eastAsia"/>
        </w:rPr>
        <w:t>“</w:t>
      </w:r>
      <w:r>
        <w:rPr>
          <w:rFonts w:hint="eastAsia"/>
        </w:rPr>
        <w:t>white pollution</w:t>
      </w:r>
      <w:r>
        <w:rPr>
          <w:rFonts w:hint="eastAsia"/>
        </w:rPr>
        <w:t>”</w:t>
      </w:r>
      <w:r>
        <w:rPr>
          <w:rFonts w:hint="eastAsia"/>
        </w:rPr>
        <w:t>, bringing harm to the environment.</w:t>
      </w:r>
    </w:p>
    <w:p w14:paraId="41EB4F7F" w14:textId="77777777" w:rsidR="00285C44" w:rsidRDefault="00285C44" w:rsidP="00285C44">
      <w:r>
        <w:rPr>
          <w:rFonts w:hint="eastAsia"/>
        </w:rPr>
        <w:t xml:space="preserve">The wall material of phase-change microcapsules plays a crucial role in the </w:t>
      </w:r>
      <w:r>
        <w:rPr>
          <w:rFonts w:hint="eastAsia"/>
        </w:rPr>
        <w:lastRenderedPageBreak/>
        <w:t>encapsulation process. It is necessary not only to effectively wrap the phase change core materials, but also to be able to control and release these core materials under specific conditions to achieve the purpose of regulating temperature. In order to ensure that the wall material can effectively protect the core material and maintain its stability, it must first have excellent chemical stability to ensure that there is no chemical reaction with the core material to maintain long-term safety and stability; secondly, it must have good immiscibility with the core material to prevent core material penetration leakage and phase separation phenomena; at the same time, it should have ideal film-forming properties It can form a uniform and dense protective layer to wrap the core material, and has sufficient mechanical strength and flexibility to resist external mechanical stress and internal volume changes. In addition, materials must meet non-toxic and harmless environmental protection standards to ensure application safety and environmental sustainability. Ultimately, it is necessary to take into account the cost-effectiveness of raw materials and the feasibility of industrial production to meet the needs of large-scale production.</w:t>
      </w:r>
    </w:p>
    <w:p w14:paraId="7B558FCD"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3.3 Preparation method of phase change microcapsules</w:t>
      </w:r>
    </w:p>
    <w:p w14:paraId="1C7AB56B" w14:textId="77777777" w:rsidR="00285C44" w:rsidRDefault="00285C44" w:rsidP="00285C44">
      <w:r>
        <w:rPr>
          <w:rFonts w:hint="eastAsia"/>
        </w:rPr>
        <w:t>The preparation of microcapsules is to first finely divide the organic or inorganic core material, then use these particles as the core, and deposit, coat, and coat these particles with polymer or inorganic materials, forming a thin film on their outer surface, wrapping the core particles in it, and then forming a feature of wall material wrapping the core material This formation process is called microencapsulation. Common microcapsule preparation methods are shown in Table 4.</w:t>
      </w:r>
    </w:p>
    <w:p w14:paraId="2A8E8CC9" w14:textId="77777777" w:rsidR="00285C44" w:rsidRDefault="00285C44" w:rsidP="00464F87">
      <w:pPr>
        <w:jc w:val="both"/>
        <w:rPr>
          <w:rFonts w:ascii="Arial" w:eastAsiaTheme="minorEastAsia" w:hAnsi="Arial"/>
          <w:b/>
          <w:kern w:val="0"/>
          <w:sz w:val="20"/>
          <w:szCs w:val="20"/>
          <w:lang w:eastAsia="en-US"/>
          <w14:ligatures w14:val="none"/>
        </w:rPr>
      </w:pPr>
      <w:r w:rsidRPr="00464F87">
        <w:rPr>
          <w:rFonts w:ascii="Arial" w:eastAsiaTheme="minorEastAsia" w:hAnsi="Arial" w:hint="eastAsia"/>
          <w:b/>
          <w:kern w:val="0"/>
          <w:sz w:val="20"/>
          <w:szCs w:val="20"/>
          <w:lang w:eastAsia="en-US"/>
          <w14:ligatures w14:val="none"/>
        </w:rPr>
        <w:t>Table 4 Microcapsule preparation method</w:t>
      </w:r>
    </w:p>
    <w:p w14:paraId="04C95E99" w14:textId="77777777" w:rsidR="00464F87" w:rsidRPr="00464F87" w:rsidRDefault="00464F87" w:rsidP="00464F87">
      <w:pPr>
        <w:jc w:val="both"/>
        <w:rPr>
          <w:rFonts w:ascii="Arial" w:eastAsiaTheme="minorEastAsia" w:hAnsi="Arial"/>
          <w:b/>
          <w:kern w:val="0"/>
          <w:sz w:val="20"/>
          <w:szCs w:val="20"/>
          <w:lang w:eastAsia="en-US"/>
          <w14:ligatures w14:val="none"/>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4639"/>
      </w:tblGrid>
      <w:tr w:rsidR="00285C44" w14:paraId="20A6C01C" w14:textId="77777777" w:rsidTr="00464F87">
        <w:trPr>
          <w:jc w:val="center"/>
        </w:trPr>
        <w:tc>
          <w:tcPr>
            <w:tcW w:w="2840" w:type="dxa"/>
            <w:tcBorders>
              <w:top w:val="single" w:sz="4" w:space="0" w:color="auto"/>
              <w:bottom w:val="single" w:sz="4" w:space="0" w:color="auto"/>
            </w:tcBorders>
          </w:tcPr>
          <w:p w14:paraId="39BBB65D" w14:textId="77777777" w:rsidR="00285C44" w:rsidRPr="00464F87" w:rsidRDefault="00285C44" w:rsidP="00464F87">
            <w:pPr>
              <w:widowControl/>
              <w:jc w:val="both"/>
              <w:rPr>
                <w:rFonts w:ascii="Arial" w:eastAsia="SimSun" w:hAnsi="Arial" w:cs="Times New Roman"/>
                <w:b/>
                <w:kern w:val="0"/>
                <w:sz w:val="20"/>
                <w:szCs w:val="20"/>
                <w14:ligatures w14:val="none"/>
              </w:rPr>
            </w:pPr>
            <w:r w:rsidRPr="00464F87">
              <w:rPr>
                <w:rFonts w:ascii="Arial" w:eastAsia="SimSun" w:hAnsi="Arial" w:cs="Times New Roman" w:hint="eastAsia"/>
                <w:b/>
                <w:kern w:val="0"/>
                <w:sz w:val="20"/>
                <w:szCs w:val="20"/>
                <w14:ligatures w14:val="none"/>
              </w:rPr>
              <w:t>Method of preparation</w:t>
            </w:r>
          </w:p>
        </w:tc>
        <w:tc>
          <w:tcPr>
            <w:tcW w:w="4639" w:type="dxa"/>
            <w:tcBorders>
              <w:top w:val="single" w:sz="4" w:space="0" w:color="auto"/>
              <w:bottom w:val="single" w:sz="4" w:space="0" w:color="auto"/>
            </w:tcBorders>
          </w:tcPr>
          <w:p w14:paraId="714FE23A" w14:textId="77777777" w:rsidR="00285C44" w:rsidRPr="00464F87" w:rsidRDefault="00285C44" w:rsidP="00464F87">
            <w:pPr>
              <w:widowControl/>
              <w:jc w:val="both"/>
              <w:rPr>
                <w:rFonts w:ascii="Arial" w:eastAsia="SimSun" w:hAnsi="Arial" w:cs="Times New Roman"/>
                <w:b/>
                <w:kern w:val="0"/>
                <w:sz w:val="20"/>
                <w:szCs w:val="20"/>
                <w14:ligatures w14:val="none"/>
              </w:rPr>
            </w:pPr>
            <w:r w:rsidRPr="00464F87">
              <w:rPr>
                <w:rFonts w:ascii="Arial" w:eastAsia="SimSun" w:hAnsi="Arial" w:cs="Times New Roman" w:hint="eastAsia"/>
                <w:b/>
                <w:kern w:val="0"/>
                <w:sz w:val="20"/>
                <w:szCs w:val="20"/>
                <w14:ligatures w14:val="none"/>
              </w:rPr>
              <w:t>Classification</w:t>
            </w:r>
          </w:p>
        </w:tc>
      </w:tr>
      <w:tr w:rsidR="00285C44" w14:paraId="0C12098A" w14:textId="77777777" w:rsidTr="00464F87">
        <w:trPr>
          <w:jc w:val="center"/>
        </w:trPr>
        <w:tc>
          <w:tcPr>
            <w:tcW w:w="2840" w:type="dxa"/>
            <w:tcBorders>
              <w:top w:val="single" w:sz="4" w:space="0" w:color="auto"/>
            </w:tcBorders>
          </w:tcPr>
          <w:p w14:paraId="3824C186" w14:textId="77777777" w:rsidR="00285C44" w:rsidRPr="00464F87" w:rsidRDefault="00285C44" w:rsidP="00464F87">
            <w:pPr>
              <w:widowControl/>
              <w:jc w:val="both"/>
              <w:rPr>
                <w:rFonts w:ascii="Arial" w:eastAsia="SimSun" w:hAnsi="Arial" w:cs="Times New Roman"/>
                <w:kern w:val="0"/>
                <w:sz w:val="20"/>
                <w:szCs w:val="20"/>
                <w:lang w:eastAsia="en-US"/>
                <w14:ligatures w14:val="none"/>
              </w:rPr>
            </w:pPr>
            <w:r w:rsidRPr="00464F87">
              <w:rPr>
                <w:rFonts w:ascii="Arial" w:eastAsia="SimSun" w:hAnsi="Arial" w:cs="Times New Roman" w:hint="eastAsia"/>
                <w:kern w:val="0"/>
                <w:sz w:val="20"/>
                <w:szCs w:val="20"/>
                <w:lang w:eastAsia="en-US"/>
                <w14:ligatures w14:val="none"/>
              </w:rPr>
              <w:t>Physical Law</w:t>
            </w:r>
          </w:p>
        </w:tc>
        <w:tc>
          <w:tcPr>
            <w:tcW w:w="4639" w:type="dxa"/>
            <w:tcBorders>
              <w:top w:val="single" w:sz="4" w:space="0" w:color="auto"/>
            </w:tcBorders>
          </w:tcPr>
          <w:p w14:paraId="7520F2DD" w14:textId="77777777" w:rsidR="00285C44" w:rsidRPr="00464F87" w:rsidRDefault="00285C44" w:rsidP="00464F87">
            <w:pPr>
              <w:widowControl/>
              <w:jc w:val="both"/>
              <w:rPr>
                <w:rFonts w:ascii="Arial" w:eastAsia="SimSun" w:hAnsi="Arial" w:cs="Times New Roman"/>
                <w:kern w:val="0"/>
                <w:sz w:val="20"/>
                <w:szCs w:val="20"/>
                <w:lang w:eastAsia="en-US"/>
                <w14:ligatures w14:val="none"/>
              </w:rPr>
            </w:pPr>
            <w:r w:rsidRPr="00464F87">
              <w:rPr>
                <w:rFonts w:ascii="Arial" w:eastAsia="SimSun" w:hAnsi="Arial" w:cs="Times New Roman" w:hint="eastAsia"/>
                <w:kern w:val="0"/>
                <w:sz w:val="20"/>
                <w:szCs w:val="20"/>
                <w:lang w:eastAsia="en-US"/>
                <w14:ligatures w14:val="none"/>
              </w:rPr>
              <w:t>Spray drying, fluidized bed coating, extrusion</w:t>
            </w:r>
          </w:p>
        </w:tc>
      </w:tr>
      <w:tr w:rsidR="00285C44" w14:paraId="20A2DAC6" w14:textId="77777777" w:rsidTr="00464F87">
        <w:trPr>
          <w:jc w:val="center"/>
        </w:trPr>
        <w:tc>
          <w:tcPr>
            <w:tcW w:w="2840" w:type="dxa"/>
          </w:tcPr>
          <w:p w14:paraId="2B04B359" w14:textId="77777777" w:rsidR="00285C44" w:rsidRPr="00464F87" w:rsidRDefault="00285C44" w:rsidP="00464F87">
            <w:pPr>
              <w:widowControl/>
              <w:jc w:val="both"/>
              <w:rPr>
                <w:rFonts w:ascii="Arial" w:eastAsia="SimSun" w:hAnsi="Arial" w:cs="Times New Roman"/>
                <w:kern w:val="0"/>
                <w:sz w:val="20"/>
                <w:szCs w:val="20"/>
                <w:lang w:eastAsia="en-US"/>
                <w14:ligatures w14:val="none"/>
              </w:rPr>
            </w:pPr>
            <w:r w:rsidRPr="00464F87">
              <w:rPr>
                <w:rFonts w:ascii="Arial" w:eastAsia="SimSun" w:hAnsi="Arial" w:cs="Times New Roman" w:hint="eastAsia"/>
                <w:kern w:val="0"/>
                <w:sz w:val="20"/>
                <w:szCs w:val="20"/>
                <w:lang w:eastAsia="en-US"/>
                <w14:ligatures w14:val="none"/>
              </w:rPr>
              <w:t>Chemical method</w:t>
            </w:r>
          </w:p>
        </w:tc>
        <w:tc>
          <w:tcPr>
            <w:tcW w:w="4639" w:type="dxa"/>
          </w:tcPr>
          <w:p w14:paraId="6E612A5B" w14:textId="77777777" w:rsidR="00285C44" w:rsidRPr="00464F87" w:rsidRDefault="00285C44" w:rsidP="00464F87">
            <w:pPr>
              <w:widowControl/>
              <w:jc w:val="both"/>
              <w:rPr>
                <w:rFonts w:ascii="Arial" w:eastAsia="SimSun" w:hAnsi="Arial" w:cs="Times New Roman"/>
                <w:kern w:val="0"/>
                <w:sz w:val="20"/>
                <w:szCs w:val="20"/>
                <w:lang w:eastAsia="en-US"/>
                <w14:ligatures w14:val="none"/>
              </w:rPr>
            </w:pPr>
            <w:r w:rsidRPr="00464F87">
              <w:rPr>
                <w:rFonts w:ascii="Arial" w:eastAsia="SimSun" w:hAnsi="Arial" w:cs="Times New Roman" w:hint="eastAsia"/>
                <w:kern w:val="0"/>
                <w:sz w:val="20"/>
                <w:szCs w:val="20"/>
                <w:lang w:eastAsia="en-US"/>
                <w14:ligatures w14:val="none"/>
              </w:rPr>
              <w:t>Interface polymerization, in-situ polymerization, emulsion polymerization</w:t>
            </w:r>
          </w:p>
        </w:tc>
      </w:tr>
      <w:tr w:rsidR="00285C44" w14:paraId="773B9B69" w14:textId="77777777" w:rsidTr="00464F87">
        <w:trPr>
          <w:jc w:val="center"/>
        </w:trPr>
        <w:tc>
          <w:tcPr>
            <w:tcW w:w="2840" w:type="dxa"/>
          </w:tcPr>
          <w:p w14:paraId="22AF9F32" w14:textId="77777777" w:rsidR="00285C44" w:rsidRPr="00464F87" w:rsidRDefault="00285C44" w:rsidP="00464F87">
            <w:pPr>
              <w:widowControl/>
              <w:jc w:val="both"/>
              <w:rPr>
                <w:rFonts w:ascii="Arial" w:eastAsia="SimSun" w:hAnsi="Arial" w:cs="Times New Roman"/>
                <w:kern w:val="0"/>
                <w:sz w:val="20"/>
                <w:szCs w:val="20"/>
                <w:lang w:eastAsia="en-US"/>
                <w14:ligatures w14:val="none"/>
              </w:rPr>
            </w:pPr>
            <w:r w:rsidRPr="00464F87">
              <w:rPr>
                <w:rFonts w:ascii="Arial" w:eastAsia="SimSun" w:hAnsi="Arial" w:cs="Times New Roman" w:hint="eastAsia"/>
                <w:kern w:val="0"/>
                <w:sz w:val="20"/>
                <w:szCs w:val="20"/>
                <w:lang w:eastAsia="en-US"/>
                <w14:ligatures w14:val="none"/>
              </w:rPr>
              <w:t>Physical and chemical methods</w:t>
            </w:r>
          </w:p>
        </w:tc>
        <w:tc>
          <w:tcPr>
            <w:tcW w:w="4639" w:type="dxa"/>
          </w:tcPr>
          <w:p w14:paraId="467AFCA8" w14:textId="77777777" w:rsidR="00285C44" w:rsidRPr="00464F87" w:rsidRDefault="00285C44" w:rsidP="00464F87">
            <w:pPr>
              <w:widowControl/>
              <w:jc w:val="both"/>
              <w:rPr>
                <w:rFonts w:ascii="Arial" w:eastAsia="SimSun" w:hAnsi="Arial" w:cs="Times New Roman"/>
                <w:kern w:val="0"/>
                <w:sz w:val="20"/>
                <w:szCs w:val="20"/>
                <w:lang w:eastAsia="en-US"/>
                <w14:ligatures w14:val="none"/>
              </w:rPr>
            </w:pPr>
            <w:r w:rsidRPr="00464F87">
              <w:rPr>
                <w:rFonts w:ascii="Arial" w:eastAsia="SimSun" w:hAnsi="Arial" w:cs="Times New Roman" w:hint="eastAsia"/>
                <w:kern w:val="0"/>
                <w:sz w:val="20"/>
                <w:szCs w:val="20"/>
                <w:lang w:eastAsia="en-US"/>
                <w14:ligatures w14:val="none"/>
              </w:rPr>
              <w:t>Composite condensation method, phase separation method, sol-gel method</w:t>
            </w:r>
          </w:p>
        </w:tc>
      </w:tr>
    </w:tbl>
    <w:p w14:paraId="44C5F7F1" w14:textId="77777777" w:rsidR="00285C44" w:rsidRPr="00A76FE6" w:rsidRDefault="00285C44" w:rsidP="00285C44"/>
    <w:p w14:paraId="79C5A87F" w14:textId="77777777" w:rsidR="00285C44" w:rsidRDefault="00285C44" w:rsidP="00285C44">
      <w:r>
        <w:rPr>
          <w:rFonts w:hint="eastAsia"/>
        </w:rPr>
        <w:t xml:space="preserve">The principle of spray drying is to disperse the core material in the wall material solution, form tiny droplets through an atomizer, quickly dry the droplets with hot air, and the wall material solidifies and wraps around the core material. This method is simple and low-cost, making it suitable for large-scale production, but may not be suitable for heat-sensitive core materials. Mainly applied to food (fragrance, oil), </w:t>
      </w:r>
      <w:r>
        <w:rPr>
          <w:rFonts w:hint="eastAsia"/>
        </w:rPr>
        <w:lastRenderedPageBreak/>
        <w:t>medicine, cosmetics, etc. Li[15] prepared microencapsulated tilapia oil by spray drying using emulsified starch and embedded starch as wall materials and refined tilapia oil as core materials. Scanning electron microscopy can be used to observe that the surface of microencapsulated tilapia oil is smooth and flat, without cracks, and has a good embedding effect.</w:t>
      </w:r>
    </w:p>
    <w:p w14:paraId="2EDE0913" w14:textId="77777777" w:rsidR="00285C44" w:rsidRDefault="00285C44" w:rsidP="00285C44">
      <w:r>
        <w:rPr>
          <w:rFonts w:hint="eastAsia"/>
        </w:rPr>
        <w:t>The interfacial polymerization method is to dissolve the two reaction monomers in the core material and the dispersed phase respectively, and undergo polymerization reaction at the droplet interface to form a polymer wall material. The microcapsules produced have dense walls and high mechanical strength, but the reaction conditions need to be precisely controlled. It is commonly used for pesticide sustained release and phase change material encapsulation. Zhan[16] used interfacial polymerization to prepare sorbitol aqueous solution microcapsules to obtain camouflage materials with fine near-infrared reflectance spectral characteristics of plant leaves. Polyurea was selected as the wall material, and a two-step temperature-increasing coating process was designed. Through the optimization of reaction temperature, microcapsules of sorbitol aqueous solution with a moisture content of more than 50% were obtained. The microcapsules are lightweight, have high moisture content, strong heat resistance, simple preparation process, and have a high degree of matching with the near-infrared reflectance spectrum of plant leaves. They have good application prospects in the field of anti-hyperspectral detection technology.</w:t>
      </w:r>
    </w:p>
    <w:p w14:paraId="170ED7F9" w14:textId="77777777" w:rsidR="00285C44" w:rsidRDefault="00285C44" w:rsidP="00285C44">
      <w:r>
        <w:rPr>
          <w:rFonts w:hint="eastAsia"/>
        </w:rPr>
        <w:t>In situ polymerization is the process of polymerizing monomers directly on the surface of the core material by initiator or heating to form a wall material after mixing with the core material. This process is flexible and the wall thickness is controllable, but unreacted monomers may remain. Application in electronic materials and drug delivery systems. Chang[17] used in situ polymerization to prepare a series of low-temperature phase-change microcapsules with tetradecane as the core material and urea-formaldehyde resin as the wall material. The preparation results showed that the obtained microcapsules had a smooth and spherical morphology, uniform particle size distribution, a phase change temperature of 3.05</w:t>
      </w:r>
      <w:r>
        <w:rPr>
          <w:rFonts w:hint="eastAsia"/>
        </w:rPr>
        <w:t>℃</w:t>
      </w:r>
      <w:r>
        <w:rPr>
          <w:rFonts w:hint="eastAsia"/>
        </w:rPr>
        <w:t xml:space="preserve">, a latent heat of phase change of 60 J/g, and an average particle size of 8.4 </w:t>
      </w:r>
      <w:r>
        <w:rPr>
          <w:rFonts w:hint="eastAsia"/>
        </w:rPr>
        <w:t>μ</w:t>
      </w:r>
      <w:r>
        <w:rPr>
          <w:rFonts w:hint="eastAsia"/>
        </w:rPr>
        <w:t>m. Solve the problems of poor stability and easy leakage of low-temperature phase change materials.</w:t>
      </w:r>
    </w:p>
    <w:p w14:paraId="2F803C88" w14:textId="75E8A1E3" w:rsidR="00285C44" w:rsidRDefault="00285C44" w:rsidP="00285C44">
      <w:r>
        <w:rPr>
          <w:rFonts w:hint="eastAsia"/>
        </w:rPr>
        <w:t xml:space="preserve">Emulsion polymerization involves dispersing the core material in an aqueous phase, adding monomers and initiators, and forming a polymer wall material through emulsion polymerization. This method is suitable for oil-soluble core materials with a narrow particle size distribution, but requires the use of surfactants. Functional microcapsules commonly used in coatings and adhesives. </w:t>
      </w:r>
      <w:r w:rsidR="00447A7A">
        <w:rPr>
          <w:rFonts w:hint="eastAsia"/>
        </w:rPr>
        <w:t>Li</w:t>
      </w:r>
      <w:r>
        <w:rPr>
          <w:rFonts w:hint="eastAsia"/>
        </w:rPr>
        <w:t xml:space="preserve">[18] prepared paraffin/polystyrene microcapsules using emulsion polymerization. The average size </w:t>
      </w:r>
      <w:r>
        <w:rPr>
          <w:rFonts w:hint="eastAsia"/>
        </w:rPr>
        <w:lastRenderedPageBreak/>
        <w:t>of the microcapsules obtained was about 18 um. The amount of surfactant used and the stirring rate have a great influence on the particle size of microcapsules. Within the experimental dosage range, increasing the dosage not only reduces the particle size but also improves the microencapsulation efficiency. In addition, four parameters of the microencapsulation process were optimized, namely LA/polystyrene, surfactant/polystyrene weight ratio, stirring rate and temperature; encapsulating lauric acid (LA) achieved an encapsulation efficiency of approximately 92%.</w:t>
      </w:r>
    </w:p>
    <w:p w14:paraId="659EF569" w14:textId="77777777" w:rsidR="00285C44" w:rsidRDefault="00285C44" w:rsidP="00285C44">
      <w:r>
        <w:rPr>
          <w:rFonts w:hint="eastAsia"/>
        </w:rPr>
        <w:t>The composite condensation method utilizes two oppositely charged polymers (such as gelatin-gum arabic) to electrostatically combine on the surface of the core material to form a condensed layer and then solidify. The process is mild and the encapsulation rate is high, but the pH and ionic strength need to be accurately adjusted. Fragrance, vitamin embedding can use this method. In order to improve the stability of red yeast rice pigment, Chen[19] used gelatin and gum arabic as wall materials, supplemented by glutamine transaminase and hydroxypropyl-</w:t>
      </w:r>
      <w:r>
        <w:rPr>
          <w:rFonts w:hint="eastAsia"/>
        </w:rPr>
        <w:t>β</w:t>
      </w:r>
      <w:r>
        <w:rPr>
          <w:rFonts w:hint="eastAsia"/>
        </w:rPr>
        <w:t>-cyclodextrin, and prepared red yeast rice pigment microcapsules by a complex condensation method. The microcapsules significantly improved the water solubility and storage stability of red yeast rice pigment, and were the most stable when stored at low temperature and room temperature. By simulating the photodegradation process of red yeast rice pigment and its microcapsules, it was found that red yeast rice pigment and orange pigment conform to the first-order kinetic model, and yellow pigment conforms to the zero-order kinetic model Microcapsules can significantly improve the photostability of red yeast rice pigment; the microcapsule system has a good effect on delaying the release of red yeast rice pigment in simulated gastric juice, and the release rate in simulated intestinal juice is significantly higher than that in simulated gastric juice, which shows that the microcapsule system can well control the release of red yeast rice pigment in simulated gastrointestinal juice.</w:t>
      </w:r>
    </w:p>
    <w:p w14:paraId="1E39AC57" w14:textId="77777777" w:rsidR="00285C44" w:rsidRDefault="00285C44" w:rsidP="00285C44">
      <w:r>
        <w:rPr>
          <w:rFonts w:hint="eastAsia"/>
        </w:rPr>
        <w:t xml:space="preserve">Phase separation is the process of precipitating the wall material from solution and wrapping the core material by changing the temperature, solvent or adding a non-solvent. Suitable for hydrophobic core materials, but with high requirements for solvent selection. Suitable for controlled release and electronic packaging of drugs. Tao[20] used polymethyl methacrylate (PMMA) as the capsule wall and epoxy monomer 2020A as the capsule core. He used solvent evaporation phase separation to prepare microcapsules with self-healing properties. The microcapsules produced had a rounded spherical morphology with an average diameter of 1.45 </w:t>
      </w:r>
      <w:r>
        <w:rPr>
          <w:rFonts w:hint="eastAsia"/>
        </w:rPr>
        <w:t>μ</w:t>
      </w:r>
      <w:r>
        <w:rPr>
          <w:rFonts w:hint="eastAsia"/>
        </w:rPr>
        <w:t>m.</w:t>
      </w:r>
    </w:p>
    <w:p w14:paraId="25954E5D" w14:textId="77777777" w:rsidR="00285C44" w:rsidRDefault="00285C44" w:rsidP="00285C44">
      <w:r>
        <w:rPr>
          <w:rFonts w:hint="eastAsia"/>
        </w:rPr>
        <w:t xml:space="preserve">In addition to these methods, some microcapsule preparation methods have emerged in recent years, such as microfluidic technology and 3D printing packaging. Microfluidic technology uses microchannels to precisely control droplet generation </w:t>
      </w:r>
      <w:r>
        <w:rPr>
          <w:rFonts w:hint="eastAsia"/>
        </w:rPr>
        <w:lastRenderedPageBreak/>
        <w:t>and realize the preparation of monodisperse microcapsules. The microcapsules produced by this method have uniform particle size and controllable structure, but are relatively expensive and are used in some high-end drug delivery or biosensor reverse sides. Zhang[21] based on the ability of microfluidic technology to accurately manipulate fluid flow, constructed algae oil nanomicrocapsules with algae oil as the core and shellac and soy lecithin as the wall materials. The results showed that the fluid flow rate conditions in the microfluidic chip had a significant impact on the structural formation of nanomicrocapsules. Under optimal fluid conditions, the ratio of shellac to soy lecithin in the nanomicrocyte wall material has a significant effect on the physicochemical properties of the nanomicrocyte.</w:t>
      </w:r>
    </w:p>
    <w:p w14:paraId="6BEC0792" w14:textId="77777777" w:rsidR="00285C44" w:rsidRDefault="00285C44" w:rsidP="00285C44">
      <w:r>
        <w:rPr>
          <w:rFonts w:hint="eastAsia"/>
        </w:rPr>
        <w:t>In recent years, 3D printing technology has become more and more mature, so microcapsule preparation can be achieved by constructing microcapsule structures layer by layer through 3D printing technology. This method can realize customized microcapsules with complex structures, but it is less efficient and is currently less used. It is used in some personalized medicines.</w:t>
      </w:r>
    </w:p>
    <w:p w14:paraId="58EB584F"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3.4 Application of phase change microcapsules</w:t>
      </w:r>
    </w:p>
    <w:p w14:paraId="57A7BAAB" w14:textId="77777777" w:rsidR="00285C44" w:rsidRDefault="00285C44" w:rsidP="00285C44">
      <w:r>
        <w:rPr>
          <w:rFonts w:hint="eastAsia"/>
        </w:rPr>
        <w:t>Compared with ordinary phase change materials, phase change microcapsules have the advantages of not changing their morphology before and after phase change and are not easy to undergo phase separation. They are widely used in the field of food packaging. Phase change microcapsules can be used as cold storage agents in food packaging, and play a role in controlling temperature in various aspects of the cold chain such as storage and transportation. Pakrouh et al. [22] applied phase change microcapsules to the thermal management system of lithium-ion batteries and tested the effects of different discharge rates, fluid velocities, and phase change microcapsule slurry concentrations on the maximum temperature, maximum temperature difference, and system pressure drop of the battery pack. The results show that under the conditions of discharge rate of 5C, mass fraction of phase-change microcapsule slurry of 20%, and fluid flow rate of 0.05m/s, the speed of the thermoelectric management system in controlling the battery temperature is reduced by 70% compared with pure water.</w:t>
      </w:r>
      <w:r>
        <w:t xml:space="preserve"> </w:t>
      </w:r>
    </w:p>
    <w:p w14:paraId="58B12882" w14:textId="77777777" w:rsidR="00285C44" w:rsidRPr="00285C44" w:rsidRDefault="00285C44" w:rsidP="00285C44">
      <w:pPr>
        <w:rPr>
          <w:rFonts w:ascii="Arial" w:eastAsiaTheme="minorEastAsia" w:hAnsi="Arial" w:cs="Arial"/>
          <w:b/>
          <w:caps/>
          <w:kern w:val="0"/>
          <w:sz w:val="22"/>
          <w:szCs w:val="20"/>
          <w:lang w:eastAsia="en-US"/>
          <w14:ligatures w14:val="none"/>
        </w:rPr>
      </w:pPr>
      <w:r w:rsidRPr="00285C44">
        <w:rPr>
          <w:rFonts w:ascii="Arial" w:eastAsiaTheme="minorEastAsia" w:hAnsi="Arial" w:cs="Arial" w:hint="eastAsia"/>
          <w:b/>
          <w:caps/>
          <w:kern w:val="0"/>
          <w:sz w:val="22"/>
          <w:szCs w:val="20"/>
          <w:lang w:eastAsia="en-US"/>
          <w14:ligatures w14:val="none"/>
        </w:rPr>
        <w:t>3.5 Modification of phase-change microcapsules</w:t>
      </w:r>
    </w:p>
    <w:p w14:paraId="1F6BDCC5" w14:textId="77777777" w:rsidR="00285C44" w:rsidRDefault="00285C44" w:rsidP="00285C44">
      <w:r>
        <w:rPr>
          <w:rFonts w:hint="eastAsia"/>
        </w:rPr>
        <w:t xml:space="preserve">Phase change microcapsule technology improves the phase separation and leakage problems of phase change materials, but in practical applications, phase change microcapsules still have some problems, such as low thermal conductivity, severe supercooling, poor mechanical strength and single function [23]. In order to enable phase change microcapsules to be better used in practical industrial production, </w:t>
      </w:r>
      <w:r>
        <w:rPr>
          <w:rFonts w:hint="eastAsia"/>
        </w:rPr>
        <w:lastRenderedPageBreak/>
        <w:t>improving the thermophysical properties of phase change microcapsules is a challenge of current research. Among them, the low thermal conductivity is due to the poor thermal conductivity of the microcapsule shell, which leads to a slower storage and release of thermal energy[24], which has influenced the application of phase change microcapsules in the field of thermal energy storage. The thermal conductivity modification of phase change microcapsules mainly includes two methods: shell material and core material modification. Among them, adding thermal conductivity material to the core material will lead to a decrease in thermal enthalpy and an insignificant improvement in thermal conductivity; while the shell material can form a dense package on the core material and come into direct contact with the outside world, which directly affects the thermal conductivity of MPCM Therefore, thermal conductivity modification of shell materials has become the main way to improve the thermal conductivity efficiency of phase change microcapsules. Researchers have proposed many methods for modifying the thermal conductivity of shell materials, which can improve the thermal conductivity of microcapsules by introducing thermal conductive materials into the shell materials [25]. After the shell material is modified for thermal conductivity, the heat exchange efficiency of the microcapsules is improved, and faster temperature regulation can be carried out in a shorter time. By adjusting the shape and particle size of the phase-change microcapsules to increase the core material used for energy storage, the supercooling phenomenon can also be effectively suppressed, which has a significant impact on improving thermal conductivity. Whether it is shell material modification or core material improvement, it is of great significance to the energy storage performance of phase change microcapsules.</w:t>
      </w:r>
      <w:r>
        <w:t xml:space="preserve"> </w:t>
      </w:r>
    </w:p>
    <w:p w14:paraId="0801275E" w14:textId="77777777" w:rsidR="00285C44" w:rsidRPr="002701A8" w:rsidRDefault="00285C44" w:rsidP="00285C44">
      <w:pPr>
        <w:rPr>
          <w:rFonts w:ascii="Arial" w:eastAsiaTheme="minorEastAsia" w:hAnsi="Arial" w:cs="Arial"/>
          <w:b/>
          <w:kern w:val="0"/>
          <w:sz w:val="20"/>
          <w:szCs w:val="20"/>
          <w:u w:val="single"/>
          <w:lang w:eastAsia="en-US"/>
          <w14:ligatures w14:val="none"/>
        </w:rPr>
      </w:pPr>
      <w:r w:rsidRPr="002701A8">
        <w:rPr>
          <w:rFonts w:ascii="Arial" w:eastAsiaTheme="minorEastAsia" w:hAnsi="Arial" w:cs="Arial" w:hint="eastAsia"/>
          <w:b/>
          <w:kern w:val="0"/>
          <w:sz w:val="20"/>
          <w:szCs w:val="20"/>
          <w:u w:val="single"/>
          <w:lang w:eastAsia="en-US"/>
          <w14:ligatures w14:val="none"/>
        </w:rPr>
        <w:t>3.5.1 Method of shell modification</w:t>
      </w:r>
    </w:p>
    <w:p w14:paraId="2F5004A9" w14:textId="77777777" w:rsidR="00285C44" w:rsidRDefault="00285C44" w:rsidP="00285C44">
      <w:r>
        <w:rPr>
          <w:rFonts w:hint="eastAsia"/>
        </w:rPr>
        <w:t>At present, there are four main methods for studying the thermal conductivity modification of shell materials: Pickering emulsion method, surface grafting method, chemical plating method, physical doping method, etc. Commonly used thermal conductivity modification materials include carbon-based materials [26, 27], metal materials [28], and metal or non-metal compounds [29]. They can improve the thermal conductivity of MPCM while maintaining its thermal storage capacity, thermal stability, and good mechanical properties.</w:t>
      </w:r>
    </w:p>
    <w:p w14:paraId="2BCF941F" w14:textId="77777777" w:rsidR="00285C44" w:rsidRDefault="00285C44" w:rsidP="00285C44">
      <w:r>
        <w:rPr>
          <w:rFonts w:hint="eastAsia"/>
        </w:rPr>
        <w:t xml:space="preserve">The Pickering emulsion method is a new emulsion polymerization method that uses solid nanoparticles instead of traditional emulsifiers. It has attracted widespread attention at home and abroad in recent years. The principle of this method for shell modification is that solid nanoparticles with good thermal conductivity adsorb at the oil-water interface and can form a strong protective layer around the droplets. The </w:t>
      </w:r>
      <w:r>
        <w:rPr>
          <w:rFonts w:hint="eastAsia"/>
        </w:rPr>
        <w:lastRenderedPageBreak/>
        <w:t>high attachment energy of the solid nanoparticles can reduce the aggregation of emulsion droplets and ensure the stability of the emulsion. Then, the shell material undergoes polymerization reaction at the interface The heat-conducting particles are filled into the shell material to improve the heat-conducting performance of the microcapsules. In addition, after the solid nanoparticles are filled into the shell material, the shell material becomes denser and more complete, which can improve the coating rate and mechanical strength of the microcapsules. The thermally conductive particles commonly used in the Pickering emulsion method include GN, GO, nano-SiO2 particles, nano-Fe3O4 particles, nano-BN particles, etc. Compared with the traditional emulsion method, this method is more green and environmentally friendly, reducing the harm of traditional emulsifiers to the environment and the human body.</w:t>
      </w:r>
    </w:p>
    <w:p w14:paraId="5572431A" w14:textId="77777777" w:rsidR="00285C44" w:rsidRPr="002701A8" w:rsidRDefault="00285C44" w:rsidP="00285C44">
      <w:pPr>
        <w:rPr>
          <w:rFonts w:ascii="Arial" w:eastAsiaTheme="minorEastAsia" w:hAnsi="Arial" w:cs="Arial"/>
          <w:b/>
          <w:kern w:val="0"/>
          <w:sz w:val="20"/>
          <w:szCs w:val="20"/>
          <w:u w:val="single"/>
          <w:lang w:eastAsia="en-US"/>
          <w14:ligatures w14:val="none"/>
        </w:rPr>
      </w:pPr>
      <w:r w:rsidRPr="002701A8">
        <w:rPr>
          <w:rFonts w:ascii="Arial" w:eastAsiaTheme="minorEastAsia" w:hAnsi="Arial" w:cs="Arial" w:hint="eastAsia"/>
          <w:b/>
          <w:kern w:val="0"/>
          <w:sz w:val="20"/>
          <w:szCs w:val="20"/>
          <w:u w:val="single"/>
          <w:lang w:eastAsia="en-US"/>
          <w14:ligatures w14:val="none"/>
        </w:rPr>
        <w:t>3.5.2 Core material modification method</w:t>
      </w:r>
    </w:p>
    <w:p w14:paraId="1B850E1F" w14:textId="77777777" w:rsidR="00285C44" w:rsidRDefault="00285C44" w:rsidP="00285C44">
      <w:r>
        <w:rPr>
          <w:rFonts w:hint="eastAsia"/>
        </w:rPr>
        <w:t xml:space="preserve">Core modification is to add nanomaterials to the core to suppress the supercooling phenomenon, while narrowing the temperature range of energy release and improving the thermal conductivity of phase-change microcapsules. Currently, researchers tend to add nanocarbon tubes and nanographite to the core material to improve thermal conductivity. Wu et al. [30] used ultrasound to assist in the uniform dispersion of carbon nanotubes to improve the thermal conductivity. The results show that the addition of carbon nanotubes has little effect on the phase transition temperature of the composite material, and the thermal conductivity of the composite material increases with the addition of carbon nanotubes. When the addition amount was 5%, the thermal conductivity was relatively improved by 40.3%.  Li et al. [31] used in situ polymerization to prepare a new microcapsule phase change material based on urea formaldehyde resin as the wall material and paraffin as the nuclear material. The experimental results show that after introducing a small amount of modified carbon nanotubes (CNTs) into the microcapsules, the average particle size of the microcapsules is significantly reduced. In addition, the phase change material has a low phase change temperature (26.2 </w:t>
      </w:r>
      <w:r>
        <w:rPr>
          <w:rFonts w:hint="eastAsia"/>
        </w:rPr>
        <w:t>℃</w:t>
      </w:r>
      <w:r>
        <w:rPr>
          <w:rFonts w:hint="eastAsia"/>
        </w:rPr>
        <w:t>) and a large latent heat of phase change (47.7 J/g). At the same time, as the carbon nanotube content increases, the thermal conductivity of the microcapsules gradually increases. Especially when the carbon nanotube addition amount reaches 4% of the paraffin content, the thermal conductivity of the microcapsules is improved by an astonishing amount compared with before modification79.2%.</w:t>
      </w:r>
    </w:p>
    <w:p w14:paraId="2F46590F" w14:textId="77777777" w:rsidR="00285C44" w:rsidRDefault="00285C44" w:rsidP="00285C44">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265DF51" w14:textId="77777777" w:rsidR="00285C44" w:rsidRPr="003509A8" w:rsidRDefault="00285C44" w:rsidP="00285C44">
      <w:r w:rsidRPr="003509A8">
        <w:t xml:space="preserve">Phase change materials, especially low-temperature phase change materials, are of great value in responding to energy crises and realizing low-carbon cold chains. </w:t>
      </w:r>
      <w:r w:rsidRPr="003509A8">
        <w:lastRenderedPageBreak/>
        <w:t>Microencapsulation technology effectively solves problems such as leakage, phase separation and corrosion by encapsulating phase change materials, significantly expanding its application range. Current research mainly focuses on improving the thermal conductivity of phase-change microcapsules, suppressing supercooling phenomena, and enhancing mechanical strength. Significant results have been achieved by modifying the shell material through Pickering emulsion, surface grafting, chemical plating and physical doping, as well as introducing high thermal conductivity nanomaterials such as carbon nanotubes and graphene into the core material.</w:t>
      </w:r>
    </w:p>
    <w:p w14:paraId="0934E36C" w14:textId="77777777" w:rsidR="00285C44" w:rsidRDefault="00285C44" w:rsidP="00285C44">
      <w:r w:rsidRPr="003509A8">
        <w:t>However, phase change microcapsules still face problems such as insufficient thermal conductivity, subcooling control, high cost and environmental compatibility in practical applications. Future research should focus on developing new environmentally friendly wall materials, optimizing microcapsule structural design, achieving multifunctional integration (such as fire protection, antibacterial, etc.), and promoting their integration testing and demonstration applications in actual systems. Multidisciplinary collaboration with industry, academia and research will accelerate the transition of phase change microcapsule technology from the laboratory to industrialization, providing sustainable solutions for achieving efficient and low-carbon energy utilization and temperature management.</w:t>
      </w:r>
    </w:p>
    <w:p w14:paraId="5A889F7C" w14:textId="77777777" w:rsidR="00640664" w:rsidRDefault="00640664" w:rsidP="00285C44"/>
    <w:p w14:paraId="353F0FFF" w14:textId="77777777" w:rsidR="00640664" w:rsidRDefault="00640664" w:rsidP="00285C44"/>
    <w:p w14:paraId="5B7CE5EF" w14:textId="77777777" w:rsidR="00464F87" w:rsidRDefault="00464F87" w:rsidP="00464F87">
      <w:pPr>
        <w:pStyle w:val="ReferHead"/>
        <w:spacing w:after="0"/>
        <w:jc w:val="both"/>
        <w:rPr>
          <w:rFonts w:ascii="Arial" w:hAnsi="Arial" w:cs="Arial"/>
        </w:rPr>
      </w:pPr>
      <w:r w:rsidRPr="00FB3A86">
        <w:rPr>
          <w:rFonts w:ascii="Arial" w:hAnsi="Arial" w:cs="Arial"/>
        </w:rPr>
        <w:t>References</w:t>
      </w:r>
    </w:p>
    <w:p w14:paraId="2F3B3C01" w14:textId="1AD68867"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 </w:t>
      </w:r>
      <w:r w:rsidRPr="00447A7A">
        <w:rPr>
          <w:rFonts w:ascii="Arial" w:hAnsi="Arial" w:cs="Arial"/>
        </w:rPr>
        <w:t>Muzhanje, A. T., Hassan, M. A., &amp; Hassan, H. (2022). Phase change material based thermal energy storage applications for air conditioning: Review. Applied Thermal Engineering, 214, 118832.</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https://doi.org/10.1016/j.applthermaleng.2022.118832</w:t>
      </w:r>
    </w:p>
    <w:p w14:paraId="703FE835" w14:textId="26086F79"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 </w:t>
      </w:r>
      <w:r w:rsidRPr="00447A7A">
        <w:rPr>
          <w:rFonts w:ascii="Arial" w:hAnsi="Arial" w:cs="Arial"/>
        </w:rPr>
        <w:t>Goldstein, E. A., Raman, A. P., &amp; Fan, S. (2017). Sub-ambient non-evaporative fluid cooling with the sky. Nature Energy, 2(9), 1–7.</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https://doi.org/10.1038/nenergy.2017.143</w:t>
      </w:r>
    </w:p>
    <w:p w14:paraId="75E0F014" w14:textId="02887EAA"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[3] </w:t>
      </w:r>
      <w:r w:rsidRPr="00447A7A">
        <w:rPr>
          <w:rFonts w:ascii="Arial" w:hAnsi="Arial" w:cs="Arial"/>
        </w:rPr>
        <w:t>Liu, W., Zhang, X., Zhao, X., et al. (2024). Research progress on phase change material microcapsules. Journal of Textile Science, 45(9), 235–243.</w:t>
      </w:r>
    </w:p>
    <w:p w14:paraId="7D16919D" w14:textId="55B47811"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[4] </w:t>
      </w:r>
      <w:r w:rsidRPr="00447A7A">
        <w:rPr>
          <w:rFonts w:ascii="Arial" w:hAnsi="Arial" w:cs="Arial"/>
        </w:rPr>
        <w:t>You, H., &amp; Xie, J. (2021). Research progress on low-temperature phase change cold storage materials and their application in cold chains. Food and Fermentation Industries, 47(18), 287–293.</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https://doi.org/10.13995/j.cnki.11-1802/ts.026944</w:t>
      </w:r>
    </w:p>
    <w:p w14:paraId="701611E8" w14:textId="57929950"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[5] </w:t>
      </w:r>
      <w:r w:rsidRPr="00447A7A">
        <w:rPr>
          <w:rFonts w:ascii="Arial" w:hAnsi="Arial" w:cs="Arial"/>
        </w:rPr>
        <w:t>Gao, R. (2022). Preparation and flow characteristics of ethanol slurry for cold storage of LNG-powered refrigerated trucks [Master’s thesis, Zhejiang University].</w:t>
      </w:r>
    </w:p>
    <w:p w14:paraId="08FCC737" w14:textId="4241FB42"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[6] </w:t>
      </w:r>
      <w:r w:rsidRPr="00447A7A">
        <w:rPr>
          <w:rFonts w:ascii="Arial" w:hAnsi="Arial" w:cs="Arial"/>
        </w:rPr>
        <w:t>Liu, K., He, Z., Lin, P., et al. (2022). Highly-efficient cold energy storage enabled by brine phase change material gels towards smart cold chain logistics. Journal of Energy Storage, 52, 104828.</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https://doi.org/10.1016/j.est.2022.104828</w:t>
      </w:r>
    </w:p>
    <w:p w14:paraId="33E0464E" w14:textId="720E3D19"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[7] </w:t>
      </w:r>
      <w:r w:rsidRPr="00447A7A">
        <w:rPr>
          <w:rFonts w:ascii="Arial" w:hAnsi="Arial" w:cs="Arial"/>
        </w:rPr>
        <w:t>Tan, H., Liang, Q., &amp; Tian, B. (2007). A review of research on low-temperature refrigerated trucks in my country. Refrigeration and Air Conditioning, (4), 5–8.</w:t>
      </w:r>
    </w:p>
    <w:p w14:paraId="20CB81AF" w14:textId="25CAEE20" w:rsidR="00447A7A" w:rsidRPr="00447A7A" w:rsidRDefault="00447A7A" w:rsidP="00447A7A">
      <w:pPr>
        <w:pStyle w:val="Body"/>
        <w:spacing w:after="0"/>
        <w:rPr>
          <w:rFonts w:ascii="Arial" w:hAnsi="Arial" w:cs="Arial"/>
          <w:lang w:eastAsia="zh-CN"/>
        </w:rPr>
      </w:pPr>
      <w:r>
        <w:rPr>
          <w:rFonts w:ascii="Arial" w:hAnsi="Arial" w:cs="Arial" w:hint="eastAsia"/>
          <w:lang w:eastAsia="zh-CN"/>
        </w:rPr>
        <w:lastRenderedPageBreak/>
        <w:t xml:space="preserve">[8] </w:t>
      </w:r>
      <w:r w:rsidRPr="00447A7A">
        <w:rPr>
          <w:rFonts w:ascii="Arial" w:hAnsi="Arial" w:cs="Arial"/>
        </w:rPr>
        <w:t>Zhang, J., Li, Z., &amp; Tong, S. (2022). System performance and economic analysis of a phase change material based cold energy storage container for cold chain transportation. International Journal of Photoenergy, 2022, 6836686.</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https://doi.org/10.1155/2022/6836686</w:t>
      </w:r>
    </w:p>
    <w:p w14:paraId="0090966B" w14:textId="334D55F3"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[9] </w:t>
      </w:r>
      <w:r w:rsidRPr="00447A7A">
        <w:rPr>
          <w:rFonts w:ascii="Arial" w:hAnsi="Arial" w:cs="Arial"/>
        </w:rPr>
        <w:t>Wang, X., Yu, H., Li, L., et al. (2016). Experimental assessment on a kind of composite wall incorporated with shape-stabilized phase change materials (SSPCMs). Energy and Buildings, 128, 567–574.</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https://doi.org/10.1016/j.enbuild.2016.07.031</w:t>
      </w:r>
    </w:p>
    <w:p w14:paraId="537C9115" w14:textId="3D782DE7"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[10] </w:t>
      </w:r>
      <w:r w:rsidRPr="00447A7A">
        <w:rPr>
          <w:rFonts w:ascii="Arial" w:hAnsi="Arial" w:cs="Arial"/>
        </w:rPr>
        <w:t>Erdemir, D., Altuntop, N., &amp; Çengel, Y. A. (2021). Experimental investigation on the effect of ice storage system on electricity consumption cost for a hypermarket. Energy and Buildings, 251, 111368.</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https://doi.org/10.1016/j.enbuild.2021.111368</w:t>
      </w:r>
    </w:p>
    <w:p w14:paraId="01EB518C" w14:textId="5E0834BF"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[11] </w:t>
      </w:r>
      <w:r w:rsidRPr="00447A7A">
        <w:rPr>
          <w:rFonts w:ascii="Arial" w:hAnsi="Arial" w:cs="Arial"/>
        </w:rPr>
        <w:t>Yin, H., &amp; Zhang, Z. (2017). Study on the thermal shock resistance of phase change temperature control applied to electronic equipment. Journal of Chemical Engineering, University of Science and Technology, 31(3), 554–560.</w:t>
      </w:r>
    </w:p>
    <w:p w14:paraId="20F60CB6" w14:textId="1EB8C567"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[12] </w:t>
      </w:r>
      <w:r w:rsidRPr="00447A7A">
        <w:rPr>
          <w:rFonts w:ascii="Arial" w:hAnsi="Arial" w:cs="Arial"/>
        </w:rPr>
        <w:t>Hou, J., Yang, Z., Xu, P., et al. (2019). Design and performance evaluation of novel personal cooling garage. Applied Thermal Engineering, 154, 131–139.</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https://doi.org/10.1016/j.applthermaleng.2019.02.013</w:t>
      </w:r>
    </w:p>
    <w:p w14:paraId="68CC1EC9" w14:textId="1F6F59F5"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[13] </w:t>
      </w:r>
      <w:r w:rsidRPr="00447A7A">
        <w:rPr>
          <w:rFonts w:ascii="Arial" w:hAnsi="Arial" w:cs="Arial"/>
        </w:rPr>
        <w:t>Han, X., Yuan, L., Li, Y., et al. (2017). Experimental studies on phase change and temperature-adjusting performance of phase change fabric clothing. Advances in Mechanical Engineering, 9(6), 168781401770390.</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https://doi.org/10.1177/1687814017703902</w:t>
      </w:r>
    </w:p>
    <w:p w14:paraId="3C2AD43C" w14:textId="38332A67"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[14] </w:t>
      </w:r>
      <w:r w:rsidRPr="00447A7A">
        <w:rPr>
          <w:rFonts w:ascii="Arial" w:hAnsi="Arial" w:cs="Arial"/>
        </w:rPr>
        <w:t>Song, S., Zhao, T., Zhu, W., et al. (2019). Natural microtubule-encapsulated phase-change material with suddenly high latent heat capacity and enhanced thermal conductivity. ACS Applied Materials &amp; Interfaces, 11(23), 20828–20837.</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https://doi.org/10.1021/acsami.9b04523</w:t>
      </w:r>
    </w:p>
    <w:p w14:paraId="365122D7" w14:textId="3DDB8DA0"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[15] </w:t>
      </w:r>
      <w:r w:rsidRPr="00447A7A">
        <w:rPr>
          <w:rFonts w:ascii="Arial" w:hAnsi="Arial" w:cs="Arial"/>
        </w:rPr>
        <w:t>Li, M., Tao, N., Yu, J., et al. (2015). Study on the preparation of microencapsulated tilapia oil by spray drying method. Journal of Shanghai Ocean University, 24(04), 617–624.</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https://www.shou.edu.cn/xuebao/</w:t>
      </w:r>
    </w:p>
    <w:p w14:paraId="11631CF0" w14:textId="118A0E3C"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[16] </w:t>
      </w:r>
      <w:r w:rsidRPr="00447A7A">
        <w:rPr>
          <w:rFonts w:ascii="Arial" w:hAnsi="Arial" w:cs="Arial"/>
        </w:rPr>
        <w:t>Zhang, Y., Zhao, Z., Zhang, X., et al. (2024). Interfacial polymerization method for preparing heat-resistant sorbitol aqueous solution microcapsules. Polymer Materials Science and Engineering, 40(01), 123–130.</w:t>
      </w:r>
    </w:p>
    <w:p w14:paraId="6E72A810" w14:textId="5060BE6D"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[17] </w:t>
      </w:r>
      <w:r w:rsidRPr="00447A7A">
        <w:rPr>
          <w:rFonts w:ascii="Arial" w:hAnsi="Arial" w:cs="Arial"/>
        </w:rPr>
        <w:t>Chang, Y., &amp; Sun, Z. (2022). Preparation and performance study of tetradecane microcapsules. Functional Materials, 53(07), 7196–7202.</w:t>
      </w:r>
    </w:p>
    <w:p w14:paraId="6AAA114F" w14:textId="4F8BC6C9"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[18] </w:t>
      </w:r>
      <w:r w:rsidRPr="00447A7A">
        <w:rPr>
          <w:rFonts w:ascii="Arial" w:hAnsi="Arial" w:cs="Arial"/>
        </w:rPr>
        <w:t>Li, F., Hu, R., Xu, Y., &amp; Zhao, T. (2019). Preparation and performance analysis of microencapsulated paraffin with the polystyrene shell. Journal of Petrochemical Universities, 32(5), 8.</w:t>
      </w:r>
    </w:p>
    <w:p w14:paraId="1B0E6024" w14:textId="65EFDC11"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[19] </w:t>
      </w:r>
      <w:r w:rsidRPr="00447A7A">
        <w:rPr>
          <w:rFonts w:ascii="Arial" w:hAnsi="Arial" w:cs="Arial"/>
        </w:rPr>
        <w:t>Chen, S., Song, C., Chen, Y., et al. (2024). Preparation of red yeast rice pigment microcapsules based on complex condensation method and their stability characterization. Food Science, 45(23), 221–231.</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https://doi.org/10.7506/spkx1002-6630-20240604-019</w:t>
      </w:r>
    </w:p>
    <w:p w14:paraId="1FFA5CE2" w14:textId="5F81A3D1"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[20] </w:t>
      </w:r>
      <w:r w:rsidRPr="00447A7A">
        <w:rPr>
          <w:rFonts w:ascii="Arial" w:hAnsi="Arial" w:cs="Arial"/>
        </w:rPr>
        <w:t>Tao, Z. (2021). Preparation of microcapsules by solvent evaporation phase separation method and performance study. Guangzhou Chemistry, 46(06), 37–42.</w:t>
      </w:r>
    </w:p>
    <w:p w14:paraId="7CD7E87E" w14:textId="5C7A940A"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[21] </w:t>
      </w:r>
      <w:r w:rsidRPr="00447A7A">
        <w:rPr>
          <w:rFonts w:ascii="Arial" w:hAnsi="Arial" w:cs="Arial"/>
        </w:rPr>
        <w:t>Zhang, Q. (2024). Microfluidic technology to construct algae oil nanomicrocapsules and their soft candy product development [Master’s thesis, Nanchang University].</w:t>
      </w:r>
    </w:p>
    <w:p w14:paraId="31D83193" w14:textId="6477B526"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[22] </w:t>
      </w:r>
      <w:r w:rsidRPr="00447A7A">
        <w:rPr>
          <w:rFonts w:ascii="Arial" w:hAnsi="Arial" w:cs="Arial"/>
        </w:rPr>
        <w:t>Pakrouh, R., Hosseini, M. J., Bahrampoury, R., et al. (2021). Cylindrical battery thermal management based on microencapsulated phase change slurry. Journal of Energy Storage, 40, 102602.</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https://doi.org/10.1016/J.EST.2021.102602</w:t>
      </w:r>
    </w:p>
    <w:p w14:paraId="71D70BE9" w14:textId="3BC8DDF0"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[23] </w:t>
      </w:r>
      <w:r w:rsidRPr="00447A7A">
        <w:rPr>
          <w:rFonts w:ascii="Arial" w:hAnsi="Arial" w:cs="Arial"/>
        </w:rPr>
        <w:t xml:space="preserve">Meng, X., Qin, S., Fan, H., et al. (2020). Long alkyl chain-grafted carbon nanotube-decorated binary-core phase-change microcapsules for heat energy storage: Synthesis and </w:t>
      </w:r>
      <w:r w:rsidRPr="00447A7A">
        <w:rPr>
          <w:rFonts w:ascii="Arial" w:hAnsi="Arial" w:cs="Arial"/>
        </w:rPr>
        <w:lastRenderedPageBreak/>
        <w:t>thermal properties. Solar Energy Materials and Solar Cells, 212, 110589.</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https://doi.org/10.1016/j.solmat.2020.110589</w:t>
      </w:r>
    </w:p>
    <w:p w14:paraId="72537B0F" w14:textId="3BE5A460"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[24] </w:t>
      </w:r>
      <w:r w:rsidRPr="00447A7A">
        <w:rPr>
          <w:rFonts w:ascii="Arial" w:hAnsi="Arial" w:cs="Arial"/>
        </w:rPr>
        <w:t>Tan, C., He, Y., Luo, B., et al. (2023). Microencapsulated phase change material with chitin nanocrystals stabilized Pickering emulsion for thermal energy storage. International Journal of Biological, 240, 124374.</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https://doi.org/10.1016/j.ijbiomac.2023.124374</w:t>
      </w:r>
    </w:p>
    <w:p w14:paraId="5BE5FFB0" w14:textId="2221DC3D"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[25] </w:t>
      </w:r>
      <w:r w:rsidRPr="00447A7A">
        <w:rPr>
          <w:rFonts w:ascii="Arial" w:hAnsi="Arial" w:cs="Arial"/>
        </w:rPr>
        <w:t>Sezer Hicyilmaz, A., Teke, S., Islekin Cin, Z., et al. (2022). Development of thermo-regulating fabrics with enhanced heat dissipation via graphene-modified n-octadecane microcapsules. Polymer Engineering and Science, 62(1), 210–219.</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https://doi.org/10.1002/pen.25845</w:t>
      </w:r>
    </w:p>
    <w:p w14:paraId="046485AE" w14:textId="511C391F"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[26] </w:t>
      </w:r>
      <w:r w:rsidRPr="00447A7A">
        <w:rPr>
          <w:rFonts w:ascii="Arial" w:hAnsi="Arial" w:cs="Arial"/>
        </w:rPr>
        <w:t>Li, L., Huang, Y., Li, Y., et al. (2024). Tuning the thermal conductivity of organic-inorganic double-shell thermal storage microcapsules triggered by atomic layer deposition. Journal of Alloys and Compounds, 990, 174449.</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https://doi.org/10.1016/j.jallcom.2024.174449</w:t>
      </w:r>
    </w:p>
    <w:p w14:paraId="1CF275CB" w14:textId="4BE4A2C7"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[27] </w:t>
      </w:r>
      <w:r w:rsidRPr="00447A7A">
        <w:rPr>
          <w:rFonts w:ascii="Arial" w:hAnsi="Arial" w:cs="Arial"/>
        </w:rPr>
        <w:t>Deng, H., Guo, Y., He, F., et al. (2019). Paraffin@graphene/silicon rubber form-stable phase change materials for thermal energy storage. Fullerenes Nanotubes and Carbon Nanostructures, 27(8), 626–631.</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https://doi.org/10.1080/1536383X.2019.1624539</w:t>
      </w:r>
    </w:p>
    <w:p w14:paraId="69A1F3A4" w14:textId="7BEB773B"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[28] </w:t>
      </w:r>
      <w:r w:rsidRPr="00447A7A">
        <w:rPr>
          <w:rFonts w:ascii="Arial" w:hAnsi="Arial" w:cs="Arial"/>
        </w:rPr>
        <w:t>Kang, M., Liu, Y., Liang, C., et al. (2023). Phase change material microcapsules with DOPO/Cu modified halloysite nanotubes for thermal controlling of buildings: Thermophysical properties, flame retardant performance and thermal comfort levels. International Journal of Heat and Mass Transfer, 207, 124045.</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https://doi.org/10.1016/j.ijheatmasstransfer.2023.124045</w:t>
      </w:r>
    </w:p>
    <w:p w14:paraId="544F9495" w14:textId="706F05BA"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[29] </w:t>
      </w:r>
      <w:r w:rsidRPr="00447A7A">
        <w:rPr>
          <w:rFonts w:ascii="Arial" w:hAnsi="Arial" w:cs="Arial"/>
        </w:rPr>
        <w:t>Zhao, L., Wu, X., Hu, X., et al. (2023). Enhanced thermal conductivity of phase change microcapsules based on boron nitride/graphene oxide composite sheets. ACS Applied Polymer Materials, 5(5), 3835–3847.</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https://doi.org/10.1021/acsapm.3c00403</w:t>
      </w:r>
    </w:p>
    <w:p w14:paraId="1285794E" w14:textId="25D16175" w:rsidR="00447A7A" w:rsidRPr="00447A7A" w:rsidRDefault="00447A7A" w:rsidP="00447A7A">
      <w:pPr>
        <w:pStyle w:val="Body"/>
        <w:spacing w:after="0"/>
        <w:rPr>
          <w:rFonts w:ascii="Arial" w:hAnsi="Arial" w:cs="Arial"/>
          <w:lang w:eastAsia="zh-CN"/>
        </w:rPr>
      </w:pPr>
      <w:r>
        <w:rPr>
          <w:rFonts w:ascii="Arial" w:hAnsi="Arial" w:cs="Arial" w:hint="eastAsia"/>
          <w:lang w:eastAsia="zh-CN"/>
        </w:rPr>
        <w:t xml:space="preserve">[30] </w:t>
      </w:r>
      <w:r w:rsidRPr="00447A7A">
        <w:rPr>
          <w:rFonts w:ascii="Arial" w:hAnsi="Arial" w:cs="Arial"/>
        </w:rPr>
        <w:t>Wu, X. H., Wang, C. H., Wang, Y. L., et al. (2019). Experimental Study of Thermo-Physical Properties and Application of Paraffin-Carbon Nanotubes Composite Phase Change Materials. International Journal of Heat and Mass Transfer, 140, 671–677.</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https://doi.org/10.1016/j.ijheatmasstransfer.2019.06.008</w:t>
      </w:r>
    </w:p>
    <w:p w14:paraId="74FA5ADC" w14:textId="5F86647F" w:rsidR="00285C44" w:rsidRPr="00447A7A" w:rsidRDefault="00447A7A" w:rsidP="00447A7A">
      <w:pPr>
        <w:pStyle w:val="Body"/>
        <w:spacing w:after="0"/>
        <w:rPr>
          <w:rFonts w:ascii="Arial" w:hAnsi="Arial" w:cs="Arial"/>
        </w:rPr>
      </w:pPr>
      <w:r>
        <w:rPr>
          <w:rFonts w:ascii="Arial" w:hAnsi="Arial" w:cs="Arial" w:hint="eastAsia"/>
          <w:lang w:eastAsia="zh-CN"/>
        </w:rPr>
        <w:t xml:space="preserve">[31] </w:t>
      </w:r>
      <w:r w:rsidRPr="00447A7A">
        <w:rPr>
          <w:rFonts w:ascii="Arial" w:hAnsi="Arial" w:cs="Arial"/>
        </w:rPr>
        <w:t>Li, M., Chen, M. R., &amp; Wu, Z. S. (2014). Enhancement in Thermal Property and Mechanical Property of Phase Change Microcapsule with Modified Carbon Nanotube. Applied Energy, 127, 166–171.</w:t>
      </w:r>
      <w:r w:rsidR="00FD6C41" w:rsidRPr="00FD6C41">
        <w:rPr>
          <w:rFonts w:ascii="Arial" w:eastAsia="Times New Roman" w:hAnsi="Arial" w:cs="Arial"/>
          <w:sz w:val="16"/>
          <w:szCs w:val="16"/>
        </w:rPr>
        <w:t xml:space="preserve"> </w:t>
      </w:r>
      <w:r w:rsidR="00FD6C41">
        <w:rPr>
          <w:rFonts w:ascii="Arial" w:eastAsia="Times New Roman" w:hAnsi="Arial" w:cs="Arial"/>
          <w:sz w:val="16"/>
          <w:szCs w:val="16"/>
        </w:rPr>
        <w:t>https://doi.org/10.1016/j.apenergy.2014.04.029</w:t>
      </w:r>
    </w:p>
    <w:sectPr w:rsidR="00285C44" w:rsidRPr="00447A7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92F39" w14:textId="77777777" w:rsidR="00AF2062" w:rsidRDefault="00AF2062" w:rsidP="00007BA1">
      <w:pPr>
        <w:spacing w:after="0" w:line="240" w:lineRule="auto"/>
      </w:pPr>
      <w:r>
        <w:separator/>
      </w:r>
    </w:p>
  </w:endnote>
  <w:endnote w:type="continuationSeparator" w:id="0">
    <w:p w14:paraId="5E02FA14" w14:textId="77777777" w:rsidR="00AF2062" w:rsidRDefault="00AF2062" w:rsidP="0000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F0D9C" w14:textId="77777777" w:rsidR="00DA3CEC" w:rsidRDefault="00DA3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DB31A" w14:textId="77777777" w:rsidR="00DA3CEC" w:rsidRDefault="00DA3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9D324" w14:textId="77777777" w:rsidR="00DA3CEC" w:rsidRDefault="00DA3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DBEFB" w14:textId="77777777" w:rsidR="00AF2062" w:rsidRDefault="00AF2062" w:rsidP="00007BA1">
      <w:pPr>
        <w:spacing w:after="0" w:line="240" w:lineRule="auto"/>
      </w:pPr>
      <w:r>
        <w:separator/>
      </w:r>
    </w:p>
  </w:footnote>
  <w:footnote w:type="continuationSeparator" w:id="0">
    <w:p w14:paraId="087CE6B1" w14:textId="77777777" w:rsidR="00AF2062" w:rsidRDefault="00AF2062" w:rsidP="00007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E545" w14:textId="2D254417" w:rsidR="00DA3CEC" w:rsidRDefault="00DA3CEC">
    <w:pPr>
      <w:pStyle w:val="Header"/>
    </w:pPr>
    <w:r>
      <w:rPr>
        <w:noProof/>
      </w:rPr>
      <w:pict w14:anchorId="3472A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5282"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61F5" w14:textId="3642E33D" w:rsidR="00DA3CEC" w:rsidRDefault="00DA3CEC">
    <w:pPr>
      <w:pStyle w:val="Header"/>
    </w:pPr>
    <w:r>
      <w:rPr>
        <w:noProof/>
      </w:rPr>
      <w:pict w14:anchorId="25A7E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5283"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8BBA1" w14:textId="57A164D2" w:rsidR="00DA3CEC" w:rsidRDefault="00DA3CEC">
    <w:pPr>
      <w:pStyle w:val="Header"/>
    </w:pPr>
    <w:r>
      <w:rPr>
        <w:noProof/>
      </w:rPr>
      <w:pict w14:anchorId="52711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5281"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5A7E96"/>
    <w:multiLevelType w:val="multilevel"/>
    <w:tmpl w:val="0F5CB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4A"/>
    <w:rsid w:val="00007BA1"/>
    <w:rsid w:val="00013027"/>
    <w:rsid w:val="00015AF9"/>
    <w:rsid w:val="00030160"/>
    <w:rsid w:val="00033204"/>
    <w:rsid w:val="00033D27"/>
    <w:rsid w:val="00041E5B"/>
    <w:rsid w:val="000450FC"/>
    <w:rsid w:val="000516C3"/>
    <w:rsid w:val="00061860"/>
    <w:rsid w:val="0006554E"/>
    <w:rsid w:val="000661DD"/>
    <w:rsid w:val="000679C8"/>
    <w:rsid w:val="00072B85"/>
    <w:rsid w:val="00072CA5"/>
    <w:rsid w:val="00075543"/>
    <w:rsid w:val="000838DB"/>
    <w:rsid w:val="00084C7A"/>
    <w:rsid w:val="00085B53"/>
    <w:rsid w:val="000B2EA1"/>
    <w:rsid w:val="000B6CAE"/>
    <w:rsid w:val="000C0243"/>
    <w:rsid w:val="000C4D9A"/>
    <w:rsid w:val="000C607F"/>
    <w:rsid w:val="000C69D2"/>
    <w:rsid w:val="000D6FFD"/>
    <w:rsid w:val="000E4538"/>
    <w:rsid w:val="000E4F30"/>
    <w:rsid w:val="000E76F7"/>
    <w:rsid w:val="000F2E5C"/>
    <w:rsid w:val="000F4F88"/>
    <w:rsid w:val="001023F2"/>
    <w:rsid w:val="00110C29"/>
    <w:rsid w:val="0012376A"/>
    <w:rsid w:val="00127391"/>
    <w:rsid w:val="00134905"/>
    <w:rsid w:val="00136A1E"/>
    <w:rsid w:val="00137046"/>
    <w:rsid w:val="00143364"/>
    <w:rsid w:val="00153917"/>
    <w:rsid w:val="001554AD"/>
    <w:rsid w:val="00155951"/>
    <w:rsid w:val="00164D19"/>
    <w:rsid w:val="0017342B"/>
    <w:rsid w:val="00183400"/>
    <w:rsid w:val="001834B5"/>
    <w:rsid w:val="00191F9E"/>
    <w:rsid w:val="001A00EC"/>
    <w:rsid w:val="001A4E29"/>
    <w:rsid w:val="001A54A6"/>
    <w:rsid w:val="001A708A"/>
    <w:rsid w:val="001B0C45"/>
    <w:rsid w:val="001B4095"/>
    <w:rsid w:val="001D082D"/>
    <w:rsid w:val="001D40E4"/>
    <w:rsid w:val="001E124B"/>
    <w:rsid w:val="001E36A8"/>
    <w:rsid w:val="001F2011"/>
    <w:rsid w:val="00210DEC"/>
    <w:rsid w:val="00217D92"/>
    <w:rsid w:val="00220406"/>
    <w:rsid w:val="00223387"/>
    <w:rsid w:val="00231A3B"/>
    <w:rsid w:val="00233399"/>
    <w:rsid w:val="0024580D"/>
    <w:rsid w:val="0026552B"/>
    <w:rsid w:val="002656EB"/>
    <w:rsid w:val="002701A8"/>
    <w:rsid w:val="00273CAA"/>
    <w:rsid w:val="00273D9E"/>
    <w:rsid w:val="0028049A"/>
    <w:rsid w:val="00285C44"/>
    <w:rsid w:val="002907B2"/>
    <w:rsid w:val="0029231C"/>
    <w:rsid w:val="0029316A"/>
    <w:rsid w:val="00293FC6"/>
    <w:rsid w:val="002942C1"/>
    <w:rsid w:val="00296334"/>
    <w:rsid w:val="002966BE"/>
    <w:rsid w:val="002A14EA"/>
    <w:rsid w:val="002B1BF9"/>
    <w:rsid w:val="002B7B06"/>
    <w:rsid w:val="002C0BEE"/>
    <w:rsid w:val="002C1E8D"/>
    <w:rsid w:val="002C7022"/>
    <w:rsid w:val="002D071A"/>
    <w:rsid w:val="002D177E"/>
    <w:rsid w:val="002D57AB"/>
    <w:rsid w:val="002D5855"/>
    <w:rsid w:val="002D7A8F"/>
    <w:rsid w:val="002E014C"/>
    <w:rsid w:val="002E047B"/>
    <w:rsid w:val="002E1544"/>
    <w:rsid w:val="002E20B0"/>
    <w:rsid w:val="002E3880"/>
    <w:rsid w:val="002F44BD"/>
    <w:rsid w:val="00303185"/>
    <w:rsid w:val="0030659D"/>
    <w:rsid w:val="00311FD7"/>
    <w:rsid w:val="003125D5"/>
    <w:rsid w:val="00313D08"/>
    <w:rsid w:val="00315DC1"/>
    <w:rsid w:val="00322FEA"/>
    <w:rsid w:val="00325846"/>
    <w:rsid w:val="003275AF"/>
    <w:rsid w:val="0034194E"/>
    <w:rsid w:val="003430F7"/>
    <w:rsid w:val="00345C0B"/>
    <w:rsid w:val="003478CA"/>
    <w:rsid w:val="00362502"/>
    <w:rsid w:val="003634AE"/>
    <w:rsid w:val="00363B80"/>
    <w:rsid w:val="00364069"/>
    <w:rsid w:val="00364F4D"/>
    <w:rsid w:val="00365D33"/>
    <w:rsid w:val="00370E9E"/>
    <w:rsid w:val="00371309"/>
    <w:rsid w:val="00383A92"/>
    <w:rsid w:val="003869B6"/>
    <w:rsid w:val="00386EE8"/>
    <w:rsid w:val="00392067"/>
    <w:rsid w:val="003B1F3E"/>
    <w:rsid w:val="003B4D5A"/>
    <w:rsid w:val="003C2176"/>
    <w:rsid w:val="003C3050"/>
    <w:rsid w:val="003D1889"/>
    <w:rsid w:val="003D1FDA"/>
    <w:rsid w:val="003F045B"/>
    <w:rsid w:val="003F41AE"/>
    <w:rsid w:val="003F7A9A"/>
    <w:rsid w:val="004040BD"/>
    <w:rsid w:val="00404464"/>
    <w:rsid w:val="00416135"/>
    <w:rsid w:val="00416316"/>
    <w:rsid w:val="0041765D"/>
    <w:rsid w:val="0042263C"/>
    <w:rsid w:val="00434A6D"/>
    <w:rsid w:val="00440BAF"/>
    <w:rsid w:val="004429CE"/>
    <w:rsid w:val="00447A7A"/>
    <w:rsid w:val="00455663"/>
    <w:rsid w:val="00455FE9"/>
    <w:rsid w:val="00456CCA"/>
    <w:rsid w:val="00457224"/>
    <w:rsid w:val="0046067E"/>
    <w:rsid w:val="004619F0"/>
    <w:rsid w:val="00464F87"/>
    <w:rsid w:val="004737EF"/>
    <w:rsid w:val="00474BFE"/>
    <w:rsid w:val="00481240"/>
    <w:rsid w:val="00492E56"/>
    <w:rsid w:val="004A28FE"/>
    <w:rsid w:val="004A6E5F"/>
    <w:rsid w:val="004B147B"/>
    <w:rsid w:val="004B6A45"/>
    <w:rsid w:val="004B79C0"/>
    <w:rsid w:val="004C016D"/>
    <w:rsid w:val="004C0C42"/>
    <w:rsid w:val="004C6630"/>
    <w:rsid w:val="004C6E9D"/>
    <w:rsid w:val="004C7A05"/>
    <w:rsid w:val="004D033B"/>
    <w:rsid w:val="004E06E8"/>
    <w:rsid w:val="004E1AC0"/>
    <w:rsid w:val="004E45A9"/>
    <w:rsid w:val="004E6A13"/>
    <w:rsid w:val="004F1EDF"/>
    <w:rsid w:val="004F230A"/>
    <w:rsid w:val="00503268"/>
    <w:rsid w:val="00510D1B"/>
    <w:rsid w:val="00515AE7"/>
    <w:rsid w:val="00522054"/>
    <w:rsid w:val="00531F23"/>
    <w:rsid w:val="00537B43"/>
    <w:rsid w:val="0054076C"/>
    <w:rsid w:val="00555E17"/>
    <w:rsid w:val="00566A5F"/>
    <w:rsid w:val="0057120C"/>
    <w:rsid w:val="00573C2C"/>
    <w:rsid w:val="00576A24"/>
    <w:rsid w:val="00582454"/>
    <w:rsid w:val="005918CE"/>
    <w:rsid w:val="005936EB"/>
    <w:rsid w:val="00595030"/>
    <w:rsid w:val="005970F7"/>
    <w:rsid w:val="005A1571"/>
    <w:rsid w:val="005A3310"/>
    <w:rsid w:val="005A7D6B"/>
    <w:rsid w:val="005B0171"/>
    <w:rsid w:val="005C0520"/>
    <w:rsid w:val="005C5549"/>
    <w:rsid w:val="005D31EE"/>
    <w:rsid w:val="005D3B8E"/>
    <w:rsid w:val="005E0469"/>
    <w:rsid w:val="005E31A5"/>
    <w:rsid w:val="005F1DDD"/>
    <w:rsid w:val="00615D1D"/>
    <w:rsid w:val="00620FA3"/>
    <w:rsid w:val="00635BD2"/>
    <w:rsid w:val="00640664"/>
    <w:rsid w:val="006435A0"/>
    <w:rsid w:val="0065430F"/>
    <w:rsid w:val="006567D5"/>
    <w:rsid w:val="0066554C"/>
    <w:rsid w:val="006705C7"/>
    <w:rsid w:val="0067363D"/>
    <w:rsid w:val="00691BBB"/>
    <w:rsid w:val="00695E8B"/>
    <w:rsid w:val="006A0BB7"/>
    <w:rsid w:val="006A2CE5"/>
    <w:rsid w:val="006B1C2C"/>
    <w:rsid w:val="006C0D02"/>
    <w:rsid w:val="006D06FD"/>
    <w:rsid w:val="006D698A"/>
    <w:rsid w:val="006E0953"/>
    <w:rsid w:val="006E0ED6"/>
    <w:rsid w:val="006E2B86"/>
    <w:rsid w:val="006E7E3B"/>
    <w:rsid w:val="006F304E"/>
    <w:rsid w:val="00700417"/>
    <w:rsid w:val="00710FCF"/>
    <w:rsid w:val="007112A6"/>
    <w:rsid w:val="00711CC2"/>
    <w:rsid w:val="007122AE"/>
    <w:rsid w:val="007154C3"/>
    <w:rsid w:val="00717511"/>
    <w:rsid w:val="0072044B"/>
    <w:rsid w:val="00725DC8"/>
    <w:rsid w:val="00726A28"/>
    <w:rsid w:val="007313FC"/>
    <w:rsid w:val="007344EC"/>
    <w:rsid w:val="00745B7B"/>
    <w:rsid w:val="007466A1"/>
    <w:rsid w:val="00752C58"/>
    <w:rsid w:val="0075683B"/>
    <w:rsid w:val="00757D04"/>
    <w:rsid w:val="00762B06"/>
    <w:rsid w:val="00767494"/>
    <w:rsid w:val="00770442"/>
    <w:rsid w:val="00773428"/>
    <w:rsid w:val="00780DB8"/>
    <w:rsid w:val="00780E85"/>
    <w:rsid w:val="00780E99"/>
    <w:rsid w:val="00785F36"/>
    <w:rsid w:val="007869F9"/>
    <w:rsid w:val="00787EF8"/>
    <w:rsid w:val="00794AB0"/>
    <w:rsid w:val="007A083B"/>
    <w:rsid w:val="007A0E83"/>
    <w:rsid w:val="007A1F4E"/>
    <w:rsid w:val="007A2AAE"/>
    <w:rsid w:val="007B1858"/>
    <w:rsid w:val="007C0326"/>
    <w:rsid w:val="007C184B"/>
    <w:rsid w:val="007C2E5A"/>
    <w:rsid w:val="007C57B8"/>
    <w:rsid w:val="007C5EF7"/>
    <w:rsid w:val="007C6360"/>
    <w:rsid w:val="007E266C"/>
    <w:rsid w:val="007E67AC"/>
    <w:rsid w:val="007E7C57"/>
    <w:rsid w:val="007F043C"/>
    <w:rsid w:val="007F4E21"/>
    <w:rsid w:val="00822C76"/>
    <w:rsid w:val="00824F91"/>
    <w:rsid w:val="00826B3E"/>
    <w:rsid w:val="0084140A"/>
    <w:rsid w:val="00847A5B"/>
    <w:rsid w:val="00856A92"/>
    <w:rsid w:val="00863C64"/>
    <w:rsid w:val="00866C98"/>
    <w:rsid w:val="00873602"/>
    <w:rsid w:val="00876BF5"/>
    <w:rsid w:val="008830CB"/>
    <w:rsid w:val="00885282"/>
    <w:rsid w:val="0088528E"/>
    <w:rsid w:val="008855CB"/>
    <w:rsid w:val="008936EA"/>
    <w:rsid w:val="00894ACF"/>
    <w:rsid w:val="008A43EE"/>
    <w:rsid w:val="008A4D7F"/>
    <w:rsid w:val="008A66DB"/>
    <w:rsid w:val="008B4548"/>
    <w:rsid w:val="008D071F"/>
    <w:rsid w:val="008D1528"/>
    <w:rsid w:val="008D2903"/>
    <w:rsid w:val="008E3065"/>
    <w:rsid w:val="008E407B"/>
    <w:rsid w:val="008E756B"/>
    <w:rsid w:val="008F0E33"/>
    <w:rsid w:val="008F19EA"/>
    <w:rsid w:val="008F35FA"/>
    <w:rsid w:val="008F4B05"/>
    <w:rsid w:val="00902E72"/>
    <w:rsid w:val="00911752"/>
    <w:rsid w:val="00911CD7"/>
    <w:rsid w:val="00914647"/>
    <w:rsid w:val="0091780D"/>
    <w:rsid w:val="0093397F"/>
    <w:rsid w:val="00935089"/>
    <w:rsid w:val="009400E3"/>
    <w:rsid w:val="009404AA"/>
    <w:rsid w:val="00944111"/>
    <w:rsid w:val="0094436E"/>
    <w:rsid w:val="00952D7D"/>
    <w:rsid w:val="00955E40"/>
    <w:rsid w:val="00963AD8"/>
    <w:rsid w:val="009739FA"/>
    <w:rsid w:val="0097426B"/>
    <w:rsid w:val="009800D7"/>
    <w:rsid w:val="009816EB"/>
    <w:rsid w:val="00981874"/>
    <w:rsid w:val="00981E39"/>
    <w:rsid w:val="00997C79"/>
    <w:rsid w:val="009A08D2"/>
    <w:rsid w:val="009A259D"/>
    <w:rsid w:val="009A36D6"/>
    <w:rsid w:val="009A42FF"/>
    <w:rsid w:val="009A46AC"/>
    <w:rsid w:val="009B0222"/>
    <w:rsid w:val="009B197E"/>
    <w:rsid w:val="009B23E3"/>
    <w:rsid w:val="009B365E"/>
    <w:rsid w:val="009B3F18"/>
    <w:rsid w:val="009C0D45"/>
    <w:rsid w:val="009D28EA"/>
    <w:rsid w:val="009D68C3"/>
    <w:rsid w:val="009D7566"/>
    <w:rsid w:val="009E2F45"/>
    <w:rsid w:val="009F0942"/>
    <w:rsid w:val="009F161A"/>
    <w:rsid w:val="009F1952"/>
    <w:rsid w:val="009F4C2A"/>
    <w:rsid w:val="009F514A"/>
    <w:rsid w:val="00A003D9"/>
    <w:rsid w:val="00A00F45"/>
    <w:rsid w:val="00A15C7E"/>
    <w:rsid w:val="00A20909"/>
    <w:rsid w:val="00A26128"/>
    <w:rsid w:val="00A40B26"/>
    <w:rsid w:val="00A45D46"/>
    <w:rsid w:val="00A468E9"/>
    <w:rsid w:val="00A535F4"/>
    <w:rsid w:val="00A556DA"/>
    <w:rsid w:val="00A5662A"/>
    <w:rsid w:val="00A61402"/>
    <w:rsid w:val="00A6452A"/>
    <w:rsid w:val="00A65FE5"/>
    <w:rsid w:val="00A6659D"/>
    <w:rsid w:val="00A70AD9"/>
    <w:rsid w:val="00A841A4"/>
    <w:rsid w:val="00A876D7"/>
    <w:rsid w:val="00A91C76"/>
    <w:rsid w:val="00A96A90"/>
    <w:rsid w:val="00AA61BE"/>
    <w:rsid w:val="00AB36C9"/>
    <w:rsid w:val="00AB4048"/>
    <w:rsid w:val="00AB4BDB"/>
    <w:rsid w:val="00AC4CB3"/>
    <w:rsid w:val="00AD0473"/>
    <w:rsid w:val="00AD179F"/>
    <w:rsid w:val="00AD62C3"/>
    <w:rsid w:val="00AD65DE"/>
    <w:rsid w:val="00AD7A05"/>
    <w:rsid w:val="00AE0D4A"/>
    <w:rsid w:val="00AE7AB9"/>
    <w:rsid w:val="00AF187B"/>
    <w:rsid w:val="00AF1B9A"/>
    <w:rsid w:val="00AF2062"/>
    <w:rsid w:val="00AF258A"/>
    <w:rsid w:val="00AF5DE0"/>
    <w:rsid w:val="00B00A2E"/>
    <w:rsid w:val="00B07B11"/>
    <w:rsid w:val="00B141F0"/>
    <w:rsid w:val="00B155B3"/>
    <w:rsid w:val="00B1768E"/>
    <w:rsid w:val="00B221E7"/>
    <w:rsid w:val="00B36508"/>
    <w:rsid w:val="00B42833"/>
    <w:rsid w:val="00B455FF"/>
    <w:rsid w:val="00B47D1E"/>
    <w:rsid w:val="00B5085B"/>
    <w:rsid w:val="00B57F04"/>
    <w:rsid w:val="00B621D9"/>
    <w:rsid w:val="00B970CF"/>
    <w:rsid w:val="00BB2A68"/>
    <w:rsid w:val="00BB3709"/>
    <w:rsid w:val="00BB554A"/>
    <w:rsid w:val="00BB66D0"/>
    <w:rsid w:val="00BD0E1C"/>
    <w:rsid w:val="00BD25B6"/>
    <w:rsid w:val="00BE1F5C"/>
    <w:rsid w:val="00BF40A2"/>
    <w:rsid w:val="00BF758F"/>
    <w:rsid w:val="00C01523"/>
    <w:rsid w:val="00C17A6D"/>
    <w:rsid w:val="00C3116C"/>
    <w:rsid w:val="00C42A9E"/>
    <w:rsid w:val="00C43F3A"/>
    <w:rsid w:val="00C44779"/>
    <w:rsid w:val="00C451A8"/>
    <w:rsid w:val="00C466A6"/>
    <w:rsid w:val="00C46C83"/>
    <w:rsid w:val="00C500FA"/>
    <w:rsid w:val="00C52D55"/>
    <w:rsid w:val="00C53DCE"/>
    <w:rsid w:val="00C57643"/>
    <w:rsid w:val="00C668E0"/>
    <w:rsid w:val="00C67DED"/>
    <w:rsid w:val="00C712F5"/>
    <w:rsid w:val="00C7437A"/>
    <w:rsid w:val="00C75AF7"/>
    <w:rsid w:val="00C769E8"/>
    <w:rsid w:val="00C81050"/>
    <w:rsid w:val="00C83B56"/>
    <w:rsid w:val="00C8405A"/>
    <w:rsid w:val="00C901CA"/>
    <w:rsid w:val="00C91098"/>
    <w:rsid w:val="00CA7518"/>
    <w:rsid w:val="00CB5D7D"/>
    <w:rsid w:val="00CB6040"/>
    <w:rsid w:val="00CC2A66"/>
    <w:rsid w:val="00CC3065"/>
    <w:rsid w:val="00CC3700"/>
    <w:rsid w:val="00CE01CF"/>
    <w:rsid w:val="00CE49AB"/>
    <w:rsid w:val="00CE74B8"/>
    <w:rsid w:val="00CF16FB"/>
    <w:rsid w:val="00D0713A"/>
    <w:rsid w:val="00D2236F"/>
    <w:rsid w:val="00D250ED"/>
    <w:rsid w:val="00D344AC"/>
    <w:rsid w:val="00D35756"/>
    <w:rsid w:val="00D422BB"/>
    <w:rsid w:val="00D51B93"/>
    <w:rsid w:val="00D6116E"/>
    <w:rsid w:val="00D647FE"/>
    <w:rsid w:val="00D71F4B"/>
    <w:rsid w:val="00D74B8F"/>
    <w:rsid w:val="00D74E12"/>
    <w:rsid w:val="00D84530"/>
    <w:rsid w:val="00D847C5"/>
    <w:rsid w:val="00D945FB"/>
    <w:rsid w:val="00D948A4"/>
    <w:rsid w:val="00D9655B"/>
    <w:rsid w:val="00DA01CE"/>
    <w:rsid w:val="00DA3CEC"/>
    <w:rsid w:val="00DA4E53"/>
    <w:rsid w:val="00DB0B9D"/>
    <w:rsid w:val="00DC258D"/>
    <w:rsid w:val="00DC4629"/>
    <w:rsid w:val="00DC4705"/>
    <w:rsid w:val="00DD01FC"/>
    <w:rsid w:val="00DD3769"/>
    <w:rsid w:val="00DD752F"/>
    <w:rsid w:val="00DE690D"/>
    <w:rsid w:val="00DE7C72"/>
    <w:rsid w:val="00DF22B5"/>
    <w:rsid w:val="00DF6DA6"/>
    <w:rsid w:val="00DF6EF8"/>
    <w:rsid w:val="00DF6FCA"/>
    <w:rsid w:val="00DF745E"/>
    <w:rsid w:val="00DF76C6"/>
    <w:rsid w:val="00E01092"/>
    <w:rsid w:val="00E01F73"/>
    <w:rsid w:val="00E033A4"/>
    <w:rsid w:val="00E05500"/>
    <w:rsid w:val="00E10876"/>
    <w:rsid w:val="00E112C6"/>
    <w:rsid w:val="00E123EE"/>
    <w:rsid w:val="00E27FAF"/>
    <w:rsid w:val="00E31BEB"/>
    <w:rsid w:val="00E326B3"/>
    <w:rsid w:val="00E32C40"/>
    <w:rsid w:val="00E3501F"/>
    <w:rsid w:val="00E378B5"/>
    <w:rsid w:val="00E411E3"/>
    <w:rsid w:val="00E44394"/>
    <w:rsid w:val="00E45B77"/>
    <w:rsid w:val="00E46692"/>
    <w:rsid w:val="00E46D34"/>
    <w:rsid w:val="00E474AE"/>
    <w:rsid w:val="00E5144F"/>
    <w:rsid w:val="00E5185D"/>
    <w:rsid w:val="00E5358C"/>
    <w:rsid w:val="00E53D09"/>
    <w:rsid w:val="00E57390"/>
    <w:rsid w:val="00E5772E"/>
    <w:rsid w:val="00E66218"/>
    <w:rsid w:val="00E73EC0"/>
    <w:rsid w:val="00E74605"/>
    <w:rsid w:val="00E74B00"/>
    <w:rsid w:val="00E77686"/>
    <w:rsid w:val="00E91A12"/>
    <w:rsid w:val="00E94386"/>
    <w:rsid w:val="00E9504F"/>
    <w:rsid w:val="00EA3E34"/>
    <w:rsid w:val="00EA4614"/>
    <w:rsid w:val="00EA590C"/>
    <w:rsid w:val="00EB1DFB"/>
    <w:rsid w:val="00EB6E47"/>
    <w:rsid w:val="00ED0A60"/>
    <w:rsid w:val="00ED1318"/>
    <w:rsid w:val="00ED654C"/>
    <w:rsid w:val="00EE4393"/>
    <w:rsid w:val="00EF0224"/>
    <w:rsid w:val="00EF0BCA"/>
    <w:rsid w:val="00EF1FEC"/>
    <w:rsid w:val="00EF240A"/>
    <w:rsid w:val="00EF379A"/>
    <w:rsid w:val="00EF3B3F"/>
    <w:rsid w:val="00F04B17"/>
    <w:rsid w:val="00F15B66"/>
    <w:rsid w:val="00F21B2B"/>
    <w:rsid w:val="00F24625"/>
    <w:rsid w:val="00F3513C"/>
    <w:rsid w:val="00F375A2"/>
    <w:rsid w:val="00F464A3"/>
    <w:rsid w:val="00F5148B"/>
    <w:rsid w:val="00F7124C"/>
    <w:rsid w:val="00F8440D"/>
    <w:rsid w:val="00F9111D"/>
    <w:rsid w:val="00F94B83"/>
    <w:rsid w:val="00F963A9"/>
    <w:rsid w:val="00F97FC7"/>
    <w:rsid w:val="00FB0082"/>
    <w:rsid w:val="00FB32D3"/>
    <w:rsid w:val="00FB704A"/>
    <w:rsid w:val="00FC094C"/>
    <w:rsid w:val="00FC1585"/>
    <w:rsid w:val="00FC1FA3"/>
    <w:rsid w:val="00FC3809"/>
    <w:rsid w:val="00FD02C7"/>
    <w:rsid w:val="00FD1953"/>
    <w:rsid w:val="00FD4DDC"/>
    <w:rsid w:val="00FD6A6B"/>
    <w:rsid w:val="00FD6C41"/>
    <w:rsid w:val="00FE619D"/>
    <w:rsid w:val="00FE68DF"/>
    <w:rsid w:val="00FF0119"/>
    <w:rsid w:val="00FF0A98"/>
    <w:rsid w:val="00FF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009EEC"/>
  <w15:chartTrackingRefBased/>
  <w15:docId w15:val="{D888A2BC-81D0-4E2D-9EA6-75596EF9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AE0D4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AE0D4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AE0D4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AE0D4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AE0D4A"/>
    <w:pPr>
      <w:keepNext/>
      <w:keepLines/>
      <w:spacing w:before="80" w:after="40"/>
      <w:outlineLvl w:val="4"/>
    </w:pPr>
    <w:rPr>
      <w:rFonts w:asciiTheme="minorHAnsi" w:eastAsiaTheme="min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0D4A"/>
    <w:pPr>
      <w:keepNext/>
      <w:keepLines/>
      <w:spacing w:before="40" w:after="0"/>
      <w:outlineLvl w:val="5"/>
    </w:pPr>
    <w:rPr>
      <w:rFonts w:asciiTheme="minorHAnsi" w:eastAsiaTheme="minorEastAsia" w:hAnsiTheme="minorHAnsi" w:cstheme="majorBidi"/>
      <w:b/>
      <w:bCs/>
      <w:color w:val="0F4761" w:themeColor="accent1" w:themeShade="BF"/>
    </w:rPr>
  </w:style>
  <w:style w:type="paragraph" w:styleId="Heading7">
    <w:name w:val="heading 7"/>
    <w:basedOn w:val="Normal"/>
    <w:next w:val="Normal"/>
    <w:link w:val="Heading7Char"/>
    <w:uiPriority w:val="9"/>
    <w:semiHidden/>
    <w:unhideWhenUsed/>
    <w:qFormat/>
    <w:rsid w:val="00AE0D4A"/>
    <w:pPr>
      <w:keepNext/>
      <w:keepLines/>
      <w:spacing w:before="40" w:after="0"/>
      <w:outlineLvl w:val="6"/>
    </w:pPr>
    <w:rPr>
      <w:rFonts w:asciiTheme="minorHAnsi" w:eastAsiaTheme="minorEastAsia" w:hAnsiTheme="minorHAnsi" w:cstheme="majorBidi"/>
      <w:b/>
      <w:bCs/>
      <w:color w:val="595959" w:themeColor="text1" w:themeTint="A6"/>
    </w:rPr>
  </w:style>
  <w:style w:type="paragraph" w:styleId="Heading8">
    <w:name w:val="heading 8"/>
    <w:basedOn w:val="Normal"/>
    <w:next w:val="Normal"/>
    <w:link w:val="Heading8Char"/>
    <w:uiPriority w:val="9"/>
    <w:semiHidden/>
    <w:unhideWhenUsed/>
    <w:qFormat/>
    <w:rsid w:val="00AE0D4A"/>
    <w:pPr>
      <w:keepNext/>
      <w:keepLines/>
      <w:spacing w:after="0"/>
      <w:outlineLvl w:val="7"/>
    </w:pPr>
    <w:rPr>
      <w:rFonts w:asciiTheme="minorHAnsi" w:eastAsiaTheme="minorEastAsia" w:hAnsiTheme="minorHAnsi" w:cstheme="majorBidi"/>
      <w:color w:val="595959" w:themeColor="text1" w:themeTint="A6"/>
    </w:rPr>
  </w:style>
  <w:style w:type="paragraph" w:styleId="Heading9">
    <w:name w:val="heading 9"/>
    <w:basedOn w:val="Normal"/>
    <w:next w:val="Normal"/>
    <w:link w:val="Heading9Char"/>
    <w:uiPriority w:val="9"/>
    <w:semiHidden/>
    <w:unhideWhenUsed/>
    <w:qFormat/>
    <w:rsid w:val="00AE0D4A"/>
    <w:pPr>
      <w:keepNext/>
      <w:keepLines/>
      <w:spacing w:after="0"/>
      <w:outlineLvl w:val="8"/>
    </w:pPr>
    <w:rPr>
      <w:rFonts w:asciiTheme="minorHAnsi" w:eastAsiaTheme="majorEastAsia" w:hAnsiTheme="min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D4A"/>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AE0D4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E0D4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AE0D4A"/>
    <w:rPr>
      <w:rFonts w:asciiTheme="minorHAnsi" w:eastAsiaTheme="minorEastAsia" w:hAnsiTheme="minorHAnsi"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AE0D4A"/>
    <w:rPr>
      <w:rFonts w:asciiTheme="minorHAnsi" w:eastAsiaTheme="min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0D4A"/>
    <w:rPr>
      <w:rFonts w:asciiTheme="minorHAnsi" w:eastAsiaTheme="minorEastAsia" w:hAnsiTheme="minorHAnsi" w:cstheme="majorBidi"/>
      <w:b/>
      <w:bCs/>
      <w:color w:val="0F4761" w:themeColor="accent1" w:themeShade="BF"/>
    </w:rPr>
  </w:style>
  <w:style w:type="character" w:customStyle="1" w:styleId="Heading7Char">
    <w:name w:val="Heading 7 Char"/>
    <w:basedOn w:val="DefaultParagraphFont"/>
    <w:link w:val="Heading7"/>
    <w:uiPriority w:val="9"/>
    <w:semiHidden/>
    <w:rsid w:val="00AE0D4A"/>
    <w:rPr>
      <w:rFonts w:asciiTheme="minorHAnsi" w:eastAsiaTheme="minorEastAsia" w:hAnsiTheme="minorHAnsi" w:cstheme="majorBidi"/>
      <w:b/>
      <w:bCs/>
      <w:color w:val="595959" w:themeColor="text1" w:themeTint="A6"/>
    </w:rPr>
  </w:style>
  <w:style w:type="character" w:customStyle="1" w:styleId="Heading8Char">
    <w:name w:val="Heading 8 Char"/>
    <w:basedOn w:val="DefaultParagraphFont"/>
    <w:link w:val="Heading8"/>
    <w:uiPriority w:val="9"/>
    <w:semiHidden/>
    <w:rsid w:val="00AE0D4A"/>
    <w:rPr>
      <w:rFonts w:asciiTheme="minorHAnsi" w:eastAsiaTheme="minorEastAsia" w:hAnsiTheme="minorHAnsi" w:cstheme="majorBidi"/>
      <w:color w:val="595959" w:themeColor="text1" w:themeTint="A6"/>
    </w:rPr>
  </w:style>
  <w:style w:type="character" w:customStyle="1" w:styleId="Heading9Char">
    <w:name w:val="Heading 9 Char"/>
    <w:basedOn w:val="DefaultParagraphFont"/>
    <w:link w:val="Heading9"/>
    <w:uiPriority w:val="9"/>
    <w:semiHidden/>
    <w:rsid w:val="00AE0D4A"/>
    <w:rPr>
      <w:rFonts w:asciiTheme="minorHAnsi" w:eastAsiaTheme="majorEastAsia" w:hAnsiTheme="minorHAnsi" w:cstheme="majorBidi"/>
      <w:color w:val="595959" w:themeColor="text1" w:themeTint="A6"/>
    </w:rPr>
  </w:style>
  <w:style w:type="paragraph" w:styleId="Title">
    <w:name w:val="Title"/>
    <w:basedOn w:val="Normal"/>
    <w:next w:val="Normal"/>
    <w:link w:val="TitleChar"/>
    <w:qFormat/>
    <w:rsid w:val="00AE0D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D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D4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E0D4A"/>
    <w:pPr>
      <w:spacing w:before="160"/>
      <w:jc w:val="center"/>
    </w:pPr>
    <w:rPr>
      <w:i/>
      <w:iCs/>
      <w:color w:val="404040" w:themeColor="text1" w:themeTint="BF"/>
    </w:rPr>
  </w:style>
  <w:style w:type="character" w:customStyle="1" w:styleId="QuoteChar">
    <w:name w:val="Quote Char"/>
    <w:basedOn w:val="DefaultParagraphFont"/>
    <w:link w:val="Quote"/>
    <w:uiPriority w:val="29"/>
    <w:rsid w:val="00AE0D4A"/>
    <w:rPr>
      <w:i/>
      <w:iCs/>
      <w:color w:val="404040" w:themeColor="text1" w:themeTint="BF"/>
    </w:rPr>
  </w:style>
  <w:style w:type="paragraph" w:styleId="ListParagraph">
    <w:name w:val="List Paragraph"/>
    <w:basedOn w:val="Normal"/>
    <w:uiPriority w:val="34"/>
    <w:qFormat/>
    <w:rsid w:val="00AE0D4A"/>
    <w:pPr>
      <w:ind w:left="720"/>
      <w:contextualSpacing/>
    </w:pPr>
  </w:style>
  <w:style w:type="character" w:styleId="IntenseEmphasis">
    <w:name w:val="Intense Emphasis"/>
    <w:basedOn w:val="DefaultParagraphFont"/>
    <w:uiPriority w:val="21"/>
    <w:qFormat/>
    <w:rsid w:val="00AE0D4A"/>
    <w:rPr>
      <w:i/>
      <w:iCs/>
      <w:color w:val="0F4761" w:themeColor="accent1" w:themeShade="BF"/>
    </w:rPr>
  </w:style>
  <w:style w:type="paragraph" w:styleId="IntenseQuote">
    <w:name w:val="Intense Quote"/>
    <w:basedOn w:val="Normal"/>
    <w:next w:val="Normal"/>
    <w:link w:val="IntenseQuoteChar"/>
    <w:uiPriority w:val="30"/>
    <w:qFormat/>
    <w:rsid w:val="00AE0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D4A"/>
    <w:rPr>
      <w:i/>
      <w:iCs/>
      <w:color w:val="0F4761" w:themeColor="accent1" w:themeShade="BF"/>
    </w:rPr>
  </w:style>
  <w:style w:type="character" w:styleId="IntenseReference">
    <w:name w:val="Intense Reference"/>
    <w:basedOn w:val="DefaultParagraphFont"/>
    <w:uiPriority w:val="32"/>
    <w:qFormat/>
    <w:rsid w:val="00AE0D4A"/>
    <w:rPr>
      <w:b/>
      <w:bCs/>
      <w:smallCaps/>
      <w:color w:val="0F4761" w:themeColor="accent1" w:themeShade="BF"/>
      <w:spacing w:val="5"/>
    </w:rPr>
  </w:style>
  <w:style w:type="paragraph" w:styleId="Header">
    <w:name w:val="header"/>
    <w:basedOn w:val="Normal"/>
    <w:link w:val="HeaderChar"/>
    <w:uiPriority w:val="99"/>
    <w:unhideWhenUsed/>
    <w:rsid w:val="00007BA1"/>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007BA1"/>
    <w:rPr>
      <w:sz w:val="18"/>
      <w:szCs w:val="18"/>
    </w:rPr>
  </w:style>
  <w:style w:type="paragraph" w:styleId="Footer">
    <w:name w:val="footer"/>
    <w:basedOn w:val="Normal"/>
    <w:link w:val="FooterChar"/>
    <w:uiPriority w:val="99"/>
    <w:unhideWhenUsed/>
    <w:rsid w:val="00007BA1"/>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007BA1"/>
    <w:rPr>
      <w:sz w:val="18"/>
      <w:szCs w:val="18"/>
    </w:rPr>
  </w:style>
  <w:style w:type="table" w:styleId="TableGrid">
    <w:name w:val="Table Grid"/>
    <w:basedOn w:val="TableNormal"/>
    <w:uiPriority w:val="39"/>
    <w:rsid w:val="00285C44"/>
    <w:pPr>
      <w:spacing w:after="0" w:line="240" w:lineRule="auto"/>
    </w:pPr>
    <w:rPr>
      <w:rFonts w:asciiTheme="minorHAnsi" w:eastAsiaTheme="minorEastAsia" w:hAnsiTheme="minorHAnsi" w:cstheme="minorBidi"/>
      <w:sz w:val="21"/>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Head">
    <w:name w:val="Conc Head"/>
    <w:basedOn w:val="Normal"/>
    <w:rsid w:val="00285C44"/>
    <w:pPr>
      <w:keepNext/>
      <w:widowControl/>
      <w:spacing w:after="240" w:line="240" w:lineRule="auto"/>
    </w:pPr>
    <w:rPr>
      <w:rFonts w:ascii="Helvetica" w:eastAsiaTheme="minorEastAsia" w:hAnsi="Helvetica"/>
      <w:b/>
      <w:caps/>
      <w:kern w:val="0"/>
      <w:sz w:val="22"/>
      <w:szCs w:val="20"/>
      <w:lang w:eastAsia="en-US"/>
      <w14:ligatures w14:val="none"/>
    </w:rPr>
  </w:style>
  <w:style w:type="paragraph" w:customStyle="1" w:styleId="ReferHead">
    <w:name w:val="Refer Head"/>
    <w:basedOn w:val="Normal"/>
    <w:rsid w:val="00464F87"/>
    <w:pPr>
      <w:keepNext/>
      <w:widowControl/>
      <w:spacing w:after="240" w:line="240" w:lineRule="auto"/>
    </w:pPr>
    <w:rPr>
      <w:rFonts w:ascii="Helvetica" w:eastAsiaTheme="minorEastAsia" w:hAnsi="Helvetica"/>
      <w:b/>
      <w:caps/>
      <w:kern w:val="0"/>
      <w:sz w:val="22"/>
      <w:szCs w:val="20"/>
      <w:lang w:eastAsia="en-US"/>
      <w14:ligatures w14:val="none"/>
    </w:rPr>
  </w:style>
  <w:style w:type="paragraph" w:customStyle="1" w:styleId="Body">
    <w:name w:val="Body"/>
    <w:basedOn w:val="Normal"/>
    <w:rsid w:val="00447A7A"/>
    <w:pPr>
      <w:widowControl/>
      <w:spacing w:after="240" w:line="240" w:lineRule="auto"/>
      <w:jc w:val="both"/>
    </w:pPr>
    <w:rPr>
      <w:rFonts w:ascii="Helvetica" w:eastAsiaTheme="minorEastAsia" w:hAnsi="Helvetica"/>
      <w:kern w:val="0"/>
      <w:sz w:val="20"/>
      <w:szCs w:val="20"/>
      <w:lang w:eastAsia="en-US"/>
      <w14:ligatures w14:val="none"/>
    </w:rPr>
  </w:style>
  <w:style w:type="character" w:styleId="Hyperlink">
    <w:name w:val="Hyperlink"/>
    <w:basedOn w:val="DefaultParagraphFont"/>
    <w:uiPriority w:val="99"/>
    <w:unhideWhenUsed/>
    <w:rsid w:val="00640664"/>
    <w:rPr>
      <w:color w:val="467886" w:themeColor="hyperlink"/>
      <w:u w:val="single"/>
    </w:rPr>
  </w:style>
  <w:style w:type="character" w:styleId="UnresolvedMention">
    <w:name w:val="Unresolved Mention"/>
    <w:basedOn w:val="DefaultParagraphFont"/>
    <w:uiPriority w:val="99"/>
    <w:semiHidden/>
    <w:unhideWhenUsed/>
    <w:rsid w:val="00640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50577">
      <w:bodyDiv w:val="1"/>
      <w:marLeft w:val="0"/>
      <w:marRight w:val="0"/>
      <w:marTop w:val="0"/>
      <w:marBottom w:val="0"/>
      <w:divBdr>
        <w:top w:val="none" w:sz="0" w:space="0" w:color="auto"/>
        <w:left w:val="none" w:sz="0" w:space="0" w:color="auto"/>
        <w:bottom w:val="none" w:sz="0" w:space="0" w:color="auto"/>
        <w:right w:val="none" w:sz="0" w:space="0" w:color="auto"/>
      </w:divBdr>
    </w:div>
    <w:div w:id="157254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19</Pages>
  <Words>7538</Words>
  <Characters>42971</Characters>
  <Application>Microsoft Office Word</Application>
  <DocSecurity>0</DocSecurity>
  <Lines>358</Lines>
  <Paragraphs>100</Paragraphs>
  <ScaleCrop>false</ScaleCrop>
  <Company/>
  <LinksUpToDate>false</LinksUpToDate>
  <CharactersWithSpaces>50409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浩麒 李</dc:creator>
  <cp:keywords/>
  <dc:description/>
  <cp:lastModifiedBy>SDI 1084</cp:lastModifiedBy>
  <cp:revision>6</cp:revision>
  <dcterms:created xsi:type="dcterms:W3CDTF">2025-12-11T08:53:00Z</dcterms:created>
  <dcterms:modified xsi:type="dcterms:W3CDTF">2025-12-18T11:56:00Z</dcterms:modified>
</cp:coreProperties>
</file>