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7AF42" w14:textId="024F63A0" w:rsidR="000A3F29" w:rsidRPr="000A3F29" w:rsidRDefault="000A3F29" w:rsidP="000A3F29">
      <w:pPr>
        <w:spacing w:before="100" w:beforeAutospacing="1" w:after="100" w:afterAutospacing="1" w:line="360" w:lineRule="auto"/>
        <w:outlineLvl w:val="0"/>
        <w:rPr>
          <w:rFonts w:ascii="Calibri" w:eastAsia="Times New Roman" w:hAnsi="Calibri" w:cs="Calibri"/>
          <w:b/>
          <w:bCs/>
          <w:kern w:val="36"/>
          <w:sz w:val="28"/>
          <w:szCs w:val="28"/>
          <w:u w:val="single"/>
          <w:lang w:val="en-US"/>
          <w14:ligatures w14:val="none"/>
        </w:rPr>
      </w:pPr>
      <w:r w:rsidRPr="000A3F29">
        <w:rPr>
          <w:rFonts w:ascii="Calibri" w:eastAsia="Times New Roman" w:hAnsi="Calibri" w:cs="Calibri"/>
          <w:b/>
          <w:bCs/>
          <w:kern w:val="36"/>
          <w:sz w:val="28"/>
          <w:szCs w:val="28"/>
          <w:u w:val="single"/>
          <w:lang w:val="en-US"/>
          <w14:ligatures w14:val="none"/>
        </w:rPr>
        <w:t>Original Research Article</w:t>
      </w:r>
    </w:p>
    <w:p w14:paraId="1D91DE22" w14:textId="16FB2A75" w:rsidR="0051231B" w:rsidRPr="00F620E5" w:rsidRDefault="0051231B" w:rsidP="000A3F29">
      <w:pPr>
        <w:spacing w:before="100" w:beforeAutospacing="1" w:after="100" w:afterAutospacing="1" w:line="360" w:lineRule="auto"/>
        <w:outlineLvl w:val="0"/>
        <w:rPr>
          <w:rFonts w:ascii="Calibri" w:eastAsia="Times New Roman" w:hAnsi="Calibri" w:cs="Calibri"/>
          <w:b/>
          <w:bCs/>
          <w:kern w:val="36"/>
          <w:sz w:val="28"/>
          <w:szCs w:val="28"/>
          <w:lang w:val="en-US"/>
          <w14:ligatures w14:val="none"/>
        </w:rPr>
      </w:pPr>
      <w:r w:rsidRPr="00F620E5">
        <w:rPr>
          <w:rFonts w:ascii="Calibri" w:eastAsia="Times New Roman" w:hAnsi="Calibri" w:cs="Calibri"/>
          <w:b/>
          <w:bCs/>
          <w:kern w:val="36"/>
          <w:sz w:val="28"/>
          <w:szCs w:val="28"/>
          <w:lang w:val="en-US"/>
          <w14:ligatures w14:val="none"/>
        </w:rPr>
        <w:t>Cost-Effectiveness and Reliability of Gas and Diesel Energy Supply for Telecommunication Base Stations: A Comparative Analysis</w:t>
      </w:r>
    </w:p>
    <w:p w14:paraId="3237E91B" w14:textId="77777777" w:rsidR="00F620E5" w:rsidRDefault="00F620E5" w:rsidP="0051231B">
      <w:pPr>
        <w:spacing w:before="100" w:beforeAutospacing="1" w:after="100" w:afterAutospacing="1" w:line="360" w:lineRule="auto"/>
        <w:jc w:val="both"/>
        <w:outlineLvl w:val="1"/>
        <w:rPr>
          <w:rFonts w:ascii="Calibri" w:eastAsia="Times New Roman" w:hAnsi="Calibri" w:cs="Calibri"/>
          <w:b/>
          <w:bCs/>
          <w:kern w:val="0"/>
          <w:lang w:val="en-US"/>
          <w14:ligatures w14:val="none"/>
        </w:rPr>
      </w:pPr>
      <w:bookmarkStart w:id="0" w:name="_GoBack"/>
      <w:bookmarkEnd w:id="0"/>
    </w:p>
    <w:p w14:paraId="25F66FD3" w14:textId="77777777" w:rsidR="0051231B" w:rsidRPr="00F620E5" w:rsidRDefault="00F620E5" w:rsidP="0051231B">
      <w:pPr>
        <w:spacing w:before="100" w:beforeAutospacing="1" w:after="100" w:afterAutospacing="1" w:line="360" w:lineRule="auto"/>
        <w:jc w:val="both"/>
        <w:outlineLvl w:val="1"/>
        <w:rPr>
          <w:rFonts w:ascii="Calibri" w:eastAsia="Times New Roman" w:hAnsi="Calibri" w:cs="Calibri"/>
          <w:b/>
          <w:bCs/>
          <w:kern w:val="0"/>
          <w:lang w:val="en-US"/>
          <w14:ligatures w14:val="none"/>
        </w:rPr>
      </w:pPr>
      <w:r w:rsidRPr="00F620E5">
        <w:rPr>
          <w:rFonts w:ascii="Calibri" w:eastAsia="Times New Roman" w:hAnsi="Calibri" w:cs="Calibri"/>
          <w:b/>
          <w:bCs/>
          <w:kern w:val="0"/>
          <w:lang w:val="en-US"/>
          <w14:ligatures w14:val="none"/>
        </w:rPr>
        <w:t>ABSTRACT</w:t>
      </w:r>
    </w:p>
    <w:p w14:paraId="7A2CC246"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This study provides a comprehensive comparative analysis of the CAT C-15 Diesel electrical power generator and the CAT G3516 electrical power gas generator by integrating Reliability, Availability, and Maintainability (RAM) metrics with Levelized Cost of Electricity (LCOE) modeling to assess their technical and economic performance for telecommunication base station applications. The gas generator system demonstrated superior reliability with higher Mean Time Between Failures (MTBF) and lower failure rates across major subsystems, translating to greater operational uptime. Economically, the LCOE results showed a strong advantage for the gas generator, maintaining lower costs across all discount rates tested ($0.25/kWh at 10% to $0.41/kWh at 30%) compared to diesel ($0.94/kWh to $1.06/kWh). Despite higher upfront capital costs, the gas system's lower operational costs and longer lifespan (25 years vs. 15 years) significantly contributed to its economic efficiency. These findings support broader adoption of gas-powered systems in telecommunication infrastructure where lifecycle cost and operational dependability are critical.</w:t>
      </w:r>
    </w:p>
    <w:p w14:paraId="2225E25B" w14:textId="77777777" w:rsidR="0051231B" w:rsidRPr="00695B9D" w:rsidRDefault="0051231B" w:rsidP="0051231B">
      <w:pPr>
        <w:spacing w:before="100" w:beforeAutospacing="1" w:after="100" w:afterAutospacing="1" w:line="360" w:lineRule="auto"/>
        <w:jc w:val="both"/>
        <w:rPr>
          <w:rFonts w:ascii="Calibri" w:eastAsia="Times New Roman" w:hAnsi="Calibri" w:cs="Calibri"/>
          <w:b/>
          <w:kern w:val="0"/>
          <w:lang w:val="en-US"/>
          <w14:ligatures w14:val="none"/>
        </w:rPr>
      </w:pPr>
      <w:r w:rsidRPr="00695B9D">
        <w:rPr>
          <w:rFonts w:ascii="Calibri" w:eastAsia="Times New Roman" w:hAnsi="Calibri" w:cs="Calibri"/>
          <w:b/>
          <w:bCs/>
          <w:kern w:val="0"/>
          <w:lang w:val="en-US"/>
          <w14:ligatures w14:val="none"/>
        </w:rPr>
        <w:t>Keywords:</w:t>
      </w:r>
      <w:r w:rsidR="00695B9D">
        <w:rPr>
          <w:rFonts w:ascii="Calibri" w:eastAsia="Times New Roman" w:hAnsi="Calibri" w:cs="Calibri"/>
          <w:b/>
          <w:kern w:val="0"/>
          <w:lang w:val="en-US"/>
          <w14:ligatures w14:val="none"/>
        </w:rPr>
        <w:t xml:space="preserve"> LCOE, T</w:t>
      </w:r>
      <w:r w:rsidRPr="00695B9D">
        <w:rPr>
          <w:rFonts w:ascii="Calibri" w:eastAsia="Times New Roman" w:hAnsi="Calibri" w:cs="Calibri"/>
          <w:b/>
          <w:kern w:val="0"/>
          <w:lang w:val="en-US"/>
          <w14:ligatures w14:val="none"/>
        </w:rPr>
        <w:t>elecommunication infrastructure, gas generator, diesel generator, RAM analysis</w:t>
      </w:r>
    </w:p>
    <w:p w14:paraId="22697854" w14:textId="77777777" w:rsidR="0051231B" w:rsidRPr="0051231B" w:rsidRDefault="0051231B" w:rsidP="0051231B">
      <w:pPr>
        <w:spacing w:after="0" w:line="360" w:lineRule="auto"/>
        <w:jc w:val="both"/>
        <w:rPr>
          <w:rFonts w:ascii="Calibri" w:eastAsia="Times New Roman" w:hAnsi="Calibri" w:cs="Calibri"/>
          <w:kern w:val="0"/>
          <w:lang w:val="en-US"/>
          <w14:ligatures w14:val="none"/>
        </w:rPr>
      </w:pPr>
    </w:p>
    <w:p w14:paraId="4339FBFE" w14:textId="77777777" w:rsidR="00252DA3" w:rsidRDefault="00252DA3">
      <w:pPr>
        <w:rPr>
          <w:rFonts w:ascii="Calibri" w:eastAsia="Times New Roman" w:hAnsi="Calibri" w:cs="Calibri"/>
          <w:bCs/>
          <w:kern w:val="0"/>
          <w:lang w:val="en-US"/>
          <w14:ligatures w14:val="none"/>
        </w:rPr>
      </w:pPr>
      <w:r>
        <w:rPr>
          <w:rFonts w:ascii="Calibri" w:eastAsia="Times New Roman" w:hAnsi="Calibri" w:cs="Calibri"/>
          <w:bCs/>
          <w:kern w:val="0"/>
          <w:lang w:val="en-US"/>
          <w14:ligatures w14:val="none"/>
        </w:rPr>
        <w:br w:type="page"/>
      </w:r>
    </w:p>
    <w:p w14:paraId="22851212" w14:textId="77777777" w:rsidR="000E1AEA" w:rsidRPr="000E1AEA" w:rsidRDefault="000E1AEA" w:rsidP="000E1AEA">
      <w:pPr>
        <w:pStyle w:val="ListParagraph"/>
        <w:numPr>
          <w:ilvl w:val="0"/>
          <w:numId w:val="5"/>
        </w:numPr>
        <w:spacing w:before="100" w:beforeAutospacing="1" w:after="100" w:afterAutospacing="1" w:line="360" w:lineRule="auto"/>
        <w:jc w:val="both"/>
        <w:outlineLvl w:val="1"/>
        <w:rPr>
          <w:rFonts w:ascii="Calibri" w:eastAsia="Times New Roman" w:hAnsi="Calibri" w:cs="Calibri"/>
          <w:b/>
          <w:bCs/>
          <w:kern w:val="0"/>
          <w:lang w:val="en-US"/>
          <w14:ligatures w14:val="none"/>
        </w:rPr>
      </w:pPr>
      <w:r>
        <w:rPr>
          <w:rFonts w:ascii="Calibri" w:eastAsia="Times New Roman" w:hAnsi="Calibri" w:cs="Calibri"/>
          <w:b/>
          <w:bCs/>
          <w:kern w:val="0"/>
          <w:lang w:val="en-US"/>
          <w14:ligatures w14:val="none"/>
        </w:rPr>
        <w:lastRenderedPageBreak/>
        <w:t>I</w:t>
      </w:r>
      <w:r w:rsidR="00A95FB9" w:rsidRPr="000E1AEA">
        <w:rPr>
          <w:rFonts w:ascii="Calibri" w:eastAsia="Times New Roman" w:hAnsi="Calibri" w:cs="Calibri"/>
          <w:b/>
          <w:bCs/>
          <w:kern w:val="0"/>
          <w:lang w:val="en-US"/>
          <w14:ligatures w14:val="none"/>
        </w:rPr>
        <w:t>NTRODUCTION</w:t>
      </w:r>
      <w:r w:rsidRPr="000E1AEA">
        <w:rPr>
          <w:rFonts w:ascii="Calibri" w:eastAsia="Times New Roman" w:hAnsi="Calibri" w:cs="Calibri"/>
          <w:b/>
          <w:bCs/>
          <w:kern w:val="0"/>
          <w:lang w:val="en-US"/>
          <w14:ligatures w14:val="none"/>
        </w:rPr>
        <w:t xml:space="preserve"> </w:t>
      </w:r>
    </w:p>
    <w:p w14:paraId="66130B5D" w14:textId="77777777" w:rsidR="00C1107D" w:rsidRPr="00D1315F" w:rsidRDefault="00C1107D" w:rsidP="00C1107D">
      <w:pPr>
        <w:spacing w:before="100" w:beforeAutospacing="1" w:after="100" w:afterAutospacing="1" w:line="360" w:lineRule="auto"/>
        <w:jc w:val="both"/>
        <w:outlineLvl w:val="1"/>
        <w:rPr>
          <w:rFonts w:ascii="Calibri" w:eastAsia="Times New Roman" w:hAnsi="Calibri" w:cs="Calibri"/>
          <w:bCs/>
          <w:kern w:val="0"/>
          <w:lang w:val="en-US"/>
          <w14:ligatures w14:val="none"/>
        </w:rPr>
      </w:pPr>
      <w:r w:rsidRPr="00C1107D">
        <w:rPr>
          <w:rFonts w:ascii="Calibri" w:eastAsia="Times New Roman" w:hAnsi="Calibri" w:cs="Calibri"/>
          <w:bCs/>
          <w:kern w:val="0"/>
          <w:lang w:val="en-US"/>
          <w14:ligatures w14:val="none"/>
        </w:rPr>
        <w:t>A reliable and uninterrupted power supply is fundamental to the optimal functioning of telecommunications infrastructure, with particular emphasis on base transceiver stations (BTS) and masts</w:t>
      </w:r>
      <w:r>
        <w:rPr>
          <w:rFonts w:ascii="Calibri" w:eastAsia="Times New Roman" w:hAnsi="Calibri" w:cs="Calibri"/>
          <w:bCs/>
          <w:kern w:val="0"/>
          <w:lang w:val="en-US"/>
          <w14:ligatures w14:val="none"/>
        </w:rPr>
        <w:t xml:space="preserve">, </w:t>
      </w:r>
      <w:r w:rsidR="00D1315F">
        <w:rPr>
          <w:rFonts w:ascii="Calibri" w:eastAsia="Times New Roman" w:hAnsi="Calibri" w:cs="Calibri"/>
          <w:bCs/>
          <w:kern w:val="0"/>
          <w:lang w:val="en-US"/>
          <w14:ligatures w14:val="none"/>
        </w:rPr>
        <w:t xml:space="preserve">which are </w:t>
      </w:r>
      <w:r w:rsidRPr="00C1107D">
        <w:rPr>
          <w:rFonts w:ascii="Calibri" w:eastAsia="Times New Roman" w:hAnsi="Calibri" w:cs="Calibri"/>
          <w:bCs/>
          <w:kern w:val="0"/>
          <w:lang w:val="en-US"/>
          <w14:ligatures w14:val="none"/>
        </w:rPr>
        <w:t xml:space="preserve">critical elements in sustaining robust mobile network coverage and internet connectivity (Cabrera-Tobar </w:t>
      </w:r>
      <w:r w:rsidR="005D4285" w:rsidRPr="005D4285">
        <w:rPr>
          <w:rFonts w:ascii="Calibri" w:eastAsia="Times New Roman" w:hAnsi="Calibri" w:cs="Calibri"/>
          <w:bCs/>
          <w:i/>
          <w:kern w:val="0"/>
          <w:lang w:val="en-US"/>
          <w14:ligatures w14:val="none"/>
        </w:rPr>
        <w:t>et al</w:t>
      </w:r>
      <w:r w:rsidRPr="00C1107D">
        <w:rPr>
          <w:rFonts w:ascii="Calibri" w:eastAsia="Times New Roman" w:hAnsi="Calibri" w:cs="Calibri"/>
          <w:bCs/>
          <w:kern w:val="0"/>
          <w:lang w:val="en-US"/>
          <w14:ligatures w14:val="none"/>
        </w:rPr>
        <w:t xml:space="preserve">., 2025; Gómez-Luna </w:t>
      </w:r>
      <w:r w:rsidR="005D4285" w:rsidRPr="005D4285">
        <w:rPr>
          <w:rFonts w:ascii="Calibri" w:eastAsia="Times New Roman" w:hAnsi="Calibri" w:cs="Calibri"/>
          <w:bCs/>
          <w:i/>
          <w:kern w:val="0"/>
          <w:lang w:val="en-US"/>
          <w14:ligatures w14:val="none"/>
        </w:rPr>
        <w:t>et al</w:t>
      </w:r>
      <w:r w:rsidRPr="00C1107D">
        <w:rPr>
          <w:rFonts w:ascii="Calibri" w:eastAsia="Times New Roman" w:hAnsi="Calibri" w:cs="Calibri"/>
          <w:bCs/>
          <w:kern w:val="0"/>
          <w:lang w:val="en-US"/>
          <w14:ligatures w14:val="none"/>
        </w:rPr>
        <w:t xml:space="preserve">., 2025). As Nigeria and other developing economies witness the rapid expansion of digital services, telecommunication networks have emerged as pivotal drivers of socio-economic advancement, underpinning commercial activities, emergency management, and everyday interactions (Allen &amp; Kofi, 2024; </w:t>
      </w:r>
      <w:proofErr w:type="spellStart"/>
      <w:r w:rsidRPr="00C1107D">
        <w:rPr>
          <w:rFonts w:ascii="Calibri" w:eastAsia="Times New Roman" w:hAnsi="Calibri" w:cs="Calibri"/>
          <w:bCs/>
          <w:kern w:val="0"/>
          <w:lang w:val="en-US"/>
          <w14:ligatures w14:val="none"/>
        </w:rPr>
        <w:t>Deevela</w:t>
      </w:r>
      <w:proofErr w:type="spellEnd"/>
      <w:r w:rsidRPr="00C1107D">
        <w:rPr>
          <w:rFonts w:ascii="Calibri" w:eastAsia="Times New Roman" w:hAnsi="Calibri" w:cs="Calibri"/>
          <w:bCs/>
          <w:kern w:val="0"/>
          <w:lang w:val="en-US"/>
          <w14:ligatures w14:val="none"/>
        </w:rPr>
        <w:t xml:space="preserve"> </w:t>
      </w:r>
      <w:r w:rsidR="005D4285" w:rsidRPr="005D4285">
        <w:rPr>
          <w:rFonts w:ascii="Calibri" w:eastAsia="Times New Roman" w:hAnsi="Calibri" w:cs="Calibri"/>
          <w:bCs/>
          <w:i/>
          <w:kern w:val="0"/>
          <w:lang w:val="en-US"/>
          <w14:ligatures w14:val="none"/>
        </w:rPr>
        <w:t>et al</w:t>
      </w:r>
      <w:r w:rsidRPr="00C1107D">
        <w:rPr>
          <w:rFonts w:ascii="Calibri" w:eastAsia="Times New Roman" w:hAnsi="Calibri" w:cs="Calibri"/>
          <w:bCs/>
          <w:kern w:val="0"/>
          <w:lang w:val="en-US"/>
          <w14:ligatures w14:val="none"/>
        </w:rPr>
        <w:t>., 2024). The continuous, round-the-clock operation of telecom base stations is thus of strategic importance; nonetheless, in regions such as Nigeria, this imperative is frequently hindered by persistent instability in the public electricity grid. Contemporary research indicates that unreliable grid power constitutes a principal factor in network outages, compelling operators to rely extensively on on-site generators and hybrid energy solutions (</w:t>
      </w:r>
      <w:proofErr w:type="spellStart"/>
      <w:r w:rsidRPr="00C1107D">
        <w:rPr>
          <w:rFonts w:ascii="Calibri" w:eastAsia="Times New Roman" w:hAnsi="Calibri" w:cs="Calibri"/>
          <w:bCs/>
          <w:kern w:val="0"/>
          <w:lang w:val="en-US"/>
          <w14:ligatures w14:val="none"/>
        </w:rPr>
        <w:t>Tchike</w:t>
      </w:r>
      <w:proofErr w:type="spellEnd"/>
      <w:r w:rsidRPr="00C1107D">
        <w:rPr>
          <w:rFonts w:ascii="Calibri" w:eastAsia="Times New Roman" w:hAnsi="Calibri" w:cs="Calibri"/>
          <w:bCs/>
          <w:kern w:val="0"/>
          <w:lang w:val="en-US"/>
          <w14:ligatures w14:val="none"/>
        </w:rPr>
        <w:t xml:space="preserve"> </w:t>
      </w:r>
      <w:r w:rsidR="005D4285" w:rsidRPr="005D4285">
        <w:rPr>
          <w:rFonts w:ascii="Calibri" w:eastAsia="Times New Roman" w:hAnsi="Calibri" w:cs="Calibri"/>
          <w:bCs/>
          <w:i/>
          <w:kern w:val="0"/>
          <w:lang w:val="en-US"/>
          <w14:ligatures w14:val="none"/>
        </w:rPr>
        <w:t>et al</w:t>
      </w:r>
      <w:r w:rsidRPr="00D1315F">
        <w:rPr>
          <w:rFonts w:ascii="Calibri" w:eastAsia="Times New Roman" w:hAnsi="Calibri" w:cs="Calibri"/>
          <w:bCs/>
          <w:kern w:val="0"/>
          <w:lang w:val="en-US"/>
          <w14:ligatures w14:val="none"/>
        </w:rPr>
        <w:t xml:space="preserve">., 2024; </w:t>
      </w:r>
      <w:proofErr w:type="spellStart"/>
      <w:r w:rsidRPr="00D1315F">
        <w:rPr>
          <w:rFonts w:ascii="Calibri" w:eastAsia="Times New Roman" w:hAnsi="Calibri" w:cs="Calibri"/>
          <w:bCs/>
          <w:kern w:val="0"/>
          <w:lang w:val="en-US"/>
          <w14:ligatures w14:val="none"/>
        </w:rPr>
        <w:t>Ikegwuonu</w:t>
      </w:r>
      <w:proofErr w:type="spellEnd"/>
      <w:r w:rsidRPr="00D1315F">
        <w:rPr>
          <w:rFonts w:ascii="Calibri" w:eastAsia="Times New Roman" w:hAnsi="Calibri" w:cs="Calibri"/>
          <w:bCs/>
          <w:kern w:val="0"/>
          <w:lang w:val="en-US"/>
          <w14:ligatures w14:val="none"/>
        </w:rPr>
        <w:t xml:space="preserve"> </w:t>
      </w:r>
      <w:r w:rsidR="005D4285" w:rsidRPr="005D4285">
        <w:rPr>
          <w:rFonts w:ascii="Calibri" w:eastAsia="Times New Roman" w:hAnsi="Calibri" w:cs="Calibri"/>
          <w:bCs/>
          <w:i/>
          <w:kern w:val="0"/>
          <w:lang w:val="en-US"/>
          <w14:ligatures w14:val="none"/>
        </w:rPr>
        <w:t>et al</w:t>
      </w:r>
      <w:r w:rsidRPr="00D1315F">
        <w:rPr>
          <w:rFonts w:ascii="Calibri" w:eastAsia="Times New Roman" w:hAnsi="Calibri" w:cs="Calibri"/>
          <w:bCs/>
          <w:kern w:val="0"/>
          <w:lang w:val="en-US"/>
          <w14:ligatures w14:val="none"/>
        </w:rPr>
        <w:t>., 2025).</w:t>
      </w:r>
    </w:p>
    <w:p w14:paraId="03A7CBED" w14:textId="77777777" w:rsidR="00D1315F" w:rsidRPr="00D1315F" w:rsidRDefault="00D1315F" w:rsidP="00D1315F">
      <w:pPr>
        <w:spacing w:before="100" w:beforeAutospacing="1" w:after="100" w:afterAutospacing="1" w:line="360" w:lineRule="auto"/>
        <w:jc w:val="both"/>
        <w:outlineLvl w:val="1"/>
        <w:rPr>
          <w:rFonts w:ascii="Calibri" w:eastAsia="Times New Roman" w:hAnsi="Calibri" w:cs="Calibri"/>
          <w:bCs/>
          <w:kern w:val="0"/>
          <w:lang w:val="en-US"/>
          <w14:ligatures w14:val="none"/>
        </w:rPr>
      </w:pPr>
      <w:r w:rsidRPr="00D1315F">
        <w:rPr>
          <w:rFonts w:ascii="Calibri" w:eastAsia="Times New Roman" w:hAnsi="Calibri" w:cs="Calibri"/>
          <w:bCs/>
          <w:kern w:val="0"/>
          <w:lang w:val="en-US"/>
          <w14:ligatures w14:val="none"/>
        </w:rPr>
        <w:t xml:space="preserve">In Nigeria, chronic grid failures, frequent voltage fluctuations, and insufficient generation capacity necessitate that telecommunications operators depend heavily on dedicated diesel generators to sustain network availability. According to </w:t>
      </w:r>
      <w:proofErr w:type="spellStart"/>
      <w:r w:rsidRPr="00D1315F">
        <w:rPr>
          <w:rFonts w:ascii="Calibri" w:eastAsia="Times New Roman" w:hAnsi="Calibri" w:cs="Calibri"/>
          <w:bCs/>
          <w:kern w:val="0"/>
          <w:lang w:val="en-US"/>
          <w14:ligatures w14:val="none"/>
        </w:rPr>
        <w:t>Ikegwuonu</w:t>
      </w:r>
      <w:proofErr w:type="spellEnd"/>
      <w:r w:rsidRPr="00D1315F">
        <w:rPr>
          <w:rFonts w:ascii="Calibri" w:eastAsia="Times New Roman" w:hAnsi="Calibri" w:cs="Calibri"/>
          <w:bCs/>
          <w:kern w:val="0"/>
          <w:lang w:val="en-US"/>
          <w14:ligatures w14:val="none"/>
        </w:rPr>
        <w:t xml:space="preserve"> </w:t>
      </w:r>
      <w:r w:rsidR="005D4285" w:rsidRPr="005D4285">
        <w:rPr>
          <w:rFonts w:ascii="Calibri" w:eastAsia="Times New Roman" w:hAnsi="Calibri" w:cs="Calibri"/>
          <w:bCs/>
          <w:i/>
          <w:kern w:val="0"/>
          <w:lang w:val="en-US"/>
          <w14:ligatures w14:val="none"/>
        </w:rPr>
        <w:t>et al</w:t>
      </w:r>
      <w:r w:rsidRPr="00D1315F">
        <w:rPr>
          <w:rFonts w:ascii="Calibri" w:eastAsia="Times New Roman" w:hAnsi="Calibri" w:cs="Calibri"/>
          <w:bCs/>
          <w:kern w:val="0"/>
          <w:lang w:val="en-US"/>
          <w14:ligatures w14:val="none"/>
        </w:rPr>
        <w:t xml:space="preserve">. (2025), more than 50,000 base transceiver stations across the country predominantly operate on diesel power. This dependence carries substantial financial burdens; sector analyses reveal that Nigerian telecommunications firms collectively expend in excess of $350 million each year on diesel fuel alone as a consequence of unreliable grid electricity (Guardian Nigeria, 2025). Comparable observations are made by </w:t>
      </w:r>
      <w:r>
        <w:rPr>
          <w:rFonts w:ascii="Calibri" w:eastAsia="Times New Roman" w:hAnsi="Calibri" w:cs="Calibri"/>
          <w:bCs/>
          <w:kern w:val="0"/>
          <w:lang w:val="en-US"/>
          <w14:ligatures w14:val="none"/>
        </w:rPr>
        <w:t xml:space="preserve">different research groups </w:t>
      </w:r>
      <w:r w:rsidRPr="00D1315F">
        <w:rPr>
          <w:rFonts w:ascii="Calibri" w:eastAsia="Times New Roman" w:hAnsi="Calibri" w:cs="Calibri"/>
          <w:bCs/>
          <w:kern w:val="0"/>
          <w:lang w:val="en-US"/>
          <w14:ligatures w14:val="none"/>
        </w:rPr>
        <w:t>who highlight that reliance on diesel-only systems markedly elevates operational costs, especially for remote or off-grid base stations</w:t>
      </w:r>
      <w:r>
        <w:rPr>
          <w:rFonts w:ascii="Calibri" w:eastAsia="Times New Roman" w:hAnsi="Calibri" w:cs="Calibri"/>
          <w:bCs/>
          <w:kern w:val="0"/>
          <w:lang w:val="en-US"/>
          <w14:ligatures w14:val="none"/>
        </w:rPr>
        <w:t xml:space="preserve"> (</w:t>
      </w:r>
      <w:proofErr w:type="spellStart"/>
      <w:r w:rsidRPr="00D1315F">
        <w:rPr>
          <w:rFonts w:ascii="Calibri" w:eastAsia="Times New Roman" w:hAnsi="Calibri" w:cs="Calibri"/>
          <w:bCs/>
          <w:kern w:val="0"/>
          <w:lang w:val="en-US"/>
          <w14:ligatures w14:val="none"/>
        </w:rPr>
        <w:t>Oviroh</w:t>
      </w:r>
      <w:proofErr w:type="spellEnd"/>
      <w:r w:rsidRPr="00D1315F">
        <w:rPr>
          <w:rFonts w:ascii="Calibri" w:eastAsia="Times New Roman" w:hAnsi="Calibri" w:cs="Calibri"/>
          <w:bCs/>
          <w:kern w:val="0"/>
          <w:lang w:val="en-US"/>
          <w14:ligatures w14:val="none"/>
        </w:rPr>
        <w:t xml:space="preserve"> &amp; Jen</w:t>
      </w:r>
      <w:r>
        <w:rPr>
          <w:rFonts w:ascii="Calibri" w:eastAsia="Times New Roman" w:hAnsi="Calibri" w:cs="Calibri"/>
          <w:bCs/>
          <w:kern w:val="0"/>
          <w:lang w:val="en-US"/>
          <w14:ligatures w14:val="none"/>
        </w:rPr>
        <w:t>,</w:t>
      </w:r>
      <w:r w:rsidRPr="00D1315F">
        <w:rPr>
          <w:rFonts w:ascii="Calibri" w:eastAsia="Times New Roman" w:hAnsi="Calibri" w:cs="Calibri"/>
          <w:bCs/>
          <w:kern w:val="0"/>
          <w:lang w:val="en-US"/>
          <w14:ligatures w14:val="none"/>
        </w:rPr>
        <w:t xml:space="preserve"> 2018</w:t>
      </w:r>
      <w:r>
        <w:rPr>
          <w:rFonts w:ascii="Calibri" w:eastAsia="Times New Roman" w:hAnsi="Calibri" w:cs="Calibri"/>
          <w:bCs/>
          <w:kern w:val="0"/>
          <w:lang w:val="en-US"/>
          <w14:ligatures w14:val="none"/>
        </w:rPr>
        <w:t xml:space="preserve">; </w:t>
      </w:r>
      <w:proofErr w:type="spellStart"/>
      <w:r w:rsidRPr="00D1315F">
        <w:rPr>
          <w:rFonts w:ascii="Calibri" w:eastAsia="Times New Roman" w:hAnsi="Calibri" w:cs="Calibri"/>
          <w:bCs/>
          <w:kern w:val="0"/>
          <w:lang w:val="en-US"/>
          <w14:ligatures w14:val="none"/>
        </w:rPr>
        <w:t>Danyaya</w:t>
      </w:r>
      <w:proofErr w:type="spellEnd"/>
      <w:r w:rsidRPr="00D1315F">
        <w:rPr>
          <w:rFonts w:ascii="Calibri" w:eastAsia="Times New Roman" w:hAnsi="Calibri" w:cs="Calibri"/>
          <w:bCs/>
          <w:kern w:val="0"/>
          <w:lang w:val="en-US"/>
          <w14:ligatures w14:val="none"/>
        </w:rPr>
        <w:t xml:space="preserve"> </w:t>
      </w:r>
      <w:r w:rsidR="005D4285" w:rsidRPr="005D4285">
        <w:rPr>
          <w:rFonts w:ascii="Calibri" w:eastAsia="Times New Roman" w:hAnsi="Calibri" w:cs="Calibri"/>
          <w:bCs/>
          <w:i/>
          <w:kern w:val="0"/>
          <w:lang w:val="en-US"/>
          <w14:ligatures w14:val="none"/>
        </w:rPr>
        <w:t>et al</w:t>
      </w:r>
      <w:r w:rsidRPr="00D1315F">
        <w:rPr>
          <w:rFonts w:ascii="Calibri" w:eastAsia="Times New Roman" w:hAnsi="Calibri" w:cs="Calibri"/>
          <w:bCs/>
          <w:i/>
          <w:kern w:val="0"/>
          <w:lang w:val="en-US"/>
          <w14:ligatures w14:val="none"/>
        </w:rPr>
        <w:t>.,</w:t>
      </w:r>
      <w:r w:rsidRPr="00D1315F">
        <w:rPr>
          <w:rFonts w:ascii="Calibri" w:eastAsia="Times New Roman" w:hAnsi="Calibri" w:cs="Calibri"/>
          <w:bCs/>
          <w:kern w:val="0"/>
          <w:lang w:val="en-US"/>
          <w14:ligatures w14:val="none"/>
        </w:rPr>
        <w:t xml:space="preserve"> 2024).</w:t>
      </w:r>
    </w:p>
    <w:p w14:paraId="5746EE1B" w14:textId="77777777" w:rsidR="00D349D0" w:rsidRPr="00D349D0" w:rsidRDefault="00D349D0" w:rsidP="00D349D0">
      <w:pPr>
        <w:spacing w:before="100" w:beforeAutospacing="1" w:after="100" w:afterAutospacing="1" w:line="360" w:lineRule="auto"/>
        <w:jc w:val="both"/>
        <w:outlineLvl w:val="1"/>
        <w:rPr>
          <w:rFonts w:ascii="Calibri" w:eastAsia="Times New Roman" w:hAnsi="Calibri" w:cs="Calibri"/>
          <w:bCs/>
          <w:kern w:val="0"/>
          <w:lang w:val="en-US"/>
          <w14:ligatures w14:val="none"/>
        </w:rPr>
      </w:pPr>
      <w:r w:rsidRPr="00D349D0">
        <w:rPr>
          <w:rFonts w:ascii="Calibri" w:eastAsia="Times New Roman" w:hAnsi="Calibri" w:cs="Calibri"/>
          <w:bCs/>
          <w:kern w:val="0"/>
          <w:lang w:val="en-US"/>
          <w14:ligatures w14:val="none"/>
        </w:rPr>
        <w:t>While diesel generators demonstrate considerable operational dependability, they nevertheless present significant economic and environmental challenges. The lifecycle costs associated with these systems are substantially elevated due to fluctuating fuel prices, intensive maintenance demands, and reduced equipment longevity (</w:t>
      </w:r>
      <w:proofErr w:type="spellStart"/>
      <w:r w:rsidRPr="00D349D0">
        <w:rPr>
          <w:rFonts w:ascii="Calibri" w:eastAsia="Times New Roman" w:hAnsi="Calibri" w:cs="Calibri"/>
          <w:bCs/>
          <w:kern w:val="0"/>
          <w:lang w:val="en-US"/>
          <w14:ligatures w14:val="none"/>
        </w:rPr>
        <w:t>Oviroh</w:t>
      </w:r>
      <w:proofErr w:type="spellEnd"/>
      <w:r w:rsidRPr="00D349D0">
        <w:rPr>
          <w:rFonts w:ascii="Calibri" w:eastAsia="Times New Roman" w:hAnsi="Calibri" w:cs="Calibri"/>
          <w:bCs/>
          <w:kern w:val="0"/>
          <w:lang w:val="en-US"/>
          <w14:ligatures w14:val="none"/>
        </w:rPr>
        <w:t xml:space="preserve"> &amp; Jen, 2018; </w:t>
      </w:r>
      <w:proofErr w:type="spellStart"/>
      <w:r w:rsidRPr="00D349D0">
        <w:rPr>
          <w:rFonts w:ascii="Calibri" w:eastAsia="Times New Roman" w:hAnsi="Calibri" w:cs="Calibri"/>
          <w:bCs/>
          <w:kern w:val="0"/>
          <w:lang w:val="en-US"/>
          <w14:ligatures w14:val="none"/>
        </w:rPr>
        <w:t>Danyaya</w:t>
      </w:r>
      <w:proofErr w:type="spellEnd"/>
      <w:r w:rsidRPr="00D349D0">
        <w:rPr>
          <w:rFonts w:ascii="Calibri" w:eastAsia="Times New Roman" w:hAnsi="Calibri" w:cs="Calibri"/>
          <w:bCs/>
          <w:kern w:val="0"/>
          <w:lang w:val="en-US"/>
          <w14:ligatures w14:val="none"/>
        </w:rPr>
        <w:t xml:space="preserve"> </w:t>
      </w:r>
      <w:r w:rsidRPr="00D349D0">
        <w:rPr>
          <w:rFonts w:ascii="Calibri" w:eastAsia="Times New Roman" w:hAnsi="Calibri" w:cs="Calibri"/>
          <w:bCs/>
          <w:i/>
          <w:kern w:val="0"/>
          <w:lang w:val="en-US"/>
          <w14:ligatures w14:val="none"/>
        </w:rPr>
        <w:t>et al.,</w:t>
      </w:r>
      <w:r w:rsidRPr="00D349D0">
        <w:rPr>
          <w:rFonts w:ascii="Calibri" w:eastAsia="Times New Roman" w:hAnsi="Calibri" w:cs="Calibri"/>
          <w:bCs/>
          <w:kern w:val="0"/>
          <w:lang w:val="en-US"/>
          <w14:ligatures w14:val="none"/>
        </w:rPr>
        <w:t xml:space="preserve"> 2024). From an environmental perspective, the combustion of diesel fuel produces substantial volumes of greenhouse gas emissions and particulate matter, thereby </w:t>
      </w:r>
      <w:r w:rsidRPr="00D349D0">
        <w:rPr>
          <w:rFonts w:ascii="Calibri" w:eastAsia="Times New Roman" w:hAnsi="Calibri" w:cs="Calibri"/>
          <w:bCs/>
          <w:kern w:val="0"/>
          <w:lang w:val="en-US"/>
          <w14:ligatures w14:val="none"/>
        </w:rPr>
        <w:lastRenderedPageBreak/>
        <w:t>intensifying local air quality degradation and contributing to wider climatic consequences (</w:t>
      </w:r>
      <w:proofErr w:type="spellStart"/>
      <w:r w:rsidRPr="00D349D0">
        <w:rPr>
          <w:rFonts w:ascii="Calibri" w:eastAsia="Times New Roman" w:hAnsi="Calibri" w:cs="Calibri"/>
          <w:bCs/>
          <w:kern w:val="0"/>
          <w:lang w:val="en-US"/>
          <w14:ligatures w14:val="none"/>
        </w:rPr>
        <w:t>Deevela</w:t>
      </w:r>
      <w:proofErr w:type="spellEnd"/>
      <w:r w:rsidRPr="00D349D0">
        <w:rPr>
          <w:rFonts w:ascii="Calibri" w:eastAsia="Times New Roman" w:hAnsi="Calibri" w:cs="Calibri"/>
          <w:bCs/>
          <w:kern w:val="0"/>
          <w:lang w:val="en-US"/>
          <w14:ligatures w14:val="none"/>
        </w:rPr>
        <w:t xml:space="preserve"> </w:t>
      </w:r>
      <w:r w:rsidRPr="00D349D0">
        <w:rPr>
          <w:rFonts w:ascii="Calibri" w:eastAsia="Times New Roman" w:hAnsi="Calibri" w:cs="Calibri"/>
          <w:bCs/>
          <w:i/>
          <w:kern w:val="0"/>
          <w:lang w:val="en-US"/>
          <w14:ligatures w14:val="none"/>
        </w:rPr>
        <w:t>et al.,</w:t>
      </w:r>
      <w:r w:rsidRPr="00D349D0">
        <w:rPr>
          <w:rFonts w:ascii="Calibri" w:eastAsia="Times New Roman" w:hAnsi="Calibri" w:cs="Calibri"/>
          <w:bCs/>
          <w:kern w:val="0"/>
          <w:lang w:val="en-US"/>
          <w14:ligatures w14:val="none"/>
        </w:rPr>
        <w:t xml:space="preserve"> 2024; Olanrewaju </w:t>
      </w:r>
      <w:r w:rsidRPr="00D349D0">
        <w:rPr>
          <w:rFonts w:ascii="Calibri" w:eastAsia="Times New Roman" w:hAnsi="Calibri" w:cs="Calibri"/>
          <w:bCs/>
          <w:i/>
          <w:kern w:val="0"/>
          <w:lang w:val="en-US"/>
          <w14:ligatures w14:val="none"/>
        </w:rPr>
        <w:t>et al.,</w:t>
      </w:r>
      <w:r w:rsidRPr="00D349D0">
        <w:rPr>
          <w:rFonts w:ascii="Calibri" w:eastAsia="Times New Roman" w:hAnsi="Calibri" w:cs="Calibri"/>
          <w:bCs/>
          <w:kern w:val="0"/>
          <w:lang w:val="en-US"/>
          <w14:ligatures w14:val="none"/>
        </w:rPr>
        <w:t xml:space="preserve"> 2025). Such concerns assume heightened importance in densely populated urban environments, where concentrated generator usage amplifies public health vulnerabilities (Allen &amp; Kofi, 2024).</w:t>
      </w:r>
    </w:p>
    <w:p w14:paraId="572965B0" w14:textId="77777777" w:rsidR="000E1AEA" w:rsidRPr="000E1AEA" w:rsidRDefault="000E1AEA" w:rsidP="000E1AEA">
      <w:pPr>
        <w:spacing w:before="100" w:beforeAutospacing="1" w:after="100" w:afterAutospacing="1" w:line="360" w:lineRule="auto"/>
        <w:jc w:val="both"/>
        <w:outlineLvl w:val="1"/>
        <w:rPr>
          <w:rFonts w:ascii="Calibri" w:eastAsia="Times New Roman" w:hAnsi="Calibri" w:cs="Calibri"/>
          <w:bCs/>
          <w:kern w:val="0"/>
          <w:lang w:val="en-US"/>
          <w14:ligatures w14:val="none"/>
        </w:rPr>
      </w:pPr>
      <w:r w:rsidRPr="000E1AEA">
        <w:rPr>
          <w:rFonts w:ascii="Calibri" w:eastAsia="Times New Roman" w:hAnsi="Calibri" w:cs="Calibri"/>
          <w:bCs/>
          <w:kern w:val="0"/>
          <w:lang w:val="en-US"/>
          <w14:ligatures w14:val="none"/>
        </w:rPr>
        <w:t>In respons</w:t>
      </w:r>
      <w:r w:rsidR="0034345B">
        <w:rPr>
          <w:rFonts w:ascii="Calibri" w:eastAsia="Times New Roman" w:hAnsi="Calibri" w:cs="Calibri"/>
          <w:bCs/>
          <w:kern w:val="0"/>
          <w:lang w:val="en-US"/>
          <w14:ligatures w14:val="none"/>
        </w:rPr>
        <w:t xml:space="preserve">e, gas-fueled generator systems, </w:t>
      </w:r>
      <w:r w:rsidRPr="000E1AEA">
        <w:rPr>
          <w:rFonts w:ascii="Calibri" w:eastAsia="Times New Roman" w:hAnsi="Calibri" w:cs="Calibri"/>
          <w:bCs/>
          <w:kern w:val="0"/>
          <w:lang w:val="en-US"/>
          <w14:ligatures w14:val="none"/>
        </w:rPr>
        <w:t>using natural gas or liquefied petroleum gas</w:t>
      </w:r>
      <w:r w:rsidR="0034345B">
        <w:rPr>
          <w:rFonts w:ascii="Calibri" w:eastAsia="Times New Roman" w:hAnsi="Calibri" w:cs="Calibri"/>
          <w:bCs/>
          <w:kern w:val="0"/>
          <w:lang w:val="en-US"/>
          <w14:ligatures w14:val="none"/>
        </w:rPr>
        <w:t>,</w:t>
      </w:r>
      <w:r w:rsidR="00135864">
        <w:rPr>
          <w:rFonts w:ascii="Calibri" w:eastAsia="Times New Roman" w:hAnsi="Calibri" w:cs="Calibri"/>
          <w:bCs/>
          <w:kern w:val="0"/>
          <w:lang w:val="en-US"/>
          <w14:ligatures w14:val="none"/>
        </w:rPr>
        <w:t xml:space="preserve"> </w:t>
      </w:r>
      <w:r w:rsidRPr="000E1AEA">
        <w:rPr>
          <w:rFonts w:ascii="Calibri" w:eastAsia="Times New Roman" w:hAnsi="Calibri" w:cs="Calibri"/>
          <w:bCs/>
          <w:kern w:val="0"/>
          <w:lang w:val="en-US"/>
          <w14:ligatures w14:val="none"/>
        </w:rPr>
        <w:t>have gained growing attention as cleaner alternatives for continuous and backup power generation. Comparative assessments indicate that gas generators offer lower emissions, reduced fuel costs, and extended maintenance intervals due to cleaner combustion characteristics (</w:t>
      </w:r>
      <w:r w:rsidR="0034345B">
        <w:rPr>
          <w:rFonts w:ascii="Calibri" w:eastAsia="Times New Roman" w:hAnsi="Calibri" w:cs="Calibri"/>
          <w:bCs/>
          <w:kern w:val="0"/>
          <w:lang w:val="en-US"/>
          <w14:ligatures w14:val="none"/>
        </w:rPr>
        <w:t xml:space="preserve">Goli </w:t>
      </w:r>
      <w:r w:rsidR="005D4285" w:rsidRPr="005D4285">
        <w:rPr>
          <w:rFonts w:ascii="Calibri" w:eastAsia="Times New Roman" w:hAnsi="Calibri" w:cs="Calibri"/>
          <w:bCs/>
          <w:i/>
          <w:kern w:val="0"/>
          <w:lang w:val="en-US"/>
          <w14:ligatures w14:val="none"/>
        </w:rPr>
        <w:t>et al</w:t>
      </w:r>
      <w:r w:rsidR="0034345B">
        <w:rPr>
          <w:rFonts w:ascii="Calibri" w:eastAsia="Times New Roman" w:hAnsi="Calibri" w:cs="Calibri"/>
          <w:bCs/>
          <w:kern w:val="0"/>
          <w:lang w:val="en-US"/>
          <w14:ligatures w14:val="none"/>
        </w:rPr>
        <w:t>., 2025</w:t>
      </w:r>
      <w:r w:rsidRPr="000E1AEA">
        <w:rPr>
          <w:rFonts w:ascii="Calibri" w:eastAsia="Times New Roman" w:hAnsi="Calibri" w:cs="Calibri"/>
          <w:bCs/>
          <w:kern w:val="0"/>
          <w:lang w:val="en-US"/>
          <w14:ligatures w14:val="none"/>
        </w:rPr>
        <w:t xml:space="preserve">; </w:t>
      </w:r>
      <w:r w:rsidR="0067535D">
        <w:rPr>
          <w:rFonts w:ascii="Calibri" w:eastAsia="Times New Roman" w:hAnsi="Calibri" w:cs="Calibri"/>
          <w:bCs/>
          <w:kern w:val="0"/>
          <w:lang w:val="en-US"/>
          <w14:ligatures w14:val="none"/>
        </w:rPr>
        <w:t xml:space="preserve">Li </w:t>
      </w:r>
      <w:r w:rsidR="005D4285" w:rsidRPr="005D4285">
        <w:rPr>
          <w:rFonts w:ascii="Calibri" w:eastAsia="Times New Roman" w:hAnsi="Calibri" w:cs="Calibri"/>
          <w:bCs/>
          <w:i/>
          <w:kern w:val="0"/>
          <w:lang w:val="en-US"/>
          <w14:ligatures w14:val="none"/>
        </w:rPr>
        <w:t>et al</w:t>
      </w:r>
      <w:r w:rsidR="0067535D">
        <w:rPr>
          <w:rFonts w:ascii="Calibri" w:eastAsia="Times New Roman" w:hAnsi="Calibri" w:cs="Calibri"/>
          <w:bCs/>
          <w:kern w:val="0"/>
          <w:lang w:val="en-US"/>
          <w14:ligatures w14:val="none"/>
        </w:rPr>
        <w:t xml:space="preserve">., </w:t>
      </w:r>
      <w:r w:rsidRPr="000E1AEA">
        <w:rPr>
          <w:rFonts w:ascii="Calibri" w:eastAsia="Times New Roman" w:hAnsi="Calibri" w:cs="Calibri"/>
          <w:bCs/>
          <w:kern w:val="0"/>
          <w:lang w:val="en-US"/>
          <w14:ligatures w14:val="none"/>
        </w:rPr>
        <w:t>2025). Market analyses further show increasing adoption of natural-gas generators in telecommunications infrastructure, driven by favorable lifecycle economics and decarbonization goals (</w:t>
      </w:r>
      <w:proofErr w:type="spellStart"/>
      <w:r w:rsidR="0067535D" w:rsidRPr="00C52612">
        <w:rPr>
          <w:rFonts w:ascii="Calibri" w:hAnsi="Calibri" w:cs="Calibri"/>
        </w:rPr>
        <w:t>Kaitwade</w:t>
      </w:r>
      <w:proofErr w:type="spellEnd"/>
      <w:r w:rsidRPr="00C52612">
        <w:rPr>
          <w:rFonts w:ascii="Calibri" w:eastAsia="Times New Roman" w:hAnsi="Calibri" w:cs="Calibri"/>
          <w:bCs/>
          <w:kern w:val="0"/>
          <w:lang w:val="en-US"/>
          <w14:ligatures w14:val="none"/>
        </w:rPr>
        <w:t>,</w:t>
      </w:r>
      <w:r w:rsidRPr="000E1AEA">
        <w:rPr>
          <w:rFonts w:ascii="Calibri" w:eastAsia="Times New Roman" w:hAnsi="Calibri" w:cs="Calibri"/>
          <w:bCs/>
          <w:kern w:val="0"/>
          <w:lang w:val="en-US"/>
          <w14:ligatures w14:val="none"/>
        </w:rPr>
        <w:t xml:space="preserve"> 2025).</w:t>
      </w:r>
    </w:p>
    <w:p w14:paraId="6A2EEFA5" w14:textId="77777777" w:rsidR="000E1AEA" w:rsidRPr="000E1AEA" w:rsidRDefault="000E1AEA" w:rsidP="000E1AEA">
      <w:pPr>
        <w:spacing w:before="100" w:beforeAutospacing="1" w:after="100" w:afterAutospacing="1" w:line="360" w:lineRule="auto"/>
        <w:jc w:val="both"/>
        <w:outlineLvl w:val="1"/>
        <w:rPr>
          <w:rFonts w:ascii="Calibri" w:eastAsia="Times New Roman" w:hAnsi="Calibri" w:cs="Calibri"/>
          <w:bCs/>
          <w:kern w:val="0"/>
          <w:lang w:val="en-US"/>
          <w14:ligatures w14:val="none"/>
        </w:rPr>
      </w:pPr>
      <w:r w:rsidRPr="000E1AEA">
        <w:rPr>
          <w:rFonts w:ascii="Calibri" w:eastAsia="Times New Roman" w:hAnsi="Calibri" w:cs="Calibri"/>
          <w:bCs/>
          <w:kern w:val="0"/>
          <w:lang w:val="en-US"/>
          <w14:ligatures w14:val="none"/>
        </w:rPr>
        <w:t>However, the penetration of gas generator technology in Nigeria’s telecommunications sector remains limited. Barriers include high initial installation costs, inadequate gas distribution infrastructure in rural areas, and limited empirical performance data comparing gas and diesel systems under telecom operating conditions (</w:t>
      </w:r>
      <w:proofErr w:type="spellStart"/>
      <w:r w:rsidR="00C52612">
        <w:rPr>
          <w:rFonts w:ascii="Calibri" w:eastAsia="Times New Roman" w:hAnsi="Calibri" w:cs="Calibri"/>
          <w:bCs/>
          <w:kern w:val="0"/>
          <w:lang w:val="en-US"/>
          <w14:ligatures w14:val="none"/>
        </w:rPr>
        <w:t>Oviroh</w:t>
      </w:r>
      <w:proofErr w:type="spellEnd"/>
      <w:r w:rsidR="00C52612">
        <w:rPr>
          <w:rFonts w:ascii="Calibri" w:eastAsia="Times New Roman" w:hAnsi="Calibri" w:cs="Calibri"/>
          <w:bCs/>
          <w:kern w:val="0"/>
          <w:lang w:val="en-US"/>
          <w14:ligatures w14:val="none"/>
        </w:rPr>
        <w:t xml:space="preserve"> &amp; Jen, 2018; </w:t>
      </w:r>
      <w:proofErr w:type="spellStart"/>
      <w:r w:rsidR="00C52612">
        <w:rPr>
          <w:rFonts w:ascii="Calibri" w:eastAsia="Times New Roman" w:hAnsi="Calibri" w:cs="Calibri"/>
          <w:bCs/>
          <w:kern w:val="0"/>
          <w:lang w:val="en-US"/>
          <w14:ligatures w14:val="none"/>
        </w:rPr>
        <w:t>Tchike</w:t>
      </w:r>
      <w:proofErr w:type="spellEnd"/>
      <w:r w:rsidR="00C52612">
        <w:rPr>
          <w:rFonts w:ascii="Calibri" w:eastAsia="Times New Roman" w:hAnsi="Calibri" w:cs="Calibri"/>
          <w:bCs/>
          <w:kern w:val="0"/>
          <w:lang w:val="en-US"/>
          <w14:ligatures w14:val="none"/>
        </w:rPr>
        <w:t xml:space="preserve"> </w:t>
      </w:r>
      <w:r w:rsidR="005D4285" w:rsidRPr="005D4285">
        <w:rPr>
          <w:rFonts w:ascii="Calibri" w:eastAsia="Times New Roman" w:hAnsi="Calibri" w:cs="Calibri"/>
          <w:bCs/>
          <w:i/>
          <w:kern w:val="0"/>
          <w:lang w:val="en-US"/>
          <w14:ligatures w14:val="none"/>
        </w:rPr>
        <w:t>et al</w:t>
      </w:r>
      <w:r w:rsidR="00C52612">
        <w:rPr>
          <w:rFonts w:ascii="Calibri" w:eastAsia="Times New Roman" w:hAnsi="Calibri" w:cs="Calibri"/>
          <w:bCs/>
          <w:kern w:val="0"/>
          <w:lang w:val="en-US"/>
          <w14:ligatures w14:val="none"/>
        </w:rPr>
        <w:t>., 2024</w:t>
      </w:r>
      <w:r w:rsidRPr="000E1AEA">
        <w:rPr>
          <w:rFonts w:ascii="Calibri" w:eastAsia="Times New Roman" w:hAnsi="Calibri" w:cs="Calibri"/>
          <w:bCs/>
          <w:kern w:val="0"/>
          <w:lang w:val="en-US"/>
          <w14:ligatures w14:val="none"/>
        </w:rPr>
        <w:t>). Consequently, telecom operators face uncertainty when balancing total cost of ownership, system reliability, and environmental sustainability.</w:t>
      </w:r>
    </w:p>
    <w:p w14:paraId="25AC7D90" w14:textId="77777777" w:rsidR="000E1AEA" w:rsidRPr="000E1AEA" w:rsidRDefault="000E1AEA" w:rsidP="000E1AEA">
      <w:pPr>
        <w:spacing w:before="100" w:beforeAutospacing="1" w:after="100" w:afterAutospacing="1" w:line="360" w:lineRule="auto"/>
        <w:jc w:val="both"/>
        <w:outlineLvl w:val="1"/>
        <w:rPr>
          <w:rFonts w:ascii="Calibri" w:eastAsia="Times New Roman" w:hAnsi="Calibri" w:cs="Calibri"/>
          <w:bCs/>
          <w:kern w:val="0"/>
          <w:lang w:val="en-US"/>
          <w14:ligatures w14:val="none"/>
        </w:rPr>
      </w:pPr>
      <w:r w:rsidRPr="000E1AEA">
        <w:rPr>
          <w:rFonts w:ascii="Calibri" w:eastAsia="Times New Roman" w:hAnsi="Calibri" w:cs="Calibri"/>
          <w:bCs/>
          <w:kern w:val="0"/>
          <w:lang w:val="en-US"/>
          <w14:ligatures w14:val="none"/>
        </w:rPr>
        <w:t>To manage these competing demands, operators increasingly explore renewable integration and hybrid energy architectures to stabilize energy supply and contain escalating costs (</w:t>
      </w:r>
      <w:proofErr w:type="spellStart"/>
      <w:r w:rsidR="00410714">
        <w:rPr>
          <w:rFonts w:ascii="Calibri" w:eastAsia="Times New Roman" w:hAnsi="Calibri" w:cs="Calibri"/>
          <w:bCs/>
          <w:kern w:val="0"/>
          <w:lang w:val="en-US"/>
          <w14:ligatures w14:val="none"/>
        </w:rPr>
        <w:t>Deevela</w:t>
      </w:r>
      <w:proofErr w:type="spellEnd"/>
      <w:r w:rsidR="00410714">
        <w:rPr>
          <w:rFonts w:ascii="Calibri" w:eastAsia="Times New Roman" w:hAnsi="Calibri" w:cs="Calibri"/>
          <w:bCs/>
          <w:kern w:val="0"/>
          <w:lang w:val="en-US"/>
          <w14:ligatures w14:val="none"/>
        </w:rPr>
        <w:t xml:space="preserve"> </w:t>
      </w:r>
      <w:r w:rsidR="005D4285" w:rsidRPr="005D4285">
        <w:rPr>
          <w:rFonts w:ascii="Calibri" w:eastAsia="Times New Roman" w:hAnsi="Calibri" w:cs="Calibri"/>
          <w:bCs/>
          <w:i/>
          <w:kern w:val="0"/>
          <w:lang w:val="en-US"/>
          <w14:ligatures w14:val="none"/>
        </w:rPr>
        <w:t>et al</w:t>
      </w:r>
      <w:r w:rsidR="00410714">
        <w:rPr>
          <w:rFonts w:ascii="Calibri" w:eastAsia="Times New Roman" w:hAnsi="Calibri" w:cs="Calibri"/>
          <w:bCs/>
          <w:kern w:val="0"/>
          <w:lang w:val="en-US"/>
          <w14:ligatures w14:val="none"/>
        </w:rPr>
        <w:t xml:space="preserve">., 2024; Chukwuemeka </w:t>
      </w:r>
      <w:r w:rsidR="005D4285" w:rsidRPr="005D4285">
        <w:rPr>
          <w:rFonts w:ascii="Calibri" w:eastAsia="Times New Roman" w:hAnsi="Calibri" w:cs="Calibri"/>
          <w:bCs/>
          <w:i/>
          <w:kern w:val="0"/>
          <w:lang w:val="en-US"/>
          <w14:ligatures w14:val="none"/>
        </w:rPr>
        <w:t>et al</w:t>
      </w:r>
      <w:r w:rsidR="00410714">
        <w:rPr>
          <w:rFonts w:ascii="Calibri" w:eastAsia="Times New Roman" w:hAnsi="Calibri" w:cs="Calibri"/>
          <w:bCs/>
          <w:kern w:val="0"/>
          <w:lang w:val="en-US"/>
          <w14:ligatures w14:val="none"/>
        </w:rPr>
        <w:t>., 2025</w:t>
      </w:r>
      <w:r w:rsidRPr="000E1AEA">
        <w:rPr>
          <w:rFonts w:ascii="Calibri" w:eastAsia="Times New Roman" w:hAnsi="Calibri" w:cs="Calibri"/>
          <w:bCs/>
          <w:kern w:val="0"/>
          <w:lang w:val="en-US"/>
          <w14:ligatures w14:val="none"/>
        </w:rPr>
        <w:t>). Yet, reliable comparative frameworks are still required to guide investment decisions across fuel types and technologies.</w:t>
      </w:r>
    </w:p>
    <w:p w14:paraId="6559B103" w14:textId="77777777" w:rsidR="000E1AEA" w:rsidRPr="000E1AEA" w:rsidRDefault="000E1AEA" w:rsidP="000E1AEA">
      <w:pPr>
        <w:spacing w:before="100" w:beforeAutospacing="1" w:after="100" w:afterAutospacing="1" w:line="360" w:lineRule="auto"/>
        <w:jc w:val="both"/>
        <w:outlineLvl w:val="1"/>
        <w:rPr>
          <w:rFonts w:ascii="Calibri" w:eastAsia="Times New Roman" w:hAnsi="Calibri" w:cs="Calibri"/>
          <w:bCs/>
          <w:kern w:val="0"/>
          <w:lang w:val="en-US"/>
          <w14:ligatures w14:val="none"/>
        </w:rPr>
      </w:pPr>
      <w:r w:rsidRPr="000E1AEA">
        <w:rPr>
          <w:rFonts w:ascii="Calibri" w:eastAsia="Times New Roman" w:hAnsi="Calibri" w:cs="Calibri"/>
          <w:bCs/>
          <w:kern w:val="0"/>
          <w:lang w:val="en-US"/>
          <w14:ligatures w14:val="none"/>
        </w:rPr>
        <w:t>Therefore, this study conducts a comprehensive comparative assessment of gas and diesel generator systems for telecommunications base station power supply. By integrating Reliability, Availability, and Maintainability (RAM) analysis with Levelized Cost of Electricity (LCOE)</w:t>
      </w:r>
      <w:r w:rsidR="00410714">
        <w:rPr>
          <w:rFonts w:ascii="Calibri" w:eastAsia="Times New Roman" w:hAnsi="Calibri" w:cs="Calibri"/>
          <w:bCs/>
          <w:kern w:val="0"/>
          <w:lang w:val="en-US"/>
          <w14:ligatures w14:val="none"/>
        </w:rPr>
        <w:t xml:space="preserve"> modeling, </w:t>
      </w:r>
      <w:r w:rsidRPr="000E1AEA">
        <w:rPr>
          <w:rFonts w:ascii="Calibri" w:eastAsia="Times New Roman" w:hAnsi="Calibri" w:cs="Calibri"/>
          <w:bCs/>
          <w:kern w:val="0"/>
          <w:lang w:val="en-US"/>
          <w14:ligatures w14:val="none"/>
        </w:rPr>
        <w:t>using benchmark systems (CAT C-15 Diesel Generator, 500 kW; CAT G3516 Natural Gas Generator, 1.5 MW)</w:t>
      </w:r>
      <w:r w:rsidR="00410714">
        <w:rPr>
          <w:rFonts w:ascii="Calibri" w:eastAsia="Times New Roman" w:hAnsi="Calibri" w:cs="Calibri"/>
          <w:bCs/>
          <w:kern w:val="0"/>
          <w:lang w:val="en-US"/>
          <w14:ligatures w14:val="none"/>
        </w:rPr>
        <w:t xml:space="preserve">, </w:t>
      </w:r>
      <w:r w:rsidRPr="000E1AEA">
        <w:rPr>
          <w:rFonts w:ascii="Calibri" w:eastAsia="Times New Roman" w:hAnsi="Calibri" w:cs="Calibri"/>
          <w:bCs/>
          <w:kern w:val="0"/>
          <w:lang w:val="en-US"/>
          <w14:ligatures w14:val="none"/>
        </w:rPr>
        <w:t>this research provides quantitative evidence to support strategic energy planning, infrastructure development, and sustainable investment in the telecommunications sector</w:t>
      </w:r>
      <w:r w:rsidR="00410714">
        <w:rPr>
          <w:rFonts w:ascii="Calibri" w:eastAsia="Times New Roman" w:hAnsi="Calibri" w:cs="Calibri"/>
          <w:bCs/>
          <w:kern w:val="0"/>
          <w:lang w:val="en-US"/>
          <w14:ligatures w14:val="none"/>
        </w:rPr>
        <w:t>.</w:t>
      </w:r>
    </w:p>
    <w:p w14:paraId="3CE8A6AB" w14:textId="77777777" w:rsidR="000E1AEA" w:rsidRDefault="000E1AEA" w:rsidP="0051231B">
      <w:pPr>
        <w:spacing w:before="100" w:beforeAutospacing="1" w:after="100" w:afterAutospacing="1" w:line="360" w:lineRule="auto"/>
        <w:jc w:val="both"/>
        <w:outlineLvl w:val="1"/>
        <w:rPr>
          <w:rFonts w:ascii="Calibri" w:eastAsia="Times New Roman" w:hAnsi="Calibri" w:cs="Calibri"/>
          <w:bCs/>
          <w:kern w:val="0"/>
          <w:lang w:val="en-US"/>
          <w14:ligatures w14:val="none"/>
        </w:rPr>
      </w:pPr>
    </w:p>
    <w:p w14:paraId="444EBB26" w14:textId="77777777" w:rsidR="0051231B" w:rsidRPr="00FE6643" w:rsidRDefault="00FE6643" w:rsidP="0051231B">
      <w:pPr>
        <w:spacing w:before="100" w:beforeAutospacing="1" w:after="100" w:afterAutospacing="1" w:line="360" w:lineRule="auto"/>
        <w:jc w:val="both"/>
        <w:outlineLvl w:val="1"/>
        <w:rPr>
          <w:rFonts w:ascii="Calibri" w:eastAsia="Times New Roman" w:hAnsi="Calibri" w:cs="Calibri"/>
          <w:b/>
          <w:bCs/>
          <w:kern w:val="0"/>
          <w:lang w:val="en-US"/>
          <w14:ligatures w14:val="none"/>
        </w:rPr>
      </w:pPr>
      <w:r w:rsidRPr="00FE6643">
        <w:rPr>
          <w:rFonts w:ascii="Calibri" w:eastAsia="Times New Roman" w:hAnsi="Calibri" w:cs="Calibri"/>
          <w:b/>
          <w:bCs/>
          <w:kern w:val="0"/>
          <w:lang w:val="en-US"/>
          <w14:ligatures w14:val="none"/>
        </w:rPr>
        <w:t>2.0 METHODOLOGY</w:t>
      </w:r>
    </w:p>
    <w:p w14:paraId="1B6E7028" w14:textId="77777777" w:rsidR="0051231B" w:rsidRPr="00FE6643" w:rsidRDefault="00FE6643" w:rsidP="0051231B">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FE6643">
        <w:rPr>
          <w:rFonts w:ascii="Calibri" w:eastAsia="Times New Roman" w:hAnsi="Calibri" w:cs="Calibri"/>
          <w:b/>
          <w:bCs/>
          <w:kern w:val="0"/>
          <w:lang w:val="en-US"/>
          <w14:ligatures w14:val="none"/>
        </w:rPr>
        <w:t>2.1 RESEARCH DESIGN</w:t>
      </w:r>
    </w:p>
    <w:p w14:paraId="76D16FB7"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This study employed a quantitative analytical approach, combining RAM (Reliability, Availability, and Maintainability) analysis with economic evaluation through LCOE (Levelized Cost of Electricity) modeling to comprehensively assess the technical and economic performance of two generator systems: the CAT C-15 Diesel Generator (500kW) and the CAT G3516 Natural Gas Generator (1.5MW).</w:t>
      </w:r>
    </w:p>
    <w:p w14:paraId="5BB7C0BB" w14:textId="77777777" w:rsidR="00F25D62" w:rsidRDefault="00F25D62" w:rsidP="0051231B">
      <w:pPr>
        <w:spacing w:before="100" w:beforeAutospacing="1" w:after="100" w:afterAutospacing="1" w:line="360" w:lineRule="auto"/>
        <w:jc w:val="both"/>
        <w:outlineLvl w:val="2"/>
        <w:rPr>
          <w:rFonts w:ascii="Calibri" w:eastAsia="Times New Roman" w:hAnsi="Calibri" w:cs="Calibri"/>
          <w:bCs/>
          <w:kern w:val="0"/>
          <w:lang w:val="en-US"/>
          <w14:ligatures w14:val="none"/>
        </w:rPr>
      </w:pPr>
    </w:p>
    <w:p w14:paraId="3369AC83" w14:textId="77777777" w:rsidR="0051231B" w:rsidRPr="00FE6643" w:rsidRDefault="00FE6643" w:rsidP="0051231B">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FE6643">
        <w:rPr>
          <w:rFonts w:ascii="Calibri" w:eastAsia="Times New Roman" w:hAnsi="Calibri" w:cs="Calibri"/>
          <w:b/>
          <w:bCs/>
          <w:kern w:val="0"/>
          <w:lang w:val="en-US"/>
          <w14:ligatures w14:val="none"/>
        </w:rPr>
        <w:t>2.2 RELIABILITY ANALYSIS METHODOLOGY</w:t>
      </w:r>
    </w:p>
    <w:p w14:paraId="780BEA9D"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The reliability assessment utilized established RAM metrics to evaluate system performance. Reliability refers to the probability that a system will execute its intended function for a certain amount of time under specific conditions. The following key metrics were employed:</w:t>
      </w:r>
    </w:p>
    <w:p w14:paraId="7C347EBF" w14:textId="77777777" w:rsidR="00E47D0F" w:rsidRDefault="00E47D0F" w:rsidP="0051231B">
      <w:pPr>
        <w:spacing w:before="100" w:beforeAutospacing="1" w:after="100" w:afterAutospacing="1" w:line="360" w:lineRule="auto"/>
        <w:jc w:val="both"/>
        <w:rPr>
          <w:rFonts w:ascii="Calibri" w:eastAsia="Times New Roman" w:hAnsi="Calibri" w:cs="Calibri"/>
          <w:bCs/>
          <w:kern w:val="0"/>
          <w:lang w:val="en-US"/>
          <w14:ligatures w14:val="none"/>
        </w:rPr>
      </w:pPr>
    </w:p>
    <w:p w14:paraId="04EF4D04" w14:textId="77777777" w:rsidR="0051231B" w:rsidRPr="0051231B" w:rsidRDefault="00E30C01" w:rsidP="0051231B">
      <w:pPr>
        <w:spacing w:before="100" w:beforeAutospacing="1" w:after="100" w:afterAutospacing="1" w:line="360" w:lineRule="auto"/>
        <w:jc w:val="both"/>
        <w:rPr>
          <w:rFonts w:ascii="Calibri" w:eastAsia="Times New Roman" w:hAnsi="Calibri" w:cs="Calibri"/>
          <w:kern w:val="0"/>
          <w:lang w:val="en-US"/>
          <w14:ligatures w14:val="none"/>
        </w:rPr>
      </w:pPr>
      <w:r>
        <w:rPr>
          <w:rFonts w:ascii="Calibri" w:eastAsia="Times New Roman" w:hAnsi="Calibri" w:cs="Calibri"/>
          <w:bCs/>
          <w:kern w:val="0"/>
          <w:lang w:val="en-US"/>
          <w14:ligatures w14:val="none"/>
        </w:rPr>
        <w:t xml:space="preserve">2.2.1 </w:t>
      </w:r>
      <w:r w:rsidR="0051231B" w:rsidRPr="00733AA0">
        <w:rPr>
          <w:rFonts w:ascii="Calibri" w:eastAsia="Times New Roman" w:hAnsi="Calibri" w:cs="Calibri"/>
          <w:bCs/>
          <w:kern w:val="0"/>
          <w:lang w:val="en-US"/>
          <w14:ligatures w14:val="none"/>
        </w:rPr>
        <w:t xml:space="preserve">Mean Time </w:t>
      </w:r>
      <w:proofErr w:type="gramStart"/>
      <w:r w:rsidR="0051231B" w:rsidRPr="00733AA0">
        <w:rPr>
          <w:rFonts w:ascii="Calibri" w:eastAsia="Times New Roman" w:hAnsi="Calibri" w:cs="Calibri"/>
          <w:bCs/>
          <w:kern w:val="0"/>
          <w:lang w:val="en-US"/>
          <w14:ligatures w14:val="none"/>
        </w:rPr>
        <w:t>To</w:t>
      </w:r>
      <w:proofErr w:type="gramEnd"/>
      <w:r w:rsidR="0051231B" w:rsidRPr="00733AA0">
        <w:rPr>
          <w:rFonts w:ascii="Calibri" w:eastAsia="Times New Roman" w:hAnsi="Calibri" w:cs="Calibri"/>
          <w:bCs/>
          <w:kern w:val="0"/>
          <w:lang w:val="en-US"/>
          <w14:ligatures w14:val="none"/>
        </w:rPr>
        <w:t xml:space="preserve"> Failure (MTTF):</w:t>
      </w:r>
      <w:r w:rsidR="0051231B" w:rsidRPr="0051231B">
        <w:rPr>
          <w:rFonts w:ascii="Calibri" w:eastAsia="Times New Roman" w:hAnsi="Calibri" w:cs="Calibri"/>
          <w:kern w:val="0"/>
          <w:lang w:val="en-US"/>
          <w14:ligatures w14:val="none"/>
        </w:rPr>
        <w:t xml:space="preserve"> For non-repairable components, MTTF was calculated using:</w:t>
      </w:r>
    </w:p>
    <w:p w14:paraId="6B6A4E05" w14:textId="77777777" w:rsidR="00E30C01" w:rsidRPr="0051231B" w:rsidRDefault="00E30C01" w:rsidP="00E30C01">
      <w:pPr>
        <w:spacing w:after="0" w:line="360" w:lineRule="auto"/>
        <w:jc w:val="center"/>
        <w:rPr>
          <w:rFonts w:ascii="Calibri" w:eastAsia="Times New Roman" w:hAnsi="Calibri" w:cs="Calibri"/>
          <w:kern w:val="0"/>
          <w:lang w:val="en-US"/>
          <w14:ligatures w14:val="none"/>
        </w:rPr>
      </w:pPr>
      <m:oMath>
        <m:r>
          <w:rPr>
            <w:rStyle w:val="markedcontent"/>
            <w:rFonts w:ascii="Cambria Math" w:hAnsi="Cambria Math" w:cs="Calibri"/>
          </w:rPr>
          <m:t>MTTF=</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Total operating Time</m:t>
                </m:r>
              </m:num>
              <m:den>
                <m:d>
                  <m:dPr>
                    <m:ctrlPr>
                      <w:rPr>
                        <w:rFonts w:ascii="Cambria Math" w:hAnsi="Cambria Math" w:cs="Calibri"/>
                        <w:i/>
                      </w:rPr>
                    </m:ctrlPr>
                  </m:dPr>
                  <m:e>
                    <m:r>
                      <w:rPr>
                        <w:rFonts w:ascii="Cambria Math" w:hAnsi="Cambria Math" w:cs="Calibri"/>
                      </w:rPr>
                      <m:t>Number of Failures</m:t>
                    </m:r>
                  </m:e>
                </m:d>
              </m:den>
            </m:f>
          </m:e>
        </m:d>
        <m:r>
          <w:rPr>
            <w:rStyle w:val="markedcontent"/>
            <w:rFonts w:ascii="Cambria Math" w:hAnsi="Cambria Math" w:cs="Calibri"/>
          </w:rPr>
          <m:t xml:space="preserve">  </m:t>
        </m:r>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∑t</m:t>
                </m:r>
              </m:e>
              <m:sub>
                <m:r>
                  <w:rPr>
                    <w:rFonts w:ascii="Cambria Math" w:hAnsi="Cambria Math" w:cs="Calibri"/>
                  </w:rPr>
                  <m:t>1</m:t>
                </m:r>
              </m:sub>
            </m:sSub>
          </m:num>
          <m:den>
            <m:r>
              <w:rPr>
                <w:rFonts w:ascii="Cambria Math" w:hAnsi="Cambria Math" w:cs="Calibri"/>
              </w:rPr>
              <m:t>n</m:t>
            </m:r>
          </m:den>
        </m:f>
        <m:r>
          <w:rPr>
            <w:rFonts w:ascii="Cambria Math" w:hAnsi="Cambria Math" w:cs="Calibri"/>
          </w:rPr>
          <m:t>= θ</m:t>
        </m:r>
      </m:oMath>
      <w:r w:rsidRPr="00E30C01">
        <w:rPr>
          <w:rFonts w:ascii="Calibri" w:eastAsia="Times New Roman" w:hAnsi="Calibri" w:cs="Calibri"/>
        </w:rPr>
        <w:t xml:space="preserve">       Eqn 1</w:t>
      </w:r>
    </w:p>
    <w:p w14:paraId="683FFF2A"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 xml:space="preserve">where </w:t>
      </w:r>
      <w:proofErr w:type="spellStart"/>
      <w:r w:rsidRPr="0051231B">
        <w:rPr>
          <w:rFonts w:ascii="Calibri" w:eastAsia="Times New Roman" w:hAnsi="Calibri" w:cs="Calibri"/>
          <w:kern w:val="0"/>
          <w:lang w:val="en-US"/>
          <w14:ligatures w14:val="none"/>
        </w:rPr>
        <w:t>Σt</w:t>
      </w:r>
      <w:proofErr w:type="spellEnd"/>
      <w:r w:rsidRPr="0051231B">
        <w:rPr>
          <w:rFonts w:ascii="Calibri" w:eastAsia="Times New Roman" w:hAnsi="Calibri" w:cs="Calibri"/>
          <w:kern w:val="0"/>
          <w:lang w:val="en-US"/>
          <w14:ligatures w14:val="none"/>
        </w:rPr>
        <w:t xml:space="preserve">₁ </w:t>
      </w:r>
      <w:r w:rsidR="00E30C01">
        <w:rPr>
          <w:rFonts w:ascii="Calibri" w:eastAsia="Times New Roman" w:hAnsi="Calibri" w:cs="Calibri"/>
          <w:kern w:val="0"/>
          <w:lang w:val="en-US"/>
          <w14:ligatures w14:val="none"/>
        </w:rPr>
        <w:t xml:space="preserve">= </w:t>
      </w:r>
      <w:r w:rsidRPr="0051231B">
        <w:rPr>
          <w:rFonts w:ascii="Calibri" w:eastAsia="Times New Roman" w:hAnsi="Calibri" w:cs="Calibri"/>
          <w:kern w:val="0"/>
          <w:lang w:val="en-US"/>
          <w14:ligatures w14:val="none"/>
        </w:rPr>
        <w:t>sum of operating times of all units under observation (in hours) and n represents the number of units with failures.</w:t>
      </w:r>
    </w:p>
    <w:p w14:paraId="7A2CD714" w14:textId="77777777" w:rsidR="00E47D0F" w:rsidRDefault="00E47D0F" w:rsidP="0051231B">
      <w:pPr>
        <w:spacing w:before="100" w:beforeAutospacing="1" w:after="100" w:afterAutospacing="1" w:line="360" w:lineRule="auto"/>
        <w:jc w:val="both"/>
        <w:rPr>
          <w:rFonts w:ascii="Calibri" w:eastAsia="Times New Roman" w:hAnsi="Calibri" w:cs="Calibri"/>
          <w:bCs/>
          <w:kern w:val="0"/>
          <w:lang w:val="en-US"/>
          <w14:ligatures w14:val="none"/>
        </w:rPr>
      </w:pPr>
    </w:p>
    <w:p w14:paraId="25441EE4" w14:textId="77777777" w:rsidR="0051231B" w:rsidRDefault="00E30C01" w:rsidP="0051231B">
      <w:pPr>
        <w:spacing w:before="100" w:beforeAutospacing="1" w:after="100" w:afterAutospacing="1" w:line="360" w:lineRule="auto"/>
        <w:jc w:val="both"/>
        <w:rPr>
          <w:rFonts w:ascii="Calibri" w:eastAsia="Times New Roman" w:hAnsi="Calibri" w:cs="Calibri"/>
          <w:kern w:val="0"/>
          <w:lang w:val="en-US"/>
          <w14:ligatures w14:val="none"/>
        </w:rPr>
      </w:pPr>
      <w:r>
        <w:rPr>
          <w:rFonts w:ascii="Calibri" w:eastAsia="Times New Roman" w:hAnsi="Calibri" w:cs="Calibri"/>
          <w:bCs/>
          <w:kern w:val="0"/>
          <w:lang w:val="en-US"/>
          <w14:ligatures w14:val="none"/>
        </w:rPr>
        <w:t xml:space="preserve">2.2.2 </w:t>
      </w:r>
      <w:r w:rsidR="0051231B" w:rsidRPr="00733AA0">
        <w:rPr>
          <w:rFonts w:ascii="Calibri" w:eastAsia="Times New Roman" w:hAnsi="Calibri" w:cs="Calibri"/>
          <w:bCs/>
          <w:kern w:val="0"/>
          <w:lang w:val="en-US"/>
          <w14:ligatures w14:val="none"/>
        </w:rPr>
        <w:t>Mean Time Between Failures (MTBF):</w:t>
      </w:r>
      <w:r w:rsidR="0051231B" w:rsidRPr="0051231B">
        <w:rPr>
          <w:rFonts w:ascii="Calibri" w:eastAsia="Times New Roman" w:hAnsi="Calibri" w:cs="Calibri"/>
          <w:kern w:val="0"/>
          <w:lang w:val="en-US"/>
          <w14:ligatures w14:val="none"/>
        </w:rPr>
        <w:t xml:space="preserve"> For repairable systems, MTBF was calculated as the average time interval between consecutive failures using:</w:t>
      </w:r>
    </w:p>
    <w:p w14:paraId="4161D7C9" w14:textId="77777777" w:rsidR="00E30C01" w:rsidRPr="0051231B" w:rsidRDefault="00E30C01" w:rsidP="00E30C01">
      <w:pPr>
        <w:spacing w:before="100" w:beforeAutospacing="1" w:after="100" w:afterAutospacing="1" w:line="360" w:lineRule="auto"/>
        <w:jc w:val="center"/>
        <w:rPr>
          <w:rFonts w:ascii="Calibri" w:eastAsia="Times New Roman" w:hAnsi="Calibri" w:cs="Calibri"/>
          <w:kern w:val="0"/>
          <w:lang w:val="en-US"/>
          <w14:ligatures w14:val="none"/>
        </w:rPr>
      </w:pPr>
      <m:oMath>
        <m:r>
          <w:rPr>
            <w:rFonts w:ascii="Cambria Math" w:hAnsi="Cambria Math" w:cs="Calibri"/>
          </w:rPr>
          <m:t>MTBF</m:t>
        </m:r>
      </m:oMath>
      <w:r w:rsidRPr="00E30C01">
        <w:rPr>
          <w:rFonts w:ascii="Calibri" w:eastAsiaTheme="minorEastAsia" w:hAnsi="Calibri" w:cs="Calibri"/>
        </w:rPr>
        <w:t xml:space="preserve"> = </w:t>
      </w:r>
      <m:oMath>
        <m:d>
          <m:dPr>
            <m:ctrlPr>
              <w:rPr>
                <w:rFonts w:ascii="Cambria Math" w:hAnsi="Cambria Math" w:cs="Calibri"/>
                <w:i/>
              </w:rPr>
            </m:ctrlPr>
          </m:dPr>
          <m:e>
            <m:f>
              <m:fPr>
                <m:ctrlPr>
                  <w:rPr>
                    <w:rFonts w:ascii="Cambria Math" w:hAnsi="Cambria Math" w:cs="Calibri"/>
                    <w:i/>
                  </w:rPr>
                </m:ctrlPr>
              </m:fPr>
              <m:num>
                <m:r>
                  <w:rPr>
                    <w:rFonts w:ascii="Cambria Math" w:hAnsi="Cambria Math" w:cs="Calibri"/>
                  </w:rPr>
                  <m:t>Total operating Time</m:t>
                </m:r>
              </m:num>
              <m:den>
                <m:d>
                  <m:dPr>
                    <m:ctrlPr>
                      <w:rPr>
                        <w:rFonts w:ascii="Cambria Math" w:hAnsi="Cambria Math" w:cs="Calibri"/>
                        <w:i/>
                      </w:rPr>
                    </m:ctrlPr>
                  </m:dPr>
                  <m:e>
                    <m:r>
                      <w:rPr>
                        <w:rFonts w:ascii="Cambria Math" w:hAnsi="Cambria Math" w:cs="Calibri"/>
                      </w:rPr>
                      <m:t>Number of Failures</m:t>
                    </m:r>
                  </m:e>
                </m:d>
              </m:den>
            </m:f>
          </m:e>
        </m:d>
      </m:oMath>
      <w:r w:rsidRPr="00E30C01">
        <w:rPr>
          <w:rFonts w:ascii="Calibri" w:eastAsiaTheme="minorEastAsia" w:hAnsi="Calibri" w:cs="Calibri"/>
        </w:rPr>
        <w:t xml:space="preserve"> </w:t>
      </w:r>
      <m:oMath>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∑t</m:t>
                </m:r>
              </m:e>
              <m:sub>
                <m:r>
                  <w:rPr>
                    <w:rFonts w:ascii="Cambria Math" w:hAnsi="Cambria Math" w:cs="Calibri"/>
                  </w:rPr>
                  <m:t>1</m:t>
                </m:r>
              </m:sub>
            </m:sSub>
          </m:num>
          <m:den>
            <m:r>
              <w:rPr>
                <w:rFonts w:ascii="Cambria Math" w:hAnsi="Cambria Math" w:cs="Calibri"/>
              </w:rPr>
              <m:t>n</m:t>
            </m:r>
          </m:den>
        </m:f>
        <m:r>
          <w:rPr>
            <w:rFonts w:ascii="Cambria Math" w:hAnsi="Cambria Math" w:cs="Calibri"/>
          </w:rPr>
          <m:t>= θ</m:t>
        </m:r>
      </m:oMath>
      <w:r>
        <w:rPr>
          <w:rFonts w:ascii="Calibri" w:eastAsiaTheme="minorEastAsia" w:hAnsi="Calibri" w:cs="Calibri"/>
        </w:rPr>
        <w:tab/>
      </w:r>
      <w:proofErr w:type="spellStart"/>
      <w:r w:rsidRPr="00E30C01">
        <w:rPr>
          <w:rFonts w:ascii="Calibri" w:eastAsiaTheme="minorEastAsia" w:hAnsi="Calibri" w:cs="Calibri"/>
        </w:rPr>
        <w:t>Eqn</w:t>
      </w:r>
      <w:proofErr w:type="spellEnd"/>
      <w:r w:rsidRPr="00E30C01">
        <w:rPr>
          <w:rFonts w:ascii="Calibri" w:eastAsiaTheme="minorEastAsia" w:hAnsi="Calibri" w:cs="Calibri"/>
        </w:rPr>
        <w:t xml:space="preserve"> 2</w:t>
      </w:r>
    </w:p>
    <w:p w14:paraId="61A01462"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lastRenderedPageBreak/>
        <w:t xml:space="preserve">where </w:t>
      </w:r>
      <w:proofErr w:type="spellStart"/>
      <w:r w:rsidRPr="0051231B">
        <w:rPr>
          <w:rFonts w:ascii="Calibri" w:eastAsia="Times New Roman" w:hAnsi="Calibri" w:cs="Calibri"/>
          <w:kern w:val="0"/>
          <w:lang w:val="en-US"/>
          <w14:ligatures w14:val="none"/>
        </w:rPr>
        <w:t>Σt</w:t>
      </w:r>
      <w:proofErr w:type="spellEnd"/>
      <w:r w:rsidRPr="0051231B">
        <w:rPr>
          <w:rFonts w:ascii="Calibri" w:eastAsia="Times New Roman" w:hAnsi="Calibri" w:cs="Calibri"/>
          <w:kern w:val="0"/>
          <w:lang w:val="en-US"/>
          <w14:ligatures w14:val="none"/>
        </w:rPr>
        <w:t>₁ represents total operating time (uptime) and n represents the number of failures.</w:t>
      </w:r>
    </w:p>
    <w:p w14:paraId="553ACFB0" w14:textId="77777777" w:rsidR="00E47D0F" w:rsidRDefault="00E47D0F" w:rsidP="0051231B">
      <w:pPr>
        <w:spacing w:before="100" w:beforeAutospacing="1" w:after="100" w:afterAutospacing="1" w:line="360" w:lineRule="auto"/>
        <w:jc w:val="both"/>
        <w:rPr>
          <w:rFonts w:ascii="Calibri" w:eastAsia="Times New Roman" w:hAnsi="Calibri" w:cs="Calibri"/>
          <w:bCs/>
          <w:kern w:val="0"/>
          <w:lang w:val="en-US"/>
          <w14:ligatures w14:val="none"/>
        </w:rPr>
      </w:pPr>
    </w:p>
    <w:p w14:paraId="4C3E75D8" w14:textId="77777777" w:rsidR="0051231B" w:rsidRPr="0051231B" w:rsidRDefault="00E30C01" w:rsidP="0051231B">
      <w:pPr>
        <w:spacing w:before="100" w:beforeAutospacing="1" w:after="100" w:afterAutospacing="1" w:line="360" w:lineRule="auto"/>
        <w:jc w:val="both"/>
        <w:rPr>
          <w:rFonts w:ascii="Calibri" w:eastAsia="Times New Roman" w:hAnsi="Calibri" w:cs="Calibri"/>
          <w:kern w:val="0"/>
          <w:lang w:val="en-US"/>
          <w14:ligatures w14:val="none"/>
        </w:rPr>
      </w:pPr>
      <w:r>
        <w:rPr>
          <w:rFonts w:ascii="Calibri" w:eastAsia="Times New Roman" w:hAnsi="Calibri" w:cs="Calibri"/>
          <w:bCs/>
          <w:kern w:val="0"/>
          <w:lang w:val="en-US"/>
          <w14:ligatures w14:val="none"/>
        </w:rPr>
        <w:t xml:space="preserve">2.2.3 </w:t>
      </w:r>
      <w:r w:rsidR="0051231B" w:rsidRPr="00733AA0">
        <w:rPr>
          <w:rFonts w:ascii="Calibri" w:eastAsia="Times New Roman" w:hAnsi="Calibri" w:cs="Calibri"/>
          <w:bCs/>
          <w:kern w:val="0"/>
          <w:lang w:val="en-US"/>
          <w14:ligatures w14:val="none"/>
        </w:rPr>
        <w:t>Availability:</w:t>
      </w:r>
      <w:r w:rsidR="0051231B" w:rsidRPr="0051231B">
        <w:rPr>
          <w:rFonts w:ascii="Calibri" w:eastAsia="Times New Roman" w:hAnsi="Calibri" w:cs="Calibri"/>
          <w:kern w:val="0"/>
          <w:lang w:val="en-US"/>
          <w14:ligatures w14:val="none"/>
        </w:rPr>
        <w:t xml:space="preserve"> System availability was ca</w:t>
      </w:r>
      <w:r>
        <w:rPr>
          <w:rFonts w:ascii="Calibri" w:eastAsia="Times New Roman" w:hAnsi="Calibri" w:cs="Calibri"/>
          <w:kern w:val="0"/>
          <w:lang w:val="en-US"/>
          <w14:ligatures w14:val="none"/>
        </w:rPr>
        <w:t>lculated by comparing uptime (</w:t>
      </w:r>
      <w:proofErr w:type="spellStart"/>
      <w:r>
        <w:rPr>
          <w:rFonts w:ascii="Calibri" w:eastAsia="Times New Roman" w:hAnsi="Calibri" w:cs="Calibri"/>
          <w:kern w:val="0"/>
          <w:lang w:val="en-US"/>
          <w14:ligatures w14:val="none"/>
        </w:rPr>
        <w:t>T</w:t>
      </w:r>
      <w:r w:rsidR="0051231B" w:rsidRPr="0051231B">
        <w:rPr>
          <w:rFonts w:ascii="Calibri" w:eastAsia="Times New Roman" w:hAnsi="Calibri" w:cs="Calibri"/>
          <w:kern w:val="0"/>
          <w:vertAlign w:val="subscript"/>
          <w:lang w:val="en-US"/>
          <w14:ligatures w14:val="none"/>
        </w:rPr>
        <w:t>Up</w:t>
      </w:r>
      <w:proofErr w:type="spellEnd"/>
      <w:r w:rsidR="0051231B" w:rsidRPr="0051231B">
        <w:rPr>
          <w:rFonts w:ascii="Calibri" w:eastAsia="Times New Roman" w:hAnsi="Calibri" w:cs="Calibri"/>
          <w:kern w:val="0"/>
          <w:lang w:val="en-US"/>
          <w14:ligatures w14:val="none"/>
        </w:rPr>
        <w:t>) to total operating time using:</w:t>
      </w:r>
    </w:p>
    <w:p w14:paraId="133BB052" w14:textId="77777777" w:rsidR="00E30C01" w:rsidRDefault="00E30C01" w:rsidP="0051231B">
      <w:pPr>
        <w:spacing w:after="0" w:line="360" w:lineRule="auto"/>
        <w:jc w:val="both"/>
        <w:rPr>
          <w:rFonts w:ascii="Calibri" w:eastAsia="Times New Roman" w:hAnsi="Calibri" w:cs="Calibri"/>
          <w:kern w:val="0"/>
          <w:lang w:val="en-US"/>
          <w14:ligatures w14:val="none"/>
        </w:rPr>
      </w:pPr>
    </w:p>
    <w:p w14:paraId="73E7ECE3" w14:textId="77777777" w:rsidR="00E30C01" w:rsidRPr="00E30C01" w:rsidRDefault="00E30C01" w:rsidP="00E30C01">
      <w:pPr>
        <w:spacing w:line="480" w:lineRule="auto"/>
        <w:jc w:val="both"/>
        <w:rPr>
          <w:rStyle w:val="markedcontent"/>
          <w:rFonts w:ascii="Calibri" w:hAnsi="Calibri" w:cs="Calibri"/>
        </w:rPr>
      </w:pPr>
      <m:oMathPara>
        <m:oMath>
          <m:r>
            <w:rPr>
              <w:rStyle w:val="markedcontent"/>
              <w:rFonts w:ascii="Cambria Math" w:hAnsi="Cambria Math" w:cs="Calibri"/>
            </w:rPr>
            <m:t>Availability=</m:t>
          </m:r>
          <m:f>
            <m:fPr>
              <m:ctrlPr>
                <w:rPr>
                  <w:rStyle w:val="markedcontent"/>
                  <w:rFonts w:ascii="Cambria Math" w:hAnsi="Cambria Math" w:cs="Calibri"/>
                  <w:i/>
                </w:rPr>
              </m:ctrlPr>
            </m:fPr>
            <m:num>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Up</m:t>
                  </m:r>
                </m:sub>
              </m:sSub>
            </m:num>
            <m:den>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Up</m:t>
                  </m:r>
                </m:sub>
              </m:sSub>
              <m:r>
                <w:rPr>
                  <w:rStyle w:val="markedcontent"/>
                  <w:rFonts w:ascii="Cambria Math" w:hAnsi="Cambria Math" w:cs="Calibri"/>
                </w:rPr>
                <m:t>+</m:t>
              </m:r>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Down</m:t>
                  </m:r>
                </m:sub>
              </m:sSub>
              <m:r>
                <m:rPr>
                  <m:sty m:val="p"/>
                </m:rPr>
                <w:rPr>
                  <w:rStyle w:val="markedcontent"/>
                  <w:rFonts w:ascii="Cambria Math" w:hAnsi="Cambria Math" w:cs="Calibri"/>
                </w:rPr>
                <m:t xml:space="preserve"> </m:t>
              </m:r>
              <m:r>
                <w:rPr>
                  <w:rStyle w:val="markedcontent"/>
                  <w:rFonts w:ascii="Cambria Math" w:hAnsi="Cambria Math" w:cs="Calibri"/>
                </w:rPr>
                <m:t>)</m:t>
              </m:r>
              <m:r>
                <m:rPr>
                  <m:sty m:val="p"/>
                </m:rPr>
                <w:rPr>
                  <w:rStyle w:val="markedcontent"/>
                  <w:rFonts w:ascii="Cambria Math" w:hAnsi="Cambria Math" w:cs="Calibri"/>
                </w:rPr>
                <m:t xml:space="preserve"> </m:t>
              </m:r>
            </m:den>
          </m:f>
          <m:r>
            <w:rPr>
              <w:rStyle w:val="markedcontent"/>
              <w:rFonts w:ascii="Cambria Math" w:hAnsi="Cambria Math" w:cs="Calibri"/>
            </w:rPr>
            <m:t>=</m:t>
          </m:r>
          <m:f>
            <m:fPr>
              <m:ctrlPr>
                <w:rPr>
                  <w:rStyle w:val="markedcontent"/>
                  <w:rFonts w:ascii="Cambria Math" w:hAnsi="Cambria Math" w:cs="Calibri"/>
                  <w:i/>
                </w:rPr>
              </m:ctrlPr>
            </m:fPr>
            <m:num>
              <m:r>
                <w:rPr>
                  <w:rStyle w:val="markedcontent"/>
                  <w:rFonts w:ascii="Cambria Math" w:hAnsi="Cambria Math" w:cs="Calibri"/>
                </w:rPr>
                <m:t>MTTF</m:t>
              </m:r>
            </m:num>
            <m:den>
              <m:r>
                <w:rPr>
                  <w:rStyle w:val="markedcontent"/>
                  <w:rFonts w:ascii="Cambria Math" w:hAnsi="Cambria Math" w:cs="Calibri"/>
                </w:rPr>
                <m:t>MTTF+MTTR</m:t>
              </m:r>
            </m:den>
          </m:f>
          <m:r>
            <w:rPr>
              <w:rStyle w:val="markedcontent"/>
              <w:rFonts w:ascii="Cambria Math" w:hAnsi="Cambria Math" w:cs="Calibri"/>
            </w:rPr>
            <m:t xml:space="preserve">        </m:t>
          </m:r>
          <m:r>
            <m:rPr>
              <m:sty m:val="p"/>
            </m:rPr>
            <w:rPr>
              <w:rStyle w:val="markedcontent"/>
              <w:rFonts w:ascii="Cambria Math" w:hAnsi="Cambria Math" w:cs="Calibri"/>
            </w:rPr>
            <m:t>Eqn 3</m:t>
          </m:r>
        </m:oMath>
      </m:oMathPara>
    </w:p>
    <w:p w14:paraId="2377BC06" w14:textId="77777777" w:rsidR="00E47D0F" w:rsidRDefault="00E47D0F" w:rsidP="00E30C01">
      <w:pPr>
        <w:spacing w:after="0" w:line="360" w:lineRule="auto"/>
        <w:jc w:val="both"/>
        <w:rPr>
          <w:rFonts w:ascii="Calibri" w:eastAsia="Times New Roman" w:hAnsi="Calibri" w:cs="Calibri"/>
          <w:kern w:val="0"/>
          <w:lang w:val="en-US"/>
          <w14:ligatures w14:val="none"/>
        </w:rPr>
      </w:pPr>
    </w:p>
    <w:p w14:paraId="4374F9E3" w14:textId="77777777" w:rsidR="0051231B" w:rsidRPr="0051231B" w:rsidRDefault="00E30C01" w:rsidP="00E30C01">
      <w:pPr>
        <w:spacing w:after="0" w:line="360" w:lineRule="auto"/>
        <w:jc w:val="both"/>
        <w:rPr>
          <w:rFonts w:ascii="Calibri" w:eastAsia="Times New Roman" w:hAnsi="Calibri" w:cs="Calibri"/>
          <w:kern w:val="0"/>
          <w:lang w:val="en-US"/>
          <w14:ligatures w14:val="none"/>
        </w:rPr>
      </w:pPr>
      <w:r>
        <w:rPr>
          <w:rFonts w:ascii="Calibri" w:eastAsia="Times New Roman" w:hAnsi="Calibri" w:cs="Calibri"/>
          <w:kern w:val="0"/>
          <w:lang w:val="en-US"/>
          <w14:ligatures w14:val="none"/>
        </w:rPr>
        <w:t xml:space="preserve">2.2.4 </w:t>
      </w:r>
      <w:r w:rsidR="0051231B" w:rsidRPr="00733AA0">
        <w:rPr>
          <w:rFonts w:ascii="Calibri" w:eastAsia="Times New Roman" w:hAnsi="Calibri" w:cs="Calibri"/>
          <w:bCs/>
          <w:kern w:val="0"/>
          <w:lang w:val="en-US"/>
          <w14:ligatures w14:val="none"/>
        </w:rPr>
        <w:t xml:space="preserve">Mean Time </w:t>
      </w:r>
      <w:proofErr w:type="gramStart"/>
      <w:r w:rsidR="0051231B" w:rsidRPr="00733AA0">
        <w:rPr>
          <w:rFonts w:ascii="Calibri" w:eastAsia="Times New Roman" w:hAnsi="Calibri" w:cs="Calibri"/>
          <w:bCs/>
          <w:kern w:val="0"/>
          <w:lang w:val="en-US"/>
          <w14:ligatures w14:val="none"/>
        </w:rPr>
        <w:t>To</w:t>
      </w:r>
      <w:proofErr w:type="gramEnd"/>
      <w:r w:rsidR="0051231B" w:rsidRPr="00733AA0">
        <w:rPr>
          <w:rFonts w:ascii="Calibri" w:eastAsia="Times New Roman" w:hAnsi="Calibri" w:cs="Calibri"/>
          <w:bCs/>
          <w:kern w:val="0"/>
          <w:lang w:val="en-US"/>
          <w14:ligatures w14:val="none"/>
        </w:rPr>
        <w:t xml:space="preserve"> Repair (MTTR):</w:t>
      </w:r>
      <w:r w:rsidR="0051231B" w:rsidRPr="0051231B">
        <w:rPr>
          <w:rFonts w:ascii="Calibri" w:eastAsia="Times New Roman" w:hAnsi="Calibri" w:cs="Calibri"/>
          <w:kern w:val="0"/>
          <w:lang w:val="en-US"/>
          <w14:ligatures w14:val="none"/>
        </w:rPr>
        <w:t xml:space="preserve"> Maintainability was assessed through MTTR, representing the time required to restore component functionality, calculated using:</w:t>
      </w:r>
    </w:p>
    <w:p w14:paraId="79A34CC8" w14:textId="77777777" w:rsidR="00E30C01" w:rsidRDefault="00E30C01" w:rsidP="0051231B">
      <w:pPr>
        <w:spacing w:after="0" w:line="360" w:lineRule="auto"/>
        <w:jc w:val="both"/>
        <w:rPr>
          <w:rFonts w:ascii="Calibri" w:eastAsia="Times New Roman" w:hAnsi="Calibri" w:cs="Calibri"/>
          <w:kern w:val="0"/>
          <w:lang w:val="en-US"/>
          <w14:ligatures w14:val="none"/>
        </w:rPr>
      </w:pPr>
    </w:p>
    <w:p w14:paraId="08C59443" w14:textId="77777777" w:rsidR="00E30C01" w:rsidRDefault="00E30C01" w:rsidP="00E30C01">
      <w:pPr>
        <w:spacing w:after="0" w:line="360" w:lineRule="auto"/>
        <w:jc w:val="center"/>
        <w:rPr>
          <w:rFonts w:ascii="Calibri" w:eastAsia="Times New Roman" w:hAnsi="Calibri" w:cs="Calibri"/>
          <w:kern w:val="0"/>
          <w:lang w:val="en-US"/>
          <w14:ligatures w14:val="none"/>
        </w:rPr>
      </w:pPr>
      <m:oMath>
        <m:r>
          <w:rPr>
            <w:rFonts w:ascii="Cambria Math" w:hAnsi="Cambria Math" w:cs="Times New Roman"/>
          </w:rPr>
          <m:t>MTTR</m:t>
        </m:r>
        <m:r>
          <m:rPr>
            <m:sty m:val="bi"/>
          </m:rPr>
          <w:rPr>
            <w:rFonts w:ascii="Cambria Math" w:hAnsi="Cambria Math" w:cs="Times New Roman"/>
          </w:rPr>
          <m:t xml:space="preserve">= </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Total Maintenance Time</m:t>
                </m:r>
              </m:num>
              <m:den>
                <m:d>
                  <m:dPr>
                    <m:ctrlPr>
                      <w:rPr>
                        <w:rFonts w:ascii="Cambria Math" w:hAnsi="Cambria Math" w:cs="Times New Roman"/>
                        <w:i/>
                      </w:rPr>
                    </m:ctrlPr>
                  </m:dPr>
                  <m:e>
                    <m:r>
                      <w:rPr>
                        <w:rFonts w:ascii="Cambria Math" w:hAnsi="Cambria Math" w:cs="Times New Roman"/>
                      </w:rPr>
                      <m:t>Number of Repair</m:t>
                    </m:r>
                  </m:e>
                </m:d>
              </m:den>
            </m:f>
          </m:e>
        </m:d>
        <m:r>
          <w:rPr>
            <w:rFonts w:ascii="Cambria Math" w:hAnsi="Cambria Math" w:cs="Times New Roman"/>
          </w:rPr>
          <m:t>=</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∑t</m:t>
                </m:r>
              </m:e>
              <m:sub>
                <m:r>
                  <m:rPr>
                    <m:sty m:val="bi"/>
                  </m:rPr>
                  <w:rPr>
                    <w:rFonts w:ascii="Cambria Math" w:hAnsi="Cambria Math" w:cs="Times New Roman"/>
                  </w:rPr>
                  <m:t>2</m:t>
                </m:r>
              </m:sub>
            </m:sSub>
          </m:num>
          <m:den>
            <m:r>
              <m:rPr>
                <m:sty m:val="bi"/>
              </m:rPr>
              <w:rPr>
                <w:rFonts w:ascii="Cambria Math" w:hAnsi="Cambria Math" w:cs="Times New Roman"/>
              </w:rPr>
              <m:t>N</m:t>
            </m:r>
          </m:den>
        </m:f>
      </m:oMath>
      <w:r>
        <w:rPr>
          <w:rFonts w:ascii="Calibri" w:eastAsia="Times New Roman" w:hAnsi="Calibri" w:cs="Calibri"/>
          <w:kern w:val="0"/>
          <w:lang w:val="en-US"/>
          <w14:ligatures w14:val="none"/>
        </w:rPr>
        <w:t xml:space="preserve">   Eqn 4</w:t>
      </w:r>
    </w:p>
    <w:p w14:paraId="1ED58EB5"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 xml:space="preserve">where </w:t>
      </w:r>
      <w:proofErr w:type="spellStart"/>
      <w:r w:rsidRPr="0051231B">
        <w:rPr>
          <w:rFonts w:ascii="Calibri" w:eastAsia="Times New Roman" w:hAnsi="Calibri" w:cs="Calibri"/>
          <w:kern w:val="0"/>
          <w:lang w:val="en-US"/>
          <w14:ligatures w14:val="none"/>
        </w:rPr>
        <w:t>Σt</w:t>
      </w:r>
      <w:proofErr w:type="spellEnd"/>
      <w:r w:rsidRPr="0051231B">
        <w:rPr>
          <w:rFonts w:ascii="Calibri" w:eastAsia="Times New Roman" w:hAnsi="Calibri" w:cs="Calibri"/>
          <w:kern w:val="0"/>
          <w:lang w:val="en-US"/>
          <w14:ligatures w14:val="none"/>
        </w:rPr>
        <w:t>₂ represents total maintenance or repair time (downtime) and N represents the number of repairs.</w:t>
      </w:r>
    </w:p>
    <w:p w14:paraId="01D06A5C" w14:textId="77777777" w:rsidR="00E47D0F" w:rsidRDefault="00E47D0F" w:rsidP="0051231B">
      <w:pPr>
        <w:spacing w:before="100" w:beforeAutospacing="1" w:after="100" w:afterAutospacing="1" w:line="360" w:lineRule="auto"/>
        <w:jc w:val="both"/>
        <w:rPr>
          <w:rFonts w:ascii="Calibri" w:eastAsia="Times New Roman" w:hAnsi="Calibri" w:cs="Calibri"/>
          <w:bCs/>
          <w:kern w:val="0"/>
          <w:lang w:val="en-US"/>
          <w14:ligatures w14:val="none"/>
        </w:rPr>
      </w:pPr>
    </w:p>
    <w:p w14:paraId="338CEC2B" w14:textId="77777777" w:rsidR="0051231B" w:rsidRDefault="00E30C01" w:rsidP="0051231B">
      <w:pPr>
        <w:spacing w:before="100" w:beforeAutospacing="1" w:after="100" w:afterAutospacing="1" w:line="360" w:lineRule="auto"/>
        <w:jc w:val="both"/>
        <w:rPr>
          <w:rFonts w:ascii="Calibri" w:eastAsia="Times New Roman" w:hAnsi="Calibri" w:cs="Calibri"/>
          <w:kern w:val="0"/>
          <w:lang w:val="en-US"/>
          <w14:ligatures w14:val="none"/>
        </w:rPr>
      </w:pPr>
      <w:r>
        <w:rPr>
          <w:rFonts w:ascii="Calibri" w:eastAsia="Times New Roman" w:hAnsi="Calibri" w:cs="Calibri"/>
          <w:bCs/>
          <w:kern w:val="0"/>
          <w:lang w:val="en-US"/>
          <w14:ligatures w14:val="none"/>
        </w:rPr>
        <w:t xml:space="preserve">2.2.5 </w:t>
      </w:r>
      <w:r w:rsidR="0051231B" w:rsidRPr="00733AA0">
        <w:rPr>
          <w:rFonts w:ascii="Calibri" w:eastAsia="Times New Roman" w:hAnsi="Calibri" w:cs="Calibri"/>
          <w:bCs/>
          <w:kern w:val="0"/>
          <w:lang w:val="en-US"/>
          <w14:ligatures w14:val="none"/>
        </w:rPr>
        <w:t>Failure Rate (λ):</w:t>
      </w:r>
      <w:r w:rsidR="0051231B" w:rsidRPr="0051231B">
        <w:rPr>
          <w:rFonts w:ascii="Calibri" w:eastAsia="Times New Roman" w:hAnsi="Calibri" w:cs="Calibri"/>
          <w:kern w:val="0"/>
          <w:lang w:val="en-US"/>
          <w14:ligatures w14:val="none"/>
        </w:rPr>
        <w:t xml:space="preserve"> The frequency of system failures</w:t>
      </w:r>
      <w:r>
        <w:rPr>
          <w:rFonts w:ascii="Calibri" w:eastAsia="Times New Roman" w:hAnsi="Calibri" w:cs="Calibri"/>
          <w:kern w:val="0"/>
          <w:lang w:val="en-US"/>
          <w14:ligatures w14:val="none"/>
        </w:rPr>
        <w:t xml:space="preserve"> over time was calculated using</w:t>
      </w:r>
      <w:r w:rsidR="0051231B" w:rsidRPr="0051231B">
        <w:rPr>
          <w:rFonts w:ascii="Calibri" w:eastAsia="Times New Roman" w:hAnsi="Calibri" w:cs="Calibri"/>
          <w:kern w:val="0"/>
          <w:lang w:val="en-US"/>
          <w14:ligatures w14:val="none"/>
        </w:rPr>
        <w:t>:</w:t>
      </w:r>
    </w:p>
    <w:p w14:paraId="404CEF90" w14:textId="77777777" w:rsidR="00F25D62" w:rsidRDefault="00F25D62" w:rsidP="00F25D62">
      <w:pPr>
        <w:spacing w:before="100" w:beforeAutospacing="1" w:after="100" w:afterAutospacing="1" w:line="360" w:lineRule="auto"/>
        <w:jc w:val="center"/>
        <w:rPr>
          <w:rFonts w:ascii="Calibri" w:eastAsia="Times New Roman" w:hAnsi="Calibri" w:cs="Calibri"/>
          <w:kern w:val="0"/>
          <w:lang w:val="en-US"/>
          <w14:ligatures w14:val="none"/>
        </w:rPr>
      </w:pPr>
      <m:oMath>
        <m:r>
          <m:rPr>
            <m:sty m:val="p"/>
          </m:rPr>
          <w:rPr>
            <w:rFonts w:ascii="Cambria Math" w:hAnsi="Cambria Math" w:cs="Times New Roman"/>
          </w:rPr>
          <m:t>λ</m:t>
        </m:r>
        <m:r>
          <m:rPr>
            <m:sty m:val="b"/>
          </m:rPr>
          <w:rPr>
            <w:rFonts w:ascii="Cambria Math" w:hAnsi="Cambria Math" w:cs="Times New Roman"/>
          </w:rPr>
          <m:t xml:space="preserve"> </m:t>
        </m:r>
        <m:r>
          <m:rPr>
            <m:sty m:val="bi"/>
          </m:rPr>
          <w:rPr>
            <w:rFonts w:ascii="Cambria Math" w:eastAsiaTheme="minorEastAsia" w:hAnsi="Cambria Math" w:cs="Times New Roman"/>
          </w:rPr>
          <m:t>=</m:t>
        </m:r>
        <m:f>
          <m:fPr>
            <m:ctrlPr>
              <w:rPr>
                <w:rFonts w:ascii="Cambria Math" w:eastAsiaTheme="minorEastAsia" w:hAnsi="Cambria Math" w:cs="Times New Roman"/>
                <w:b/>
                <w:i/>
              </w:rPr>
            </m:ctrlPr>
          </m:fPr>
          <m:num>
            <m:r>
              <m:rPr>
                <m:sty m:val="bi"/>
              </m:rPr>
              <w:rPr>
                <w:rFonts w:ascii="Cambria Math" w:eastAsiaTheme="minorEastAsia" w:hAnsi="Cambria Math" w:cs="Times New Roman"/>
              </w:rPr>
              <m:t>n</m:t>
            </m:r>
          </m:num>
          <m:den>
            <m:r>
              <m:rPr>
                <m:sty m:val="bi"/>
              </m:rPr>
              <w:rPr>
                <w:rFonts w:ascii="Cambria Math" w:hAnsi="Cambria Math" w:cs="Times New Roman"/>
              </w:rPr>
              <m:t>∑</m:t>
            </m:r>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t</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 xml:space="preserve">    </m:t>
            </m:r>
          </m:den>
        </m:f>
        <m:r>
          <m:rPr>
            <m:sty m:val="bi"/>
          </m:rP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MTBF</m:t>
            </m:r>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θ</m:t>
            </m:r>
          </m:den>
        </m:f>
      </m:oMath>
      <w:r>
        <w:rPr>
          <w:rFonts w:ascii="Calibri" w:eastAsia="Times New Roman" w:hAnsi="Calibri" w:cs="Calibri"/>
          <w:kern w:val="0"/>
          <w:lang w:val="en-US"/>
          <w14:ligatures w14:val="none"/>
        </w:rPr>
        <w:t xml:space="preserve">     Eqn 5</w:t>
      </w:r>
    </w:p>
    <w:p w14:paraId="628F2BCC" w14:textId="77777777" w:rsidR="00F25D62" w:rsidRPr="00F25D62" w:rsidRDefault="00F25D62" w:rsidP="00F25D62">
      <w:pPr>
        <w:spacing w:before="100" w:beforeAutospacing="1" w:after="100" w:afterAutospacing="1" w:line="360" w:lineRule="auto"/>
        <w:jc w:val="both"/>
        <w:rPr>
          <w:rFonts w:ascii="Calibri" w:eastAsia="Times New Roman" w:hAnsi="Calibri" w:cs="Calibri"/>
          <w:kern w:val="0"/>
          <w:lang w:val="en-US"/>
          <w14:ligatures w14:val="none"/>
        </w:rPr>
      </w:pPr>
      <w:r>
        <w:rPr>
          <w:rFonts w:ascii="Calibri" w:eastAsia="Times New Roman" w:hAnsi="Calibri" w:cs="Calibri"/>
          <w:kern w:val="0"/>
          <w:lang w:val="en-US"/>
          <w14:ligatures w14:val="none"/>
        </w:rPr>
        <w:t>where Ʃt</w:t>
      </w:r>
      <w:r w:rsidRPr="00F25D62">
        <w:rPr>
          <w:rFonts w:ascii="Calibri" w:eastAsia="Times New Roman" w:hAnsi="Calibri" w:cs="Calibri"/>
          <w:kern w:val="0"/>
          <w:vertAlign w:val="subscript"/>
          <w:lang w:val="en-US"/>
          <w14:ligatures w14:val="none"/>
        </w:rPr>
        <w:t>1</w:t>
      </w:r>
      <w:r>
        <w:rPr>
          <w:rFonts w:ascii="Calibri" w:eastAsia="Times New Roman" w:hAnsi="Calibri" w:cs="Calibri"/>
          <w:kern w:val="0"/>
          <w:lang w:val="en-US"/>
          <w14:ligatures w14:val="none"/>
        </w:rPr>
        <w:t xml:space="preserve"> is the total operating time of the components or system, n = number </w:t>
      </w:r>
      <w:r w:rsidRPr="00F25D62">
        <w:rPr>
          <w:rFonts w:ascii="Calibri" w:eastAsia="Times New Roman" w:hAnsi="Calibri" w:cs="Calibri"/>
          <w:kern w:val="0"/>
          <w:lang w:val="en-US"/>
          <w14:ligatures w14:val="none"/>
        </w:rPr>
        <w:t>of failure or break down of components or system</w:t>
      </w:r>
      <w:r>
        <w:rPr>
          <w:rFonts w:ascii="Calibri" w:eastAsia="Times New Roman" w:hAnsi="Calibri" w:cs="Calibri"/>
          <w:kern w:val="0"/>
          <w:lang w:val="en-US"/>
          <w14:ligatures w14:val="none"/>
        </w:rPr>
        <w:t xml:space="preserve">, </w:t>
      </w:r>
      <m:oMath>
        <m:r>
          <w:rPr>
            <w:rFonts w:ascii="Cambria Math" w:eastAsia="Times New Roman" w:hAnsi="Cambria Math" w:cs="Calibri"/>
            <w:kern w:val="0"/>
            <w:lang w:val="en-US"/>
            <w14:ligatures w14:val="none"/>
          </w:rPr>
          <m:t>θ</m:t>
        </m:r>
      </m:oMath>
      <w:r w:rsidRPr="00F25D62">
        <w:rPr>
          <w:rFonts w:ascii="Calibri" w:eastAsia="Times New Roman" w:hAnsi="Calibri" w:cs="Calibri"/>
          <w:kern w:val="0"/>
          <w:lang w:val="en-US"/>
          <w14:ligatures w14:val="none"/>
        </w:rPr>
        <w:t xml:space="preserve"> = Mean Time Between Failure.</w:t>
      </w:r>
    </w:p>
    <w:p w14:paraId="29900BB3" w14:textId="77777777" w:rsidR="00E47D0F" w:rsidRDefault="00E47D0F" w:rsidP="0051231B">
      <w:pPr>
        <w:spacing w:before="100" w:beforeAutospacing="1" w:after="100" w:afterAutospacing="1" w:line="360" w:lineRule="auto"/>
        <w:jc w:val="both"/>
        <w:rPr>
          <w:rFonts w:ascii="Calibri" w:eastAsia="Times New Roman" w:hAnsi="Calibri" w:cs="Calibri"/>
          <w:bCs/>
          <w:kern w:val="0"/>
          <w:lang w:val="en-US"/>
          <w14:ligatures w14:val="none"/>
        </w:rPr>
      </w:pPr>
    </w:p>
    <w:p w14:paraId="161D9CA9" w14:textId="77777777" w:rsidR="0051231B" w:rsidRDefault="00F25D62" w:rsidP="0051231B">
      <w:pPr>
        <w:spacing w:before="100" w:beforeAutospacing="1" w:after="100" w:afterAutospacing="1" w:line="360" w:lineRule="auto"/>
        <w:jc w:val="both"/>
        <w:rPr>
          <w:rFonts w:ascii="Calibri" w:eastAsia="Times New Roman" w:hAnsi="Calibri" w:cs="Calibri"/>
          <w:kern w:val="0"/>
          <w:lang w:val="en-US"/>
          <w14:ligatures w14:val="none"/>
        </w:rPr>
      </w:pPr>
      <w:r>
        <w:rPr>
          <w:rFonts w:ascii="Calibri" w:eastAsia="Times New Roman" w:hAnsi="Calibri" w:cs="Calibri"/>
          <w:bCs/>
          <w:kern w:val="0"/>
          <w:lang w:val="en-US"/>
          <w14:ligatures w14:val="none"/>
        </w:rPr>
        <w:t xml:space="preserve">2.2.6 </w:t>
      </w:r>
      <w:r w:rsidR="0051231B" w:rsidRPr="00733AA0">
        <w:rPr>
          <w:rFonts w:ascii="Calibri" w:eastAsia="Times New Roman" w:hAnsi="Calibri" w:cs="Calibri"/>
          <w:bCs/>
          <w:kern w:val="0"/>
          <w:lang w:val="en-US"/>
          <w14:ligatures w14:val="none"/>
        </w:rPr>
        <w:t>Reliability (R):</w:t>
      </w:r>
      <w:r w:rsidR="0051231B" w:rsidRPr="0051231B">
        <w:rPr>
          <w:rFonts w:ascii="Calibri" w:eastAsia="Times New Roman" w:hAnsi="Calibri" w:cs="Calibri"/>
          <w:kern w:val="0"/>
          <w:lang w:val="en-US"/>
          <w14:ligatures w14:val="none"/>
        </w:rPr>
        <w:t xml:space="preserve"> The probability that a system operates without failure for a specified period was calculated using:</w:t>
      </w:r>
    </w:p>
    <w:p w14:paraId="090FAF94" w14:textId="77777777" w:rsidR="00F25D62" w:rsidRDefault="00F25D62" w:rsidP="00F25D62">
      <w:pPr>
        <w:spacing w:before="100" w:beforeAutospacing="1" w:after="100" w:afterAutospacing="1" w:line="360" w:lineRule="auto"/>
        <w:jc w:val="center"/>
        <w:rPr>
          <w:rFonts w:ascii="Calibri" w:eastAsia="Times New Roman" w:hAnsi="Calibri" w:cs="Calibri"/>
          <w:kern w:val="0"/>
          <w:lang w:val="en-US"/>
          <w14:ligatures w14:val="none"/>
        </w:rPr>
      </w:pPr>
      <m:oMath>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r>
              <m:rPr>
                <m:sty m:val="p"/>
              </m:rPr>
              <w:rPr>
                <w:rFonts w:ascii="Cambria Math" w:hAnsi="Cambria Math" w:cs="Times New Roman"/>
              </w:rPr>
              <m:t>λt</m:t>
            </m:r>
          </m:sup>
        </m:sSup>
      </m:oMath>
      <w:r>
        <w:rPr>
          <w:rFonts w:ascii="Calibri" w:eastAsia="Times New Roman" w:hAnsi="Calibri" w:cs="Calibri"/>
          <w:kern w:val="0"/>
          <w:lang w:val="en-US"/>
          <w14:ligatures w14:val="none"/>
        </w:rPr>
        <w:t xml:space="preserve"> =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 xml:space="preserve">- </m:t>
            </m:r>
            <m:f>
              <m:fPr>
                <m:ctrlPr>
                  <w:rPr>
                    <w:rFonts w:ascii="Cambria Math" w:hAnsi="Cambria Math" w:cs="Times New Roman"/>
                  </w:rPr>
                </m:ctrlPr>
              </m:fPr>
              <m:num>
                <m:r>
                  <w:rPr>
                    <w:rFonts w:ascii="Cambria Math" w:hAnsi="Cambria Math" w:cs="Times New Roman"/>
                  </w:rPr>
                  <m:t>t</m:t>
                </m:r>
              </m:num>
              <m:den>
                <m:r>
                  <w:rPr>
                    <w:rFonts w:ascii="Cambria Math" w:eastAsiaTheme="minorEastAsia" w:hAnsi="Cambria Math" w:cs="Times New Roman"/>
                  </w:rPr>
                  <m:t>θ</m:t>
                </m:r>
              </m:den>
            </m:f>
          </m:sup>
        </m:sSup>
      </m:oMath>
      <w:r w:rsidRPr="00E929DA">
        <w:rPr>
          <w:rFonts w:ascii="Times New Roman" w:eastAsiaTheme="minorEastAsia" w:hAnsi="Times New Roman" w:cs="Times New Roman"/>
        </w:rPr>
        <w:tab/>
      </w:r>
      <w:r>
        <w:rPr>
          <w:rFonts w:ascii="Calibri" w:eastAsia="Times New Roman" w:hAnsi="Calibri" w:cs="Calibri"/>
          <w:kern w:val="0"/>
          <w:lang w:val="en-US"/>
          <w14:ligatures w14:val="none"/>
        </w:rPr>
        <w:t xml:space="preserve"> </w:t>
      </w:r>
      <w:proofErr w:type="spellStart"/>
      <w:r>
        <w:rPr>
          <w:rFonts w:ascii="Calibri" w:eastAsia="Times New Roman" w:hAnsi="Calibri" w:cs="Calibri"/>
          <w:kern w:val="0"/>
          <w:lang w:val="en-US"/>
          <w14:ligatures w14:val="none"/>
        </w:rPr>
        <w:t>Eqn</w:t>
      </w:r>
      <w:proofErr w:type="spellEnd"/>
      <w:r>
        <w:rPr>
          <w:rFonts w:ascii="Calibri" w:eastAsia="Times New Roman" w:hAnsi="Calibri" w:cs="Calibri"/>
          <w:kern w:val="0"/>
          <w:lang w:val="en-US"/>
          <w14:ligatures w14:val="none"/>
        </w:rPr>
        <w:t xml:space="preserve"> 6</w:t>
      </w:r>
    </w:p>
    <w:p w14:paraId="39CF6C60" w14:textId="77777777" w:rsidR="00F25D62" w:rsidRDefault="00F25D62" w:rsidP="00F25D62">
      <w:pPr>
        <w:spacing w:after="0" w:line="360" w:lineRule="auto"/>
        <w:jc w:val="both"/>
        <w:rPr>
          <w:rFonts w:ascii="Calibri" w:eastAsia="Times New Roman" w:hAnsi="Calibri" w:cs="Calibri"/>
          <w:bCs/>
          <w:kern w:val="0"/>
          <w:lang w:val="en-US"/>
          <w14:ligatures w14:val="none"/>
        </w:rPr>
      </w:pPr>
      <w:r>
        <w:rPr>
          <w:rFonts w:ascii="Calibri" w:eastAsia="Times New Roman" w:hAnsi="Calibri" w:cs="Calibri"/>
          <w:kern w:val="0"/>
          <w:lang w:val="en-US"/>
          <w14:ligatures w14:val="none"/>
        </w:rPr>
        <w:lastRenderedPageBreak/>
        <w:t>w</w:t>
      </w:r>
      <w:r w:rsidRPr="00F25D62">
        <w:rPr>
          <w:rFonts w:ascii="Calibri" w:eastAsia="Times New Roman" w:hAnsi="Calibri" w:cs="Calibri"/>
          <w:kern w:val="0"/>
          <w:lang w:val="en-US"/>
          <w14:ligatures w14:val="none"/>
        </w:rPr>
        <w:t>here</w:t>
      </w:r>
      <w:r>
        <w:rPr>
          <w:rFonts w:ascii="Calibri" w:eastAsia="Times New Roman" w:hAnsi="Calibri" w:cs="Calibri"/>
          <w:kern w:val="0"/>
          <w:lang w:val="en-US"/>
          <w14:ligatures w14:val="none"/>
        </w:rPr>
        <w:t xml:space="preserve"> </w:t>
      </w:r>
      <m:oMath>
        <m:r>
          <m:rPr>
            <m:sty m:val="p"/>
          </m:rPr>
          <w:rPr>
            <w:rFonts w:ascii="Cambria Math" w:eastAsia="Times New Roman" w:hAnsi="Cambria Math" w:cs="Calibri"/>
            <w:kern w:val="0"/>
            <w:lang w:val="en-US"/>
            <w14:ligatures w14:val="none"/>
          </w:rPr>
          <m:t>t=</m:t>
        </m:r>
      </m:oMath>
      <w:r w:rsidRPr="00F25D62">
        <w:rPr>
          <w:rFonts w:ascii="Calibri" w:eastAsia="Times New Roman" w:hAnsi="Calibri" w:cs="Calibri"/>
          <w:kern w:val="0"/>
          <w:lang w:val="en-US"/>
          <w14:ligatures w14:val="none"/>
        </w:rPr>
        <w:t xml:space="preserve"> specific uptime period</w:t>
      </w:r>
      <w:r>
        <w:rPr>
          <w:rFonts w:ascii="Calibri" w:eastAsia="Times New Roman" w:hAnsi="Calibri" w:cs="Calibri"/>
          <w:kern w:val="0"/>
          <w:lang w:val="en-US"/>
          <w14:ligatures w14:val="none"/>
        </w:rPr>
        <w:t xml:space="preserve">, </w:t>
      </w:r>
      <m:oMath>
        <m:r>
          <w:rPr>
            <w:rFonts w:ascii="Cambria Math" w:eastAsia="Times New Roman" w:hAnsi="Cambria Math" w:cs="Calibri"/>
            <w:kern w:val="0"/>
            <w:lang w:val="en-US"/>
            <w14:ligatures w14:val="none"/>
          </w:rPr>
          <m:t>θ</m:t>
        </m:r>
      </m:oMath>
      <w:r w:rsidRPr="00F25D62">
        <w:rPr>
          <w:rFonts w:ascii="Calibri" w:eastAsia="Times New Roman" w:hAnsi="Calibri" w:cs="Calibri"/>
          <w:kern w:val="0"/>
          <w:lang w:val="en-US"/>
          <w14:ligatures w14:val="none"/>
        </w:rPr>
        <w:t>= Mean Time Before Failure</w:t>
      </w:r>
      <w:r>
        <w:rPr>
          <w:rFonts w:ascii="Calibri" w:eastAsia="Times New Roman" w:hAnsi="Calibri" w:cs="Calibri"/>
          <w:kern w:val="0"/>
          <w:lang w:val="en-US"/>
          <w14:ligatures w14:val="none"/>
        </w:rPr>
        <w:t xml:space="preserve">. </w:t>
      </w:r>
    </w:p>
    <w:p w14:paraId="657D6DC6" w14:textId="77777777" w:rsidR="00F25D62" w:rsidRDefault="00F25D62" w:rsidP="0051231B">
      <w:pPr>
        <w:spacing w:before="100" w:beforeAutospacing="1" w:after="100" w:afterAutospacing="1" w:line="360" w:lineRule="auto"/>
        <w:jc w:val="both"/>
        <w:rPr>
          <w:rFonts w:ascii="Calibri" w:eastAsia="Times New Roman" w:hAnsi="Calibri" w:cs="Calibri"/>
          <w:bCs/>
          <w:kern w:val="0"/>
          <w:lang w:val="en-US"/>
          <w14:ligatures w14:val="none"/>
        </w:rPr>
      </w:pPr>
    </w:p>
    <w:p w14:paraId="17E92909" w14:textId="77777777" w:rsidR="0051231B" w:rsidRPr="0051231B" w:rsidRDefault="00F25D62" w:rsidP="0051231B">
      <w:pPr>
        <w:spacing w:before="100" w:beforeAutospacing="1" w:after="100" w:afterAutospacing="1" w:line="360" w:lineRule="auto"/>
        <w:jc w:val="both"/>
        <w:rPr>
          <w:rFonts w:ascii="Calibri" w:eastAsia="Times New Roman" w:hAnsi="Calibri" w:cs="Calibri"/>
          <w:kern w:val="0"/>
          <w:lang w:val="en-US"/>
          <w14:ligatures w14:val="none"/>
        </w:rPr>
      </w:pPr>
      <w:r>
        <w:rPr>
          <w:rFonts w:ascii="Calibri" w:eastAsia="Times New Roman" w:hAnsi="Calibri" w:cs="Calibri"/>
          <w:bCs/>
          <w:kern w:val="0"/>
          <w:lang w:val="en-US"/>
          <w14:ligatures w14:val="none"/>
        </w:rPr>
        <w:t xml:space="preserve">2.2.7 </w:t>
      </w:r>
      <w:r w:rsidR="0051231B" w:rsidRPr="00733AA0">
        <w:rPr>
          <w:rFonts w:ascii="Calibri" w:eastAsia="Times New Roman" w:hAnsi="Calibri" w:cs="Calibri"/>
          <w:bCs/>
          <w:kern w:val="0"/>
          <w:lang w:val="en-US"/>
          <w14:ligatures w14:val="none"/>
        </w:rPr>
        <w:t>Probability of Failure (PF):</w:t>
      </w:r>
      <w:r w:rsidR="0051231B" w:rsidRPr="0051231B">
        <w:rPr>
          <w:rFonts w:ascii="Calibri" w:eastAsia="Times New Roman" w:hAnsi="Calibri" w:cs="Calibri"/>
          <w:kern w:val="0"/>
          <w:lang w:val="en-US"/>
          <w14:ligatures w14:val="none"/>
        </w:rPr>
        <w:t xml:space="preserve"> This was calculated as:</w:t>
      </w:r>
    </w:p>
    <w:p w14:paraId="66D80B85" w14:textId="77777777" w:rsidR="0051231B" w:rsidRPr="0051231B" w:rsidRDefault="0051231B" w:rsidP="00F25D62">
      <w:pPr>
        <w:spacing w:after="0" w:line="36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PF=1−</w:t>
      </w:r>
      <w:r w:rsidR="00F25D62">
        <w:rPr>
          <w:rFonts w:ascii="Calibri" w:eastAsia="Times New Roman" w:hAnsi="Calibri" w:cs="Calibri"/>
          <w:kern w:val="0"/>
          <w:lang w:val="en-US"/>
          <w14:ligatures w14:val="none"/>
        </w:rPr>
        <w:t xml:space="preserve"> </w:t>
      </w:r>
      <w:r w:rsidRPr="00733AA0">
        <w:rPr>
          <w:rFonts w:ascii="Calibri" w:eastAsia="Times New Roman" w:hAnsi="Calibri" w:cs="Calibri"/>
          <w:kern w:val="0"/>
          <w:lang w:val="en-US"/>
          <w14:ligatures w14:val="none"/>
        </w:rPr>
        <w:t>R(</w:t>
      </w:r>
      <w:proofErr w:type="gramStart"/>
      <w:r w:rsidRPr="00733AA0">
        <w:rPr>
          <w:rFonts w:ascii="Calibri" w:eastAsia="Times New Roman" w:hAnsi="Calibri" w:cs="Calibri"/>
          <w:kern w:val="0"/>
          <w:lang w:val="en-US"/>
          <w14:ligatures w14:val="none"/>
        </w:rPr>
        <w:t>t)</w:t>
      </w:r>
      <w:r w:rsidR="00F25D62">
        <w:rPr>
          <w:rFonts w:ascii="Calibri" w:eastAsia="Times New Roman" w:hAnsi="Calibri" w:cs="Calibri"/>
          <w:kern w:val="0"/>
          <w:lang w:val="en-US"/>
          <w14:ligatures w14:val="none"/>
        </w:rPr>
        <w:t xml:space="preserve">   </w:t>
      </w:r>
      <w:proofErr w:type="spellStart"/>
      <w:proofErr w:type="gramEnd"/>
      <w:r w:rsidR="00F25D62">
        <w:rPr>
          <w:rFonts w:ascii="Calibri" w:eastAsia="Times New Roman" w:hAnsi="Calibri" w:cs="Calibri"/>
          <w:kern w:val="0"/>
          <w:lang w:val="en-US"/>
          <w14:ligatures w14:val="none"/>
        </w:rPr>
        <w:t>Eqn</w:t>
      </w:r>
      <w:proofErr w:type="spellEnd"/>
      <w:r w:rsidR="00F25D62">
        <w:rPr>
          <w:rFonts w:ascii="Calibri" w:eastAsia="Times New Roman" w:hAnsi="Calibri" w:cs="Calibri"/>
          <w:kern w:val="0"/>
          <w:lang w:val="en-US"/>
          <w14:ligatures w14:val="none"/>
        </w:rPr>
        <w:t xml:space="preserve"> 7</w:t>
      </w:r>
    </w:p>
    <w:p w14:paraId="093ED193" w14:textId="77777777" w:rsidR="00E47D0F" w:rsidRDefault="00E47D0F" w:rsidP="0051231B">
      <w:pPr>
        <w:spacing w:before="100" w:beforeAutospacing="1" w:after="100" w:afterAutospacing="1" w:line="360" w:lineRule="auto"/>
        <w:jc w:val="both"/>
        <w:outlineLvl w:val="2"/>
        <w:rPr>
          <w:rFonts w:ascii="Calibri" w:eastAsia="Times New Roman" w:hAnsi="Calibri" w:cs="Calibri"/>
          <w:bCs/>
          <w:kern w:val="0"/>
          <w:lang w:val="en-US"/>
          <w14:ligatures w14:val="none"/>
        </w:rPr>
      </w:pPr>
    </w:p>
    <w:p w14:paraId="49FAA93A" w14:textId="77777777" w:rsidR="0051231B" w:rsidRPr="00FE6643" w:rsidRDefault="00FE6643" w:rsidP="0051231B">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FE6643">
        <w:rPr>
          <w:rFonts w:ascii="Calibri" w:eastAsia="Times New Roman" w:hAnsi="Calibri" w:cs="Calibri"/>
          <w:b/>
          <w:bCs/>
          <w:kern w:val="0"/>
          <w:lang w:val="en-US"/>
          <w14:ligatures w14:val="none"/>
        </w:rPr>
        <w:t>2.3 ECONOMIC EVALUATION METHODOLOGY</w:t>
      </w:r>
    </w:p>
    <w:p w14:paraId="303AF215" w14:textId="77777777" w:rsidR="00F25D62" w:rsidRPr="00F25D62" w:rsidRDefault="0051231B" w:rsidP="00F25D62">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 xml:space="preserve">The economic analysis utilized the Levelized Cost of Electricity (LCOE) metric, which represents the average cost of electricity generation over the lifetime of a power plant. Following Yuan </w:t>
      </w:r>
      <w:r w:rsidR="005D4285" w:rsidRPr="005D4285">
        <w:rPr>
          <w:rFonts w:ascii="Calibri" w:eastAsia="Times New Roman" w:hAnsi="Calibri" w:cs="Calibri"/>
          <w:i/>
          <w:kern w:val="0"/>
          <w:lang w:val="en-US"/>
          <w14:ligatures w14:val="none"/>
        </w:rPr>
        <w:t>et al</w:t>
      </w:r>
      <w:r w:rsidRPr="0051231B">
        <w:rPr>
          <w:rFonts w:ascii="Calibri" w:eastAsia="Times New Roman" w:hAnsi="Calibri" w:cs="Calibri"/>
          <w:kern w:val="0"/>
          <w:lang w:val="en-US"/>
          <w14:ligatures w14:val="none"/>
        </w:rPr>
        <w:t>. (</w:t>
      </w:r>
      <w:r w:rsidR="00F25D62">
        <w:rPr>
          <w:rFonts w:ascii="Calibri" w:eastAsia="Times New Roman" w:hAnsi="Calibri" w:cs="Calibri"/>
          <w:kern w:val="0"/>
          <w:lang w:val="en-US"/>
          <w14:ligatures w14:val="none"/>
        </w:rPr>
        <w:t>2021), LCOE was calculated using:</w:t>
      </w:r>
    </w:p>
    <w:p w14:paraId="6065EB90" w14:textId="77777777" w:rsidR="00F25D62" w:rsidRPr="007C5BD6" w:rsidRDefault="007C5BD6" w:rsidP="00F25D62">
      <w:pPr>
        <w:spacing w:line="480" w:lineRule="auto"/>
        <w:jc w:val="both"/>
        <w:rPr>
          <w:rFonts w:ascii="Times New Roman" w:hAnsi="Times New Roman" w:cs="Times New Roman"/>
          <w:bCs/>
          <w:iCs/>
        </w:rPr>
      </w:pPr>
      <m:oMathPara>
        <m:oMathParaPr>
          <m:jc m:val="center"/>
        </m:oMathParaPr>
        <m:oMath>
          <m:r>
            <m:rPr>
              <m:sty m:val="p"/>
            </m:rPr>
            <w:rPr>
              <w:rFonts w:ascii="Cambria Math" w:hAnsi="Cambria Math" w:cs="Calibri"/>
            </w:rPr>
            <m:t xml:space="preserve">LCOE= </m:t>
          </m:r>
          <m:f>
            <m:fPr>
              <m:ctrlPr>
                <w:rPr>
                  <w:rFonts w:ascii="Cambria Math" w:hAnsi="Cambria Math" w:cs="Calibri"/>
                  <w:bCs/>
                  <w:iCs/>
                </w:rPr>
              </m:ctrlPr>
            </m:fPr>
            <m:num>
              <m:r>
                <m:rPr>
                  <m:sty m:val="p"/>
                </m:rPr>
                <w:rPr>
                  <w:rFonts w:ascii="Cambria Math" w:hAnsi="Cambria Math" w:cs="Calibri"/>
                </w:rPr>
                <m:t xml:space="preserve">Capital cost+ </m:t>
              </m:r>
              <m:nary>
                <m:naryPr>
                  <m:chr m:val="∑"/>
                  <m:limLoc m:val="subSup"/>
                  <m:ctrlPr>
                    <w:rPr>
                      <w:rFonts w:ascii="Cambria Math" w:hAnsi="Cambria Math" w:cs="Calibri"/>
                      <w:bCs/>
                      <w:iCs/>
                    </w:rPr>
                  </m:ctrlPr>
                </m:naryPr>
                <m:sub>
                  <m:r>
                    <m:rPr>
                      <m:sty m:val="p"/>
                    </m:rPr>
                    <w:rPr>
                      <w:rFonts w:ascii="Cambria Math" w:hAnsi="Cambria Math" w:cs="Calibri"/>
                    </w:rPr>
                    <m:t>t=1</m:t>
                  </m:r>
                </m:sub>
                <m:sup>
                  <m:r>
                    <m:rPr>
                      <m:sty m:val="p"/>
                    </m:rPr>
                    <w:rPr>
                      <w:rFonts w:ascii="Cambria Math" w:hAnsi="Cambria Math" w:cs="Calibri"/>
                    </w:rPr>
                    <m:t>N</m:t>
                  </m:r>
                </m:sup>
                <m:e>
                  <m:d>
                    <m:dPr>
                      <m:ctrlPr>
                        <w:rPr>
                          <w:rFonts w:ascii="Cambria Math" w:hAnsi="Cambria Math" w:cs="Calibri"/>
                          <w:bCs/>
                          <w:iCs/>
                        </w:rPr>
                      </m:ctrlPr>
                    </m:dPr>
                    <m:e>
                      <m:sSub>
                        <m:sSubPr>
                          <m:ctrlPr>
                            <w:rPr>
                              <w:rFonts w:ascii="Cambria Math" w:hAnsi="Cambria Math" w:cs="Calibri"/>
                              <w:bCs/>
                              <w:iCs/>
                            </w:rPr>
                          </m:ctrlPr>
                        </m:sSubPr>
                        <m:e>
                          <m:r>
                            <m:rPr>
                              <m:sty m:val="p"/>
                            </m:rPr>
                            <w:rPr>
                              <w:rFonts w:ascii="Cambria Math" w:hAnsi="Cambria Math" w:cs="Calibri"/>
                            </w:rPr>
                            <m:t>F</m:t>
                          </m:r>
                        </m:e>
                        <m:sub>
                          <m:r>
                            <m:rPr>
                              <m:sty m:val="p"/>
                            </m:rPr>
                            <w:rPr>
                              <w:rFonts w:ascii="Cambria Math" w:hAnsi="Cambria Math" w:cs="Calibri"/>
                            </w:rPr>
                            <m:t>t</m:t>
                          </m:r>
                        </m:sub>
                      </m:sSub>
                      <m:r>
                        <m:rPr>
                          <m:sty m:val="p"/>
                        </m:rPr>
                        <w:rPr>
                          <w:rFonts w:ascii="Cambria Math" w:hAnsi="Cambria Math" w:cs="Calibri"/>
                        </w:rPr>
                        <m:t>+O&amp;</m:t>
                      </m:r>
                      <m:sSub>
                        <m:sSubPr>
                          <m:ctrlPr>
                            <w:rPr>
                              <w:rFonts w:ascii="Cambria Math" w:hAnsi="Cambria Math" w:cs="Calibri"/>
                              <w:bCs/>
                              <w:iCs/>
                            </w:rPr>
                          </m:ctrlPr>
                        </m:sSubPr>
                        <m:e>
                          <m:r>
                            <m:rPr>
                              <m:sty m:val="p"/>
                            </m:rPr>
                            <w:rPr>
                              <w:rFonts w:ascii="Cambria Math" w:hAnsi="Cambria Math" w:cs="Calibri"/>
                            </w:rPr>
                            <m:t>M</m:t>
                          </m:r>
                        </m:e>
                        <m:sub>
                          <m:r>
                            <m:rPr>
                              <m:sty m:val="p"/>
                            </m:rPr>
                            <w:rPr>
                              <w:rFonts w:ascii="Cambria Math" w:hAnsi="Cambria Math" w:cs="Calibri"/>
                            </w:rPr>
                            <m:t>t</m:t>
                          </m:r>
                        </m:sub>
                      </m:sSub>
                    </m:e>
                  </m:d>
                  <m:r>
                    <m:rPr>
                      <m:sty m:val="p"/>
                    </m:rPr>
                    <w:rPr>
                      <w:rFonts w:ascii="Cambria Math" w:hAnsi="Cambria Math" w:cs="Calibri"/>
                    </w:rPr>
                    <m:t>*</m:t>
                  </m:r>
                  <m:sSup>
                    <m:sSupPr>
                      <m:ctrlPr>
                        <w:rPr>
                          <w:rFonts w:ascii="Cambria Math" w:hAnsi="Cambria Math" w:cs="Calibri"/>
                          <w:bCs/>
                          <w:iCs/>
                        </w:rPr>
                      </m:ctrlPr>
                    </m:sSupPr>
                    <m:e>
                      <m:d>
                        <m:dPr>
                          <m:ctrlPr>
                            <w:rPr>
                              <w:rFonts w:ascii="Cambria Math" w:hAnsi="Cambria Math" w:cs="Calibri"/>
                              <w:bCs/>
                              <w:iCs/>
                            </w:rPr>
                          </m:ctrlPr>
                        </m:dPr>
                        <m:e>
                          <m:r>
                            <m:rPr>
                              <m:sty m:val="p"/>
                            </m:rPr>
                            <w:rPr>
                              <w:rFonts w:ascii="Cambria Math" w:hAnsi="Cambria Math" w:cs="Calibri"/>
                            </w:rPr>
                            <m:t>1+r</m:t>
                          </m:r>
                        </m:e>
                      </m:d>
                    </m:e>
                    <m:sup>
                      <m:r>
                        <m:rPr>
                          <m:sty m:val="p"/>
                        </m:rPr>
                        <w:rPr>
                          <w:rFonts w:ascii="Cambria Math" w:hAnsi="Cambria Math" w:cs="Calibri"/>
                        </w:rPr>
                        <m:t>-1</m:t>
                      </m:r>
                    </m:sup>
                  </m:sSup>
                </m:e>
              </m:nary>
            </m:num>
            <m:den>
              <m:nary>
                <m:naryPr>
                  <m:chr m:val="∑"/>
                  <m:limLoc m:val="subSup"/>
                  <m:ctrlPr>
                    <w:rPr>
                      <w:rFonts w:ascii="Cambria Math" w:hAnsi="Cambria Math" w:cs="Calibri"/>
                      <w:bCs/>
                      <w:iCs/>
                    </w:rPr>
                  </m:ctrlPr>
                </m:naryPr>
                <m:sub>
                  <m:r>
                    <m:rPr>
                      <m:sty m:val="p"/>
                    </m:rPr>
                    <w:rPr>
                      <w:rFonts w:ascii="Cambria Math" w:hAnsi="Cambria Math" w:cs="Calibri"/>
                    </w:rPr>
                    <m:t>t=1</m:t>
                  </m:r>
                </m:sub>
                <m:sup>
                  <m:r>
                    <m:rPr>
                      <m:sty m:val="p"/>
                    </m:rPr>
                    <w:rPr>
                      <w:rFonts w:ascii="Cambria Math" w:hAnsi="Cambria Math" w:cs="Calibri"/>
                    </w:rPr>
                    <m:t>N</m:t>
                  </m:r>
                </m:sup>
                <m:e>
                  <m:r>
                    <m:rPr>
                      <m:sty m:val="p"/>
                    </m:rPr>
                    <w:rPr>
                      <w:rFonts w:ascii="Cambria Math" w:hAnsi="Cambria Math" w:cs="Calibri"/>
                    </w:rPr>
                    <m:t>(</m:t>
                  </m:r>
                </m:e>
              </m:nary>
              <m:sSub>
                <m:sSubPr>
                  <m:ctrlPr>
                    <w:rPr>
                      <w:rFonts w:ascii="Cambria Math" w:hAnsi="Cambria Math" w:cs="Calibri"/>
                      <w:bCs/>
                      <w:iCs/>
                    </w:rPr>
                  </m:ctrlPr>
                </m:sSubPr>
                <m:e>
                  <m:r>
                    <m:rPr>
                      <m:sty m:val="p"/>
                    </m:rPr>
                    <w:rPr>
                      <w:rFonts w:ascii="Cambria Math" w:hAnsi="Cambria Math" w:cs="Calibri"/>
                    </w:rPr>
                    <m:t>E</m:t>
                  </m:r>
                </m:e>
                <m:sub>
                  <m:r>
                    <m:rPr>
                      <m:sty m:val="p"/>
                    </m:rPr>
                    <w:rPr>
                      <w:rFonts w:ascii="Cambria Math" w:hAnsi="Cambria Math" w:cs="Calibri"/>
                    </w:rPr>
                    <m:t>t</m:t>
                  </m:r>
                </m:sub>
              </m:sSub>
              <m:sSup>
                <m:sSupPr>
                  <m:ctrlPr>
                    <w:rPr>
                      <w:rFonts w:ascii="Cambria Math" w:hAnsi="Cambria Math" w:cs="Calibri"/>
                      <w:bCs/>
                      <w:iCs/>
                    </w:rPr>
                  </m:ctrlPr>
                </m:sSupPr>
                <m:e>
                  <m:r>
                    <m:rPr>
                      <m:sty m:val="p"/>
                    </m:rPr>
                    <w:rPr>
                      <w:rFonts w:ascii="Cambria Math" w:hAnsi="Cambria Math" w:cs="Calibri"/>
                    </w:rPr>
                    <m:t>(1+r)</m:t>
                  </m:r>
                </m:e>
                <m:sup>
                  <m:r>
                    <m:rPr>
                      <m:sty m:val="p"/>
                    </m:rPr>
                    <w:rPr>
                      <w:rFonts w:ascii="Cambria Math" w:hAnsi="Cambria Math" w:cs="Calibri"/>
                    </w:rPr>
                    <m:t>-t</m:t>
                  </m:r>
                </m:sup>
              </m:sSup>
            </m:den>
          </m:f>
          <m:r>
            <m:rPr>
              <m:sty m:val="p"/>
            </m:rPr>
            <w:rPr>
              <w:rFonts w:ascii="Cambria Math" w:hAnsi="Cambria Math" w:cs="Calibri"/>
            </w:rPr>
            <m:t xml:space="preserve">          Eqn 8</m:t>
          </m:r>
        </m:oMath>
      </m:oMathPara>
    </w:p>
    <w:p w14:paraId="410AEEA5" w14:textId="77777777" w:rsidR="0051231B" w:rsidRPr="0051231B" w:rsidRDefault="007C5BD6" w:rsidP="007C5BD6">
      <w:pPr>
        <w:spacing w:before="100" w:beforeAutospacing="1" w:after="100" w:afterAutospacing="1" w:line="360" w:lineRule="auto"/>
        <w:jc w:val="both"/>
        <w:rPr>
          <w:rFonts w:ascii="Calibri" w:eastAsia="Times New Roman" w:hAnsi="Calibri" w:cs="Calibri"/>
          <w:kern w:val="0"/>
          <w:lang w:val="en-US"/>
          <w14:ligatures w14:val="none"/>
        </w:rPr>
      </w:pPr>
      <w:r>
        <w:rPr>
          <w:rFonts w:ascii="Calibri" w:eastAsia="Times New Roman" w:hAnsi="Calibri" w:cs="Calibri"/>
          <w:kern w:val="0"/>
          <w:lang w:val="en-US"/>
          <w14:ligatures w14:val="none"/>
        </w:rPr>
        <w:t>w</w:t>
      </w:r>
      <w:r w:rsidR="0051231B" w:rsidRPr="0051231B">
        <w:rPr>
          <w:rFonts w:ascii="Calibri" w:eastAsia="Times New Roman" w:hAnsi="Calibri" w:cs="Calibri"/>
          <w:kern w:val="0"/>
          <w:lang w:val="en-US"/>
          <w14:ligatures w14:val="none"/>
        </w:rPr>
        <w:t>here</w:t>
      </w:r>
      <w:r>
        <w:rPr>
          <w:rFonts w:ascii="Calibri" w:eastAsia="Times New Roman" w:hAnsi="Calibri" w:cs="Calibri"/>
          <w:kern w:val="0"/>
          <w:lang w:val="en-US"/>
          <w14:ligatures w14:val="none"/>
        </w:rPr>
        <w:t xml:space="preserve"> </w:t>
      </w:r>
      <w:r w:rsidR="0051231B" w:rsidRPr="0051231B">
        <w:rPr>
          <w:rFonts w:ascii="Calibri" w:eastAsia="Times New Roman" w:hAnsi="Calibri" w:cs="Calibri"/>
          <w:kern w:val="0"/>
          <w:lang w:val="en-US"/>
          <w14:ligatures w14:val="none"/>
        </w:rPr>
        <w:t>F</w:t>
      </w:r>
      <w:r w:rsidR="0051231B" w:rsidRPr="007C5BD6">
        <w:rPr>
          <w:rFonts w:ascii="Calibri" w:eastAsia="Times New Roman" w:hAnsi="Calibri" w:cs="Calibri"/>
          <w:kern w:val="0"/>
          <w:vertAlign w:val="subscript"/>
          <w:lang w:val="en-US"/>
          <w14:ligatures w14:val="none"/>
        </w:rPr>
        <w:t>t</w:t>
      </w:r>
      <w:r w:rsidR="0051231B" w:rsidRPr="0051231B">
        <w:rPr>
          <w:rFonts w:ascii="Calibri" w:eastAsia="Times New Roman" w:hAnsi="Calibri" w:cs="Calibri"/>
          <w:kern w:val="0"/>
          <w:lang w:val="en-US"/>
          <w14:ligatures w14:val="none"/>
        </w:rPr>
        <w:t xml:space="preserve"> = raw material/fuel cost</w:t>
      </w:r>
      <w:r>
        <w:rPr>
          <w:rFonts w:ascii="Calibri" w:eastAsia="Times New Roman" w:hAnsi="Calibri" w:cs="Calibri"/>
          <w:kern w:val="0"/>
          <w:lang w:val="en-US"/>
          <w14:ligatures w14:val="none"/>
        </w:rPr>
        <w:t xml:space="preserve">, </w:t>
      </w:r>
      <w:proofErr w:type="spellStart"/>
      <w:r>
        <w:rPr>
          <w:rFonts w:ascii="Calibri" w:eastAsia="Times New Roman" w:hAnsi="Calibri" w:cs="Calibri"/>
          <w:kern w:val="0"/>
          <w:lang w:val="en-US"/>
          <w14:ligatures w14:val="none"/>
        </w:rPr>
        <w:t>O&amp;M</w:t>
      </w:r>
      <w:r w:rsidR="0051231B" w:rsidRPr="007C5BD6">
        <w:rPr>
          <w:rFonts w:ascii="Calibri" w:eastAsia="Times New Roman" w:hAnsi="Calibri" w:cs="Calibri"/>
          <w:kern w:val="0"/>
          <w:vertAlign w:val="subscript"/>
          <w:lang w:val="en-US"/>
          <w14:ligatures w14:val="none"/>
        </w:rPr>
        <w:t>t</w:t>
      </w:r>
      <w:proofErr w:type="spellEnd"/>
      <w:r w:rsidR="0051231B" w:rsidRPr="0051231B">
        <w:rPr>
          <w:rFonts w:ascii="Calibri" w:eastAsia="Times New Roman" w:hAnsi="Calibri" w:cs="Calibri"/>
          <w:kern w:val="0"/>
          <w:lang w:val="en-US"/>
          <w14:ligatures w14:val="none"/>
        </w:rPr>
        <w:t xml:space="preserve"> = operation and maintenance cost</w:t>
      </w:r>
      <w:r>
        <w:rPr>
          <w:rFonts w:ascii="Calibri" w:eastAsia="Times New Roman" w:hAnsi="Calibri" w:cs="Calibri"/>
          <w:kern w:val="0"/>
          <w:lang w:val="en-US"/>
          <w14:ligatures w14:val="none"/>
        </w:rPr>
        <w:t xml:space="preserve">, </w:t>
      </w:r>
      <w:r w:rsidR="0051231B" w:rsidRPr="0051231B">
        <w:rPr>
          <w:rFonts w:ascii="Calibri" w:eastAsia="Times New Roman" w:hAnsi="Calibri" w:cs="Calibri"/>
          <w:kern w:val="0"/>
          <w:lang w:val="en-US"/>
          <w14:ligatures w14:val="none"/>
        </w:rPr>
        <w:t>E</w:t>
      </w:r>
      <w:r w:rsidR="0051231B" w:rsidRPr="007C5BD6">
        <w:rPr>
          <w:rFonts w:ascii="Calibri" w:eastAsia="Times New Roman" w:hAnsi="Calibri" w:cs="Calibri"/>
          <w:kern w:val="0"/>
          <w:vertAlign w:val="subscript"/>
          <w:lang w:val="en-US"/>
          <w14:ligatures w14:val="none"/>
        </w:rPr>
        <w:t>t</w:t>
      </w:r>
      <w:r w:rsidR="0051231B" w:rsidRPr="0051231B">
        <w:rPr>
          <w:rFonts w:ascii="Calibri" w:eastAsia="Times New Roman" w:hAnsi="Calibri" w:cs="Calibri"/>
          <w:kern w:val="0"/>
          <w:lang w:val="en-US"/>
          <w14:ligatures w14:val="none"/>
        </w:rPr>
        <w:t xml:space="preserve"> = annual power generation</w:t>
      </w:r>
      <w:r>
        <w:rPr>
          <w:rFonts w:ascii="Calibri" w:eastAsia="Times New Roman" w:hAnsi="Calibri" w:cs="Calibri"/>
          <w:kern w:val="0"/>
          <w:lang w:val="en-US"/>
          <w14:ligatures w14:val="none"/>
        </w:rPr>
        <w:t xml:space="preserve">, </w:t>
      </w:r>
      <w:r w:rsidR="0051231B" w:rsidRPr="0051231B">
        <w:rPr>
          <w:rFonts w:ascii="Calibri" w:eastAsia="Times New Roman" w:hAnsi="Calibri" w:cs="Calibri"/>
          <w:kern w:val="0"/>
          <w:lang w:val="en-US"/>
          <w14:ligatures w14:val="none"/>
        </w:rPr>
        <w:t>N = equipment lifetime</w:t>
      </w:r>
      <w:r>
        <w:rPr>
          <w:rFonts w:ascii="Calibri" w:eastAsia="Times New Roman" w:hAnsi="Calibri" w:cs="Calibri"/>
          <w:kern w:val="0"/>
          <w:lang w:val="en-US"/>
          <w14:ligatures w14:val="none"/>
        </w:rPr>
        <w:t xml:space="preserve">, </w:t>
      </w:r>
      <w:r w:rsidR="0051231B" w:rsidRPr="0051231B">
        <w:rPr>
          <w:rFonts w:ascii="Calibri" w:eastAsia="Times New Roman" w:hAnsi="Calibri" w:cs="Calibri"/>
          <w:kern w:val="0"/>
          <w:lang w:val="en-US"/>
          <w14:ligatures w14:val="none"/>
        </w:rPr>
        <w:t>r = discount rate</w:t>
      </w:r>
      <w:r>
        <w:rPr>
          <w:rFonts w:ascii="Calibri" w:eastAsia="Times New Roman" w:hAnsi="Calibri" w:cs="Calibri"/>
          <w:kern w:val="0"/>
          <w:lang w:val="en-US"/>
          <w14:ligatures w14:val="none"/>
        </w:rPr>
        <w:t>.</w:t>
      </w:r>
    </w:p>
    <w:p w14:paraId="5B720908" w14:textId="77777777" w:rsidR="00E47D0F" w:rsidRDefault="00E47D0F" w:rsidP="0051231B">
      <w:pPr>
        <w:spacing w:before="100" w:beforeAutospacing="1" w:after="100" w:afterAutospacing="1" w:line="360" w:lineRule="auto"/>
        <w:jc w:val="both"/>
        <w:outlineLvl w:val="2"/>
        <w:rPr>
          <w:rFonts w:ascii="Calibri" w:eastAsia="Times New Roman" w:hAnsi="Calibri" w:cs="Calibri"/>
          <w:bCs/>
          <w:kern w:val="0"/>
          <w:lang w:val="en-US"/>
          <w14:ligatures w14:val="none"/>
        </w:rPr>
      </w:pPr>
    </w:p>
    <w:p w14:paraId="40D1509F" w14:textId="77777777" w:rsidR="0051231B" w:rsidRPr="0051231B" w:rsidRDefault="007C5BD6" w:rsidP="0051231B">
      <w:pPr>
        <w:spacing w:before="100" w:beforeAutospacing="1" w:after="100" w:afterAutospacing="1" w:line="360" w:lineRule="auto"/>
        <w:jc w:val="both"/>
        <w:outlineLvl w:val="2"/>
        <w:rPr>
          <w:rFonts w:ascii="Calibri" w:eastAsia="Times New Roman" w:hAnsi="Calibri" w:cs="Calibri"/>
          <w:bCs/>
          <w:kern w:val="0"/>
          <w:lang w:val="en-US"/>
          <w14:ligatures w14:val="none"/>
        </w:rPr>
      </w:pPr>
      <w:r>
        <w:rPr>
          <w:rFonts w:ascii="Calibri" w:eastAsia="Times New Roman" w:hAnsi="Calibri" w:cs="Calibri"/>
          <w:bCs/>
          <w:kern w:val="0"/>
          <w:lang w:val="en-US"/>
          <w14:ligatures w14:val="none"/>
        </w:rPr>
        <w:t xml:space="preserve">2.3.1 </w:t>
      </w:r>
      <w:r w:rsidR="0051231B" w:rsidRPr="0051231B">
        <w:rPr>
          <w:rFonts w:ascii="Calibri" w:eastAsia="Times New Roman" w:hAnsi="Calibri" w:cs="Calibri"/>
          <w:bCs/>
          <w:kern w:val="0"/>
          <w:lang w:val="en-US"/>
          <w14:ligatures w14:val="none"/>
        </w:rPr>
        <w:t>System Specifications and Cost Parameters</w:t>
      </w:r>
    </w:p>
    <w:p w14:paraId="390EC000"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CAT C-15 Diesel Generator (500kW):</w:t>
      </w:r>
    </w:p>
    <w:p w14:paraId="05E88A7C" w14:textId="77777777" w:rsidR="0051231B" w:rsidRPr="0051231B" w:rsidRDefault="0051231B" w:rsidP="0051231B">
      <w:pPr>
        <w:numPr>
          <w:ilvl w:val="0"/>
          <w:numId w:val="2"/>
        </w:num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Purchase cost: USD 95,000</w:t>
      </w:r>
    </w:p>
    <w:p w14:paraId="4515594A" w14:textId="77777777" w:rsidR="0051231B" w:rsidRPr="0051231B" w:rsidRDefault="0051231B" w:rsidP="0051231B">
      <w:pPr>
        <w:numPr>
          <w:ilvl w:val="0"/>
          <w:numId w:val="2"/>
        </w:num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Installation cost: USD 30,000</w:t>
      </w:r>
    </w:p>
    <w:p w14:paraId="5F0F4618" w14:textId="77777777" w:rsidR="0051231B" w:rsidRPr="0051231B" w:rsidRDefault="0051231B" w:rsidP="0051231B">
      <w:pPr>
        <w:numPr>
          <w:ilvl w:val="0"/>
          <w:numId w:val="2"/>
        </w:num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Total capital cost: USD 125,000</w:t>
      </w:r>
    </w:p>
    <w:p w14:paraId="6800FB3B" w14:textId="77777777" w:rsidR="0051231B" w:rsidRPr="0051231B" w:rsidRDefault="0051231B" w:rsidP="0051231B">
      <w:pPr>
        <w:numPr>
          <w:ilvl w:val="0"/>
          <w:numId w:val="2"/>
        </w:num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Annual maintenance: USD 5,000</w:t>
      </w:r>
    </w:p>
    <w:p w14:paraId="08B2F196" w14:textId="77777777" w:rsidR="0051231B" w:rsidRPr="0051231B" w:rsidRDefault="0051231B" w:rsidP="0051231B">
      <w:pPr>
        <w:numPr>
          <w:ilvl w:val="0"/>
          <w:numId w:val="2"/>
        </w:num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Annual operational cost (fuel): USD 150,000</w:t>
      </w:r>
    </w:p>
    <w:p w14:paraId="53EAB13A" w14:textId="77777777" w:rsidR="0051231B" w:rsidRPr="0051231B" w:rsidRDefault="0051231B" w:rsidP="0051231B">
      <w:pPr>
        <w:numPr>
          <w:ilvl w:val="0"/>
          <w:numId w:val="2"/>
        </w:num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Equipment lifetime: 15 years</w:t>
      </w:r>
    </w:p>
    <w:p w14:paraId="6D9DDE93"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CAT G3516 Natural Gas Generator (1.5MW):</w:t>
      </w:r>
    </w:p>
    <w:p w14:paraId="5C70ABCE" w14:textId="77777777" w:rsidR="0051231B" w:rsidRPr="0051231B" w:rsidRDefault="0051231B" w:rsidP="0051231B">
      <w:pPr>
        <w:numPr>
          <w:ilvl w:val="0"/>
          <w:numId w:val="3"/>
        </w:num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lastRenderedPageBreak/>
        <w:t>Purchase cost: USD 345,000</w:t>
      </w:r>
    </w:p>
    <w:p w14:paraId="697BE828" w14:textId="77777777" w:rsidR="0051231B" w:rsidRPr="0051231B" w:rsidRDefault="0051231B" w:rsidP="0051231B">
      <w:pPr>
        <w:numPr>
          <w:ilvl w:val="0"/>
          <w:numId w:val="3"/>
        </w:num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Installation cost: USD 100,000</w:t>
      </w:r>
    </w:p>
    <w:p w14:paraId="51863D11" w14:textId="77777777" w:rsidR="0051231B" w:rsidRPr="0051231B" w:rsidRDefault="0051231B" w:rsidP="0051231B">
      <w:pPr>
        <w:numPr>
          <w:ilvl w:val="0"/>
          <w:numId w:val="3"/>
        </w:num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Total capital cost: USD 445,000</w:t>
      </w:r>
    </w:p>
    <w:p w14:paraId="25E19CA7" w14:textId="77777777" w:rsidR="0051231B" w:rsidRPr="0051231B" w:rsidRDefault="0051231B" w:rsidP="0051231B">
      <w:pPr>
        <w:numPr>
          <w:ilvl w:val="0"/>
          <w:numId w:val="3"/>
        </w:num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Annual maintenance: USD 10,000</w:t>
      </w:r>
    </w:p>
    <w:p w14:paraId="5B438696" w14:textId="77777777" w:rsidR="0051231B" w:rsidRPr="0051231B" w:rsidRDefault="0051231B" w:rsidP="0051231B">
      <w:pPr>
        <w:numPr>
          <w:ilvl w:val="0"/>
          <w:numId w:val="3"/>
        </w:num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Annual operational cost (fuel): USD 80,000</w:t>
      </w:r>
    </w:p>
    <w:p w14:paraId="488F131D" w14:textId="77777777" w:rsidR="0051231B" w:rsidRPr="0051231B" w:rsidRDefault="0051231B" w:rsidP="0051231B">
      <w:pPr>
        <w:numPr>
          <w:ilvl w:val="0"/>
          <w:numId w:val="3"/>
        </w:num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Equipment lifetime: 25 years</w:t>
      </w:r>
    </w:p>
    <w:p w14:paraId="33DD2B95" w14:textId="77777777" w:rsidR="00E47D0F" w:rsidRDefault="00E47D0F" w:rsidP="0051231B">
      <w:pPr>
        <w:spacing w:before="100" w:beforeAutospacing="1" w:after="100" w:afterAutospacing="1" w:line="360" w:lineRule="auto"/>
        <w:jc w:val="both"/>
        <w:rPr>
          <w:rFonts w:ascii="Calibri" w:eastAsia="Times New Roman" w:hAnsi="Calibri" w:cs="Calibri"/>
          <w:kern w:val="0"/>
          <w:lang w:val="en-US"/>
          <w14:ligatures w14:val="none"/>
        </w:rPr>
      </w:pPr>
    </w:p>
    <w:p w14:paraId="46DDCA1F" w14:textId="77777777" w:rsidR="0051231B" w:rsidRDefault="007C5BD6" w:rsidP="0051231B">
      <w:pPr>
        <w:spacing w:before="100" w:beforeAutospacing="1" w:after="100" w:afterAutospacing="1" w:line="360" w:lineRule="auto"/>
        <w:jc w:val="both"/>
        <w:rPr>
          <w:rFonts w:ascii="Calibri" w:eastAsia="Times New Roman" w:hAnsi="Calibri" w:cs="Calibri"/>
          <w:kern w:val="0"/>
          <w:lang w:val="en-US"/>
          <w14:ligatures w14:val="none"/>
        </w:rPr>
      </w:pPr>
      <w:r>
        <w:rPr>
          <w:rFonts w:ascii="Calibri" w:eastAsia="Times New Roman" w:hAnsi="Calibri" w:cs="Calibri"/>
          <w:kern w:val="0"/>
          <w:lang w:val="en-US"/>
          <w14:ligatures w14:val="none"/>
        </w:rPr>
        <w:t xml:space="preserve">2.3.2 </w:t>
      </w:r>
      <w:r w:rsidR="0051231B" w:rsidRPr="0051231B">
        <w:rPr>
          <w:rFonts w:ascii="Calibri" w:eastAsia="Times New Roman" w:hAnsi="Calibri" w:cs="Calibri"/>
          <w:kern w:val="0"/>
          <w:lang w:val="en-US"/>
          <w14:ligatures w14:val="none"/>
        </w:rPr>
        <w:t>Annual power generation was calculated as:</w:t>
      </w:r>
    </w:p>
    <w:p w14:paraId="459FDCAE" w14:textId="77777777" w:rsidR="007C5BD6" w:rsidRPr="0051231B" w:rsidRDefault="007C5BD6" w:rsidP="0051231B">
      <w:pPr>
        <w:spacing w:before="100" w:beforeAutospacing="1" w:after="100" w:afterAutospacing="1" w:line="360" w:lineRule="auto"/>
        <w:jc w:val="both"/>
        <w:rPr>
          <w:rFonts w:ascii="Calibri" w:eastAsia="Times New Roman" w:hAnsi="Calibri" w:cs="Calibri"/>
          <w:kern w:val="0"/>
          <w:lang w:val="en-US"/>
          <w14:ligatures w14:val="none"/>
        </w:rPr>
      </w:pPr>
      <m:oMathPara>
        <m:oMath>
          <m:r>
            <m:rPr>
              <m:sty m:val="p"/>
            </m:rPr>
            <w:rPr>
              <w:rFonts w:ascii="Cambria Math" w:hAnsi="Cambria Math" w:cs="Calibri"/>
            </w:rPr>
            <m:t>Annual power generation</m:t>
          </m:r>
          <m:r>
            <w:rPr>
              <w:rFonts w:ascii="Cambria Math" w:hAnsi="Cambria Math" w:cs="Calibri"/>
            </w:rPr>
            <m:t xml:space="preserve">=daily generation*365   </m:t>
          </m:r>
          <m:r>
            <m:rPr>
              <m:sty m:val="p"/>
            </m:rPr>
            <w:rPr>
              <w:rFonts w:ascii="Cambria Math" w:hAnsi="Cambria Math" w:cs="Calibri"/>
            </w:rPr>
            <m:t>Eqn 9</m:t>
          </m:r>
        </m:oMath>
      </m:oMathPara>
    </w:p>
    <w:p w14:paraId="20E1DBC0" w14:textId="77777777" w:rsidR="0051231B" w:rsidRPr="0051231B" w:rsidRDefault="0051231B" w:rsidP="0051231B">
      <w:pPr>
        <w:spacing w:after="0"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 xml:space="preserve"> </w:t>
      </w:r>
    </w:p>
    <w:p w14:paraId="13B814BE"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The analysis evaluated LCOE at multiple discount rates (10%, 15%, 20%, 25%, and 30%) to assess economic viability under varying financial conditions.</w:t>
      </w:r>
    </w:p>
    <w:p w14:paraId="18007526" w14:textId="77777777" w:rsidR="00E47D0F" w:rsidRDefault="00E47D0F" w:rsidP="0051231B">
      <w:pPr>
        <w:spacing w:before="100" w:beforeAutospacing="1" w:after="100" w:afterAutospacing="1" w:line="360" w:lineRule="auto"/>
        <w:jc w:val="both"/>
        <w:outlineLvl w:val="2"/>
        <w:rPr>
          <w:rFonts w:ascii="Calibri" w:eastAsia="Times New Roman" w:hAnsi="Calibri" w:cs="Calibri"/>
          <w:bCs/>
          <w:kern w:val="0"/>
          <w:lang w:val="en-US"/>
          <w14:ligatures w14:val="none"/>
        </w:rPr>
      </w:pPr>
    </w:p>
    <w:p w14:paraId="649AE827" w14:textId="77777777" w:rsidR="0051231B" w:rsidRPr="00FE6643" w:rsidRDefault="00FE6643" w:rsidP="0051231B">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FE6643">
        <w:rPr>
          <w:rFonts w:ascii="Calibri" w:eastAsia="Times New Roman" w:hAnsi="Calibri" w:cs="Calibri"/>
          <w:b/>
          <w:bCs/>
          <w:kern w:val="0"/>
          <w:lang w:val="en-US"/>
          <w14:ligatures w14:val="none"/>
        </w:rPr>
        <w:t>2.4 DATA COLLECTION</w:t>
      </w:r>
    </w:p>
    <w:p w14:paraId="25C90699"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Data for reliability analysis was obtained through multiple sources:</w:t>
      </w:r>
    </w:p>
    <w:p w14:paraId="2C0EDAAC" w14:textId="77777777" w:rsidR="0051231B" w:rsidRPr="0051231B" w:rsidRDefault="0051231B" w:rsidP="0051231B">
      <w:pPr>
        <w:numPr>
          <w:ilvl w:val="0"/>
          <w:numId w:val="4"/>
        </w:numPr>
        <w:spacing w:before="100" w:beforeAutospacing="1" w:after="100" w:afterAutospacing="1" w:line="360" w:lineRule="auto"/>
        <w:jc w:val="both"/>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Structured interviews</w:t>
      </w:r>
      <w:r w:rsidRPr="0051231B">
        <w:rPr>
          <w:rFonts w:ascii="Calibri" w:eastAsia="Times New Roman" w:hAnsi="Calibri" w:cs="Calibri"/>
          <w:kern w:val="0"/>
          <w:lang w:val="en-US"/>
          <w14:ligatures w14:val="none"/>
        </w:rPr>
        <w:t xml:space="preserve"> with operations and maintenance engineers, site managers, and energy system providers responsible for telecommunication mast operations</w:t>
      </w:r>
    </w:p>
    <w:p w14:paraId="50E7D013" w14:textId="77777777" w:rsidR="0051231B" w:rsidRPr="0051231B" w:rsidRDefault="0051231B" w:rsidP="0051231B">
      <w:pPr>
        <w:numPr>
          <w:ilvl w:val="0"/>
          <w:numId w:val="4"/>
        </w:numPr>
        <w:spacing w:before="100" w:beforeAutospacing="1" w:after="100" w:afterAutospacing="1" w:line="360" w:lineRule="auto"/>
        <w:jc w:val="both"/>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Historical performance records</w:t>
      </w:r>
      <w:r w:rsidRPr="0051231B">
        <w:rPr>
          <w:rFonts w:ascii="Calibri" w:eastAsia="Times New Roman" w:hAnsi="Calibri" w:cs="Calibri"/>
          <w:kern w:val="0"/>
          <w:lang w:val="en-US"/>
          <w14:ligatures w14:val="none"/>
        </w:rPr>
        <w:t xml:space="preserve"> and maintenance logs from telecommunication operators, including MTBF, MTTR, unplanned downtimes, and total operational hours</w:t>
      </w:r>
    </w:p>
    <w:p w14:paraId="68264FB4" w14:textId="77777777" w:rsidR="0051231B" w:rsidRPr="0051231B" w:rsidRDefault="0051231B" w:rsidP="0051231B">
      <w:pPr>
        <w:numPr>
          <w:ilvl w:val="0"/>
          <w:numId w:val="4"/>
        </w:numPr>
        <w:spacing w:before="100" w:beforeAutospacing="1" w:after="100" w:afterAutospacing="1" w:line="360" w:lineRule="auto"/>
        <w:jc w:val="both"/>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Field monitoring</w:t>
      </w:r>
      <w:r w:rsidRPr="0051231B">
        <w:rPr>
          <w:rFonts w:ascii="Calibri" w:eastAsia="Times New Roman" w:hAnsi="Calibri" w:cs="Calibri"/>
          <w:kern w:val="0"/>
          <w:lang w:val="en-US"/>
          <w14:ligatures w14:val="none"/>
        </w:rPr>
        <w:t xml:space="preserve"> of selected telecommunication sites powered by both generator types over an </w:t>
      </w:r>
      <w:proofErr w:type="gramStart"/>
      <w:r w:rsidRPr="0051231B">
        <w:rPr>
          <w:rFonts w:ascii="Calibri" w:eastAsia="Times New Roman" w:hAnsi="Calibri" w:cs="Calibri"/>
          <w:kern w:val="0"/>
          <w:lang w:val="en-US"/>
          <w14:ligatures w14:val="none"/>
        </w:rPr>
        <w:t>8-12 week</w:t>
      </w:r>
      <w:proofErr w:type="gramEnd"/>
      <w:r w:rsidRPr="0051231B">
        <w:rPr>
          <w:rFonts w:ascii="Calibri" w:eastAsia="Times New Roman" w:hAnsi="Calibri" w:cs="Calibri"/>
          <w:kern w:val="0"/>
          <w:lang w:val="en-US"/>
          <w14:ligatures w14:val="none"/>
        </w:rPr>
        <w:t xml:space="preserve"> period</w:t>
      </w:r>
    </w:p>
    <w:p w14:paraId="20CC8E53" w14:textId="77777777" w:rsidR="0051231B" w:rsidRPr="0051231B" w:rsidRDefault="0051231B" w:rsidP="0051231B">
      <w:pPr>
        <w:numPr>
          <w:ilvl w:val="0"/>
          <w:numId w:val="4"/>
        </w:numPr>
        <w:spacing w:before="100" w:beforeAutospacing="1" w:after="100" w:afterAutospacing="1" w:line="360" w:lineRule="auto"/>
        <w:jc w:val="both"/>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Technical specifications</w:t>
      </w:r>
      <w:r w:rsidRPr="0051231B">
        <w:rPr>
          <w:rFonts w:ascii="Calibri" w:eastAsia="Times New Roman" w:hAnsi="Calibri" w:cs="Calibri"/>
          <w:kern w:val="0"/>
          <w:lang w:val="en-US"/>
          <w14:ligatures w14:val="none"/>
        </w:rPr>
        <w:t xml:space="preserve"> and reliability reports from generator manufacturers</w:t>
      </w:r>
    </w:p>
    <w:p w14:paraId="627CC923"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For economic evaluation, primary data was collected from telecommunication mast operators regarding energy costs, fuel consumption, and maintenance expenses, supplemented by secondary data from government energy reports and market prices.</w:t>
      </w:r>
    </w:p>
    <w:p w14:paraId="683D2C63" w14:textId="77777777" w:rsidR="00E47D0F" w:rsidRDefault="00E47D0F" w:rsidP="0051231B">
      <w:pPr>
        <w:spacing w:before="100" w:beforeAutospacing="1" w:after="100" w:afterAutospacing="1" w:line="360" w:lineRule="auto"/>
        <w:jc w:val="both"/>
        <w:outlineLvl w:val="2"/>
        <w:rPr>
          <w:rFonts w:ascii="Calibri" w:eastAsia="Times New Roman" w:hAnsi="Calibri" w:cs="Calibri"/>
          <w:bCs/>
          <w:kern w:val="0"/>
          <w:lang w:val="en-US"/>
          <w14:ligatures w14:val="none"/>
        </w:rPr>
      </w:pPr>
    </w:p>
    <w:p w14:paraId="0DDCC8A8" w14:textId="77777777" w:rsidR="0051231B" w:rsidRPr="00FE6643" w:rsidRDefault="00FE6643" w:rsidP="0051231B">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FE6643">
        <w:rPr>
          <w:rFonts w:ascii="Calibri" w:eastAsia="Times New Roman" w:hAnsi="Calibri" w:cs="Calibri"/>
          <w:b/>
          <w:bCs/>
          <w:kern w:val="0"/>
          <w:lang w:val="en-US"/>
          <w14:ligatures w14:val="none"/>
        </w:rPr>
        <w:t>2.5 COMPONENT-LEVEL ANALYSIS</w:t>
      </w:r>
    </w:p>
    <w:p w14:paraId="6A0A7DB7"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Both generator systems were analyzed at the component level across multiple subsystems:</w:t>
      </w:r>
    </w:p>
    <w:p w14:paraId="2F85C786" w14:textId="77777777" w:rsidR="00311EF6" w:rsidRDefault="0051231B" w:rsidP="0051231B">
      <w:pPr>
        <w:pStyle w:val="ListParagraph"/>
        <w:numPr>
          <w:ilvl w:val="0"/>
          <w:numId w:val="8"/>
        </w:numPr>
        <w:spacing w:before="100" w:beforeAutospacing="1" w:after="100" w:afterAutospacing="1" w:line="360" w:lineRule="auto"/>
        <w:jc w:val="both"/>
        <w:rPr>
          <w:rFonts w:ascii="Calibri" w:eastAsia="Times New Roman" w:hAnsi="Calibri" w:cs="Calibri"/>
          <w:kern w:val="0"/>
          <w:lang w:val="en-US"/>
          <w14:ligatures w14:val="none"/>
        </w:rPr>
      </w:pPr>
      <w:r w:rsidRPr="00311EF6">
        <w:rPr>
          <w:rFonts w:ascii="Calibri" w:eastAsia="Times New Roman" w:hAnsi="Calibri" w:cs="Calibri"/>
          <w:bCs/>
          <w:kern w:val="0"/>
          <w:lang w:val="en-US"/>
          <w14:ligatures w14:val="none"/>
        </w:rPr>
        <w:t>Engine System:</w:t>
      </w:r>
      <w:r w:rsidRPr="00311EF6">
        <w:rPr>
          <w:rFonts w:ascii="Calibri" w:eastAsia="Times New Roman" w:hAnsi="Calibri" w:cs="Calibri"/>
          <w:kern w:val="0"/>
          <w:lang w:val="en-US"/>
          <w14:ligatures w14:val="none"/>
        </w:rPr>
        <w:t xml:space="preserve"> Air filters, fuel filters, fuel priming pump, turbocharger, engine block, water pump</w:t>
      </w:r>
    </w:p>
    <w:p w14:paraId="3A4424B0" w14:textId="77777777" w:rsidR="00311EF6" w:rsidRDefault="0051231B" w:rsidP="0051231B">
      <w:pPr>
        <w:pStyle w:val="ListParagraph"/>
        <w:numPr>
          <w:ilvl w:val="0"/>
          <w:numId w:val="8"/>
        </w:numPr>
        <w:spacing w:before="100" w:beforeAutospacing="1" w:after="100" w:afterAutospacing="1" w:line="360" w:lineRule="auto"/>
        <w:jc w:val="both"/>
        <w:rPr>
          <w:rFonts w:ascii="Calibri" w:eastAsia="Times New Roman" w:hAnsi="Calibri" w:cs="Calibri"/>
          <w:kern w:val="0"/>
          <w:lang w:val="en-US"/>
          <w14:ligatures w14:val="none"/>
        </w:rPr>
      </w:pPr>
      <w:r w:rsidRPr="00311EF6">
        <w:rPr>
          <w:rFonts w:ascii="Calibri" w:eastAsia="Times New Roman" w:hAnsi="Calibri" w:cs="Calibri"/>
          <w:bCs/>
          <w:kern w:val="0"/>
          <w:lang w:val="en-US"/>
          <w14:ligatures w14:val="none"/>
        </w:rPr>
        <w:t>Generator/Alternator System:</w:t>
      </w:r>
      <w:r w:rsidRPr="00311EF6">
        <w:rPr>
          <w:rFonts w:ascii="Calibri" w:eastAsia="Times New Roman" w:hAnsi="Calibri" w:cs="Calibri"/>
          <w:kern w:val="0"/>
          <w:lang w:val="en-US"/>
          <w14:ligatures w14:val="none"/>
        </w:rPr>
        <w:t xml:space="preserve"> Alternator, excitation system, voltage regulator, enclosure, insulation system</w:t>
      </w:r>
    </w:p>
    <w:p w14:paraId="634058F0" w14:textId="77777777" w:rsidR="00311EF6" w:rsidRDefault="0051231B" w:rsidP="0051231B">
      <w:pPr>
        <w:pStyle w:val="ListParagraph"/>
        <w:numPr>
          <w:ilvl w:val="0"/>
          <w:numId w:val="8"/>
        </w:numPr>
        <w:spacing w:before="100" w:beforeAutospacing="1" w:after="100" w:afterAutospacing="1" w:line="360" w:lineRule="auto"/>
        <w:jc w:val="both"/>
        <w:rPr>
          <w:rFonts w:ascii="Calibri" w:eastAsia="Times New Roman" w:hAnsi="Calibri" w:cs="Calibri"/>
          <w:kern w:val="0"/>
          <w:lang w:val="en-US"/>
          <w14:ligatures w14:val="none"/>
        </w:rPr>
      </w:pPr>
      <w:r w:rsidRPr="00311EF6">
        <w:rPr>
          <w:rFonts w:ascii="Calibri" w:eastAsia="Times New Roman" w:hAnsi="Calibri" w:cs="Calibri"/>
          <w:bCs/>
          <w:kern w:val="0"/>
          <w:lang w:val="en-US"/>
          <w14:ligatures w14:val="none"/>
        </w:rPr>
        <w:t>Control System:</w:t>
      </w:r>
      <w:r w:rsidRPr="00311EF6">
        <w:rPr>
          <w:rFonts w:ascii="Calibri" w:eastAsia="Times New Roman" w:hAnsi="Calibri" w:cs="Calibri"/>
          <w:kern w:val="0"/>
          <w:lang w:val="en-US"/>
          <w14:ligatures w14:val="none"/>
        </w:rPr>
        <w:t xml:space="preserve"> Digital control, monitoring sensors, communication interfaces</w:t>
      </w:r>
    </w:p>
    <w:p w14:paraId="36A0E9B2" w14:textId="77777777" w:rsidR="00311EF6" w:rsidRDefault="0051231B" w:rsidP="0051231B">
      <w:pPr>
        <w:pStyle w:val="ListParagraph"/>
        <w:numPr>
          <w:ilvl w:val="0"/>
          <w:numId w:val="8"/>
        </w:numPr>
        <w:spacing w:before="100" w:beforeAutospacing="1" w:after="100" w:afterAutospacing="1" w:line="360" w:lineRule="auto"/>
        <w:jc w:val="both"/>
        <w:rPr>
          <w:rFonts w:ascii="Calibri" w:eastAsia="Times New Roman" w:hAnsi="Calibri" w:cs="Calibri"/>
          <w:kern w:val="0"/>
          <w:lang w:val="en-US"/>
          <w14:ligatures w14:val="none"/>
        </w:rPr>
      </w:pPr>
      <w:r w:rsidRPr="00311EF6">
        <w:rPr>
          <w:rFonts w:ascii="Calibri" w:eastAsia="Times New Roman" w:hAnsi="Calibri" w:cs="Calibri"/>
          <w:bCs/>
          <w:kern w:val="0"/>
          <w:lang w:val="en-US"/>
          <w14:ligatures w14:val="none"/>
        </w:rPr>
        <w:t>Fuel System:</w:t>
      </w:r>
      <w:r w:rsidRPr="00311EF6">
        <w:rPr>
          <w:rFonts w:ascii="Calibri" w:eastAsia="Times New Roman" w:hAnsi="Calibri" w:cs="Calibri"/>
          <w:kern w:val="0"/>
          <w:lang w:val="en-US"/>
          <w14:ligatures w14:val="none"/>
        </w:rPr>
        <w:t xml:space="preserve"> Fuel lines, tanks, solenoid valves, carburation systems</w:t>
      </w:r>
    </w:p>
    <w:p w14:paraId="56322AD4" w14:textId="77777777" w:rsidR="00311EF6" w:rsidRDefault="0051231B" w:rsidP="0051231B">
      <w:pPr>
        <w:pStyle w:val="ListParagraph"/>
        <w:numPr>
          <w:ilvl w:val="0"/>
          <w:numId w:val="8"/>
        </w:numPr>
        <w:spacing w:before="100" w:beforeAutospacing="1" w:after="100" w:afterAutospacing="1" w:line="360" w:lineRule="auto"/>
        <w:jc w:val="both"/>
        <w:rPr>
          <w:rFonts w:ascii="Calibri" w:eastAsia="Times New Roman" w:hAnsi="Calibri" w:cs="Calibri"/>
          <w:kern w:val="0"/>
          <w:lang w:val="en-US"/>
          <w14:ligatures w14:val="none"/>
        </w:rPr>
      </w:pPr>
      <w:r w:rsidRPr="00311EF6">
        <w:rPr>
          <w:rFonts w:ascii="Calibri" w:eastAsia="Times New Roman" w:hAnsi="Calibri" w:cs="Calibri"/>
          <w:bCs/>
          <w:kern w:val="0"/>
          <w:lang w:val="en-US"/>
          <w14:ligatures w14:val="none"/>
        </w:rPr>
        <w:t>Lubrication System:</w:t>
      </w:r>
      <w:r w:rsidRPr="00311EF6">
        <w:rPr>
          <w:rFonts w:ascii="Calibri" w:eastAsia="Times New Roman" w:hAnsi="Calibri" w:cs="Calibri"/>
          <w:kern w:val="0"/>
          <w:lang w:val="en-US"/>
          <w14:ligatures w14:val="none"/>
        </w:rPr>
        <w:t xml:space="preserve"> Oil pumps, oil coolers, oil filters, drain valves</w:t>
      </w:r>
    </w:p>
    <w:p w14:paraId="5DA1E6B3" w14:textId="77777777" w:rsidR="00311EF6" w:rsidRDefault="0051231B" w:rsidP="0051231B">
      <w:pPr>
        <w:pStyle w:val="ListParagraph"/>
        <w:numPr>
          <w:ilvl w:val="0"/>
          <w:numId w:val="8"/>
        </w:numPr>
        <w:spacing w:before="100" w:beforeAutospacing="1" w:after="100" w:afterAutospacing="1" w:line="360" w:lineRule="auto"/>
        <w:jc w:val="both"/>
        <w:rPr>
          <w:rFonts w:ascii="Calibri" w:eastAsia="Times New Roman" w:hAnsi="Calibri" w:cs="Calibri"/>
          <w:kern w:val="0"/>
          <w:lang w:val="en-US"/>
          <w14:ligatures w14:val="none"/>
        </w:rPr>
      </w:pPr>
      <w:r w:rsidRPr="00311EF6">
        <w:rPr>
          <w:rFonts w:ascii="Calibri" w:eastAsia="Times New Roman" w:hAnsi="Calibri" w:cs="Calibri"/>
          <w:bCs/>
          <w:kern w:val="0"/>
          <w:lang w:val="en-US"/>
          <w14:ligatures w14:val="none"/>
        </w:rPr>
        <w:t>Cooling System:</w:t>
      </w:r>
      <w:r w:rsidRPr="00311EF6">
        <w:rPr>
          <w:rFonts w:ascii="Calibri" w:eastAsia="Times New Roman" w:hAnsi="Calibri" w:cs="Calibri"/>
          <w:kern w:val="0"/>
          <w:lang w:val="en-US"/>
          <w14:ligatures w14:val="none"/>
        </w:rPr>
        <w:t xml:space="preserve"> Radiator, coolant valves, fan belts, water pumps</w:t>
      </w:r>
    </w:p>
    <w:p w14:paraId="271C3925" w14:textId="77777777" w:rsidR="0051231B" w:rsidRPr="00311EF6" w:rsidRDefault="0051231B" w:rsidP="0051231B">
      <w:pPr>
        <w:pStyle w:val="ListParagraph"/>
        <w:numPr>
          <w:ilvl w:val="0"/>
          <w:numId w:val="8"/>
        </w:numPr>
        <w:spacing w:before="100" w:beforeAutospacing="1" w:after="100" w:afterAutospacing="1" w:line="360" w:lineRule="auto"/>
        <w:jc w:val="both"/>
        <w:rPr>
          <w:rFonts w:ascii="Calibri" w:eastAsia="Times New Roman" w:hAnsi="Calibri" w:cs="Calibri"/>
          <w:kern w:val="0"/>
          <w:lang w:val="en-US"/>
          <w14:ligatures w14:val="none"/>
        </w:rPr>
      </w:pPr>
      <w:r w:rsidRPr="00311EF6">
        <w:rPr>
          <w:rFonts w:ascii="Calibri" w:eastAsia="Times New Roman" w:hAnsi="Calibri" w:cs="Calibri"/>
          <w:bCs/>
          <w:kern w:val="0"/>
          <w:lang w:val="en-US"/>
          <w14:ligatures w14:val="none"/>
        </w:rPr>
        <w:t>Exhaust System:</w:t>
      </w:r>
      <w:r w:rsidRPr="00311EF6">
        <w:rPr>
          <w:rFonts w:ascii="Calibri" w:eastAsia="Times New Roman" w:hAnsi="Calibri" w:cs="Calibri"/>
          <w:kern w:val="0"/>
          <w:lang w:val="en-US"/>
          <w14:ligatures w14:val="none"/>
        </w:rPr>
        <w:t xml:space="preserve"> Exhaust connectors, mufflers, manifolds</w:t>
      </w:r>
    </w:p>
    <w:p w14:paraId="00C90B4D"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Each component was evaluated for MTTF/MTBF, MTTR, availability, failure rate, reliability, and probability of failure.</w:t>
      </w:r>
    </w:p>
    <w:p w14:paraId="3BC327B2" w14:textId="77777777" w:rsidR="0051231B" w:rsidRPr="0051231B" w:rsidRDefault="0051231B" w:rsidP="0051231B">
      <w:pPr>
        <w:spacing w:after="0" w:line="360" w:lineRule="auto"/>
        <w:jc w:val="both"/>
        <w:rPr>
          <w:rFonts w:ascii="Calibri" w:eastAsia="Times New Roman" w:hAnsi="Calibri" w:cs="Calibri"/>
          <w:kern w:val="0"/>
          <w:lang w:val="en-US"/>
          <w14:ligatures w14:val="none"/>
        </w:rPr>
      </w:pPr>
    </w:p>
    <w:p w14:paraId="48D69D46" w14:textId="77777777" w:rsidR="0051231B" w:rsidRPr="00FE6643" w:rsidRDefault="00FE6643" w:rsidP="0051231B">
      <w:pPr>
        <w:spacing w:before="100" w:beforeAutospacing="1" w:after="100" w:afterAutospacing="1" w:line="360" w:lineRule="auto"/>
        <w:jc w:val="both"/>
        <w:outlineLvl w:val="1"/>
        <w:rPr>
          <w:rFonts w:ascii="Calibri" w:eastAsia="Times New Roman" w:hAnsi="Calibri" w:cs="Calibri"/>
          <w:b/>
          <w:bCs/>
          <w:kern w:val="0"/>
          <w:lang w:val="en-US"/>
          <w14:ligatures w14:val="none"/>
        </w:rPr>
      </w:pPr>
      <w:r w:rsidRPr="00FE6643">
        <w:rPr>
          <w:rFonts w:ascii="Calibri" w:eastAsia="Times New Roman" w:hAnsi="Calibri" w:cs="Calibri"/>
          <w:b/>
          <w:bCs/>
          <w:kern w:val="0"/>
          <w:lang w:val="en-US"/>
          <w14:ligatures w14:val="none"/>
        </w:rPr>
        <w:t>3.0 RESULTS</w:t>
      </w:r>
    </w:p>
    <w:p w14:paraId="6C5C61EA" w14:textId="77777777" w:rsidR="0051231B" w:rsidRPr="00FE6643" w:rsidRDefault="00FE6643" w:rsidP="0051231B">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FE6643">
        <w:rPr>
          <w:rFonts w:ascii="Calibri" w:eastAsia="Times New Roman" w:hAnsi="Calibri" w:cs="Calibri"/>
          <w:b/>
          <w:bCs/>
          <w:kern w:val="0"/>
          <w:lang w:val="en-US"/>
          <w14:ligatures w14:val="none"/>
        </w:rPr>
        <w:t>3.1 RELIABILITY, AVAILABILITY, AND MAINTAINABILITY (RAM) ANALYSIS</w:t>
      </w:r>
    </w:p>
    <w:p w14:paraId="2F2545E5" w14:textId="77777777" w:rsidR="0051231B" w:rsidRPr="00FE6643" w:rsidRDefault="00FE6643" w:rsidP="0051231B">
      <w:pPr>
        <w:spacing w:before="100" w:beforeAutospacing="1" w:after="100" w:afterAutospacing="1" w:line="360" w:lineRule="auto"/>
        <w:jc w:val="both"/>
        <w:outlineLvl w:val="3"/>
        <w:rPr>
          <w:rFonts w:ascii="Calibri" w:eastAsia="Times New Roman" w:hAnsi="Calibri" w:cs="Calibri"/>
          <w:b/>
          <w:bCs/>
          <w:kern w:val="0"/>
          <w:lang w:val="en-US"/>
          <w14:ligatures w14:val="none"/>
        </w:rPr>
      </w:pPr>
      <w:r w:rsidRPr="00FE6643">
        <w:rPr>
          <w:rFonts w:ascii="Calibri" w:eastAsia="Times New Roman" w:hAnsi="Calibri" w:cs="Calibri"/>
          <w:b/>
          <w:bCs/>
          <w:kern w:val="0"/>
          <w:lang w:val="en-US"/>
          <w14:ligatures w14:val="none"/>
        </w:rPr>
        <w:t>3.1.1 GAS GENERATOR SYSTEM (CAT G3516)</w:t>
      </w:r>
    </w:p>
    <w:p w14:paraId="43F72DA5" w14:textId="77777777" w:rsid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The RAM analysis of the CAT G3516 gas generator revealed superior performance across most subsystems</w:t>
      </w:r>
      <w:r w:rsidR="00733AA0" w:rsidRPr="00733AA0">
        <w:rPr>
          <w:rFonts w:ascii="Calibri" w:eastAsia="Times New Roman" w:hAnsi="Calibri" w:cs="Calibri"/>
          <w:kern w:val="0"/>
          <w:lang w:val="en-US"/>
          <w14:ligatures w14:val="none"/>
        </w:rPr>
        <w:t xml:space="preserve"> (Table 1)</w:t>
      </w:r>
      <w:r w:rsidRPr="0051231B">
        <w:rPr>
          <w:rFonts w:ascii="Calibri" w:eastAsia="Times New Roman" w:hAnsi="Calibri" w:cs="Calibri"/>
          <w:kern w:val="0"/>
          <w:lang w:val="en-US"/>
          <w14:ligatures w14:val="none"/>
        </w:rPr>
        <w:t>. The engine system demonstrated high reliability with the crankcase ventilation system achieving 99.34% reliability and only 0.66% probability of failure. The engine core maintained an MTBF of 15,000 hours with 93.75% availability and 99.00% reliability. The turbocharger and aftercooler showed an MTBF of 10,000 hours with 90.91% availability and 98.76% reliability. The engine control system recorded an MTBF of 8,000 hours with 88.89% availability and 99.17% reliability.</w:t>
      </w:r>
    </w:p>
    <w:p w14:paraId="7C9EE968" w14:textId="77777777" w:rsidR="00311EF6" w:rsidRPr="00311EF6" w:rsidRDefault="00311EF6" w:rsidP="00311EF6">
      <w:pPr>
        <w:spacing w:before="100" w:beforeAutospacing="1" w:after="100" w:afterAutospacing="1" w:line="360" w:lineRule="auto"/>
        <w:jc w:val="both"/>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lastRenderedPageBreak/>
        <w:t>The generator/alternator system exhibited exceptional performance, with the main generator achieving an MTBF of 20,000 hours, 95.24% availability, and 99.50% reliability. The excitation system (MTBF: 15,000 hours, availability: 93.75%, reliability: 99.34%) and voltage regulator (MTBF: 10,000 hours, availability: 90.91%, reliability: 99.00%) maintained consistently high performance. The generator enclosure demonstrated the longest MTBF at 25,000 hours with 96.15% availability and 99.60% reliability.</w:t>
      </w:r>
    </w:p>
    <w:p w14:paraId="776D2C25" w14:textId="77777777" w:rsidR="00E47D0F" w:rsidRDefault="00311EF6" w:rsidP="00E47D0F">
      <w:pPr>
        <w:spacing w:before="100" w:beforeAutospacing="1" w:after="100" w:afterAutospacing="1" w:line="360" w:lineRule="auto"/>
        <w:jc w:val="both"/>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 xml:space="preserve">Control system </w:t>
      </w:r>
      <w:proofErr w:type="gramStart"/>
      <w:r w:rsidRPr="00311EF6">
        <w:rPr>
          <w:rFonts w:ascii="Calibri" w:eastAsia="Times New Roman" w:hAnsi="Calibri" w:cs="Calibri"/>
          <w:kern w:val="0"/>
          <w:lang w:val="en-US"/>
          <w14:ligatures w14:val="none"/>
        </w:rPr>
        <w:t>components maintained</w:t>
      </w:r>
      <w:proofErr w:type="gramEnd"/>
      <w:r w:rsidRPr="00311EF6">
        <w:rPr>
          <w:rFonts w:ascii="Calibri" w:eastAsia="Times New Roman" w:hAnsi="Calibri" w:cs="Calibri"/>
          <w:kern w:val="0"/>
          <w:lang w:val="en-US"/>
          <w14:ligatures w14:val="none"/>
        </w:rPr>
        <w:t xml:space="preserve"> reliability values around 99%, with the digital control unit showing an MTBF of 10,000 hours and 90.91% availability. The generator monitoring and protection systems achieved an MTBF of 12,000 hours with 92.31% availability and 99.17% reliability. Communication systems (alarms, shutdowns, remote interfaces) maintained an MTBF of 10,000 hours with consistent 99.00% reliability.</w:t>
      </w:r>
      <w:r>
        <w:rPr>
          <w:rFonts w:ascii="Calibri" w:eastAsia="Times New Roman" w:hAnsi="Calibri" w:cs="Calibri"/>
          <w:kern w:val="0"/>
          <w:lang w:val="en-US"/>
          <w14:ligatures w14:val="none"/>
        </w:rPr>
        <w:t xml:space="preserve"> </w:t>
      </w:r>
      <w:r w:rsidRPr="00311EF6">
        <w:rPr>
          <w:rFonts w:ascii="Calibri" w:eastAsia="Times New Roman" w:hAnsi="Calibri" w:cs="Calibri"/>
          <w:kern w:val="0"/>
          <w:lang w:val="en-US"/>
          <w14:ligatures w14:val="none"/>
        </w:rPr>
        <w:t>The fuel system presented mixed performance. The gas carburation system achieved an MTBF of 12,000 hours with 92.31% availability and 99.17% reliability, while the low-pressure gas train showed an MTBF of 10,000 hours with 90.91% availability. The solenoid shutoff valve, classified as non-repairable with an MTTF of 2,000 hours, demonstrated 95.12% reliability but a higher failure probability of 4.88%.</w:t>
      </w:r>
      <w:r>
        <w:rPr>
          <w:rFonts w:ascii="Calibri" w:eastAsia="Times New Roman" w:hAnsi="Calibri" w:cs="Calibri"/>
          <w:kern w:val="0"/>
          <w:lang w:val="en-US"/>
          <w14:ligatures w14:val="none"/>
        </w:rPr>
        <w:t xml:space="preserve"> </w:t>
      </w:r>
      <w:r w:rsidRPr="00311EF6">
        <w:rPr>
          <w:rFonts w:ascii="Calibri" w:eastAsia="Times New Roman" w:hAnsi="Calibri" w:cs="Calibri"/>
          <w:kern w:val="0"/>
          <w:lang w:val="en-US"/>
          <w14:ligatures w14:val="none"/>
        </w:rPr>
        <w:t xml:space="preserve">The lubrication system components exhibited strong performance, with the gear-driven oil pump achieving an MTBF of 20,000 hours, 95.24% availability, and 99.50% reliability. </w:t>
      </w:r>
    </w:p>
    <w:p w14:paraId="324380E7" w14:textId="77777777" w:rsidR="00E47D0F" w:rsidRPr="0051231B" w:rsidRDefault="00E47D0F" w:rsidP="00E47D0F">
      <w:pPr>
        <w:spacing w:before="100" w:beforeAutospacing="1" w:after="100" w:afterAutospacing="1" w:line="360" w:lineRule="auto"/>
        <w:jc w:val="both"/>
        <w:rPr>
          <w:rFonts w:ascii="Calibri" w:eastAsia="Times New Roman" w:hAnsi="Calibri" w:cs="Calibri"/>
          <w:kern w:val="0"/>
          <w:lang w:val="en-US"/>
          <w14:ligatures w14:val="none"/>
        </w:rPr>
      </w:pPr>
      <w:r w:rsidRPr="00E47D0F">
        <w:rPr>
          <w:rFonts w:ascii="Calibri" w:eastAsia="Times New Roman" w:hAnsi="Calibri" w:cs="Calibri"/>
          <w:kern w:val="0"/>
          <w:lang w:val="en-US"/>
          <w14:ligatures w14:val="none"/>
        </w:rPr>
        <w:t>The integrated oil cooler maintained an MTBF of 18,000 hours with 94.74% availability. However, the spin-on oil filter showed lower reliability at 92.04% with a 7.96% probability of failure, indicating frequent replacement needs. The cooling system revealed some vulnerabilities. The centrifugal water pump achieved 99.10% availability with 92.00% reliability, while the jack water pump showed 99.20% availability with 92.77% reliability. Both exhibited higher failure probabilities (8% and 7.23% respectively) compared to other systems. The radiator performed better with 95.12% reliability.</w:t>
      </w:r>
      <w:r>
        <w:rPr>
          <w:rFonts w:ascii="Calibri" w:eastAsia="Times New Roman" w:hAnsi="Calibri" w:cs="Calibri"/>
          <w:kern w:val="0"/>
          <w:lang w:val="en-US"/>
          <w14:ligatures w14:val="none"/>
        </w:rPr>
        <w:t xml:space="preserve"> </w:t>
      </w:r>
      <w:r w:rsidRPr="0051231B">
        <w:rPr>
          <w:rFonts w:ascii="Calibri" w:eastAsia="Times New Roman" w:hAnsi="Calibri" w:cs="Calibri"/>
          <w:kern w:val="0"/>
          <w:lang w:val="en-US"/>
          <w14:ligatures w14:val="none"/>
        </w:rPr>
        <w:t>The exhaust system demonstrated stable performance, with the exhaust connector showing 96.08% reliability, the muffler 95.56% reliability, and the exhaust manifold achieving 94.56% reliability with an MTBF of 18,000 hours and 99.50% availability.</w:t>
      </w:r>
    </w:p>
    <w:p w14:paraId="62B4E253" w14:textId="77777777" w:rsidR="00311EF6" w:rsidRDefault="00311EF6" w:rsidP="00733AA0">
      <w:pPr>
        <w:spacing w:after="0" w:line="240" w:lineRule="auto"/>
        <w:jc w:val="both"/>
        <w:rPr>
          <w:rFonts w:ascii="Calibri" w:eastAsia="Times New Roman" w:hAnsi="Calibri" w:cs="Calibri"/>
          <w:kern w:val="0"/>
          <w:lang w:val="en-US"/>
          <w14:ligatures w14:val="none"/>
        </w:rPr>
      </w:pPr>
    </w:p>
    <w:p w14:paraId="505B8423" w14:textId="77777777" w:rsidR="00E47D0F" w:rsidRDefault="00E47D0F" w:rsidP="00733AA0">
      <w:pPr>
        <w:spacing w:after="0" w:line="240" w:lineRule="auto"/>
        <w:jc w:val="both"/>
        <w:rPr>
          <w:rFonts w:ascii="Calibri" w:eastAsia="Times New Roman" w:hAnsi="Calibri" w:cs="Calibri"/>
          <w:kern w:val="0"/>
          <w:lang w:val="en-US"/>
          <w14:ligatures w14:val="none"/>
        </w:rPr>
        <w:sectPr w:rsidR="00E47D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pPr>
    </w:p>
    <w:p w14:paraId="61E90176" w14:textId="77777777" w:rsidR="00733AA0" w:rsidRPr="00733AA0" w:rsidRDefault="00733AA0" w:rsidP="00733AA0">
      <w:pPr>
        <w:spacing w:after="0" w:line="240" w:lineRule="auto"/>
        <w:jc w:val="both"/>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lastRenderedPageBreak/>
        <w:t>Table 1</w:t>
      </w:r>
      <w:r w:rsidR="00984597">
        <w:rPr>
          <w:rFonts w:ascii="Calibri" w:eastAsia="Times New Roman" w:hAnsi="Calibri" w:cs="Calibri"/>
          <w:kern w:val="0"/>
          <w:lang w:val="en-US"/>
          <w14:ligatures w14:val="none"/>
        </w:rPr>
        <w:t xml:space="preserve">. </w:t>
      </w:r>
      <w:r w:rsidR="00984597" w:rsidRPr="00984597">
        <w:rPr>
          <w:rFonts w:ascii="Calibri" w:eastAsia="Times New Roman" w:hAnsi="Calibri" w:cs="Calibri"/>
          <w:kern w:val="0"/>
          <w14:ligatures w14:val="none"/>
        </w:rPr>
        <w:t>Reliability, Availability, Maintainability (RAM) Performance of the CAT G3516 Gas Generator System</w:t>
      </w:r>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906"/>
        <w:gridCol w:w="1376"/>
        <w:gridCol w:w="1392"/>
        <w:gridCol w:w="1928"/>
        <w:gridCol w:w="1399"/>
        <w:gridCol w:w="2188"/>
        <w:gridCol w:w="1798"/>
        <w:gridCol w:w="971"/>
      </w:tblGrid>
      <w:tr w:rsidR="00733AA0" w:rsidRPr="00733AA0" w14:paraId="33E58FBA" w14:textId="77777777" w:rsidTr="00E057AB">
        <w:trPr>
          <w:tblHeader/>
        </w:trPr>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42EA0866" w14:textId="77777777" w:rsidR="00733AA0" w:rsidRPr="00733AA0" w:rsidRDefault="00733AA0" w:rsidP="00E057AB">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Subsystem/Component</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2751068D" w14:textId="77777777" w:rsidR="00733AA0" w:rsidRPr="00733AA0" w:rsidRDefault="00733AA0" w:rsidP="00E057AB">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MTTF (</w:t>
            </w:r>
            <w:proofErr w:type="spellStart"/>
            <w:r w:rsidRPr="00733AA0">
              <w:rPr>
                <w:rFonts w:ascii="Calibri" w:eastAsia="Times New Roman" w:hAnsi="Calibri" w:cs="Calibri"/>
                <w:bCs/>
                <w:kern w:val="0"/>
                <w:lang w:val="en-US"/>
                <w14:ligatures w14:val="none"/>
              </w:rPr>
              <w:t>hr</w:t>
            </w:r>
            <w:proofErr w:type="spellEnd"/>
            <w:r w:rsidRPr="00733AA0">
              <w:rPr>
                <w:rFonts w:ascii="Calibri" w:eastAsia="Times New Roman" w:hAnsi="Calibri" w:cs="Calibri"/>
                <w:bCs/>
                <w:kern w:val="0"/>
                <w:lang w:val="en-US"/>
                <w14:ligatures w14:val="none"/>
              </w:rPr>
              <w:t>)</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6A750C5D" w14:textId="77777777" w:rsidR="00733AA0" w:rsidRPr="00733AA0" w:rsidRDefault="00733AA0" w:rsidP="00E057AB">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MTBF (</w:t>
            </w:r>
            <w:proofErr w:type="spellStart"/>
            <w:r w:rsidRPr="00733AA0">
              <w:rPr>
                <w:rFonts w:ascii="Calibri" w:eastAsia="Times New Roman" w:hAnsi="Calibri" w:cs="Calibri"/>
                <w:bCs/>
                <w:kern w:val="0"/>
                <w:lang w:val="en-US"/>
                <w14:ligatures w14:val="none"/>
              </w:rPr>
              <w:t>hr</w:t>
            </w:r>
            <w:proofErr w:type="spellEnd"/>
            <w:r w:rsidRPr="00733AA0">
              <w:rPr>
                <w:rFonts w:ascii="Calibri" w:eastAsia="Times New Roman" w:hAnsi="Calibri" w:cs="Calibri"/>
                <w:bCs/>
                <w:kern w:val="0"/>
                <w:lang w:val="en-US"/>
                <w14:ligatures w14:val="none"/>
              </w:rPr>
              <w:t>)</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27682E05" w14:textId="77777777" w:rsidR="00733AA0" w:rsidRPr="00733AA0" w:rsidRDefault="00733AA0" w:rsidP="00E057AB">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Availability (%)</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62BA2E50" w14:textId="77777777" w:rsidR="00733AA0" w:rsidRPr="00733AA0" w:rsidRDefault="00733AA0" w:rsidP="00E057AB">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MTTR (</w:t>
            </w:r>
            <w:proofErr w:type="spellStart"/>
            <w:r w:rsidRPr="00733AA0">
              <w:rPr>
                <w:rFonts w:ascii="Calibri" w:eastAsia="Times New Roman" w:hAnsi="Calibri" w:cs="Calibri"/>
                <w:bCs/>
                <w:kern w:val="0"/>
                <w:lang w:val="en-US"/>
                <w14:ligatures w14:val="none"/>
              </w:rPr>
              <w:t>hr</w:t>
            </w:r>
            <w:proofErr w:type="spellEnd"/>
            <w:r w:rsidRPr="00733AA0">
              <w:rPr>
                <w:rFonts w:ascii="Calibri" w:eastAsia="Times New Roman" w:hAnsi="Calibri" w:cs="Calibri"/>
                <w:bCs/>
                <w:kern w:val="0"/>
                <w:lang w:val="en-US"/>
                <w14:ligatures w14:val="none"/>
              </w:rPr>
              <w:t>)</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1B8F8B41" w14:textId="77777777" w:rsidR="00733AA0" w:rsidRPr="00733AA0" w:rsidRDefault="00733AA0" w:rsidP="00E057AB">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Failure Rate (/</w:t>
            </w:r>
            <w:proofErr w:type="spellStart"/>
            <w:r w:rsidRPr="00733AA0">
              <w:rPr>
                <w:rFonts w:ascii="Calibri" w:eastAsia="Times New Roman" w:hAnsi="Calibri" w:cs="Calibri"/>
                <w:bCs/>
                <w:kern w:val="0"/>
                <w:lang w:val="en-US"/>
                <w14:ligatures w14:val="none"/>
              </w:rPr>
              <w:t>hr</w:t>
            </w:r>
            <w:proofErr w:type="spellEnd"/>
            <w:r w:rsidRPr="00733AA0">
              <w:rPr>
                <w:rFonts w:ascii="Calibri" w:eastAsia="Times New Roman" w:hAnsi="Calibri" w:cs="Calibri"/>
                <w:bCs/>
                <w:kern w:val="0"/>
                <w:lang w:val="en-US"/>
                <w14:ligatures w14:val="none"/>
              </w:rPr>
              <w:t>)</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6CDE0E6F" w14:textId="77777777" w:rsidR="00733AA0" w:rsidRPr="00733AA0" w:rsidRDefault="00733AA0" w:rsidP="00E057AB">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Reliability (%)</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1DDC9FA7" w14:textId="77777777" w:rsidR="00733AA0" w:rsidRPr="00733AA0" w:rsidRDefault="00733AA0" w:rsidP="00E057AB">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PF (%)</w:t>
            </w:r>
          </w:p>
        </w:tc>
      </w:tr>
      <w:tr w:rsidR="00733AA0" w:rsidRPr="00733AA0" w14:paraId="045DDDCB" w14:textId="77777777" w:rsidTr="00E057AB">
        <w:tc>
          <w:tcPr>
            <w:tcW w:w="0" w:type="auto"/>
            <w:tcBorders>
              <w:top w:val="single" w:sz="4" w:space="0" w:color="auto"/>
            </w:tcBorders>
            <w:tcMar>
              <w:top w:w="120" w:type="dxa"/>
              <w:left w:w="120" w:type="dxa"/>
              <w:bottom w:w="120" w:type="dxa"/>
              <w:right w:w="120" w:type="dxa"/>
            </w:tcMar>
            <w:vAlign w:val="center"/>
            <w:hideMark/>
          </w:tcPr>
          <w:p w14:paraId="08C7A60B"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Engine (core)</w:t>
            </w:r>
          </w:p>
        </w:tc>
        <w:tc>
          <w:tcPr>
            <w:tcW w:w="0" w:type="auto"/>
            <w:tcBorders>
              <w:top w:val="single" w:sz="4" w:space="0" w:color="auto"/>
            </w:tcBorders>
            <w:tcMar>
              <w:top w:w="120" w:type="dxa"/>
              <w:left w:w="120" w:type="dxa"/>
              <w:bottom w:w="120" w:type="dxa"/>
              <w:right w:w="120" w:type="dxa"/>
            </w:tcMar>
            <w:vAlign w:val="center"/>
            <w:hideMark/>
          </w:tcPr>
          <w:p w14:paraId="6E39B4CE"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w:t>
            </w:r>
          </w:p>
        </w:tc>
        <w:tc>
          <w:tcPr>
            <w:tcW w:w="0" w:type="auto"/>
            <w:tcBorders>
              <w:top w:val="single" w:sz="4" w:space="0" w:color="auto"/>
            </w:tcBorders>
            <w:tcMar>
              <w:top w:w="120" w:type="dxa"/>
              <w:left w:w="120" w:type="dxa"/>
              <w:bottom w:w="120" w:type="dxa"/>
              <w:right w:w="120" w:type="dxa"/>
            </w:tcMar>
            <w:vAlign w:val="center"/>
            <w:hideMark/>
          </w:tcPr>
          <w:p w14:paraId="36DA479C"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15,000</w:t>
            </w:r>
          </w:p>
        </w:tc>
        <w:tc>
          <w:tcPr>
            <w:tcW w:w="0" w:type="auto"/>
            <w:tcBorders>
              <w:top w:val="single" w:sz="4" w:space="0" w:color="auto"/>
            </w:tcBorders>
            <w:tcMar>
              <w:top w:w="120" w:type="dxa"/>
              <w:left w:w="120" w:type="dxa"/>
              <w:bottom w:w="120" w:type="dxa"/>
              <w:right w:w="120" w:type="dxa"/>
            </w:tcMar>
            <w:vAlign w:val="center"/>
            <w:hideMark/>
          </w:tcPr>
          <w:p w14:paraId="6EFA006A"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93.75</w:t>
            </w:r>
          </w:p>
        </w:tc>
        <w:tc>
          <w:tcPr>
            <w:tcW w:w="0" w:type="auto"/>
            <w:tcBorders>
              <w:top w:val="single" w:sz="4" w:space="0" w:color="auto"/>
            </w:tcBorders>
            <w:tcMar>
              <w:top w:w="120" w:type="dxa"/>
              <w:left w:w="120" w:type="dxa"/>
              <w:bottom w:w="120" w:type="dxa"/>
              <w:right w:w="120" w:type="dxa"/>
            </w:tcMar>
            <w:vAlign w:val="center"/>
            <w:hideMark/>
          </w:tcPr>
          <w:p w14:paraId="07EECD0F"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16</w:t>
            </w:r>
          </w:p>
        </w:tc>
        <w:tc>
          <w:tcPr>
            <w:tcW w:w="0" w:type="auto"/>
            <w:tcBorders>
              <w:top w:val="single" w:sz="4" w:space="0" w:color="auto"/>
            </w:tcBorders>
            <w:tcMar>
              <w:top w:w="120" w:type="dxa"/>
              <w:left w:w="120" w:type="dxa"/>
              <w:bottom w:w="120" w:type="dxa"/>
              <w:right w:w="120" w:type="dxa"/>
            </w:tcMar>
            <w:vAlign w:val="center"/>
            <w:hideMark/>
          </w:tcPr>
          <w:p w14:paraId="6F3D7750"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0.000067</w:t>
            </w:r>
          </w:p>
        </w:tc>
        <w:tc>
          <w:tcPr>
            <w:tcW w:w="0" w:type="auto"/>
            <w:tcBorders>
              <w:top w:val="single" w:sz="4" w:space="0" w:color="auto"/>
            </w:tcBorders>
            <w:tcMar>
              <w:top w:w="120" w:type="dxa"/>
              <w:left w:w="120" w:type="dxa"/>
              <w:bottom w:w="120" w:type="dxa"/>
              <w:right w:w="120" w:type="dxa"/>
            </w:tcMar>
            <w:vAlign w:val="center"/>
            <w:hideMark/>
          </w:tcPr>
          <w:p w14:paraId="2417211D"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99.34</w:t>
            </w:r>
          </w:p>
        </w:tc>
        <w:tc>
          <w:tcPr>
            <w:tcW w:w="0" w:type="auto"/>
            <w:tcBorders>
              <w:top w:val="single" w:sz="4" w:space="0" w:color="auto"/>
            </w:tcBorders>
            <w:tcMar>
              <w:top w:w="120" w:type="dxa"/>
              <w:left w:w="120" w:type="dxa"/>
              <w:bottom w:w="120" w:type="dxa"/>
              <w:right w:w="120" w:type="dxa"/>
            </w:tcMar>
            <w:vAlign w:val="center"/>
            <w:hideMark/>
          </w:tcPr>
          <w:p w14:paraId="265E227D"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0.66</w:t>
            </w:r>
          </w:p>
        </w:tc>
      </w:tr>
      <w:tr w:rsidR="00733AA0" w:rsidRPr="00733AA0" w14:paraId="2C5F75FF" w14:textId="77777777" w:rsidTr="00E057AB">
        <w:tc>
          <w:tcPr>
            <w:tcW w:w="0" w:type="auto"/>
            <w:tcMar>
              <w:top w:w="120" w:type="dxa"/>
              <w:left w:w="120" w:type="dxa"/>
              <w:bottom w:w="120" w:type="dxa"/>
              <w:right w:w="120" w:type="dxa"/>
            </w:tcMar>
            <w:vAlign w:val="center"/>
            <w:hideMark/>
          </w:tcPr>
          <w:p w14:paraId="20127A0F"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Turbocharger</w:t>
            </w:r>
          </w:p>
        </w:tc>
        <w:tc>
          <w:tcPr>
            <w:tcW w:w="0" w:type="auto"/>
            <w:tcMar>
              <w:top w:w="120" w:type="dxa"/>
              <w:left w:w="120" w:type="dxa"/>
              <w:bottom w:w="120" w:type="dxa"/>
              <w:right w:w="120" w:type="dxa"/>
            </w:tcMar>
            <w:vAlign w:val="center"/>
            <w:hideMark/>
          </w:tcPr>
          <w:p w14:paraId="7FE14599"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12,000</w:t>
            </w:r>
          </w:p>
        </w:tc>
        <w:tc>
          <w:tcPr>
            <w:tcW w:w="0" w:type="auto"/>
            <w:tcMar>
              <w:top w:w="120" w:type="dxa"/>
              <w:left w:w="120" w:type="dxa"/>
              <w:bottom w:w="120" w:type="dxa"/>
              <w:right w:w="120" w:type="dxa"/>
            </w:tcMar>
            <w:vAlign w:val="center"/>
            <w:hideMark/>
          </w:tcPr>
          <w:p w14:paraId="0037E89C"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7BE35D0B"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92.31</w:t>
            </w:r>
          </w:p>
        </w:tc>
        <w:tc>
          <w:tcPr>
            <w:tcW w:w="0" w:type="auto"/>
            <w:tcMar>
              <w:top w:w="120" w:type="dxa"/>
              <w:left w:w="120" w:type="dxa"/>
              <w:bottom w:w="120" w:type="dxa"/>
              <w:right w:w="120" w:type="dxa"/>
            </w:tcMar>
            <w:vAlign w:val="center"/>
            <w:hideMark/>
          </w:tcPr>
          <w:p w14:paraId="5C756DED"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18</w:t>
            </w:r>
          </w:p>
        </w:tc>
        <w:tc>
          <w:tcPr>
            <w:tcW w:w="0" w:type="auto"/>
            <w:tcMar>
              <w:top w:w="120" w:type="dxa"/>
              <w:left w:w="120" w:type="dxa"/>
              <w:bottom w:w="120" w:type="dxa"/>
              <w:right w:w="120" w:type="dxa"/>
            </w:tcMar>
            <w:vAlign w:val="center"/>
            <w:hideMark/>
          </w:tcPr>
          <w:p w14:paraId="2006F9C9"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0.000083</w:t>
            </w:r>
          </w:p>
        </w:tc>
        <w:tc>
          <w:tcPr>
            <w:tcW w:w="0" w:type="auto"/>
            <w:tcMar>
              <w:top w:w="120" w:type="dxa"/>
              <w:left w:w="120" w:type="dxa"/>
              <w:bottom w:w="120" w:type="dxa"/>
              <w:right w:w="120" w:type="dxa"/>
            </w:tcMar>
            <w:vAlign w:val="center"/>
            <w:hideMark/>
          </w:tcPr>
          <w:p w14:paraId="46A961F2"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99.17</w:t>
            </w:r>
          </w:p>
        </w:tc>
        <w:tc>
          <w:tcPr>
            <w:tcW w:w="0" w:type="auto"/>
            <w:tcMar>
              <w:top w:w="120" w:type="dxa"/>
              <w:left w:w="120" w:type="dxa"/>
              <w:bottom w:w="120" w:type="dxa"/>
              <w:right w:w="120" w:type="dxa"/>
            </w:tcMar>
            <w:vAlign w:val="center"/>
            <w:hideMark/>
          </w:tcPr>
          <w:p w14:paraId="6B1F5727"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0.83</w:t>
            </w:r>
          </w:p>
        </w:tc>
      </w:tr>
      <w:tr w:rsidR="00733AA0" w:rsidRPr="00733AA0" w14:paraId="4055D24C" w14:textId="77777777" w:rsidTr="00E057AB">
        <w:tc>
          <w:tcPr>
            <w:tcW w:w="0" w:type="auto"/>
            <w:tcMar>
              <w:top w:w="120" w:type="dxa"/>
              <w:left w:w="120" w:type="dxa"/>
              <w:bottom w:w="120" w:type="dxa"/>
              <w:right w:w="120" w:type="dxa"/>
            </w:tcMar>
            <w:vAlign w:val="center"/>
            <w:hideMark/>
          </w:tcPr>
          <w:p w14:paraId="653E70CE"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Generator</w:t>
            </w:r>
          </w:p>
        </w:tc>
        <w:tc>
          <w:tcPr>
            <w:tcW w:w="0" w:type="auto"/>
            <w:tcMar>
              <w:top w:w="120" w:type="dxa"/>
              <w:left w:w="120" w:type="dxa"/>
              <w:bottom w:w="120" w:type="dxa"/>
              <w:right w:w="120" w:type="dxa"/>
            </w:tcMar>
            <w:vAlign w:val="center"/>
            <w:hideMark/>
          </w:tcPr>
          <w:p w14:paraId="277A7F61"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21757F56"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20,000</w:t>
            </w:r>
          </w:p>
        </w:tc>
        <w:tc>
          <w:tcPr>
            <w:tcW w:w="0" w:type="auto"/>
            <w:tcMar>
              <w:top w:w="120" w:type="dxa"/>
              <w:left w:w="120" w:type="dxa"/>
              <w:bottom w:w="120" w:type="dxa"/>
              <w:right w:w="120" w:type="dxa"/>
            </w:tcMar>
            <w:vAlign w:val="center"/>
            <w:hideMark/>
          </w:tcPr>
          <w:p w14:paraId="33A2CA94"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95.24</w:t>
            </w:r>
          </w:p>
        </w:tc>
        <w:tc>
          <w:tcPr>
            <w:tcW w:w="0" w:type="auto"/>
            <w:tcMar>
              <w:top w:w="120" w:type="dxa"/>
              <w:left w:w="120" w:type="dxa"/>
              <w:bottom w:w="120" w:type="dxa"/>
              <w:right w:w="120" w:type="dxa"/>
            </w:tcMar>
            <w:vAlign w:val="center"/>
            <w:hideMark/>
          </w:tcPr>
          <w:p w14:paraId="07425C6C"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70</w:t>
            </w:r>
          </w:p>
        </w:tc>
        <w:tc>
          <w:tcPr>
            <w:tcW w:w="0" w:type="auto"/>
            <w:tcMar>
              <w:top w:w="120" w:type="dxa"/>
              <w:left w:w="120" w:type="dxa"/>
              <w:bottom w:w="120" w:type="dxa"/>
              <w:right w:w="120" w:type="dxa"/>
            </w:tcMar>
            <w:vAlign w:val="center"/>
            <w:hideMark/>
          </w:tcPr>
          <w:p w14:paraId="17E047BF"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0.00005</w:t>
            </w:r>
          </w:p>
        </w:tc>
        <w:tc>
          <w:tcPr>
            <w:tcW w:w="0" w:type="auto"/>
            <w:tcMar>
              <w:top w:w="120" w:type="dxa"/>
              <w:left w:w="120" w:type="dxa"/>
              <w:bottom w:w="120" w:type="dxa"/>
              <w:right w:w="120" w:type="dxa"/>
            </w:tcMar>
            <w:vAlign w:val="center"/>
            <w:hideMark/>
          </w:tcPr>
          <w:p w14:paraId="122D19D2"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99.50</w:t>
            </w:r>
          </w:p>
        </w:tc>
        <w:tc>
          <w:tcPr>
            <w:tcW w:w="0" w:type="auto"/>
            <w:tcMar>
              <w:top w:w="120" w:type="dxa"/>
              <w:left w:w="120" w:type="dxa"/>
              <w:bottom w:w="120" w:type="dxa"/>
              <w:right w:w="120" w:type="dxa"/>
            </w:tcMar>
            <w:vAlign w:val="center"/>
            <w:hideMark/>
          </w:tcPr>
          <w:p w14:paraId="67443FF0"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0.50</w:t>
            </w:r>
          </w:p>
        </w:tc>
      </w:tr>
      <w:tr w:rsidR="00733AA0" w:rsidRPr="00733AA0" w14:paraId="68EACB66" w14:textId="77777777" w:rsidTr="00E057AB">
        <w:tc>
          <w:tcPr>
            <w:tcW w:w="0" w:type="auto"/>
            <w:tcMar>
              <w:top w:w="120" w:type="dxa"/>
              <w:left w:w="120" w:type="dxa"/>
              <w:bottom w:w="120" w:type="dxa"/>
              <w:right w:w="120" w:type="dxa"/>
            </w:tcMar>
            <w:vAlign w:val="center"/>
            <w:hideMark/>
          </w:tcPr>
          <w:p w14:paraId="37718DF8"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Oil Filter</w:t>
            </w:r>
          </w:p>
        </w:tc>
        <w:tc>
          <w:tcPr>
            <w:tcW w:w="0" w:type="auto"/>
            <w:tcMar>
              <w:top w:w="120" w:type="dxa"/>
              <w:left w:w="120" w:type="dxa"/>
              <w:bottom w:w="120" w:type="dxa"/>
              <w:right w:w="120" w:type="dxa"/>
            </w:tcMar>
            <w:vAlign w:val="center"/>
            <w:hideMark/>
          </w:tcPr>
          <w:p w14:paraId="1A602D33"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76B2C9A7"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8,000</w:t>
            </w:r>
          </w:p>
        </w:tc>
        <w:tc>
          <w:tcPr>
            <w:tcW w:w="0" w:type="auto"/>
            <w:tcMar>
              <w:top w:w="120" w:type="dxa"/>
              <w:left w:w="120" w:type="dxa"/>
              <w:bottom w:w="120" w:type="dxa"/>
              <w:right w:w="120" w:type="dxa"/>
            </w:tcMar>
            <w:vAlign w:val="center"/>
            <w:hideMark/>
          </w:tcPr>
          <w:p w14:paraId="43EEFA7D"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88.89</w:t>
            </w:r>
          </w:p>
        </w:tc>
        <w:tc>
          <w:tcPr>
            <w:tcW w:w="0" w:type="auto"/>
            <w:tcMar>
              <w:top w:w="120" w:type="dxa"/>
              <w:left w:w="120" w:type="dxa"/>
              <w:bottom w:w="120" w:type="dxa"/>
              <w:right w:w="120" w:type="dxa"/>
            </w:tcMar>
            <w:vAlign w:val="center"/>
            <w:hideMark/>
          </w:tcPr>
          <w:p w14:paraId="420C59C3"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90</w:t>
            </w:r>
          </w:p>
        </w:tc>
        <w:tc>
          <w:tcPr>
            <w:tcW w:w="0" w:type="auto"/>
            <w:tcMar>
              <w:top w:w="120" w:type="dxa"/>
              <w:left w:w="120" w:type="dxa"/>
              <w:bottom w:w="120" w:type="dxa"/>
              <w:right w:w="120" w:type="dxa"/>
            </w:tcMar>
            <w:vAlign w:val="center"/>
            <w:hideMark/>
          </w:tcPr>
          <w:p w14:paraId="6EDC6B33"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0.000125</w:t>
            </w:r>
          </w:p>
        </w:tc>
        <w:tc>
          <w:tcPr>
            <w:tcW w:w="0" w:type="auto"/>
            <w:tcMar>
              <w:top w:w="120" w:type="dxa"/>
              <w:left w:w="120" w:type="dxa"/>
              <w:bottom w:w="120" w:type="dxa"/>
              <w:right w:w="120" w:type="dxa"/>
            </w:tcMar>
            <w:vAlign w:val="center"/>
            <w:hideMark/>
          </w:tcPr>
          <w:p w14:paraId="190969CF"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98.76</w:t>
            </w:r>
          </w:p>
        </w:tc>
        <w:tc>
          <w:tcPr>
            <w:tcW w:w="0" w:type="auto"/>
            <w:tcMar>
              <w:top w:w="120" w:type="dxa"/>
              <w:left w:w="120" w:type="dxa"/>
              <w:bottom w:w="120" w:type="dxa"/>
              <w:right w:w="120" w:type="dxa"/>
            </w:tcMar>
            <w:vAlign w:val="center"/>
            <w:hideMark/>
          </w:tcPr>
          <w:p w14:paraId="192CDB6E"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1.24</w:t>
            </w:r>
          </w:p>
        </w:tc>
      </w:tr>
      <w:tr w:rsidR="00733AA0" w:rsidRPr="00733AA0" w14:paraId="7829169C" w14:textId="77777777" w:rsidTr="00E057AB">
        <w:tc>
          <w:tcPr>
            <w:tcW w:w="0" w:type="auto"/>
            <w:tcMar>
              <w:top w:w="120" w:type="dxa"/>
              <w:left w:w="120" w:type="dxa"/>
              <w:bottom w:w="120" w:type="dxa"/>
              <w:right w:w="120" w:type="dxa"/>
            </w:tcMar>
            <w:vAlign w:val="center"/>
            <w:hideMark/>
          </w:tcPr>
          <w:p w14:paraId="1289E9FD"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Digital Control</w:t>
            </w:r>
          </w:p>
        </w:tc>
        <w:tc>
          <w:tcPr>
            <w:tcW w:w="0" w:type="auto"/>
            <w:tcMar>
              <w:top w:w="120" w:type="dxa"/>
              <w:left w:w="120" w:type="dxa"/>
              <w:bottom w:w="120" w:type="dxa"/>
              <w:right w:w="120" w:type="dxa"/>
            </w:tcMar>
            <w:vAlign w:val="center"/>
            <w:hideMark/>
          </w:tcPr>
          <w:p w14:paraId="4FE251E5"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386CA6DE"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10,000</w:t>
            </w:r>
          </w:p>
        </w:tc>
        <w:tc>
          <w:tcPr>
            <w:tcW w:w="0" w:type="auto"/>
            <w:tcMar>
              <w:top w:w="120" w:type="dxa"/>
              <w:left w:w="120" w:type="dxa"/>
              <w:bottom w:w="120" w:type="dxa"/>
              <w:right w:w="120" w:type="dxa"/>
            </w:tcMar>
            <w:vAlign w:val="center"/>
            <w:hideMark/>
          </w:tcPr>
          <w:p w14:paraId="3B4A62F9"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90.91</w:t>
            </w:r>
          </w:p>
        </w:tc>
        <w:tc>
          <w:tcPr>
            <w:tcW w:w="0" w:type="auto"/>
            <w:tcMar>
              <w:top w:w="120" w:type="dxa"/>
              <w:left w:w="120" w:type="dxa"/>
              <w:bottom w:w="120" w:type="dxa"/>
              <w:right w:w="120" w:type="dxa"/>
            </w:tcMar>
            <w:vAlign w:val="center"/>
            <w:hideMark/>
          </w:tcPr>
          <w:p w14:paraId="2FC3B982"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25</w:t>
            </w:r>
          </w:p>
        </w:tc>
        <w:tc>
          <w:tcPr>
            <w:tcW w:w="0" w:type="auto"/>
            <w:tcMar>
              <w:top w:w="120" w:type="dxa"/>
              <w:left w:w="120" w:type="dxa"/>
              <w:bottom w:w="120" w:type="dxa"/>
              <w:right w:w="120" w:type="dxa"/>
            </w:tcMar>
            <w:vAlign w:val="center"/>
            <w:hideMark/>
          </w:tcPr>
          <w:p w14:paraId="02B07BE9"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0.0001</w:t>
            </w:r>
          </w:p>
        </w:tc>
        <w:tc>
          <w:tcPr>
            <w:tcW w:w="0" w:type="auto"/>
            <w:tcMar>
              <w:top w:w="120" w:type="dxa"/>
              <w:left w:w="120" w:type="dxa"/>
              <w:bottom w:w="120" w:type="dxa"/>
              <w:right w:w="120" w:type="dxa"/>
            </w:tcMar>
            <w:vAlign w:val="center"/>
            <w:hideMark/>
          </w:tcPr>
          <w:p w14:paraId="478E384A"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99.00</w:t>
            </w:r>
          </w:p>
        </w:tc>
        <w:tc>
          <w:tcPr>
            <w:tcW w:w="0" w:type="auto"/>
            <w:tcMar>
              <w:top w:w="120" w:type="dxa"/>
              <w:left w:w="120" w:type="dxa"/>
              <w:bottom w:w="120" w:type="dxa"/>
              <w:right w:w="120" w:type="dxa"/>
            </w:tcMar>
            <w:vAlign w:val="center"/>
            <w:hideMark/>
          </w:tcPr>
          <w:p w14:paraId="361253E4" w14:textId="77777777" w:rsidR="00733AA0" w:rsidRPr="00733AA0" w:rsidRDefault="00733AA0" w:rsidP="00E057AB">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1.00</w:t>
            </w:r>
          </w:p>
        </w:tc>
      </w:tr>
    </w:tbl>
    <w:p w14:paraId="5B555522" w14:textId="77777777" w:rsidR="00733AA0" w:rsidRPr="0051231B" w:rsidRDefault="00733AA0" w:rsidP="0051231B">
      <w:pPr>
        <w:spacing w:before="100" w:beforeAutospacing="1" w:after="100" w:afterAutospacing="1" w:line="360" w:lineRule="auto"/>
        <w:jc w:val="both"/>
        <w:rPr>
          <w:rFonts w:ascii="Calibri" w:eastAsia="Times New Roman" w:hAnsi="Calibri" w:cs="Calibri"/>
          <w:kern w:val="0"/>
          <w:lang w:val="en-US"/>
          <w14:ligatures w14:val="none"/>
        </w:rPr>
      </w:pPr>
    </w:p>
    <w:p w14:paraId="73AFD9EE" w14:textId="77777777" w:rsidR="00311EF6" w:rsidRPr="00311EF6" w:rsidRDefault="00311EF6" w:rsidP="00311EF6">
      <w:pPr>
        <w:spacing w:after="0" w:line="240" w:lineRule="auto"/>
        <w:jc w:val="both"/>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 xml:space="preserve">Table 2. </w:t>
      </w:r>
      <w:r w:rsidRPr="00311EF6">
        <w:rPr>
          <w:rFonts w:ascii="Calibri" w:eastAsia="Times New Roman" w:hAnsi="Calibri" w:cs="Calibri"/>
          <w:kern w:val="0"/>
          <w14:ligatures w14:val="none"/>
        </w:rPr>
        <w:t>Reliability, Availability, Maintainability (RAM) Performance of the CAT C-15 Diesel Generator System</w:t>
      </w:r>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10"/>
        <w:gridCol w:w="1329"/>
        <w:gridCol w:w="1560"/>
        <w:gridCol w:w="1863"/>
        <w:gridCol w:w="1351"/>
        <w:gridCol w:w="2370"/>
        <w:gridCol w:w="1737"/>
        <w:gridCol w:w="938"/>
      </w:tblGrid>
      <w:tr w:rsidR="00311EF6" w:rsidRPr="00311EF6" w14:paraId="131F45C3" w14:textId="77777777" w:rsidTr="00C17B1D">
        <w:trPr>
          <w:tblHeader/>
        </w:trPr>
        <w:tc>
          <w:tcPr>
            <w:tcW w:w="0" w:type="auto"/>
            <w:tcBorders>
              <w:bottom w:val="single" w:sz="4" w:space="0" w:color="auto"/>
            </w:tcBorders>
            <w:tcMar>
              <w:top w:w="120" w:type="dxa"/>
              <w:left w:w="120" w:type="dxa"/>
              <w:bottom w:w="120" w:type="dxa"/>
              <w:right w:w="120" w:type="dxa"/>
            </w:tcMar>
            <w:vAlign w:val="center"/>
            <w:hideMark/>
          </w:tcPr>
          <w:p w14:paraId="3C4884D5" w14:textId="77777777" w:rsidR="00311EF6" w:rsidRPr="00311EF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311EF6">
              <w:rPr>
                <w:rFonts w:ascii="Calibri" w:eastAsia="Times New Roman" w:hAnsi="Calibri" w:cs="Calibri"/>
                <w:bCs/>
                <w:kern w:val="0"/>
                <w:lang w:val="en-US"/>
                <w14:ligatures w14:val="none"/>
              </w:rPr>
              <w:t>Subsystem/Component</w:t>
            </w:r>
          </w:p>
        </w:tc>
        <w:tc>
          <w:tcPr>
            <w:tcW w:w="0" w:type="auto"/>
            <w:tcBorders>
              <w:bottom w:val="single" w:sz="4" w:space="0" w:color="auto"/>
            </w:tcBorders>
            <w:tcMar>
              <w:top w:w="120" w:type="dxa"/>
              <w:left w:w="120" w:type="dxa"/>
              <w:bottom w:w="120" w:type="dxa"/>
              <w:right w:w="120" w:type="dxa"/>
            </w:tcMar>
            <w:vAlign w:val="center"/>
            <w:hideMark/>
          </w:tcPr>
          <w:p w14:paraId="451CC582" w14:textId="77777777" w:rsidR="00311EF6" w:rsidRPr="00311EF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311EF6">
              <w:rPr>
                <w:rFonts w:ascii="Calibri" w:eastAsia="Times New Roman" w:hAnsi="Calibri" w:cs="Calibri"/>
                <w:bCs/>
                <w:kern w:val="0"/>
                <w:lang w:val="en-US"/>
                <w14:ligatures w14:val="none"/>
              </w:rPr>
              <w:t>MTTF (</w:t>
            </w:r>
            <w:proofErr w:type="spellStart"/>
            <w:r w:rsidRPr="00311EF6">
              <w:rPr>
                <w:rFonts w:ascii="Calibri" w:eastAsia="Times New Roman" w:hAnsi="Calibri" w:cs="Calibri"/>
                <w:bCs/>
                <w:kern w:val="0"/>
                <w:lang w:val="en-US"/>
                <w14:ligatures w14:val="none"/>
              </w:rPr>
              <w:t>hr</w:t>
            </w:r>
            <w:proofErr w:type="spellEnd"/>
            <w:r w:rsidRPr="00311EF6">
              <w:rPr>
                <w:rFonts w:ascii="Calibri" w:eastAsia="Times New Roman" w:hAnsi="Calibri" w:cs="Calibri"/>
                <w:bCs/>
                <w:kern w:val="0"/>
                <w:lang w:val="en-US"/>
                <w14:ligatures w14:val="none"/>
              </w:rPr>
              <w:t>)</w:t>
            </w:r>
          </w:p>
        </w:tc>
        <w:tc>
          <w:tcPr>
            <w:tcW w:w="0" w:type="auto"/>
            <w:tcBorders>
              <w:bottom w:val="single" w:sz="4" w:space="0" w:color="auto"/>
            </w:tcBorders>
            <w:tcMar>
              <w:top w:w="120" w:type="dxa"/>
              <w:left w:w="120" w:type="dxa"/>
              <w:bottom w:w="120" w:type="dxa"/>
              <w:right w:w="120" w:type="dxa"/>
            </w:tcMar>
            <w:vAlign w:val="center"/>
            <w:hideMark/>
          </w:tcPr>
          <w:p w14:paraId="7BD1D5CE" w14:textId="77777777" w:rsidR="00311EF6" w:rsidRPr="00311EF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311EF6">
              <w:rPr>
                <w:rFonts w:ascii="Calibri" w:eastAsia="Times New Roman" w:hAnsi="Calibri" w:cs="Calibri"/>
                <w:bCs/>
                <w:kern w:val="0"/>
                <w:lang w:val="en-US"/>
                <w14:ligatures w14:val="none"/>
              </w:rPr>
              <w:t>MTBF (</w:t>
            </w:r>
            <w:proofErr w:type="spellStart"/>
            <w:r w:rsidRPr="00311EF6">
              <w:rPr>
                <w:rFonts w:ascii="Calibri" w:eastAsia="Times New Roman" w:hAnsi="Calibri" w:cs="Calibri"/>
                <w:bCs/>
                <w:kern w:val="0"/>
                <w:lang w:val="en-US"/>
                <w14:ligatures w14:val="none"/>
              </w:rPr>
              <w:t>hr</w:t>
            </w:r>
            <w:proofErr w:type="spellEnd"/>
            <w:r w:rsidRPr="00311EF6">
              <w:rPr>
                <w:rFonts w:ascii="Calibri" w:eastAsia="Times New Roman" w:hAnsi="Calibri" w:cs="Calibri"/>
                <w:bCs/>
                <w:kern w:val="0"/>
                <w:lang w:val="en-US"/>
                <w14:ligatures w14:val="none"/>
              </w:rPr>
              <w:t>)</w:t>
            </w:r>
          </w:p>
        </w:tc>
        <w:tc>
          <w:tcPr>
            <w:tcW w:w="0" w:type="auto"/>
            <w:tcBorders>
              <w:bottom w:val="single" w:sz="4" w:space="0" w:color="auto"/>
            </w:tcBorders>
            <w:tcMar>
              <w:top w:w="120" w:type="dxa"/>
              <w:left w:w="120" w:type="dxa"/>
              <w:bottom w:w="120" w:type="dxa"/>
              <w:right w:w="120" w:type="dxa"/>
            </w:tcMar>
            <w:vAlign w:val="center"/>
            <w:hideMark/>
          </w:tcPr>
          <w:p w14:paraId="3C0427E9" w14:textId="77777777" w:rsidR="00311EF6" w:rsidRPr="00311EF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311EF6">
              <w:rPr>
                <w:rFonts w:ascii="Calibri" w:eastAsia="Times New Roman" w:hAnsi="Calibri" w:cs="Calibri"/>
                <w:bCs/>
                <w:kern w:val="0"/>
                <w:lang w:val="en-US"/>
                <w14:ligatures w14:val="none"/>
              </w:rPr>
              <w:t>Availability (%)</w:t>
            </w:r>
          </w:p>
        </w:tc>
        <w:tc>
          <w:tcPr>
            <w:tcW w:w="0" w:type="auto"/>
            <w:tcBorders>
              <w:bottom w:val="single" w:sz="4" w:space="0" w:color="auto"/>
            </w:tcBorders>
            <w:tcMar>
              <w:top w:w="120" w:type="dxa"/>
              <w:left w:w="120" w:type="dxa"/>
              <w:bottom w:w="120" w:type="dxa"/>
              <w:right w:w="120" w:type="dxa"/>
            </w:tcMar>
            <w:vAlign w:val="center"/>
            <w:hideMark/>
          </w:tcPr>
          <w:p w14:paraId="067BFB07" w14:textId="77777777" w:rsidR="00311EF6" w:rsidRPr="00311EF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311EF6">
              <w:rPr>
                <w:rFonts w:ascii="Calibri" w:eastAsia="Times New Roman" w:hAnsi="Calibri" w:cs="Calibri"/>
                <w:bCs/>
                <w:kern w:val="0"/>
                <w:lang w:val="en-US"/>
                <w14:ligatures w14:val="none"/>
              </w:rPr>
              <w:t>MTTR (</w:t>
            </w:r>
            <w:proofErr w:type="spellStart"/>
            <w:r w:rsidRPr="00311EF6">
              <w:rPr>
                <w:rFonts w:ascii="Calibri" w:eastAsia="Times New Roman" w:hAnsi="Calibri" w:cs="Calibri"/>
                <w:bCs/>
                <w:kern w:val="0"/>
                <w:lang w:val="en-US"/>
                <w14:ligatures w14:val="none"/>
              </w:rPr>
              <w:t>hr</w:t>
            </w:r>
            <w:proofErr w:type="spellEnd"/>
            <w:r w:rsidRPr="00311EF6">
              <w:rPr>
                <w:rFonts w:ascii="Calibri" w:eastAsia="Times New Roman" w:hAnsi="Calibri" w:cs="Calibri"/>
                <w:bCs/>
                <w:kern w:val="0"/>
                <w:lang w:val="en-US"/>
                <w14:ligatures w14:val="none"/>
              </w:rPr>
              <w:t>)</w:t>
            </w:r>
          </w:p>
        </w:tc>
        <w:tc>
          <w:tcPr>
            <w:tcW w:w="0" w:type="auto"/>
            <w:tcBorders>
              <w:bottom w:val="single" w:sz="4" w:space="0" w:color="auto"/>
            </w:tcBorders>
            <w:tcMar>
              <w:top w:w="120" w:type="dxa"/>
              <w:left w:w="120" w:type="dxa"/>
              <w:bottom w:w="120" w:type="dxa"/>
              <w:right w:w="120" w:type="dxa"/>
            </w:tcMar>
            <w:vAlign w:val="center"/>
            <w:hideMark/>
          </w:tcPr>
          <w:p w14:paraId="5D59E5CD" w14:textId="77777777" w:rsidR="00311EF6" w:rsidRPr="00311EF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311EF6">
              <w:rPr>
                <w:rFonts w:ascii="Calibri" w:eastAsia="Times New Roman" w:hAnsi="Calibri" w:cs="Calibri"/>
                <w:bCs/>
                <w:kern w:val="0"/>
                <w:lang w:val="en-US"/>
                <w14:ligatures w14:val="none"/>
              </w:rPr>
              <w:t>Failure Rate (/</w:t>
            </w:r>
            <w:proofErr w:type="spellStart"/>
            <w:r w:rsidRPr="00311EF6">
              <w:rPr>
                <w:rFonts w:ascii="Calibri" w:eastAsia="Times New Roman" w:hAnsi="Calibri" w:cs="Calibri"/>
                <w:bCs/>
                <w:kern w:val="0"/>
                <w:lang w:val="en-US"/>
                <w14:ligatures w14:val="none"/>
              </w:rPr>
              <w:t>hr</w:t>
            </w:r>
            <w:proofErr w:type="spellEnd"/>
            <w:r w:rsidRPr="00311EF6">
              <w:rPr>
                <w:rFonts w:ascii="Calibri" w:eastAsia="Times New Roman" w:hAnsi="Calibri" w:cs="Calibri"/>
                <w:bCs/>
                <w:kern w:val="0"/>
                <w:lang w:val="en-US"/>
                <w14:ligatures w14:val="none"/>
              </w:rPr>
              <w:t>)</w:t>
            </w:r>
          </w:p>
        </w:tc>
        <w:tc>
          <w:tcPr>
            <w:tcW w:w="0" w:type="auto"/>
            <w:tcBorders>
              <w:bottom w:val="single" w:sz="4" w:space="0" w:color="auto"/>
            </w:tcBorders>
            <w:tcMar>
              <w:top w:w="120" w:type="dxa"/>
              <w:left w:w="120" w:type="dxa"/>
              <w:bottom w:w="120" w:type="dxa"/>
              <w:right w:w="120" w:type="dxa"/>
            </w:tcMar>
            <w:vAlign w:val="center"/>
            <w:hideMark/>
          </w:tcPr>
          <w:p w14:paraId="5CD1D465" w14:textId="77777777" w:rsidR="00311EF6" w:rsidRPr="00311EF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311EF6">
              <w:rPr>
                <w:rFonts w:ascii="Calibri" w:eastAsia="Times New Roman" w:hAnsi="Calibri" w:cs="Calibri"/>
                <w:bCs/>
                <w:kern w:val="0"/>
                <w:lang w:val="en-US"/>
                <w14:ligatures w14:val="none"/>
              </w:rPr>
              <w:t>Reliability (%)</w:t>
            </w:r>
          </w:p>
        </w:tc>
        <w:tc>
          <w:tcPr>
            <w:tcW w:w="0" w:type="auto"/>
            <w:tcBorders>
              <w:bottom w:val="single" w:sz="4" w:space="0" w:color="auto"/>
            </w:tcBorders>
            <w:tcMar>
              <w:top w:w="120" w:type="dxa"/>
              <w:left w:w="120" w:type="dxa"/>
              <w:bottom w:w="120" w:type="dxa"/>
              <w:right w:w="120" w:type="dxa"/>
            </w:tcMar>
            <w:vAlign w:val="center"/>
            <w:hideMark/>
          </w:tcPr>
          <w:p w14:paraId="78CE083F" w14:textId="77777777" w:rsidR="00311EF6" w:rsidRPr="00311EF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311EF6">
              <w:rPr>
                <w:rFonts w:ascii="Calibri" w:eastAsia="Times New Roman" w:hAnsi="Calibri" w:cs="Calibri"/>
                <w:bCs/>
                <w:kern w:val="0"/>
                <w:lang w:val="en-US"/>
                <w14:ligatures w14:val="none"/>
              </w:rPr>
              <w:t>PF (%)</w:t>
            </w:r>
          </w:p>
        </w:tc>
      </w:tr>
      <w:tr w:rsidR="00311EF6" w:rsidRPr="00311EF6" w14:paraId="5A68500C" w14:textId="77777777" w:rsidTr="00C17B1D">
        <w:tc>
          <w:tcPr>
            <w:tcW w:w="0" w:type="auto"/>
            <w:tcBorders>
              <w:top w:val="single" w:sz="4" w:space="0" w:color="auto"/>
              <w:bottom w:val="nil"/>
            </w:tcBorders>
            <w:tcMar>
              <w:top w:w="120" w:type="dxa"/>
              <w:left w:w="120" w:type="dxa"/>
              <w:bottom w:w="120" w:type="dxa"/>
              <w:right w:w="120" w:type="dxa"/>
            </w:tcMar>
            <w:vAlign w:val="center"/>
            <w:hideMark/>
          </w:tcPr>
          <w:p w14:paraId="31C3FA78"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Air Filter</w:t>
            </w:r>
          </w:p>
        </w:tc>
        <w:tc>
          <w:tcPr>
            <w:tcW w:w="0" w:type="auto"/>
            <w:tcBorders>
              <w:top w:val="single" w:sz="4" w:space="0" w:color="auto"/>
              <w:bottom w:val="nil"/>
            </w:tcBorders>
            <w:tcMar>
              <w:top w:w="120" w:type="dxa"/>
              <w:left w:w="120" w:type="dxa"/>
              <w:bottom w:w="120" w:type="dxa"/>
              <w:right w:w="120" w:type="dxa"/>
            </w:tcMar>
            <w:vAlign w:val="center"/>
            <w:hideMark/>
          </w:tcPr>
          <w:p w14:paraId="466CA303"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4,000</w:t>
            </w:r>
          </w:p>
        </w:tc>
        <w:tc>
          <w:tcPr>
            <w:tcW w:w="0" w:type="auto"/>
            <w:tcBorders>
              <w:top w:val="single" w:sz="4" w:space="0" w:color="auto"/>
              <w:bottom w:val="nil"/>
            </w:tcBorders>
            <w:tcMar>
              <w:top w:w="120" w:type="dxa"/>
              <w:left w:w="120" w:type="dxa"/>
              <w:bottom w:w="120" w:type="dxa"/>
              <w:right w:w="120" w:type="dxa"/>
            </w:tcMar>
            <w:vAlign w:val="center"/>
            <w:hideMark/>
          </w:tcPr>
          <w:p w14:paraId="50B686A0"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w:t>
            </w:r>
          </w:p>
        </w:tc>
        <w:tc>
          <w:tcPr>
            <w:tcW w:w="0" w:type="auto"/>
            <w:tcBorders>
              <w:top w:val="single" w:sz="4" w:space="0" w:color="auto"/>
              <w:bottom w:val="nil"/>
            </w:tcBorders>
            <w:tcMar>
              <w:top w:w="120" w:type="dxa"/>
              <w:left w:w="120" w:type="dxa"/>
              <w:bottom w:w="120" w:type="dxa"/>
              <w:right w:w="120" w:type="dxa"/>
            </w:tcMar>
            <w:vAlign w:val="center"/>
            <w:hideMark/>
          </w:tcPr>
          <w:p w14:paraId="05578E7B"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99.95</w:t>
            </w:r>
          </w:p>
        </w:tc>
        <w:tc>
          <w:tcPr>
            <w:tcW w:w="0" w:type="auto"/>
            <w:tcBorders>
              <w:top w:val="single" w:sz="4" w:space="0" w:color="auto"/>
              <w:bottom w:val="nil"/>
            </w:tcBorders>
            <w:tcMar>
              <w:top w:w="120" w:type="dxa"/>
              <w:left w:w="120" w:type="dxa"/>
              <w:bottom w:w="120" w:type="dxa"/>
              <w:right w:w="120" w:type="dxa"/>
            </w:tcMar>
            <w:vAlign w:val="center"/>
            <w:hideMark/>
          </w:tcPr>
          <w:p w14:paraId="0B01BCCF"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2</w:t>
            </w:r>
          </w:p>
        </w:tc>
        <w:tc>
          <w:tcPr>
            <w:tcW w:w="0" w:type="auto"/>
            <w:tcBorders>
              <w:top w:val="single" w:sz="4" w:space="0" w:color="auto"/>
              <w:bottom w:val="nil"/>
            </w:tcBorders>
            <w:tcMar>
              <w:top w:w="120" w:type="dxa"/>
              <w:left w:w="120" w:type="dxa"/>
              <w:bottom w:w="120" w:type="dxa"/>
              <w:right w:w="120" w:type="dxa"/>
            </w:tcMar>
            <w:vAlign w:val="center"/>
            <w:hideMark/>
          </w:tcPr>
          <w:p w14:paraId="5CB5068C"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0.00025</w:t>
            </w:r>
          </w:p>
        </w:tc>
        <w:tc>
          <w:tcPr>
            <w:tcW w:w="0" w:type="auto"/>
            <w:tcBorders>
              <w:top w:val="single" w:sz="4" w:space="0" w:color="auto"/>
              <w:bottom w:val="nil"/>
            </w:tcBorders>
            <w:tcMar>
              <w:top w:w="120" w:type="dxa"/>
              <w:left w:w="120" w:type="dxa"/>
              <w:bottom w:w="120" w:type="dxa"/>
              <w:right w:w="120" w:type="dxa"/>
            </w:tcMar>
            <w:vAlign w:val="center"/>
            <w:hideMark/>
          </w:tcPr>
          <w:p w14:paraId="27C90F4A"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97.53</w:t>
            </w:r>
          </w:p>
        </w:tc>
        <w:tc>
          <w:tcPr>
            <w:tcW w:w="0" w:type="auto"/>
            <w:tcBorders>
              <w:top w:val="single" w:sz="4" w:space="0" w:color="auto"/>
              <w:bottom w:val="nil"/>
            </w:tcBorders>
            <w:tcMar>
              <w:top w:w="120" w:type="dxa"/>
              <w:left w:w="120" w:type="dxa"/>
              <w:bottom w:w="120" w:type="dxa"/>
              <w:right w:w="120" w:type="dxa"/>
            </w:tcMar>
            <w:vAlign w:val="center"/>
            <w:hideMark/>
          </w:tcPr>
          <w:p w14:paraId="675C48F8"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2.47</w:t>
            </w:r>
          </w:p>
        </w:tc>
      </w:tr>
      <w:tr w:rsidR="00311EF6" w:rsidRPr="00311EF6" w14:paraId="39826DAE" w14:textId="77777777" w:rsidTr="00C17B1D">
        <w:tc>
          <w:tcPr>
            <w:tcW w:w="0" w:type="auto"/>
            <w:tcBorders>
              <w:top w:val="nil"/>
            </w:tcBorders>
            <w:tcMar>
              <w:top w:w="120" w:type="dxa"/>
              <w:left w:w="120" w:type="dxa"/>
              <w:bottom w:w="120" w:type="dxa"/>
              <w:right w:w="120" w:type="dxa"/>
            </w:tcMar>
            <w:vAlign w:val="center"/>
            <w:hideMark/>
          </w:tcPr>
          <w:p w14:paraId="6ED3C329"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Injector</w:t>
            </w:r>
          </w:p>
        </w:tc>
        <w:tc>
          <w:tcPr>
            <w:tcW w:w="0" w:type="auto"/>
            <w:tcBorders>
              <w:top w:val="nil"/>
            </w:tcBorders>
            <w:tcMar>
              <w:top w:w="120" w:type="dxa"/>
              <w:left w:w="120" w:type="dxa"/>
              <w:bottom w:w="120" w:type="dxa"/>
              <w:right w:w="120" w:type="dxa"/>
            </w:tcMar>
            <w:vAlign w:val="center"/>
            <w:hideMark/>
          </w:tcPr>
          <w:p w14:paraId="4CF2DDD3"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w:t>
            </w:r>
          </w:p>
        </w:tc>
        <w:tc>
          <w:tcPr>
            <w:tcW w:w="0" w:type="auto"/>
            <w:tcBorders>
              <w:top w:val="nil"/>
            </w:tcBorders>
            <w:tcMar>
              <w:top w:w="120" w:type="dxa"/>
              <w:left w:w="120" w:type="dxa"/>
              <w:bottom w:w="120" w:type="dxa"/>
              <w:right w:w="120" w:type="dxa"/>
            </w:tcMar>
            <w:vAlign w:val="center"/>
            <w:hideMark/>
          </w:tcPr>
          <w:p w14:paraId="1C34D114"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4,500-8,000</w:t>
            </w:r>
          </w:p>
        </w:tc>
        <w:tc>
          <w:tcPr>
            <w:tcW w:w="0" w:type="auto"/>
            <w:tcBorders>
              <w:top w:val="nil"/>
            </w:tcBorders>
            <w:tcMar>
              <w:top w:w="120" w:type="dxa"/>
              <w:left w:w="120" w:type="dxa"/>
              <w:bottom w:w="120" w:type="dxa"/>
              <w:right w:w="120" w:type="dxa"/>
            </w:tcMar>
            <w:vAlign w:val="center"/>
            <w:hideMark/>
          </w:tcPr>
          <w:p w14:paraId="3145B58C"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&gt;99.9</w:t>
            </w:r>
          </w:p>
        </w:tc>
        <w:tc>
          <w:tcPr>
            <w:tcW w:w="0" w:type="auto"/>
            <w:tcBorders>
              <w:top w:val="nil"/>
            </w:tcBorders>
            <w:tcMar>
              <w:top w:w="120" w:type="dxa"/>
              <w:left w:w="120" w:type="dxa"/>
              <w:bottom w:w="120" w:type="dxa"/>
              <w:right w:w="120" w:type="dxa"/>
            </w:tcMar>
            <w:vAlign w:val="center"/>
            <w:hideMark/>
          </w:tcPr>
          <w:p w14:paraId="5A52880F"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2-6</w:t>
            </w:r>
          </w:p>
        </w:tc>
        <w:tc>
          <w:tcPr>
            <w:tcW w:w="0" w:type="auto"/>
            <w:tcBorders>
              <w:top w:val="nil"/>
            </w:tcBorders>
            <w:tcMar>
              <w:top w:w="120" w:type="dxa"/>
              <w:left w:w="120" w:type="dxa"/>
              <w:bottom w:w="120" w:type="dxa"/>
              <w:right w:w="120" w:type="dxa"/>
            </w:tcMar>
            <w:vAlign w:val="center"/>
            <w:hideMark/>
          </w:tcPr>
          <w:p w14:paraId="2B3A9D3D"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0.000125-0.000222</w:t>
            </w:r>
          </w:p>
        </w:tc>
        <w:tc>
          <w:tcPr>
            <w:tcW w:w="0" w:type="auto"/>
            <w:tcBorders>
              <w:top w:val="nil"/>
            </w:tcBorders>
            <w:tcMar>
              <w:top w:w="120" w:type="dxa"/>
              <w:left w:w="120" w:type="dxa"/>
              <w:bottom w:w="120" w:type="dxa"/>
              <w:right w:w="120" w:type="dxa"/>
            </w:tcMar>
            <w:vAlign w:val="center"/>
            <w:hideMark/>
          </w:tcPr>
          <w:p w14:paraId="02AEF552"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&gt;98</w:t>
            </w:r>
          </w:p>
        </w:tc>
        <w:tc>
          <w:tcPr>
            <w:tcW w:w="0" w:type="auto"/>
            <w:tcBorders>
              <w:top w:val="nil"/>
            </w:tcBorders>
            <w:tcMar>
              <w:top w:w="120" w:type="dxa"/>
              <w:left w:w="120" w:type="dxa"/>
              <w:bottom w:w="120" w:type="dxa"/>
              <w:right w:w="120" w:type="dxa"/>
            </w:tcMar>
            <w:vAlign w:val="center"/>
            <w:hideMark/>
          </w:tcPr>
          <w:p w14:paraId="0D05FB32"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&lt;2.5</w:t>
            </w:r>
          </w:p>
        </w:tc>
      </w:tr>
      <w:tr w:rsidR="00311EF6" w:rsidRPr="00311EF6" w14:paraId="59CFF5D6" w14:textId="77777777" w:rsidTr="00C17B1D">
        <w:tc>
          <w:tcPr>
            <w:tcW w:w="0" w:type="auto"/>
            <w:tcMar>
              <w:top w:w="120" w:type="dxa"/>
              <w:left w:w="120" w:type="dxa"/>
              <w:bottom w:w="120" w:type="dxa"/>
              <w:right w:w="120" w:type="dxa"/>
            </w:tcMar>
            <w:vAlign w:val="center"/>
            <w:hideMark/>
          </w:tcPr>
          <w:p w14:paraId="5BB685BD"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Alternator</w:t>
            </w:r>
          </w:p>
        </w:tc>
        <w:tc>
          <w:tcPr>
            <w:tcW w:w="0" w:type="auto"/>
            <w:tcMar>
              <w:top w:w="120" w:type="dxa"/>
              <w:left w:w="120" w:type="dxa"/>
              <w:bottom w:w="120" w:type="dxa"/>
              <w:right w:w="120" w:type="dxa"/>
            </w:tcMar>
            <w:vAlign w:val="center"/>
            <w:hideMark/>
          </w:tcPr>
          <w:p w14:paraId="043596E7"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16EADD55"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4B39CF4F"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&gt;99.93</w:t>
            </w:r>
          </w:p>
        </w:tc>
        <w:tc>
          <w:tcPr>
            <w:tcW w:w="0" w:type="auto"/>
            <w:tcMar>
              <w:top w:w="120" w:type="dxa"/>
              <w:left w:w="120" w:type="dxa"/>
              <w:bottom w:w="120" w:type="dxa"/>
              <w:right w:w="120" w:type="dxa"/>
            </w:tcMar>
            <w:vAlign w:val="center"/>
            <w:hideMark/>
          </w:tcPr>
          <w:p w14:paraId="03D2E3D8"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4C7B7649" w14:textId="77777777" w:rsidR="00311EF6" w:rsidRPr="00311EF6" w:rsidRDefault="00C17B1D" w:rsidP="00C17B1D">
            <w:pPr>
              <w:spacing w:before="100" w:beforeAutospacing="1" w:after="100" w:afterAutospacing="1" w:line="360" w:lineRule="auto"/>
              <w:jc w:val="center"/>
              <w:rPr>
                <w:rFonts w:ascii="Calibri" w:eastAsia="Times New Roman" w:hAnsi="Calibri" w:cs="Calibri"/>
                <w:kern w:val="0"/>
                <w:lang w:val="en-US"/>
                <w14:ligatures w14:val="none"/>
              </w:rPr>
            </w:pPr>
            <w:r>
              <w:rPr>
                <w:rFonts w:ascii="Calibri" w:eastAsia="Times New Roman" w:hAnsi="Calibri" w:cs="Calibri"/>
                <w:kern w:val="0"/>
                <w:lang w:val="en-US"/>
                <w14:ligatures w14:val="none"/>
              </w:rPr>
              <w:t>≤</w:t>
            </w:r>
            <w:r w:rsidR="00311EF6" w:rsidRPr="00311EF6">
              <w:rPr>
                <w:rFonts w:ascii="Calibri" w:eastAsia="Times New Roman" w:hAnsi="Calibri" w:cs="Calibri"/>
                <w:kern w:val="0"/>
                <w:lang w:val="en-US"/>
                <w14:ligatures w14:val="none"/>
              </w:rPr>
              <w:t>0.00017</w:t>
            </w:r>
          </w:p>
        </w:tc>
        <w:tc>
          <w:tcPr>
            <w:tcW w:w="0" w:type="auto"/>
            <w:tcMar>
              <w:top w:w="120" w:type="dxa"/>
              <w:left w:w="120" w:type="dxa"/>
              <w:bottom w:w="120" w:type="dxa"/>
              <w:right w:w="120" w:type="dxa"/>
            </w:tcMar>
            <w:vAlign w:val="center"/>
            <w:hideMark/>
          </w:tcPr>
          <w:p w14:paraId="3775BDCA"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&gt;98</w:t>
            </w:r>
          </w:p>
        </w:tc>
        <w:tc>
          <w:tcPr>
            <w:tcW w:w="0" w:type="auto"/>
            <w:tcMar>
              <w:top w:w="120" w:type="dxa"/>
              <w:left w:w="120" w:type="dxa"/>
              <w:bottom w:w="120" w:type="dxa"/>
              <w:right w:w="120" w:type="dxa"/>
            </w:tcMar>
            <w:vAlign w:val="center"/>
            <w:hideMark/>
          </w:tcPr>
          <w:p w14:paraId="3AFEBE1B"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&lt;2</w:t>
            </w:r>
          </w:p>
        </w:tc>
      </w:tr>
      <w:tr w:rsidR="00311EF6" w:rsidRPr="00311EF6" w14:paraId="50D77F8D" w14:textId="77777777" w:rsidTr="00C17B1D">
        <w:tc>
          <w:tcPr>
            <w:tcW w:w="0" w:type="auto"/>
            <w:tcMar>
              <w:top w:w="120" w:type="dxa"/>
              <w:left w:w="120" w:type="dxa"/>
              <w:bottom w:w="120" w:type="dxa"/>
              <w:right w:w="120" w:type="dxa"/>
            </w:tcMar>
            <w:vAlign w:val="center"/>
            <w:hideMark/>
          </w:tcPr>
          <w:p w14:paraId="1A16FF64"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Fan Belt</w:t>
            </w:r>
          </w:p>
        </w:tc>
        <w:tc>
          <w:tcPr>
            <w:tcW w:w="0" w:type="auto"/>
            <w:tcMar>
              <w:top w:w="120" w:type="dxa"/>
              <w:left w:w="120" w:type="dxa"/>
              <w:bottom w:w="120" w:type="dxa"/>
              <w:right w:w="120" w:type="dxa"/>
            </w:tcMar>
            <w:vAlign w:val="center"/>
            <w:hideMark/>
          </w:tcPr>
          <w:p w14:paraId="7F506156"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49B3216B"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7815E567"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7B0E90F5"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78DC009C"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2B105962"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2D41D00E" w14:textId="77777777" w:rsidR="00311EF6" w:rsidRPr="00311EF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311EF6">
              <w:rPr>
                <w:rFonts w:ascii="Calibri" w:eastAsia="Times New Roman" w:hAnsi="Calibri" w:cs="Calibri"/>
                <w:kern w:val="0"/>
                <w:lang w:val="en-US"/>
                <w14:ligatures w14:val="none"/>
              </w:rPr>
              <w:t>2.82</w:t>
            </w:r>
          </w:p>
        </w:tc>
      </w:tr>
    </w:tbl>
    <w:p w14:paraId="76453596" w14:textId="77777777" w:rsidR="00311EF6" w:rsidRPr="00311EF6" w:rsidRDefault="00311EF6" w:rsidP="00311EF6">
      <w:pPr>
        <w:spacing w:before="100" w:beforeAutospacing="1" w:after="100" w:afterAutospacing="1" w:line="360" w:lineRule="auto"/>
        <w:jc w:val="both"/>
        <w:rPr>
          <w:rFonts w:ascii="Calibri" w:eastAsia="Times New Roman" w:hAnsi="Calibri" w:cs="Calibri"/>
          <w:kern w:val="0"/>
          <w:lang w:val="en-US"/>
          <w14:ligatures w14:val="none"/>
        </w:rPr>
      </w:pPr>
    </w:p>
    <w:p w14:paraId="5825B4E0" w14:textId="77777777" w:rsidR="00311EF6" w:rsidRDefault="00311EF6" w:rsidP="00311EF6">
      <w:pPr>
        <w:spacing w:before="100" w:beforeAutospacing="1" w:after="100" w:afterAutospacing="1" w:line="360" w:lineRule="auto"/>
        <w:jc w:val="both"/>
        <w:rPr>
          <w:rFonts w:ascii="Calibri" w:eastAsia="Times New Roman" w:hAnsi="Calibri" w:cs="Calibri"/>
          <w:kern w:val="0"/>
          <w:lang w:val="en-US"/>
          <w14:ligatures w14:val="none"/>
        </w:rPr>
        <w:sectPr w:rsidR="00311EF6" w:rsidSect="00311EF6">
          <w:pgSz w:w="16838" w:h="11906" w:orient="landscape"/>
          <w:pgMar w:top="1440" w:right="1440" w:bottom="1440" w:left="1440" w:header="720" w:footer="720" w:gutter="0"/>
          <w:cols w:space="720"/>
          <w:docGrid w:linePitch="360"/>
        </w:sectPr>
      </w:pPr>
    </w:p>
    <w:p w14:paraId="3998D91B" w14:textId="77777777" w:rsidR="0051231B" w:rsidRPr="00FE6643" w:rsidRDefault="00FE6643" w:rsidP="0051231B">
      <w:pPr>
        <w:spacing w:before="100" w:beforeAutospacing="1" w:after="100" w:afterAutospacing="1" w:line="360" w:lineRule="auto"/>
        <w:jc w:val="both"/>
        <w:outlineLvl w:val="3"/>
        <w:rPr>
          <w:rFonts w:ascii="Calibri" w:eastAsia="Times New Roman" w:hAnsi="Calibri" w:cs="Calibri"/>
          <w:b/>
          <w:bCs/>
          <w:kern w:val="0"/>
          <w:lang w:val="en-US"/>
          <w14:ligatures w14:val="none"/>
        </w:rPr>
      </w:pPr>
      <w:r w:rsidRPr="00FE6643">
        <w:rPr>
          <w:rFonts w:ascii="Calibri" w:eastAsia="Times New Roman" w:hAnsi="Calibri" w:cs="Calibri"/>
          <w:b/>
          <w:bCs/>
          <w:kern w:val="0"/>
          <w:lang w:val="en-US"/>
          <w14:ligatures w14:val="none"/>
        </w:rPr>
        <w:lastRenderedPageBreak/>
        <w:t>3.1.2 DIESEL GENERATOR SYSTEM (CAT C-15)</w:t>
      </w:r>
    </w:p>
    <w:p w14:paraId="37CDB195" w14:textId="77777777" w:rsidR="0051231B" w:rsidRPr="00733AA0"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The diesel generator RAM analysis revealed generally lower reliability metrics across most components</w:t>
      </w:r>
      <w:r w:rsidR="00733AA0" w:rsidRPr="00733AA0">
        <w:rPr>
          <w:rFonts w:ascii="Calibri" w:eastAsia="Times New Roman" w:hAnsi="Calibri" w:cs="Calibri"/>
          <w:kern w:val="0"/>
          <w:lang w:val="en-US"/>
          <w14:ligatures w14:val="none"/>
        </w:rPr>
        <w:t xml:space="preserve"> (Table 2)</w:t>
      </w:r>
      <w:r w:rsidRPr="0051231B">
        <w:rPr>
          <w:rFonts w:ascii="Calibri" w:eastAsia="Times New Roman" w:hAnsi="Calibri" w:cs="Calibri"/>
          <w:kern w:val="0"/>
          <w:lang w:val="en-US"/>
          <w14:ligatures w14:val="none"/>
        </w:rPr>
        <w:t>. The engine system air filter showed an MTTF of 4,000 hours with 99.95% availability and 97.53% reliability, representing a 2.47% probability of failure. Fuel filters demonstrated an MTTF of 3,500 hours with 97.18% reliability and 2.82% failure probability. The fuel priming pump (MTTF: 3,000 hours) and fuel shut-off solenoid (MTTF: 3,200 hours) showed reliability values of 96.72% and 96.92% respectively, with corresponding failure probabilities of 3.28% and 3.08%.</w:t>
      </w:r>
    </w:p>
    <w:p w14:paraId="6922739F"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Core engine components exhibited moderate performance. The engine block achieved an MTBF of 8,006 hours with 99.93% availability and 98.76% reliability. The turbocharger and aftercooler showed an MTBF of 6,005 hours with 98.35% reliability, while the injector system maintained an MTBF of 5,504 hours with 98.20% reliability. The gear-driven water pump recorded an MTBF of 4,504 hours with 97.80% reliability.</w:t>
      </w:r>
    </w:p>
    <w:p w14:paraId="69BA9A70"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The generator system components performed consistently, with the alternator achieving an MTBF of 5,804 hours and 98.29% reliability. The excitation system (MTBF: 5,704 hours, reliability: 98.26%), voltage regulator (MTBF: 5,604 hours, reliability: 98.23%), and alternator enclosure (MTBF: 5,904 hours, reliability: 98.32%) demonstrated similar performance levels, though notably lower than the gas generator counterparts.</w:t>
      </w:r>
    </w:p>
    <w:p w14:paraId="36C3A84F"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Control system components showed MTBF values ranging from 4,002 to 4,803 hours. Engine monitoring sensors achieved 97.53% reliability, while generator output sensors maintained 97.59% reliability. The auto start/stop logic and communication interfaces demonstrated 97.94% reliability with an MTBF of 4,803 hours.</w:t>
      </w:r>
    </w:p>
    <w:p w14:paraId="0B1CAE94"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The fuel system components, including fuel lines (MTBF: 4,202 hours) and fuel tanks (MTBF: 4,303 hours), exhibited reliability values between 97.65% and 97.70%. The lubrication system performed adequately, with the gear-driven oil pump (MTBF: 4,602 hours) and integrated oil cooler (MTBF: 4,802 hours) achieving approximately 97.85% and 97.94% reliability respectively. The spin-on oil filter showed an MTTF of 4,900 hours with 97.98% reliability.</w:t>
      </w:r>
    </w:p>
    <w:p w14:paraId="66620901"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lastRenderedPageBreak/>
        <w:t>Cooling system components revealed moderate reliability. The radiator fan belt exhibited an MTTF of 3,500 hours with 97.18% reliability and 2.82% failure probability, representing the highest failure risk in the cooling subsystem. The radiator maintained an MTBF of 4,002 hours with 97.53% reliability.</w:t>
      </w:r>
    </w:p>
    <w:p w14:paraId="5A004FC4"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The exhaust system demonstrated uniform performance, with the exhaust manifold achieving an MTBF of 4,102 hours and 97.59% reliability. The exhaust connector (MTTF: 3,700 hours, reliability: 97.33%) and muffler (MTTF: 3,900 hours, reliability: 97.47%) showed similar performance characteristics.</w:t>
      </w:r>
    </w:p>
    <w:p w14:paraId="5900FB54" w14:textId="77777777" w:rsidR="005A5F3F" w:rsidRDefault="005A5F3F" w:rsidP="0051231B">
      <w:pPr>
        <w:spacing w:before="100" w:beforeAutospacing="1" w:after="100" w:afterAutospacing="1" w:line="360" w:lineRule="auto"/>
        <w:jc w:val="both"/>
        <w:outlineLvl w:val="2"/>
        <w:rPr>
          <w:rFonts w:ascii="Calibri" w:eastAsia="Times New Roman" w:hAnsi="Calibri" w:cs="Calibri"/>
          <w:bCs/>
          <w:kern w:val="0"/>
          <w:lang w:val="en-US"/>
          <w14:ligatures w14:val="none"/>
        </w:rPr>
      </w:pPr>
    </w:p>
    <w:p w14:paraId="15B6994A" w14:textId="77777777" w:rsidR="0051231B" w:rsidRPr="00FE6643" w:rsidRDefault="00FE6643" w:rsidP="0051231B">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FE6643">
        <w:rPr>
          <w:rFonts w:ascii="Calibri" w:eastAsia="Times New Roman" w:hAnsi="Calibri" w:cs="Calibri"/>
          <w:b/>
          <w:bCs/>
          <w:kern w:val="0"/>
          <w:lang w:val="en-US"/>
          <w14:ligatures w14:val="none"/>
        </w:rPr>
        <w:t>3.2 ECONOMIC ANALYSIS: LEVELIZED COST OF ELECTRICITY (LCOE)</w:t>
      </w:r>
    </w:p>
    <w:p w14:paraId="19236235" w14:textId="77777777" w:rsidR="0051231B" w:rsidRPr="00733AA0" w:rsidRDefault="0051231B" w:rsidP="00135864">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The LCOE analysis revealed a substantial economic advantage for the gas generator system across all discount rates examined</w:t>
      </w:r>
      <w:r w:rsidR="00733AA0" w:rsidRPr="00733AA0">
        <w:rPr>
          <w:rFonts w:ascii="Calibri" w:eastAsia="Times New Roman" w:hAnsi="Calibri" w:cs="Calibri"/>
          <w:kern w:val="0"/>
          <w:lang w:val="en-US"/>
          <w14:ligatures w14:val="none"/>
        </w:rPr>
        <w:t xml:space="preserve"> (Table 3)</w:t>
      </w:r>
      <w:r w:rsidRPr="0051231B">
        <w:rPr>
          <w:rFonts w:ascii="Calibri" w:eastAsia="Times New Roman" w:hAnsi="Calibri" w:cs="Calibri"/>
          <w:kern w:val="0"/>
          <w:lang w:val="en-US"/>
          <w14:ligatures w14:val="none"/>
        </w:rPr>
        <w:t>. At a 10% discount rate, the diesel generator produced an LCOE of $0.9394/kWh compared to $0</w:t>
      </w:r>
      <w:r w:rsidR="00135864">
        <w:rPr>
          <w:rFonts w:ascii="Calibri" w:eastAsia="Times New Roman" w:hAnsi="Calibri" w:cs="Calibri"/>
          <w:kern w:val="0"/>
          <w:lang w:val="en-US"/>
          <w14:ligatures w14:val="none"/>
        </w:rPr>
        <w:t xml:space="preserve">.2539/kWh for the gas generator, </w:t>
      </w:r>
      <w:r w:rsidRPr="0051231B">
        <w:rPr>
          <w:rFonts w:ascii="Calibri" w:eastAsia="Times New Roman" w:hAnsi="Calibri" w:cs="Calibri"/>
          <w:kern w:val="0"/>
          <w:lang w:val="en-US"/>
          <w14:ligatures w14:val="none"/>
        </w:rPr>
        <w:t>a difference of approximately 270%. As discount rates increased, both systems showed rising LCOE values, but the gas generator maintained its significant cost advantage.</w:t>
      </w:r>
    </w:p>
    <w:p w14:paraId="7D7B592D" w14:textId="77777777" w:rsidR="00311EF6" w:rsidRDefault="00311EF6" w:rsidP="00733AA0">
      <w:pPr>
        <w:spacing w:after="0" w:line="240" w:lineRule="auto"/>
        <w:jc w:val="both"/>
        <w:rPr>
          <w:rFonts w:ascii="Calibri" w:eastAsia="Times New Roman" w:hAnsi="Calibri" w:cs="Calibri"/>
          <w:kern w:val="0"/>
          <w:lang w:val="en-US"/>
          <w14:ligatures w14:val="none"/>
        </w:rPr>
      </w:pPr>
    </w:p>
    <w:p w14:paraId="00190FF5" w14:textId="77777777" w:rsidR="00733AA0" w:rsidRPr="00733AA0" w:rsidRDefault="00733AA0" w:rsidP="00733AA0">
      <w:pPr>
        <w:spacing w:after="0" w:line="240" w:lineRule="auto"/>
        <w:jc w:val="both"/>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Table 3</w:t>
      </w:r>
      <w:r w:rsidR="00984597">
        <w:rPr>
          <w:rFonts w:ascii="Calibri" w:eastAsia="Times New Roman" w:hAnsi="Calibri" w:cs="Calibri"/>
          <w:kern w:val="0"/>
          <w:lang w:val="en-US"/>
          <w14:ligatures w14:val="none"/>
        </w:rPr>
        <w:t xml:space="preserve">. </w:t>
      </w:r>
      <w:r w:rsidR="00984597" w:rsidRPr="00984597">
        <w:rPr>
          <w:rFonts w:ascii="Calibri" w:eastAsia="Times New Roman" w:hAnsi="Calibri" w:cs="Calibri"/>
          <w:kern w:val="0"/>
          <w14:ligatures w14:val="none"/>
        </w:rPr>
        <w:t>Levelized Cost of Electricity (LCOE) Comparison between Gas and Diesel Generator Systems under Varying Discount Rates</w:t>
      </w:r>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45"/>
        <w:gridCol w:w="3257"/>
        <w:gridCol w:w="2924"/>
      </w:tblGrid>
      <w:tr w:rsidR="00733AA0" w:rsidRPr="00733AA0" w14:paraId="02FA16C5" w14:textId="77777777" w:rsidTr="00135864">
        <w:trPr>
          <w:tblHeader/>
        </w:trPr>
        <w:tc>
          <w:tcPr>
            <w:tcW w:w="0" w:type="auto"/>
            <w:tcBorders>
              <w:bottom w:val="single" w:sz="4" w:space="0" w:color="auto"/>
            </w:tcBorders>
            <w:tcMar>
              <w:top w:w="120" w:type="dxa"/>
              <w:left w:w="120" w:type="dxa"/>
              <w:bottom w:w="120" w:type="dxa"/>
              <w:right w:w="120" w:type="dxa"/>
            </w:tcMar>
            <w:vAlign w:val="center"/>
            <w:hideMark/>
          </w:tcPr>
          <w:p w14:paraId="5C85E02D" w14:textId="77777777" w:rsidR="00733AA0" w:rsidRPr="00733AA0" w:rsidRDefault="00733AA0" w:rsidP="00135864">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Discount Rate (%)</w:t>
            </w:r>
          </w:p>
        </w:tc>
        <w:tc>
          <w:tcPr>
            <w:tcW w:w="0" w:type="auto"/>
            <w:tcBorders>
              <w:bottom w:val="single" w:sz="4" w:space="0" w:color="auto"/>
            </w:tcBorders>
            <w:tcMar>
              <w:top w:w="120" w:type="dxa"/>
              <w:left w:w="120" w:type="dxa"/>
              <w:bottom w:w="120" w:type="dxa"/>
              <w:right w:w="120" w:type="dxa"/>
            </w:tcMar>
            <w:vAlign w:val="center"/>
            <w:hideMark/>
          </w:tcPr>
          <w:p w14:paraId="16F604B4" w14:textId="77777777" w:rsidR="00733AA0" w:rsidRPr="00733AA0" w:rsidRDefault="00733AA0" w:rsidP="00135864">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Diesel LCOE ($/kWh)</w:t>
            </w:r>
          </w:p>
        </w:tc>
        <w:tc>
          <w:tcPr>
            <w:tcW w:w="0" w:type="auto"/>
            <w:tcBorders>
              <w:bottom w:val="single" w:sz="4" w:space="0" w:color="auto"/>
            </w:tcBorders>
            <w:tcMar>
              <w:top w:w="120" w:type="dxa"/>
              <w:left w:w="120" w:type="dxa"/>
              <w:bottom w:w="120" w:type="dxa"/>
              <w:right w:w="120" w:type="dxa"/>
            </w:tcMar>
            <w:vAlign w:val="center"/>
            <w:hideMark/>
          </w:tcPr>
          <w:p w14:paraId="771F3325" w14:textId="77777777" w:rsidR="00733AA0" w:rsidRPr="00733AA0" w:rsidRDefault="00733AA0" w:rsidP="00135864">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Gas LCOE ($/kWh)</w:t>
            </w:r>
          </w:p>
        </w:tc>
      </w:tr>
      <w:tr w:rsidR="00733AA0" w:rsidRPr="00733AA0" w14:paraId="41B74867" w14:textId="77777777" w:rsidTr="00135864">
        <w:tc>
          <w:tcPr>
            <w:tcW w:w="0" w:type="auto"/>
            <w:tcBorders>
              <w:top w:val="single" w:sz="4" w:space="0" w:color="auto"/>
              <w:bottom w:val="nil"/>
            </w:tcBorders>
            <w:tcMar>
              <w:top w:w="120" w:type="dxa"/>
              <w:left w:w="120" w:type="dxa"/>
              <w:bottom w:w="120" w:type="dxa"/>
              <w:right w:w="120" w:type="dxa"/>
            </w:tcMar>
            <w:vAlign w:val="center"/>
            <w:hideMark/>
          </w:tcPr>
          <w:p w14:paraId="4F482EA6"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10</w:t>
            </w:r>
          </w:p>
        </w:tc>
        <w:tc>
          <w:tcPr>
            <w:tcW w:w="0" w:type="auto"/>
            <w:tcBorders>
              <w:top w:val="single" w:sz="4" w:space="0" w:color="auto"/>
              <w:bottom w:val="nil"/>
            </w:tcBorders>
            <w:tcMar>
              <w:top w:w="120" w:type="dxa"/>
              <w:left w:w="120" w:type="dxa"/>
              <w:bottom w:w="120" w:type="dxa"/>
              <w:right w:w="120" w:type="dxa"/>
            </w:tcMar>
            <w:vAlign w:val="center"/>
            <w:hideMark/>
          </w:tcPr>
          <w:p w14:paraId="1F328128"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0.9394​</w:t>
            </w:r>
          </w:p>
        </w:tc>
        <w:tc>
          <w:tcPr>
            <w:tcW w:w="0" w:type="auto"/>
            <w:tcBorders>
              <w:top w:val="single" w:sz="4" w:space="0" w:color="auto"/>
              <w:bottom w:val="nil"/>
            </w:tcBorders>
            <w:tcMar>
              <w:top w:w="120" w:type="dxa"/>
              <w:left w:w="120" w:type="dxa"/>
              <w:bottom w:w="120" w:type="dxa"/>
              <w:right w:w="120" w:type="dxa"/>
            </w:tcMar>
            <w:vAlign w:val="center"/>
            <w:hideMark/>
          </w:tcPr>
          <w:p w14:paraId="6F91A6C2"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0.2539​</w:t>
            </w:r>
          </w:p>
        </w:tc>
      </w:tr>
      <w:tr w:rsidR="00733AA0" w:rsidRPr="00733AA0" w14:paraId="6B6BFB66" w14:textId="77777777" w:rsidTr="00135864">
        <w:tc>
          <w:tcPr>
            <w:tcW w:w="0" w:type="auto"/>
            <w:tcBorders>
              <w:top w:val="nil"/>
            </w:tcBorders>
            <w:tcMar>
              <w:top w:w="120" w:type="dxa"/>
              <w:left w:w="120" w:type="dxa"/>
              <w:bottom w:w="120" w:type="dxa"/>
              <w:right w:w="120" w:type="dxa"/>
            </w:tcMar>
            <w:vAlign w:val="center"/>
            <w:hideMark/>
          </w:tcPr>
          <w:p w14:paraId="2F616EDC"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15</w:t>
            </w:r>
          </w:p>
        </w:tc>
        <w:tc>
          <w:tcPr>
            <w:tcW w:w="0" w:type="auto"/>
            <w:tcBorders>
              <w:top w:val="nil"/>
            </w:tcBorders>
            <w:tcMar>
              <w:top w:w="120" w:type="dxa"/>
              <w:left w:w="120" w:type="dxa"/>
              <w:bottom w:w="120" w:type="dxa"/>
              <w:right w:w="120" w:type="dxa"/>
            </w:tcMar>
            <w:vAlign w:val="center"/>
            <w:hideMark/>
          </w:tcPr>
          <w:p w14:paraId="47E6C6C9"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0.9665</w:t>
            </w:r>
          </w:p>
        </w:tc>
        <w:tc>
          <w:tcPr>
            <w:tcW w:w="0" w:type="auto"/>
            <w:tcBorders>
              <w:top w:val="nil"/>
            </w:tcBorders>
            <w:tcMar>
              <w:top w:w="120" w:type="dxa"/>
              <w:left w:w="120" w:type="dxa"/>
              <w:bottom w:w="120" w:type="dxa"/>
              <w:right w:w="120" w:type="dxa"/>
            </w:tcMar>
            <w:vAlign w:val="center"/>
            <w:hideMark/>
          </w:tcPr>
          <w:p w14:paraId="7B64F731"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0.2901​</w:t>
            </w:r>
          </w:p>
        </w:tc>
      </w:tr>
      <w:tr w:rsidR="00733AA0" w:rsidRPr="00733AA0" w14:paraId="0E32A253" w14:textId="77777777" w:rsidTr="00135864">
        <w:tc>
          <w:tcPr>
            <w:tcW w:w="0" w:type="auto"/>
            <w:tcMar>
              <w:top w:w="120" w:type="dxa"/>
              <w:left w:w="120" w:type="dxa"/>
              <w:bottom w:w="120" w:type="dxa"/>
              <w:right w:w="120" w:type="dxa"/>
            </w:tcMar>
            <w:vAlign w:val="center"/>
            <w:hideMark/>
          </w:tcPr>
          <w:p w14:paraId="289867C6"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20</w:t>
            </w:r>
          </w:p>
        </w:tc>
        <w:tc>
          <w:tcPr>
            <w:tcW w:w="0" w:type="auto"/>
            <w:tcMar>
              <w:top w:w="120" w:type="dxa"/>
              <w:left w:w="120" w:type="dxa"/>
              <w:bottom w:w="120" w:type="dxa"/>
              <w:right w:w="120" w:type="dxa"/>
            </w:tcMar>
            <w:vAlign w:val="center"/>
            <w:hideMark/>
          </w:tcPr>
          <w:p w14:paraId="79D1EA2C"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0.9958​</w:t>
            </w:r>
          </w:p>
        </w:tc>
        <w:tc>
          <w:tcPr>
            <w:tcW w:w="0" w:type="auto"/>
            <w:tcMar>
              <w:top w:w="120" w:type="dxa"/>
              <w:left w:w="120" w:type="dxa"/>
              <w:bottom w:w="120" w:type="dxa"/>
              <w:right w:w="120" w:type="dxa"/>
            </w:tcMar>
            <w:vAlign w:val="center"/>
            <w:hideMark/>
          </w:tcPr>
          <w:p w14:paraId="0511929F"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0.3287​</w:t>
            </w:r>
          </w:p>
        </w:tc>
      </w:tr>
      <w:tr w:rsidR="00733AA0" w:rsidRPr="00733AA0" w14:paraId="756C3CA0" w14:textId="77777777" w:rsidTr="00135864">
        <w:tc>
          <w:tcPr>
            <w:tcW w:w="0" w:type="auto"/>
            <w:tcMar>
              <w:top w:w="120" w:type="dxa"/>
              <w:left w:w="120" w:type="dxa"/>
              <w:bottom w:w="120" w:type="dxa"/>
              <w:right w:w="120" w:type="dxa"/>
            </w:tcMar>
            <w:vAlign w:val="center"/>
            <w:hideMark/>
          </w:tcPr>
          <w:p w14:paraId="478A0558"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25</w:t>
            </w:r>
          </w:p>
        </w:tc>
        <w:tc>
          <w:tcPr>
            <w:tcW w:w="0" w:type="auto"/>
            <w:tcMar>
              <w:top w:w="120" w:type="dxa"/>
              <w:left w:w="120" w:type="dxa"/>
              <w:bottom w:w="120" w:type="dxa"/>
              <w:right w:w="120" w:type="dxa"/>
            </w:tcMar>
            <w:vAlign w:val="center"/>
            <w:hideMark/>
          </w:tcPr>
          <w:p w14:paraId="14FBEDD8"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1.0268​</w:t>
            </w:r>
          </w:p>
        </w:tc>
        <w:tc>
          <w:tcPr>
            <w:tcW w:w="0" w:type="auto"/>
            <w:tcMar>
              <w:top w:w="120" w:type="dxa"/>
              <w:left w:w="120" w:type="dxa"/>
              <w:bottom w:w="120" w:type="dxa"/>
              <w:right w:w="120" w:type="dxa"/>
            </w:tcMar>
            <w:vAlign w:val="center"/>
            <w:hideMark/>
          </w:tcPr>
          <w:p w14:paraId="1FE02806"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0.3684​</w:t>
            </w:r>
          </w:p>
        </w:tc>
      </w:tr>
      <w:tr w:rsidR="00733AA0" w:rsidRPr="00733AA0" w14:paraId="76E21179" w14:textId="77777777" w:rsidTr="00135864">
        <w:tc>
          <w:tcPr>
            <w:tcW w:w="0" w:type="auto"/>
            <w:tcMar>
              <w:top w:w="120" w:type="dxa"/>
              <w:left w:w="120" w:type="dxa"/>
              <w:bottom w:w="120" w:type="dxa"/>
              <w:right w:w="120" w:type="dxa"/>
            </w:tcMar>
            <w:vAlign w:val="center"/>
            <w:hideMark/>
          </w:tcPr>
          <w:p w14:paraId="545ECD25"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30</w:t>
            </w:r>
          </w:p>
        </w:tc>
        <w:tc>
          <w:tcPr>
            <w:tcW w:w="0" w:type="auto"/>
            <w:tcMar>
              <w:top w:w="120" w:type="dxa"/>
              <w:left w:w="120" w:type="dxa"/>
              <w:bottom w:w="120" w:type="dxa"/>
              <w:right w:w="120" w:type="dxa"/>
            </w:tcMar>
            <w:vAlign w:val="center"/>
            <w:hideMark/>
          </w:tcPr>
          <w:p w14:paraId="53F0EA91"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1.0589​</w:t>
            </w:r>
          </w:p>
        </w:tc>
        <w:tc>
          <w:tcPr>
            <w:tcW w:w="0" w:type="auto"/>
            <w:tcMar>
              <w:top w:w="120" w:type="dxa"/>
              <w:left w:w="120" w:type="dxa"/>
              <w:bottom w:w="120" w:type="dxa"/>
              <w:right w:w="120" w:type="dxa"/>
            </w:tcMar>
            <w:vAlign w:val="center"/>
            <w:hideMark/>
          </w:tcPr>
          <w:p w14:paraId="5C63AC9E" w14:textId="77777777" w:rsidR="00733AA0" w:rsidRPr="00733AA0" w:rsidRDefault="00733AA0" w:rsidP="00135864">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0.4086​</w:t>
            </w:r>
          </w:p>
        </w:tc>
      </w:tr>
    </w:tbl>
    <w:p w14:paraId="59C53442" w14:textId="77777777" w:rsidR="00135864" w:rsidRDefault="00135864" w:rsidP="0051231B">
      <w:pPr>
        <w:spacing w:before="100" w:beforeAutospacing="1" w:after="100" w:afterAutospacing="1" w:line="360" w:lineRule="auto"/>
        <w:jc w:val="both"/>
        <w:rPr>
          <w:rFonts w:ascii="Calibri" w:eastAsia="Times New Roman" w:hAnsi="Calibri" w:cs="Calibri"/>
          <w:kern w:val="0"/>
          <w:lang w:val="en-US"/>
          <w14:ligatures w14:val="none"/>
        </w:rPr>
      </w:pPr>
    </w:p>
    <w:p w14:paraId="7D72B7FE"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 xml:space="preserve">At 15% discount rate, the diesel generator LCOE increased to $0.9665/kWh while the gas generator rose to $0.2901/kWh. At 20%, values reached $0.9958/kWh and $0.3287/kWh </w:t>
      </w:r>
      <w:r w:rsidRPr="0051231B">
        <w:rPr>
          <w:rFonts w:ascii="Calibri" w:eastAsia="Times New Roman" w:hAnsi="Calibri" w:cs="Calibri"/>
          <w:kern w:val="0"/>
          <w:lang w:val="en-US"/>
          <w14:ligatures w14:val="none"/>
        </w:rPr>
        <w:lastRenderedPageBreak/>
        <w:t>respectively. The 25% discount rate yielded $1.0268/kWh for diesel and $0.3684/kWh for gas. At the highest discount rate tested (30%), the diesel generator LCOE peaked at $1.0589/kWh compared to $0.4086/kWh for the gas system.</w:t>
      </w:r>
    </w:p>
    <w:p w14:paraId="35097A51"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The LCOE trend demonstrated that while both systems experienced cost increases with higher discount rates, the gas generator showed greater resilience to financial uncertainty. The diesel system's LCOE increased by 12.7% from 10% to 30% discount rates (from $0.9394 to $1.0589/kWh), while the gas system increased by 60.9% (from $0.2539 to $0.4086/kWh). However, even at the highest discount rate, the gas generator maintained approximately 61% lower LCOE than the diesel alternative.</w:t>
      </w:r>
    </w:p>
    <w:p w14:paraId="47A656C2" w14:textId="77777777" w:rsidR="00135864" w:rsidRDefault="0051231B" w:rsidP="00135864">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This economic advantage stems from multiple factors: lower fuel costs ($80,000 vs. $150,000 annually), longer equipment lifetime (25 vs. 15 years), and higher power capacity (1.5MW vs. 500kW), despite higher initial capital investment ($445,000 vs. $125,000). The operational cost differential becomes increasingly significant over the extended lifespan of the gas generator, compensating for the higher upfront investment within the early years of operation.</w:t>
      </w:r>
    </w:p>
    <w:p w14:paraId="535B2871" w14:textId="77777777" w:rsidR="001B042D" w:rsidRDefault="001B042D" w:rsidP="00E44041">
      <w:pPr>
        <w:spacing w:before="100" w:beforeAutospacing="1" w:after="100" w:afterAutospacing="1" w:line="360" w:lineRule="auto"/>
        <w:jc w:val="both"/>
        <w:outlineLvl w:val="2"/>
        <w:rPr>
          <w:rFonts w:ascii="Calibri" w:eastAsia="Times New Roman" w:hAnsi="Calibri" w:cs="Calibri"/>
          <w:bCs/>
          <w:kern w:val="0"/>
          <w:lang w:val="en-US"/>
          <w14:ligatures w14:val="none"/>
        </w:rPr>
      </w:pPr>
    </w:p>
    <w:p w14:paraId="6B2B5A54" w14:textId="77777777" w:rsidR="00E44041" w:rsidRPr="00FE6643" w:rsidRDefault="00FE6643" w:rsidP="00E44041">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FE6643">
        <w:rPr>
          <w:rFonts w:ascii="Calibri" w:eastAsia="Times New Roman" w:hAnsi="Calibri" w:cs="Calibri"/>
          <w:b/>
          <w:bCs/>
          <w:kern w:val="0"/>
          <w:lang w:val="en-US"/>
          <w14:ligatures w14:val="none"/>
        </w:rPr>
        <w:t>3.3 COMPARATIVE ANALYSIS</w:t>
      </w:r>
    </w:p>
    <w:p w14:paraId="79353C34" w14:textId="77777777" w:rsidR="00E44041" w:rsidRPr="00733AA0" w:rsidRDefault="00E44041" w:rsidP="00E44041">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 xml:space="preserve">The integrated RAM and LCOE analysis clearly </w:t>
      </w:r>
      <w:proofErr w:type="gramStart"/>
      <w:r w:rsidRPr="0051231B">
        <w:rPr>
          <w:rFonts w:ascii="Calibri" w:eastAsia="Times New Roman" w:hAnsi="Calibri" w:cs="Calibri"/>
          <w:kern w:val="0"/>
          <w:lang w:val="en-US"/>
          <w14:ligatures w14:val="none"/>
        </w:rPr>
        <w:t>demonstrates</w:t>
      </w:r>
      <w:proofErr w:type="gramEnd"/>
      <w:r w:rsidRPr="0051231B">
        <w:rPr>
          <w:rFonts w:ascii="Calibri" w:eastAsia="Times New Roman" w:hAnsi="Calibri" w:cs="Calibri"/>
          <w:kern w:val="0"/>
          <w:lang w:val="en-US"/>
          <w14:ligatures w14:val="none"/>
        </w:rPr>
        <w:t xml:space="preserve"> the superiority of the gas generator system</w:t>
      </w:r>
      <w:r w:rsidRPr="00733AA0">
        <w:rPr>
          <w:rFonts w:ascii="Calibri" w:eastAsia="Times New Roman" w:hAnsi="Calibri" w:cs="Calibri"/>
          <w:kern w:val="0"/>
          <w:lang w:val="en-US"/>
          <w14:ligatures w14:val="none"/>
        </w:rPr>
        <w:t xml:space="preserve"> (Table 4)</w:t>
      </w:r>
      <w:r w:rsidRPr="0051231B">
        <w:rPr>
          <w:rFonts w:ascii="Calibri" w:eastAsia="Times New Roman" w:hAnsi="Calibri" w:cs="Calibri"/>
          <w:kern w:val="0"/>
          <w:lang w:val="en-US"/>
          <w14:ligatures w14:val="none"/>
        </w:rPr>
        <w:t xml:space="preserve">. The CAT G3516 achieved higher MTBF values across all major subsystems, with core components showing </w:t>
      </w:r>
      <w:proofErr w:type="gramStart"/>
      <w:r w:rsidRPr="0051231B">
        <w:rPr>
          <w:rFonts w:ascii="Calibri" w:eastAsia="Times New Roman" w:hAnsi="Calibri" w:cs="Calibri"/>
          <w:kern w:val="0"/>
          <w:lang w:val="en-US"/>
          <w14:ligatures w14:val="none"/>
        </w:rPr>
        <w:t>15,000-25,000 hour</w:t>
      </w:r>
      <w:proofErr w:type="gramEnd"/>
      <w:r w:rsidRPr="0051231B">
        <w:rPr>
          <w:rFonts w:ascii="Calibri" w:eastAsia="Times New Roman" w:hAnsi="Calibri" w:cs="Calibri"/>
          <w:kern w:val="0"/>
          <w:lang w:val="en-US"/>
          <w14:ligatures w14:val="none"/>
        </w:rPr>
        <w:t xml:space="preserve"> intervals compared to 4,000-8,000 hours for the diesel system. Availability metrics consistently exceeded 90% for the gas generator, with several components surpassing 95%, while the diesel </w:t>
      </w:r>
      <w:proofErr w:type="gramStart"/>
      <w:r w:rsidRPr="0051231B">
        <w:rPr>
          <w:rFonts w:ascii="Calibri" w:eastAsia="Times New Roman" w:hAnsi="Calibri" w:cs="Calibri"/>
          <w:kern w:val="0"/>
          <w:lang w:val="en-US"/>
          <w14:ligatures w14:val="none"/>
        </w:rPr>
        <w:t>system maintained</w:t>
      </w:r>
      <w:proofErr w:type="gramEnd"/>
      <w:r w:rsidRPr="0051231B">
        <w:rPr>
          <w:rFonts w:ascii="Calibri" w:eastAsia="Times New Roman" w:hAnsi="Calibri" w:cs="Calibri"/>
          <w:kern w:val="0"/>
          <w:lang w:val="en-US"/>
          <w14:ligatures w14:val="none"/>
        </w:rPr>
        <w:t xml:space="preserve"> availability primarily in the 99.9% range but with lower absolute reliability values.</w:t>
      </w:r>
    </w:p>
    <w:p w14:paraId="0A53821E" w14:textId="77777777" w:rsidR="00E44041" w:rsidRPr="0051231B" w:rsidRDefault="00E44041" w:rsidP="00E44041">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 xml:space="preserve">Failure rates proved substantially lower for the gas system, with most components showing rates below 0.0001 failures/hour compared to 0.0002-0.0003 failures/hour for comparable diesel components. This translates to fewer unplanned maintenance interventions and reduced operational disruptions. The probability of failure remained consistently below 1% </w:t>
      </w:r>
      <w:r w:rsidRPr="0051231B">
        <w:rPr>
          <w:rFonts w:ascii="Calibri" w:eastAsia="Times New Roman" w:hAnsi="Calibri" w:cs="Calibri"/>
          <w:kern w:val="0"/>
          <w:lang w:val="en-US"/>
          <w14:ligatures w14:val="none"/>
        </w:rPr>
        <w:lastRenderedPageBreak/>
        <w:t>for critical gas generator components, while diesel system components frequently exceeded 2% failure probability.</w:t>
      </w:r>
    </w:p>
    <w:p w14:paraId="40B369AD" w14:textId="77777777" w:rsidR="00E44041" w:rsidRPr="0051231B" w:rsidRDefault="00E44041" w:rsidP="00E44041">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 xml:space="preserve">The maintainability analysis revealed that while both systems demonstrated MTTR values in the </w:t>
      </w:r>
      <w:proofErr w:type="gramStart"/>
      <w:r w:rsidRPr="0051231B">
        <w:rPr>
          <w:rFonts w:ascii="Calibri" w:eastAsia="Times New Roman" w:hAnsi="Calibri" w:cs="Calibri"/>
          <w:kern w:val="0"/>
          <w:lang w:val="en-US"/>
          <w14:ligatures w14:val="none"/>
        </w:rPr>
        <w:t>2-6 hour</w:t>
      </w:r>
      <w:proofErr w:type="gramEnd"/>
      <w:r w:rsidRPr="0051231B">
        <w:rPr>
          <w:rFonts w:ascii="Calibri" w:eastAsia="Times New Roman" w:hAnsi="Calibri" w:cs="Calibri"/>
          <w:kern w:val="0"/>
          <w:lang w:val="en-US"/>
          <w14:ligatures w14:val="none"/>
        </w:rPr>
        <w:t xml:space="preserve"> range, the gas generator exhibited more predictable maintenance patterns due to cleaner combustion and reduced wear from particulate buildup. The diesel system, though maintaining high availability percentages, required more frequent interventions, particularly for filters, fuel system components, and cooling elements.</w:t>
      </w:r>
    </w:p>
    <w:p w14:paraId="3DE9F534" w14:textId="77777777" w:rsidR="00E44041" w:rsidRPr="0051231B" w:rsidRDefault="00E44041" w:rsidP="00E44041">
      <w:pPr>
        <w:spacing w:after="0" w:line="360" w:lineRule="auto"/>
        <w:jc w:val="both"/>
        <w:rPr>
          <w:rFonts w:ascii="Calibri" w:eastAsia="Times New Roman" w:hAnsi="Calibri" w:cs="Calibri"/>
          <w:kern w:val="0"/>
          <w:lang w:val="en-US"/>
          <w14:ligatures w14:val="none"/>
        </w:rPr>
      </w:pPr>
    </w:p>
    <w:p w14:paraId="5370A02F" w14:textId="77777777" w:rsidR="00E44041" w:rsidRPr="00FE6643" w:rsidRDefault="00FE6643" w:rsidP="00E44041">
      <w:pPr>
        <w:spacing w:before="100" w:beforeAutospacing="1" w:after="100" w:afterAutospacing="1" w:line="360" w:lineRule="auto"/>
        <w:jc w:val="both"/>
        <w:outlineLvl w:val="1"/>
        <w:rPr>
          <w:rFonts w:ascii="Calibri" w:eastAsia="Times New Roman" w:hAnsi="Calibri" w:cs="Calibri"/>
          <w:b/>
          <w:bCs/>
          <w:kern w:val="0"/>
          <w:lang w:val="en-US"/>
          <w14:ligatures w14:val="none"/>
        </w:rPr>
      </w:pPr>
      <w:r w:rsidRPr="00FE6643">
        <w:rPr>
          <w:rFonts w:ascii="Calibri" w:eastAsia="Times New Roman" w:hAnsi="Calibri" w:cs="Calibri"/>
          <w:b/>
          <w:bCs/>
          <w:kern w:val="0"/>
          <w:lang w:val="en-US"/>
          <w14:ligatures w14:val="none"/>
        </w:rPr>
        <w:t>4.0 DISCUSSION</w:t>
      </w:r>
    </w:p>
    <w:p w14:paraId="22BE122D" w14:textId="77777777" w:rsidR="00FD6F88" w:rsidRDefault="00E44041"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The findings of this study provide compelling evidence for the technical and economic superiority of natural gas generator systems over diesel alternatives for telecommunication base station applications. The results align with and extend existing literature while offering specific quantitative evidence for decision-making in the telecommu</w:t>
      </w:r>
      <w:r w:rsidR="006925BF">
        <w:rPr>
          <w:rFonts w:ascii="Calibri" w:eastAsia="Times New Roman" w:hAnsi="Calibri" w:cs="Calibri"/>
          <w:kern w:val="0"/>
          <w:lang w:val="en-US"/>
          <w14:ligatures w14:val="none"/>
        </w:rPr>
        <w:t xml:space="preserve">nications infrastructure sector (Choudhary </w:t>
      </w:r>
      <w:r w:rsidR="005D4285" w:rsidRPr="005D4285">
        <w:rPr>
          <w:rFonts w:ascii="Calibri" w:eastAsia="Times New Roman" w:hAnsi="Calibri" w:cs="Calibri"/>
          <w:i/>
          <w:kern w:val="0"/>
          <w:lang w:val="en-US"/>
          <w14:ligatures w14:val="none"/>
        </w:rPr>
        <w:t>et al</w:t>
      </w:r>
      <w:r w:rsidR="006925BF">
        <w:rPr>
          <w:rFonts w:ascii="Calibri" w:eastAsia="Times New Roman" w:hAnsi="Calibri" w:cs="Calibri"/>
          <w:kern w:val="0"/>
          <w:lang w:val="en-US"/>
          <w14:ligatures w14:val="none"/>
        </w:rPr>
        <w:t xml:space="preserve">., 2023; </w:t>
      </w:r>
      <w:proofErr w:type="spellStart"/>
      <w:r w:rsidR="006925BF">
        <w:rPr>
          <w:rFonts w:ascii="Calibri" w:eastAsia="Times New Roman" w:hAnsi="Calibri" w:cs="Calibri"/>
          <w:kern w:val="0"/>
          <w:lang w:val="en-US"/>
          <w14:ligatures w14:val="none"/>
        </w:rPr>
        <w:t>Odhafa</w:t>
      </w:r>
      <w:proofErr w:type="spellEnd"/>
      <w:r w:rsidR="006925BF">
        <w:rPr>
          <w:rFonts w:ascii="Calibri" w:eastAsia="Times New Roman" w:hAnsi="Calibri" w:cs="Calibri"/>
          <w:kern w:val="0"/>
          <w:lang w:val="en-US"/>
          <w14:ligatures w14:val="none"/>
        </w:rPr>
        <w:t xml:space="preserve"> </w:t>
      </w:r>
      <w:r w:rsidR="005D4285" w:rsidRPr="005D4285">
        <w:rPr>
          <w:rFonts w:ascii="Calibri" w:eastAsia="Times New Roman" w:hAnsi="Calibri" w:cs="Calibri"/>
          <w:i/>
          <w:kern w:val="0"/>
          <w:lang w:val="en-US"/>
          <w14:ligatures w14:val="none"/>
        </w:rPr>
        <w:t>et al</w:t>
      </w:r>
      <w:r w:rsidR="006925BF">
        <w:rPr>
          <w:rFonts w:ascii="Calibri" w:eastAsia="Times New Roman" w:hAnsi="Calibri" w:cs="Calibri"/>
          <w:kern w:val="0"/>
          <w:lang w:val="en-US"/>
          <w14:ligatures w14:val="none"/>
        </w:rPr>
        <w:t>., 202</w:t>
      </w:r>
      <w:r w:rsidR="002652AE">
        <w:rPr>
          <w:rFonts w:ascii="Calibri" w:eastAsia="Times New Roman" w:hAnsi="Calibri" w:cs="Calibri"/>
          <w:kern w:val="0"/>
          <w:lang w:val="en-US"/>
          <w14:ligatures w14:val="none"/>
        </w:rPr>
        <w:t>5</w:t>
      </w:r>
      <w:r w:rsidR="006925BF">
        <w:rPr>
          <w:rFonts w:ascii="Calibri" w:eastAsia="Times New Roman" w:hAnsi="Calibri" w:cs="Calibri"/>
          <w:kern w:val="0"/>
          <w:lang w:val="en-US"/>
          <w14:ligatures w14:val="none"/>
        </w:rPr>
        <w:t xml:space="preserve">). </w:t>
      </w:r>
      <w:r w:rsidR="0051231B" w:rsidRPr="0051231B">
        <w:rPr>
          <w:rFonts w:ascii="Calibri" w:eastAsia="Times New Roman" w:hAnsi="Calibri" w:cs="Calibri"/>
          <w:kern w:val="0"/>
          <w:lang w:val="en-US"/>
          <w14:ligatures w14:val="none"/>
        </w:rPr>
        <w:t>The RAM analysis demonstrates that the CAT G3516 natural gas generator achieves superior reliability metrics across virtually all subsystems compared to the CAT C-15 diesel generator.</w:t>
      </w:r>
      <w:r w:rsidR="006925BF">
        <w:rPr>
          <w:rFonts w:ascii="Calibri" w:eastAsia="Times New Roman" w:hAnsi="Calibri" w:cs="Calibri"/>
          <w:kern w:val="0"/>
          <w:lang w:val="en-US"/>
          <w14:ligatures w14:val="none"/>
        </w:rPr>
        <w:t xml:space="preserve"> </w:t>
      </w:r>
      <w:r w:rsidR="001B042D" w:rsidRPr="0051231B">
        <w:rPr>
          <w:rFonts w:ascii="Calibri" w:eastAsia="Times New Roman" w:hAnsi="Calibri" w:cs="Calibri"/>
          <w:kern w:val="0"/>
          <w:lang w:val="en-US"/>
          <w14:ligatures w14:val="none"/>
        </w:rPr>
        <w:t xml:space="preserve">The gas system's higher MTBF values (ranging from 8,000 to 25,000 hours for major components) versus the diesel system (4,000 to 8,000 hours) indicate substantially longer operational intervals between failures. This finding </w:t>
      </w:r>
      <w:r w:rsidR="001B042D">
        <w:rPr>
          <w:rFonts w:ascii="Calibri" w:eastAsia="Times New Roman" w:hAnsi="Calibri" w:cs="Calibri"/>
          <w:kern w:val="0"/>
          <w:lang w:val="en-US"/>
          <w14:ligatures w14:val="none"/>
        </w:rPr>
        <w:t>aligns with other reports (</w:t>
      </w:r>
      <w:proofErr w:type="spellStart"/>
      <w:r w:rsidR="001B042D" w:rsidRPr="00B56042">
        <w:rPr>
          <w:rFonts w:ascii="Calibri" w:eastAsia="Times New Roman" w:hAnsi="Calibri" w:cs="Calibri"/>
          <w:kern w:val="0"/>
          <w:lang w:val="en-US"/>
          <w14:ligatures w14:val="none"/>
        </w:rPr>
        <w:t>Alabdulkarim</w:t>
      </w:r>
      <w:proofErr w:type="spellEnd"/>
      <w:r w:rsidR="001B042D" w:rsidRPr="00B56042">
        <w:rPr>
          <w:rFonts w:ascii="Calibri" w:eastAsia="Times New Roman" w:hAnsi="Calibri" w:cs="Calibri"/>
          <w:kern w:val="0"/>
          <w:lang w:val="en-US"/>
          <w14:ligatures w14:val="none"/>
        </w:rPr>
        <w:t xml:space="preserve"> </w:t>
      </w:r>
      <w:r w:rsidR="005D4285" w:rsidRPr="005D4285">
        <w:rPr>
          <w:rFonts w:ascii="Calibri" w:eastAsia="Times New Roman" w:hAnsi="Calibri" w:cs="Calibri"/>
          <w:i/>
          <w:kern w:val="0"/>
          <w:lang w:val="en-US"/>
          <w14:ligatures w14:val="none"/>
        </w:rPr>
        <w:t>et al</w:t>
      </w:r>
      <w:r w:rsidR="001B042D" w:rsidRPr="00B56042">
        <w:rPr>
          <w:rFonts w:ascii="Calibri" w:eastAsia="Times New Roman" w:hAnsi="Calibri" w:cs="Calibri"/>
          <w:kern w:val="0"/>
          <w:lang w:val="en-US"/>
          <w14:ligatures w14:val="none"/>
        </w:rPr>
        <w:t>., 2018</w:t>
      </w:r>
      <w:r w:rsidR="002652AE">
        <w:rPr>
          <w:rFonts w:ascii="Calibri" w:eastAsia="Times New Roman" w:hAnsi="Calibri" w:cs="Calibri"/>
          <w:kern w:val="0"/>
          <w:lang w:val="en-US"/>
          <w14:ligatures w14:val="none"/>
        </w:rPr>
        <w:t xml:space="preserve">; </w:t>
      </w:r>
      <w:r w:rsidR="002652AE" w:rsidRPr="002652AE">
        <w:rPr>
          <w:rFonts w:ascii="Calibri" w:eastAsia="Times New Roman" w:hAnsi="Calibri" w:cs="Calibri"/>
          <w:bCs/>
          <w:kern w:val="0"/>
          <w:lang w:val="en-US"/>
          <w14:ligatures w14:val="none"/>
        </w:rPr>
        <w:t>Józef</w:t>
      </w:r>
      <w:r w:rsidR="002652AE">
        <w:rPr>
          <w:rFonts w:ascii="Calibri" w:eastAsia="Times New Roman" w:hAnsi="Calibri" w:cs="Calibri"/>
          <w:bCs/>
          <w:kern w:val="0"/>
          <w:lang w:val="en-US"/>
          <w14:ligatures w14:val="none"/>
        </w:rPr>
        <w:t xml:space="preserve"> </w:t>
      </w:r>
      <w:r w:rsidR="005D4285" w:rsidRPr="005D4285">
        <w:rPr>
          <w:rFonts w:ascii="Calibri" w:eastAsia="Times New Roman" w:hAnsi="Calibri" w:cs="Calibri"/>
          <w:bCs/>
          <w:i/>
          <w:kern w:val="0"/>
          <w:lang w:val="en-US"/>
          <w14:ligatures w14:val="none"/>
        </w:rPr>
        <w:t>et al</w:t>
      </w:r>
      <w:r w:rsidR="002652AE">
        <w:rPr>
          <w:rFonts w:ascii="Calibri" w:eastAsia="Times New Roman" w:hAnsi="Calibri" w:cs="Calibri"/>
          <w:bCs/>
          <w:kern w:val="0"/>
          <w:lang w:val="en-US"/>
          <w14:ligatures w14:val="none"/>
        </w:rPr>
        <w:t xml:space="preserve">., 2023; </w:t>
      </w:r>
      <w:proofErr w:type="spellStart"/>
      <w:r w:rsidR="002652AE">
        <w:rPr>
          <w:rFonts w:ascii="Calibri" w:eastAsia="Times New Roman" w:hAnsi="Calibri" w:cs="Calibri"/>
          <w:bCs/>
          <w:kern w:val="0"/>
          <w:lang w:val="en-US"/>
          <w14:ligatures w14:val="none"/>
        </w:rPr>
        <w:t>Odhafa</w:t>
      </w:r>
      <w:proofErr w:type="spellEnd"/>
      <w:r w:rsidR="002652AE">
        <w:rPr>
          <w:rFonts w:ascii="Calibri" w:eastAsia="Times New Roman" w:hAnsi="Calibri" w:cs="Calibri"/>
          <w:bCs/>
          <w:kern w:val="0"/>
          <w:lang w:val="en-US"/>
          <w14:ligatures w14:val="none"/>
        </w:rPr>
        <w:t xml:space="preserve"> </w:t>
      </w:r>
      <w:r w:rsidR="005D4285" w:rsidRPr="005D4285">
        <w:rPr>
          <w:rFonts w:ascii="Calibri" w:eastAsia="Times New Roman" w:hAnsi="Calibri" w:cs="Calibri"/>
          <w:bCs/>
          <w:i/>
          <w:kern w:val="0"/>
          <w:lang w:val="en-US"/>
          <w14:ligatures w14:val="none"/>
        </w:rPr>
        <w:t>et al</w:t>
      </w:r>
      <w:r w:rsidR="002652AE">
        <w:rPr>
          <w:rFonts w:ascii="Calibri" w:eastAsia="Times New Roman" w:hAnsi="Calibri" w:cs="Calibri"/>
          <w:bCs/>
          <w:kern w:val="0"/>
          <w:lang w:val="en-US"/>
          <w14:ligatures w14:val="none"/>
        </w:rPr>
        <w:t>., 2025</w:t>
      </w:r>
      <w:r w:rsidR="001B042D" w:rsidRPr="0051231B">
        <w:rPr>
          <w:rFonts w:ascii="Calibri" w:eastAsia="Times New Roman" w:hAnsi="Calibri" w:cs="Calibri"/>
          <w:kern w:val="0"/>
          <w:lang w:val="en-US"/>
          <w14:ligatures w14:val="none"/>
        </w:rPr>
        <w:t xml:space="preserve">), </w:t>
      </w:r>
      <w:r w:rsidR="001B042D">
        <w:rPr>
          <w:rFonts w:ascii="Calibri" w:eastAsia="Times New Roman" w:hAnsi="Calibri" w:cs="Calibri"/>
          <w:kern w:val="0"/>
          <w:lang w:val="en-US"/>
          <w14:ligatures w14:val="none"/>
        </w:rPr>
        <w:t xml:space="preserve">that showed </w:t>
      </w:r>
      <w:r w:rsidR="001B042D" w:rsidRPr="0051231B">
        <w:rPr>
          <w:rFonts w:ascii="Calibri" w:eastAsia="Times New Roman" w:hAnsi="Calibri" w:cs="Calibri"/>
          <w:kern w:val="0"/>
          <w:lang w:val="en-US"/>
          <w14:ligatures w14:val="none"/>
        </w:rPr>
        <w:t>that natural gas generators tend to offer more stable operational profiles in well-maintained environments due to lower particulate emissions and cleaner combustion. The cleaner burning characteristics of natural gas result in reduced carbon and soot buildup within the engine, translating to less wear on moving parts, extended component lifespans, and fewer catastrophic failures</w:t>
      </w:r>
      <w:r w:rsidR="006149B2">
        <w:rPr>
          <w:rFonts w:ascii="Calibri" w:eastAsia="Times New Roman" w:hAnsi="Calibri" w:cs="Calibri"/>
          <w:kern w:val="0"/>
          <w:lang w:val="en-US"/>
          <w14:ligatures w14:val="none"/>
        </w:rPr>
        <w:t xml:space="preserve"> (Al Rashdi </w:t>
      </w:r>
      <w:r w:rsidR="005D4285" w:rsidRPr="005D4285">
        <w:rPr>
          <w:rFonts w:ascii="Calibri" w:eastAsia="Times New Roman" w:hAnsi="Calibri" w:cs="Calibri"/>
          <w:i/>
          <w:kern w:val="0"/>
          <w:lang w:val="en-US"/>
          <w14:ligatures w14:val="none"/>
        </w:rPr>
        <w:t>et al</w:t>
      </w:r>
      <w:r w:rsidR="006149B2">
        <w:rPr>
          <w:rFonts w:ascii="Calibri" w:eastAsia="Times New Roman" w:hAnsi="Calibri" w:cs="Calibri"/>
          <w:kern w:val="0"/>
          <w:lang w:val="en-US"/>
          <w14:ligatures w14:val="none"/>
        </w:rPr>
        <w:t>., 2024)</w:t>
      </w:r>
      <w:r w:rsidR="001B042D" w:rsidRPr="0051231B">
        <w:rPr>
          <w:rFonts w:ascii="Calibri" w:eastAsia="Times New Roman" w:hAnsi="Calibri" w:cs="Calibri"/>
          <w:kern w:val="0"/>
          <w:lang w:val="en-US"/>
          <w14:ligatures w14:val="none"/>
        </w:rPr>
        <w:t>.</w:t>
      </w:r>
      <w:r w:rsidR="001B042D">
        <w:rPr>
          <w:rFonts w:ascii="Calibri" w:eastAsia="Times New Roman" w:hAnsi="Calibri" w:cs="Calibri"/>
          <w:kern w:val="0"/>
          <w:lang w:val="en-US"/>
          <w14:ligatures w14:val="none"/>
        </w:rPr>
        <w:t xml:space="preserve"> </w:t>
      </w:r>
      <w:r w:rsidR="001B042D" w:rsidRPr="0051231B">
        <w:rPr>
          <w:rFonts w:ascii="Calibri" w:eastAsia="Times New Roman" w:hAnsi="Calibri" w:cs="Calibri"/>
          <w:kern w:val="0"/>
          <w:lang w:val="en-US"/>
          <w14:ligatures w14:val="none"/>
        </w:rPr>
        <w:t>The availability analysis reveals that the gas generator maintains availability levels consistently above 90% across all major subsystems, with several components exceeding 95%. While the diesel generator shows high availability percentages (&gt;99.9%), these figures reflect measurement methodology rather than operational superiority.</w:t>
      </w:r>
      <w:r w:rsidR="0051231B" w:rsidRPr="0051231B">
        <w:rPr>
          <w:rFonts w:ascii="Calibri" w:eastAsia="Times New Roman" w:hAnsi="Calibri" w:cs="Calibri"/>
          <w:kern w:val="0"/>
          <w:lang w:val="en-US"/>
          <w14:ligatures w14:val="none"/>
        </w:rPr>
        <w:t xml:space="preserve"> </w:t>
      </w:r>
    </w:p>
    <w:p w14:paraId="70CC1FC9" w14:textId="77777777" w:rsidR="00FD6F88" w:rsidRDefault="00FD6F88" w:rsidP="00FD6F88">
      <w:pPr>
        <w:spacing w:after="0" w:line="240" w:lineRule="auto"/>
        <w:jc w:val="both"/>
        <w:rPr>
          <w:rFonts w:ascii="Calibri" w:eastAsia="Times New Roman" w:hAnsi="Calibri" w:cs="Calibri"/>
          <w:kern w:val="0"/>
          <w:lang w:val="en-US"/>
          <w14:ligatures w14:val="none"/>
        </w:rPr>
        <w:sectPr w:rsidR="00FD6F88" w:rsidSect="00FD6F88">
          <w:pgSz w:w="11906" w:h="16838"/>
          <w:pgMar w:top="1440" w:right="1440" w:bottom="1440" w:left="1440" w:header="720" w:footer="720" w:gutter="0"/>
          <w:cols w:space="720"/>
          <w:docGrid w:linePitch="360"/>
        </w:sectPr>
      </w:pPr>
    </w:p>
    <w:p w14:paraId="61EC613F" w14:textId="77777777" w:rsidR="00FD6F88" w:rsidRPr="00733AA0" w:rsidRDefault="00FD6F88" w:rsidP="00FD6F88">
      <w:pPr>
        <w:spacing w:after="0" w:line="240" w:lineRule="auto"/>
        <w:jc w:val="both"/>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lastRenderedPageBreak/>
        <w:t xml:space="preserve">Table 4. </w:t>
      </w:r>
      <w:r w:rsidRPr="00733AA0">
        <w:rPr>
          <w:rFonts w:ascii="Calibri" w:hAnsi="Calibri" w:cs="Calibri"/>
        </w:rPr>
        <w:t>Comparative RAM and Economic Performance Summary of Gas and Diesel Generator Systems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22"/>
        <w:gridCol w:w="3173"/>
        <w:gridCol w:w="3182"/>
        <w:gridCol w:w="4481"/>
      </w:tblGrid>
      <w:tr w:rsidR="00FD6F88" w:rsidRPr="00733AA0" w14:paraId="392308BB" w14:textId="77777777" w:rsidTr="0082511F">
        <w:trPr>
          <w:tblHeader/>
          <w:tblCellSpacing w:w="15" w:type="dxa"/>
        </w:trPr>
        <w:tc>
          <w:tcPr>
            <w:tcW w:w="0" w:type="auto"/>
            <w:vAlign w:val="center"/>
            <w:hideMark/>
          </w:tcPr>
          <w:p w14:paraId="445B9836" w14:textId="77777777" w:rsidR="00FD6F88" w:rsidRPr="00733AA0" w:rsidRDefault="00FD6F88" w:rsidP="0082511F">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Performance Metric</w:t>
            </w:r>
          </w:p>
        </w:tc>
        <w:tc>
          <w:tcPr>
            <w:tcW w:w="0" w:type="auto"/>
            <w:vAlign w:val="center"/>
            <w:hideMark/>
          </w:tcPr>
          <w:p w14:paraId="08EB1FCB" w14:textId="77777777" w:rsidR="00FD6F88" w:rsidRPr="00733AA0" w:rsidRDefault="00FD6F88" w:rsidP="0082511F">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Gas Generator (CAT G3516)</w:t>
            </w:r>
          </w:p>
        </w:tc>
        <w:tc>
          <w:tcPr>
            <w:tcW w:w="0" w:type="auto"/>
            <w:vAlign w:val="center"/>
            <w:hideMark/>
          </w:tcPr>
          <w:p w14:paraId="3F2F6FDC" w14:textId="77777777" w:rsidR="00FD6F88" w:rsidRPr="00733AA0" w:rsidRDefault="00FD6F88" w:rsidP="0082511F">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Diesel Generator (CAT C-15)</w:t>
            </w:r>
          </w:p>
        </w:tc>
        <w:tc>
          <w:tcPr>
            <w:tcW w:w="0" w:type="auto"/>
            <w:vAlign w:val="center"/>
            <w:hideMark/>
          </w:tcPr>
          <w:p w14:paraId="19E31ED8" w14:textId="77777777" w:rsidR="00FD6F88" w:rsidRPr="00733AA0" w:rsidRDefault="00FD6F88" w:rsidP="0082511F">
            <w:pPr>
              <w:spacing w:after="0" w:line="240" w:lineRule="auto"/>
              <w:jc w:val="center"/>
              <w:rPr>
                <w:rFonts w:ascii="Calibri" w:eastAsia="Times New Roman" w:hAnsi="Calibri" w:cs="Calibri"/>
                <w:bCs/>
                <w:kern w:val="0"/>
                <w:lang w:val="en-US"/>
                <w14:ligatures w14:val="none"/>
              </w:rPr>
            </w:pPr>
            <w:r w:rsidRPr="00733AA0">
              <w:rPr>
                <w:rFonts w:ascii="Calibri" w:eastAsia="Times New Roman" w:hAnsi="Calibri" w:cs="Calibri"/>
                <w:bCs/>
                <w:kern w:val="0"/>
                <w:lang w:val="en-US"/>
                <w14:ligatures w14:val="none"/>
              </w:rPr>
              <w:t>Comparative Outcome</w:t>
            </w:r>
          </w:p>
        </w:tc>
      </w:tr>
      <w:tr w:rsidR="00FD6F88" w:rsidRPr="00733AA0" w14:paraId="42C7C316" w14:textId="77777777" w:rsidTr="0082511F">
        <w:trPr>
          <w:tblCellSpacing w:w="15" w:type="dxa"/>
        </w:trPr>
        <w:tc>
          <w:tcPr>
            <w:tcW w:w="0" w:type="auto"/>
            <w:tcBorders>
              <w:top w:val="single" w:sz="4" w:space="0" w:color="auto"/>
              <w:bottom w:val="nil"/>
            </w:tcBorders>
            <w:vAlign w:val="center"/>
            <w:hideMark/>
          </w:tcPr>
          <w:p w14:paraId="1012B39F"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Rated Capacity</w:t>
            </w:r>
          </w:p>
        </w:tc>
        <w:tc>
          <w:tcPr>
            <w:tcW w:w="0" w:type="auto"/>
            <w:tcBorders>
              <w:top w:val="single" w:sz="4" w:space="0" w:color="auto"/>
              <w:bottom w:val="nil"/>
            </w:tcBorders>
            <w:vAlign w:val="center"/>
            <w:hideMark/>
          </w:tcPr>
          <w:p w14:paraId="38818B64"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1.5 MW</w:t>
            </w:r>
          </w:p>
        </w:tc>
        <w:tc>
          <w:tcPr>
            <w:tcW w:w="0" w:type="auto"/>
            <w:tcBorders>
              <w:top w:val="single" w:sz="4" w:space="0" w:color="auto"/>
              <w:bottom w:val="nil"/>
            </w:tcBorders>
            <w:vAlign w:val="center"/>
            <w:hideMark/>
          </w:tcPr>
          <w:p w14:paraId="5CCD50BF"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0.5 MW</w:t>
            </w:r>
          </w:p>
        </w:tc>
        <w:tc>
          <w:tcPr>
            <w:tcW w:w="0" w:type="auto"/>
            <w:tcBorders>
              <w:top w:val="single" w:sz="4" w:space="0" w:color="auto"/>
              <w:bottom w:val="nil"/>
            </w:tcBorders>
            <w:vAlign w:val="center"/>
            <w:hideMark/>
          </w:tcPr>
          <w:p w14:paraId="4B9F8BEC"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 xml:space="preserve">Gas delivers </w:t>
            </w:r>
            <w:r w:rsidRPr="00733AA0">
              <w:rPr>
                <w:rFonts w:ascii="Calibri" w:eastAsia="Times New Roman" w:hAnsi="Calibri" w:cs="Calibri"/>
                <w:bCs/>
                <w:kern w:val="0"/>
                <w:lang w:val="en-US"/>
                <w14:ligatures w14:val="none"/>
              </w:rPr>
              <w:t>3×</w:t>
            </w:r>
            <w:r w:rsidRPr="00733AA0">
              <w:rPr>
                <w:rFonts w:ascii="Calibri" w:eastAsia="Times New Roman" w:hAnsi="Calibri" w:cs="Calibri"/>
                <w:kern w:val="0"/>
                <w:lang w:val="en-US"/>
                <w14:ligatures w14:val="none"/>
              </w:rPr>
              <w:t xml:space="preserve"> power output</w:t>
            </w:r>
          </w:p>
        </w:tc>
      </w:tr>
      <w:tr w:rsidR="00FD6F88" w:rsidRPr="00733AA0" w14:paraId="7FF39477" w14:textId="77777777" w:rsidTr="0082511F">
        <w:trPr>
          <w:tblCellSpacing w:w="15" w:type="dxa"/>
        </w:trPr>
        <w:tc>
          <w:tcPr>
            <w:tcW w:w="0" w:type="auto"/>
            <w:vAlign w:val="center"/>
            <w:hideMark/>
          </w:tcPr>
          <w:p w14:paraId="0494017B"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System Lifetime (years)</w:t>
            </w:r>
          </w:p>
        </w:tc>
        <w:tc>
          <w:tcPr>
            <w:tcW w:w="0" w:type="auto"/>
            <w:vAlign w:val="center"/>
            <w:hideMark/>
          </w:tcPr>
          <w:p w14:paraId="3D098108"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25</w:t>
            </w:r>
          </w:p>
        </w:tc>
        <w:tc>
          <w:tcPr>
            <w:tcW w:w="0" w:type="auto"/>
            <w:vAlign w:val="center"/>
            <w:hideMark/>
          </w:tcPr>
          <w:p w14:paraId="30A7F656"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15</w:t>
            </w:r>
          </w:p>
        </w:tc>
        <w:tc>
          <w:tcPr>
            <w:tcW w:w="0" w:type="auto"/>
            <w:vAlign w:val="center"/>
            <w:hideMark/>
          </w:tcPr>
          <w:p w14:paraId="36A20055"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 xml:space="preserve">Gas: </w:t>
            </w:r>
            <w:r w:rsidRPr="00733AA0">
              <w:rPr>
                <w:rFonts w:ascii="Calibri" w:eastAsia="Times New Roman" w:hAnsi="Calibri" w:cs="Calibri"/>
                <w:bCs/>
                <w:kern w:val="0"/>
                <w:lang w:val="en-US"/>
                <w14:ligatures w14:val="none"/>
              </w:rPr>
              <w:t>+67% longer service life</w:t>
            </w:r>
          </w:p>
        </w:tc>
      </w:tr>
      <w:tr w:rsidR="00FD6F88" w:rsidRPr="00733AA0" w14:paraId="61A1C627" w14:textId="77777777" w:rsidTr="0082511F">
        <w:trPr>
          <w:tblCellSpacing w:w="15" w:type="dxa"/>
        </w:trPr>
        <w:tc>
          <w:tcPr>
            <w:tcW w:w="0" w:type="auto"/>
            <w:vAlign w:val="center"/>
            <w:hideMark/>
          </w:tcPr>
          <w:p w14:paraId="3E93A665"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Core Engine MTBF (</w:t>
            </w:r>
            <w:proofErr w:type="spellStart"/>
            <w:r w:rsidRPr="00733AA0">
              <w:rPr>
                <w:rFonts w:ascii="Calibri" w:eastAsia="Times New Roman" w:hAnsi="Calibri" w:cs="Calibri"/>
                <w:bCs/>
                <w:kern w:val="0"/>
                <w:lang w:val="en-US"/>
                <w14:ligatures w14:val="none"/>
              </w:rPr>
              <w:t>hr</w:t>
            </w:r>
            <w:proofErr w:type="spellEnd"/>
            <w:r w:rsidRPr="00733AA0">
              <w:rPr>
                <w:rFonts w:ascii="Calibri" w:eastAsia="Times New Roman" w:hAnsi="Calibri" w:cs="Calibri"/>
                <w:bCs/>
                <w:kern w:val="0"/>
                <w:lang w:val="en-US"/>
                <w14:ligatures w14:val="none"/>
              </w:rPr>
              <w:t>)</w:t>
            </w:r>
          </w:p>
        </w:tc>
        <w:tc>
          <w:tcPr>
            <w:tcW w:w="0" w:type="auto"/>
            <w:vAlign w:val="center"/>
            <w:hideMark/>
          </w:tcPr>
          <w:p w14:paraId="4163529F"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15,000</w:t>
            </w:r>
          </w:p>
        </w:tc>
        <w:tc>
          <w:tcPr>
            <w:tcW w:w="0" w:type="auto"/>
            <w:vAlign w:val="center"/>
            <w:hideMark/>
          </w:tcPr>
          <w:p w14:paraId="1A65871D"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8,006</w:t>
            </w:r>
          </w:p>
        </w:tc>
        <w:tc>
          <w:tcPr>
            <w:tcW w:w="0" w:type="auto"/>
            <w:vAlign w:val="center"/>
            <w:hideMark/>
          </w:tcPr>
          <w:p w14:paraId="43FD25D9"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 xml:space="preserve">Gas: </w:t>
            </w:r>
            <w:r w:rsidRPr="00733AA0">
              <w:rPr>
                <w:rFonts w:ascii="Calibri" w:eastAsia="Times New Roman" w:hAnsi="Calibri" w:cs="Calibri"/>
                <w:bCs/>
                <w:kern w:val="0"/>
                <w:lang w:val="en-US"/>
                <w14:ligatures w14:val="none"/>
              </w:rPr>
              <w:t>+87% longer MTBF</w:t>
            </w:r>
          </w:p>
        </w:tc>
      </w:tr>
      <w:tr w:rsidR="00FD6F88" w:rsidRPr="00733AA0" w14:paraId="7CD8561E" w14:textId="77777777" w:rsidTr="0082511F">
        <w:trPr>
          <w:tblCellSpacing w:w="15" w:type="dxa"/>
        </w:trPr>
        <w:tc>
          <w:tcPr>
            <w:tcW w:w="0" w:type="auto"/>
            <w:vAlign w:val="center"/>
            <w:hideMark/>
          </w:tcPr>
          <w:p w14:paraId="163BBB95"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Maximum Subsystem MTBF (</w:t>
            </w:r>
            <w:proofErr w:type="spellStart"/>
            <w:r w:rsidRPr="00733AA0">
              <w:rPr>
                <w:rFonts w:ascii="Calibri" w:eastAsia="Times New Roman" w:hAnsi="Calibri" w:cs="Calibri"/>
                <w:bCs/>
                <w:kern w:val="0"/>
                <w:lang w:val="en-US"/>
                <w14:ligatures w14:val="none"/>
              </w:rPr>
              <w:t>hr</w:t>
            </w:r>
            <w:proofErr w:type="spellEnd"/>
            <w:r w:rsidRPr="00733AA0">
              <w:rPr>
                <w:rFonts w:ascii="Calibri" w:eastAsia="Times New Roman" w:hAnsi="Calibri" w:cs="Calibri"/>
                <w:bCs/>
                <w:kern w:val="0"/>
                <w:lang w:val="en-US"/>
                <w14:ligatures w14:val="none"/>
              </w:rPr>
              <w:t>)</w:t>
            </w:r>
          </w:p>
        </w:tc>
        <w:tc>
          <w:tcPr>
            <w:tcW w:w="0" w:type="auto"/>
            <w:vAlign w:val="center"/>
            <w:hideMark/>
          </w:tcPr>
          <w:p w14:paraId="0C980ECF"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25,000 (Generator enclosure)</w:t>
            </w:r>
          </w:p>
        </w:tc>
        <w:tc>
          <w:tcPr>
            <w:tcW w:w="0" w:type="auto"/>
            <w:vAlign w:val="center"/>
            <w:hideMark/>
          </w:tcPr>
          <w:p w14:paraId="407CE035"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5,904</w:t>
            </w:r>
          </w:p>
        </w:tc>
        <w:tc>
          <w:tcPr>
            <w:tcW w:w="0" w:type="auto"/>
            <w:vAlign w:val="center"/>
            <w:hideMark/>
          </w:tcPr>
          <w:p w14:paraId="11B23643" w14:textId="77777777" w:rsidR="00FD6F88" w:rsidRPr="00733AA0" w:rsidRDefault="00FD6F88" w:rsidP="00276B09">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 xml:space="preserve">Gas: </w:t>
            </w:r>
            <w:r w:rsidRPr="00733AA0">
              <w:rPr>
                <w:rFonts w:ascii="Calibri" w:eastAsia="Times New Roman" w:hAnsi="Calibri" w:cs="Calibri"/>
                <w:bCs/>
                <w:kern w:val="0"/>
                <w:lang w:val="en-US"/>
                <w14:ligatures w14:val="none"/>
              </w:rPr>
              <w:t>4× higher MTBF</w:t>
            </w:r>
          </w:p>
        </w:tc>
      </w:tr>
      <w:tr w:rsidR="00FD6F88" w:rsidRPr="00733AA0" w14:paraId="5666F4C0" w14:textId="77777777" w:rsidTr="0082511F">
        <w:trPr>
          <w:tblCellSpacing w:w="15" w:type="dxa"/>
        </w:trPr>
        <w:tc>
          <w:tcPr>
            <w:tcW w:w="0" w:type="auto"/>
            <w:vAlign w:val="center"/>
            <w:hideMark/>
          </w:tcPr>
          <w:p w14:paraId="126CBC6E"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Typical Subsystem MTBF Range (</w:t>
            </w:r>
            <w:proofErr w:type="spellStart"/>
            <w:r w:rsidRPr="00733AA0">
              <w:rPr>
                <w:rFonts w:ascii="Calibri" w:eastAsia="Times New Roman" w:hAnsi="Calibri" w:cs="Calibri"/>
                <w:bCs/>
                <w:kern w:val="0"/>
                <w:lang w:val="en-US"/>
                <w14:ligatures w14:val="none"/>
              </w:rPr>
              <w:t>hr</w:t>
            </w:r>
            <w:proofErr w:type="spellEnd"/>
            <w:r w:rsidRPr="00733AA0">
              <w:rPr>
                <w:rFonts w:ascii="Calibri" w:eastAsia="Times New Roman" w:hAnsi="Calibri" w:cs="Calibri"/>
                <w:bCs/>
                <w:kern w:val="0"/>
                <w:lang w:val="en-US"/>
                <w14:ligatures w14:val="none"/>
              </w:rPr>
              <w:t>)</w:t>
            </w:r>
          </w:p>
        </w:tc>
        <w:tc>
          <w:tcPr>
            <w:tcW w:w="0" w:type="auto"/>
            <w:vAlign w:val="center"/>
            <w:hideMark/>
          </w:tcPr>
          <w:p w14:paraId="7085816E"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10,000 – 25,000</w:t>
            </w:r>
          </w:p>
        </w:tc>
        <w:tc>
          <w:tcPr>
            <w:tcW w:w="0" w:type="auto"/>
            <w:vAlign w:val="center"/>
            <w:hideMark/>
          </w:tcPr>
          <w:p w14:paraId="4CC33F03"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4,000 – 8,000</w:t>
            </w:r>
          </w:p>
        </w:tc>
        <w:tc>
          <w:tcPr>
            <w:tcW w:w="0" w:type="auto"/>
            <w:vAlign w:val="center"/>
            <w:hideMark/>
          </w:tcPr>
          <w:p w14:paraId="79553F36"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 xml:space="preserve">Gas exhibits </w:t>
            </w:r>
            <w:r w:rsidRPr="00733AA0">
              <w:rPr>
                <w:rFonts w:ascii="Calibri" w:eastAsia="Times New Roman" w:hAnsi="Calibri" w:cs="Calibri"/>
                <w:bCs/>
                <w:kern w:val="0"/>
                <w:lang w:val="en-US"/>
                <w14:ligatures w14:val="none"/>
              </w:rPr>
              <w:t>significantly higher reliability intervals</w:t>
            </w:r>
          </w:p>
        </w:tc>
      </w:tr>
      <w:tr w:rsidR="00FD6F88" w:rsidRPr="00733AA0" w14:paraId="6C86E4BC" w14:textId="77777777" w:rsidTr="0082511F">
        <w:trPr>
          <w:tblCellSpacing w:w="15" w:type="dxa"/>
        </w:trPr>
        <w:tc>
          <w:tcPr>
            <w:tcW w:w="0" w:type="auto"/>
            <w:vAlign w:val="center"/>
            <w:hideMark/>
          </w:tcPr>
          <w:p w14:paraId="46C84696"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Availability Range (%)</w:t>
            </w:r>
          </w:p>
        </w:tc>
        <w:tc>
          <w:tcPr>
            <w:tcW w:w="0" w:type="auto"/>
            <w:vAlign w:val="center"/>
            <w:hideMark/>
          </w:tcPr>
          <w:p w14:paraId="0C48C45C"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88.9 – 96.15</w:t>
            </w:r>
          </w:p>
        </w:tc>
        <w:tc>
          <w:tcPr>
            <w:tcW w:w="0" w:type="auto"/>
            <w:vAlign w:val="center"/>
            <w:hideMark/>
          </w:tcPr>
          <w:p w14:paraId="5EA1A50F" w14:textId="77777777" w:rsidR="00FD6F88" w:rsidRPr="00733AA0" w:rsidRDefault="0082511F" w:rsidP="0082511F">
            <w:pPr>
              <w:spacing w:after="0" w:line="240" w:lineRule="auto"/>
              <w:jc w:val="center"/>
              <w:rPr>
                <w:rFonts w:ascii="Calibri" w:eastAsia="Times New Roman" w:hAnsi="Calibri" w:cs="Calibri"/>
                <w:kern w:val="0"/>
                <w:lang w:val="en-US"/>
                <w14:ligatures w14:val="none"/>
              </w:rPr>
            </w:pPr>
            <w:r>
              <w:rPr>
                <w:rFonts w:ascii="Calibri" w:eastAsia="Times New Roman" w:hAnsi="Calibri" w:cs="Calibri"/>
                <w:kern w:val="0"/>
                <w:lang w:val="en-US"/>
                <w14:ligatures w14:val="none"/>
              </w:rPr>
              <w:t xml:space="preserve">97.18 – </w:t>
            </w:r>
            <w:r w:rsidR="00FD6F88" w:rsidRPr="00733AA0">
              <w:rPr>
                <w:rFonts w:ascii="Calibri" w:eastAsia="Times New Roman" w:hAnsi="Calibri" w:cs="Calibri"/>
                <w:kern w:val="0"/>
                <w:lang w:val="en-US"/>
                <w14:ligatures w14:val="none"/>
              </w:rPr>
              <w:t>99.9</w:t>
            </w:r>
            <w:r>
              <w:rPr>
                <w:rFonts w:ascii="Calibri" w:eastAsia="Times New Roman" w:hAnsi="Calibri" w:cs="Calibri"/>
                <w:kern w:val="0"/>
                <w:lang w:val="en-US"/>
                <w14:ligatures w14:val="none"/>
              </w:rPr>
              <w:t>0</w:t>
            </w:r>
          </w:p>
        </w:tc>
        <w:tc>
          <w:tcPr>
            <w:tcW w:w="0" w:type="auto"/>
            <w:vAlign w:val="center"/>
            <w:hideMark/>
          </w:tcPr>
          <w:p w14:paraId="7A460DA8"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 xml:space="preserve">Diesel slightly higher availability but with </w:t>
            </w:r>
            <w:r w:rsidRPr="00733AA0">
              <w:rPr>
                <w:rFonts w:ascii="Calibri" w:eastAsia="Times New Roman" w:hAnsi="Calibri" w:cs="Calibri"/>
                <w:bCs/>
                <w:kern w:val="0"/>
                <w:lang w:val="en-US"/>
                <w14:ligatures w14:val="none"/>
              </w:rPr>
              <w:t>lower absolute reliability</w:t>
            </w:r>
          </w:p>
        </w:tc>
      </w:tr>
      <w:tr w:rsidR="00FD6F88" w:rsidRPr="00733AA0" w14:paraId="0210D7BD" w14:textId="77777777" w:rsidTr="0082511F">
        <w:trPr>
          <w:tblCellSpacing w:w="15" w:type="dxa"/>
        </w:trPr>
        <w:tc>
          <w:tcPr>
            <w:tcW w:w="0" w:type="auto"/>
            <w:vAlign w:val="center"/>
            <w:hideMark/>
          </w:tcPr>
          <w:p w14:paraId="0E01E022"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Reliability Range (%)</w:t>
            </w:r>
          </w:p>
        </w:tc>
        <w:tc>
          <w:tcPr>
            <w:tcW w:w="0" w:type="auto"/>
            <w:vAlign w:val="center"/>
            <w:hideMark/>
          </w:tcPr>
          <w:p w14:paraId="7900381D"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94.56 – 99.60</w:t>
            </w:r>
          </w:p>
        </w:tc>
        <w:tc>
          <w:tcPr>
            <w:tcW w:w="0" w:type="auto"/>
            <w:vAlign w:val="center"/>
            <w:hideMark/>
          </w:tcPr>
          <w:p w14:paraId="1875A07B"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96.7 – 98.8</w:t>
            </w:r>
          </w:p>
        </w:tc>
        <w:tc>
          <w:tcPr>
            <w:tcW w:w="0" w:type="auto"/>
            <w:vAlign w:val="center"/>
            <w:hideMark/>
          </w:tcPr>
          <w:p w14:paraId="739A508B"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 xml:space="preserve">Gas achieves </w:t>
            </w:r>
            <w:r w:rsidRPr="00733AA0">
              <w:rPr>
                <w:rFonts w:ascii="Calibri" w:eastAsia="Times New Roman" w:hAnsi="Calibri" w:cs="Calibri"/>
                <w:bCs/>
                <w:kern w:val="0"/>
                <w:lang w:val="en-US"/>
                <w14:ligatures w14:val="none"/>
              </w:rPr>
              <w:t>higher peak reliability</w:t>
            </w:r>
          </w:p>
        </w:tc>
      </w:tr>
      <w:tr w:rsidR="00FD6F88" w:rsidRPr="00733AA0" w14:paraId="72349713" w14:textId="77777777" w:rsidTr="0082511F">
        <w:trPr>
          <w:tblCellSpacing w:w="15" w:type="dxa"/>
        </w:trPr>
        <w:tc>
          <w:tcPr>
            <w:tcW w:w="0" w:type="auto"/>
            <w:vAlign w:val="center"/>
            <w:hideMark/>
          </w:tcPr>
          <w:p w14:paraId="5B312F39"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Failure Rate (/</w:t>
            </w:r>
            <w:proofErr w:type="spellStart"/>
            <w:r w:rsidRPr="00733AA0">
              <w:rPr>
                <w:rFonts w:ascii="Calibri" w:eastAsia="Times New Roman" w:hAnsi="Calibri" w:cs="Calibri"/>
                <w:bCs/>
                <w:kern w:val="0"/>
                <w:lang w:val="en-US"/>
                <w14:ligatures w14:val="none"/>
              </w:rPr>
              <w:t>hr</w:t>
            </w:r>
            <w:proofErr w:type="spellEnd"/>
            <w:r w:rsidRPr="00733AA0">
              <w:rPr>
                <w:rFonts w:ascii="Calibri" w:eastAsia="Times New Roman" w:hAnsi="Calibri" w:cs="Calibri"/>
                <w:bCs/>
                <w:kern w:val="0"/>
                <w:lang w:val="en-US"/>
                <w14:ligatures w14:val="none"/>
              </w:rPr>
              <w:t>)</w:t>
            </w:r>
          </w:p>
        </w:tc>
        <w:tc>
          <w:tcPr>
            <w:tcW w:w="0" w:type="auto"/>
            <w:vAlign w:val="center"/>
            <w:hideMark/>
          </w:tcPr>
          <w:p w14:paraId="08ED7514"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&lt; 0.0001</w:t>
            </w:r>
            <w:r w:rsidRPr="00733AA0">
              <w:rPr>
                <w:rFonts w:ascii="Calibri" w:eastAsia="Times New Roman" w:hAnsi="Calibri" w:cs="Calibri"/>
                <w:kern w:val="0"/>
                <w:lang w:val="en-US"/>
                <w14:ligatures w14:val="none"/>
              </w:rPr>
              <w:t xml:space="preserve"> (most subsystems)</w:t>
            </w:r>
          </w:p>
        </w:tc>
        <w:tc>
          <w:tcPr>
            <w:tcW w:w="0" w:type="auto"/>
            <w:vAlign w:val="center"/>
            <w:hideMark/>
          </w:tcPr>
          <w:p w14:paraId="18B142CE"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0.0002 – 0.0003</w:t>
            </w:r>
          </w:p>
        </w:tc>
        <w:tc>
          <w:tcPr>
            <w:tcW w:w="0" w:type="auto"/>
            <w:vAlign w:val="center"/>
            <w:hideMark/>
          </w:tcPr>
          <w:p w14:paraId="635C97B3"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 xml:space="preserve">Diesel shows </w:t>
            </w:r>
            <w:r w:rsidRPr="00733AA0">
              <w:rPr>
                <w:rFonts w:ascii="Calibri" w:eastAsia="Times New Roman" w:hAnsi="Calibri" w:cs="Calibri"/>
                <w:bCs/>
                <w:kern w:val="0"/>
                <w:lang w:val="en-US"/>
                <w14:ligatures w14:val="none"/>
              </w:rPr>
              <w:t>2–3× higher failure frequency</w:t>
            </w:r>
          </w:p>
        </w:tc>
      </w:tr>
      <w:tr w:rsidR="00FD6F88" w:rsidRPr="00733AA0" w14:paraId="4F0C23BD" w14:textId="77777777" w:rsidTr="0082511F">
        <w:trPr>
          <w:tblCellSpacing w:w="15" w:type="dxa"/>
        </w:trPr>
        <w:tc>
          <w:tcPr>
            <w:tcW w:w="0" w:type="auto"/>
            <w:vAlign w:val="center"/>
            <w:hideMark/>
          </w:tcPr>
          <w:p w14:paraId="6694A711"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Critical Component Failure Probability (%)</w:t>
            </w:r>
          </w:p>
        </w:tc>
        <w:tc>
          <w:tcPr>
            <w:tcW w:w="0" w:type="auto"/>
            <w:vAlign w:val="center"/>
            <w:hideMark/>
          </w:tcPr>
          <w:p w14:paraId="6FDA180E"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&lt; 1%</w:t>
            </w:r>
            <w:r w:rsidRPr="00733AA0">
              <w:rPr>
                <w:rFonts w:ascii="Calibri" w:eastAsia="Times New Roman" w:hAnsi="Calibri" w:cs="Calibri"/>
                <w:kern w:val="0"/>
                <w:lang w:val="en-US"/>
                <w14:ligatures w14:val="none"/>
              </w:rPr>
              <w:t xml:space="preserve"> (most critical units)</w:t>
            </w:r>
          </w:p>
        </w:tc>
        <w:tc>
          <w:tcPr>
            <w:tcW w:w="0" w:type="auto"/>
            <w:vAlign w:val="center"/>
            <w:hideMark/>
          </w:tcPr>
          <w:p w14:paraId="1CD9CBF9"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2–4%</w:t>
            </w:r>
          </w:p>
        </w:tc>
        <w:tc>
          <w:tcPr>
            <w:tcW w:w="0" w:type="auto"/>
            <w:vAlign w:val="center"/>
            <w:hideMark/>
          </w:tcPr>
          <w:p w14:paraId="6A72BEBC"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 xml:space="preserve">Diesel components fail </w:t>
            </w:r>
            <w:r w:rsidRPr="00733AA0">
              <w:rPr>
                <w:rFonts w:ascii="Calibri" w:eastAsia="Times New Roman" w:hAnsi="Calibri" w:cs="Calibri"/>
                <w:bCs/>
                <w:kern w:val="0"/>
                <w:lang w:val="en-US"/>
                <w14:ligatures w14:val="none"/>
              </w:rPr>
              <w:t>more frequently</w:t>
            </w:r>
          </w:p>
        </w:tc>
      </w:tr>
      <w:tr w:rsidR="00FD6F88" w:rsidRPr="00733AA0" w14:paraId="1D0B3917" w14:textId="77777777" w:rsidTr="0082511F">
        <w:trPr>
          <w:tblCellSpacing w:w="15" w:type="dxa"/>
        </w:trPr>
        <w:tc>
          <w:tcPr>
            <w:tcW w:w="0" w:type="auto"/>
            <w:vAlign w:val="center"/>
            <w:hideMark/>
          </w:tcPr>
          <w:p w14:paraId="1FC3E3A7"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Maintenance Pattern</w:t>
            </w:r>
          </w:p>
        </w:tc>
        <w:tc>
          <w:tcPr>
            <w:tcW w:w="0" w:type="auto"/>
            <w:vAlign w:val="center"/>
            <w:hideMark/>
          </w:tcPr>
          <w:p w14:paraId="390136EA"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Predictable, lower wear, cleaner combustion</w:t>
            </w:r>
          </w:p>
        </w:tc>
        <w:tc>
          <w:tcPr>
            <w:tcW w:w="0" w:type="auto"/>
            <w:vAlign w:val="center"/>
            <w:hideMark/>
          </w:tcPr>
          <w:p w14:paraId="7EA48027"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Frequent interventions (filters, fuel, cooling)</w:t>
            </w:r>
          </w:p>
        </w:tc>
        <w:tc>
          <w:tcPr>
            <w:tcW w:w="0" w:type="auto"/>
            <w:vAlign w:val="center"/>
            <w:hideMark/>
          </w:tcPr>
          <w:p w14:paraId="07D54D82"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 xml:space="preserve">Gas requires </w:t>
            </w:r>
            <w:r w:rsidRPr="00733AA0">
              <w:rPr>
                <w:rFonts w:ascii="Calibri" w:eastAsia="Times New Roman" w:hAnsi="Calibri" w:cs="Calibri"/>
                <w:bCs/>
                <w:kern w:val="0"/>
                <w:lang w:val="en-US"/>
                <w14:ligatures w14:val="none"/>
              </w:rPr>
              <w:t>less corrective maintenance</w:t>
            </w:r>
          </w:p>
        </w:tc>
      </w:tr>
      <w:tr w:rsidR="00FD6F88" w:rsidRPr="00733AA0" w14:paraId="3EDC88F1" w14:textId="77777777" w:rsidTr="0082511F">
        <w:trPr>
          <w:tblCellSpacing w:w="15" w:type="dxa"/>
        </w:trPr>
        <w:tc>
          <w:tcPr>
            <w:tcW w:w="0" w:type="auto"/>
            <w:vAlign w:val="center"/>
            <w:hideMark/>
          </w:tcPr>
          <w:p w14:paraId="5299D80F"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Annual Fuel Cost ($)</w:t>
            </w:r>
          </w:p>
        </w:tc>
        <w:tc>
          <w:tcPr>
            <w:tcW w:w="0" w:type="auto"/>
            <w:vAlign w:val="center"/>
            <w:hideMark/>
          </w:tcPr>
          <w:p w14:paraId="730293D5"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80,000</w:t>
            </w:r>
          </w:p>
        </w:tc>
        <w:tc>
          <w:tcPr>
            <w:tcW w:w="0" w:type="auto"/>
            <w:vAlign w:val="center"/>
            <w:hideMark/>
          </w:tcPr>
          <w:p w14:paraId="44EE5128"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150,000</w:t>
            </w:r>
          </w:p>
        </w:tc>
        <w:tc>
          <w:tcPr>
            <w:tcW w:w="0" w:type="auto"/>
            <w:vAlign w:val="center"/>
            <w:hideMark/>
          </w:tcPr>
          <w:p w14:paraId="05AC5243" w14:textId="77777777" w:rsidR="00FD6F88" w:rsidRPr="00733AA0" w:rsidRDefault="00FD6F88" w:rsidP="00276B09">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 xml:space="preserve">Gas saves </w:t>
            </w:r>
            <w:r w:rsidRPr="00733AA0">
              <w:rPr>
                <w:rFonts w:ascii="Calibri" w:eastAsia="Times New Roman" w:hAnsi="Calibri" w:cs="Calibri"/>
                <w:bCs/>
                <w:kern w:val="0"/>
                <w:lang w:val="en-US"/>
                <w14:ligatures w14:val="none"/>
              </w:rPr>
              <w:t>47% annually</w:t>
            </w:r>
          </w:p>
        </w:tc>
      </w:tr>
      <w:tr w:rsidR="00FD6F88" w:rsidRPr="00733AA0" w14:paraId="224F1917" w14:textId="77777777" w:rsidTr="0082511F">
        <w:trPr>
          <w:tblCellSpacing w:w="15" w:type="dxa"/>
        </w:trPr>
        <w:tc>
          <w:tcPr>
            <w:tcW w:w="0" w:type="auto"/>
            <w:vAlign w:val="center"/>
            <w:hideMark/>
          </w:tcPr>
          <w:p w14:paraId="2D7E4CA9"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Capital Cost ($)</w:t>
            </w:r>
          </w:p>
        </w:tc>
        <w:tc>
          <w:tcPr>
            <w:tcW w:w="0" w:type="auto"/>
            <w:vAlign w:val="center"/>
            <w:hideMark/>
          </w:tcPr>
          <w:p w14:paraId="614FB154"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445,000</w:t>
            </w:r>
          </w:p>
        </w:tc>
        <w:tc>
          <w:tcPr>
            <w:tcW w:w="0" w:type="auto"/>
            <w:vAlign w:val="center"/>
            <w:hideMark/>
          </w:tcPr>
          <w:p w14:paraId="4952DDB9"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125,000</w:t>
            </w:r>
          </w:p>
        </w:tc>
        <w:tc>
          <w:tcPr>
            <w:tcW w:w="0" w:type="auto"/>
            <w:vAlign w:val="center"/>
            <w:hideMark/>
          </w:tcPr>
          <w:p w14:paraId="0B10E5DD"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Diesel cheaper initially</w:t>
            </w:r>
          </w:p>
        </w:tc>
      </w:tr>
      <w:tr w:rsidR="00FD6F88" w:rsidRPr="00733AA0" w14:paraId="511C99BA" w14:textId="77777777" w:rsidTr="0082511F">
        <w:trPr>
          <w:tblCellSpacing w:w="15" w:type="dxa"/>
        </w:trPr>
        <w:tc>
          <w:tcPr>
            <w:tcW w:w="0" w:type="auto"/>
            <w:vAlign w:val="center"/>
            <w:hideMark/>
          </w:tcPr>
          <w:p w14:paraId="4F825DF9"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Levelized Cost of Electricity @10% ($/kWh)</w:t>
            </w:r>
          </w:p>
        </w:tc>
        <w:tc>
          <w:tcPr>
            <w:tcW w:w="0" w:type="auto"/>
            <w:vAlign w:val="center"/>
            <w:hideMark/>
          </w:tcPr>
          <w:p w14:paraId="575BF265"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0.2539</w:t>
            </w:r>
          </w:p>
        </w:tc>
        <w:tc>
          <w:tcPr>
            <w:tcW w:w="0" w:type="auto"/>
            <w:vAlign w:val="center"/>
            <w:hideMark/>
          </w:tcPr>
          <w:p w14:paraId="7D6EFDD4"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0.9394</w:t>
            </w:r>
          </w:p>
        </w:tc>
        <w:tc>
          <w:tcPr>
            <w:tcW w:w="0" w:type="auto"/>
            <w:vAlign w:val="center"/>
            <w:hideMark/>
          </w:tcPr>
          <w:p w14:paraId="260CB8DC" w14:textId="77777777" w:rsidR="00FD6F88" w:rsidRPr="00733AA0" w:rsidRDefault="00FD6F88" w:rsidP="00276B09">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 xml:space="preserve">Gas: </w:t>
            </w:r>
            <w:r w:rsidRPr="00733AA0">
              <w:rPr>
                <w:rFonts w:ascii="Calibri" w:eastAsia="Times New Roman" w:hAnsi="Calibri" w:cs="Calibri"/>
                <w:bCs/>
                <w:kern w:val="0"/>
                <w:lang w:val="en-US"/>
                <w14:ligatures w14:val="none"/>
              </w:rPr>
              <w:t>73% cheaper energy</w:t>
            </w:r>
          </w:p>
        </w:tc>
      </w:tr>
      <w:tr w:rsidR="00FD6F88" w:rsidRPr="00733AA0" w14:paraId="61A4244B" w14:textId="77777777" w:rsidTr="0082511F">
        <w:trPr>
          <w:tblCellSpacing w:w="15" w:type="dxa"/>
        </w:trPr>
        <w:tc>
          <w:tcPr>
            <w:tcW w:w="0" w:type="auto"/>
            <w:vAlign w:val="center"/>
            <w:hideMark/>
          </w:tcPr>
          <w:p w14:paraId="51424B30"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LCOE @30% ($/kWh)</w:t>
            </w:r>
          </w:p>
        </w:tc>
        <w:tc>
          <w:tcPr>
            <w:tcW w:w="0" w:type="auto"/>
            <w:vAlign w:val="center"/>
            <w:hideMark/>
          </w:tcPr>
          <w:p w14:paraId="774B4960"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0.4086</w:t>
            </w:r>
          </w:p>
        </w:tc>
        <w:tc>
          <w:tcPr>
            <w:tcW w:w="0" w:type="auto"/>
            <w:vAlign w:val="center"/>
            <w:hideMark/>
          </w:tcPr>
          <w:p w14:paraId="1E4AD905"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1.0589</w:t>
            </w:r>
          </w:p>
        </w:tc>
        <w:tc>
          <w:tcPr>
            <w:tcW w:w="0" w:type="auto"/>
            <w:vAlign w:val="center"/>
            <w:hideMark/>
          </w:tcPr>
          <w:p w14:paraId="38745315"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 xml:space="preserve">Gas remains </w:t>
            </w:r>
            <w:r w:rsidRPr="00733AA0">
              <w:rPr>
                <w:rFonts w:ascii="Calibri" w:eastAsia="Times New Roman" w:hAnsi="Calibri" w:cs="Calibri"/>
                <w:bCs/>
                <w:kern w:val="0"/>
                <w:lang w:val="en-US"/>
                <w14:ligatures w14:val="none"/>
              </w:rPr>
              <w:t>61% cheaper</w:t>
            </w:r>
            <w:r w:rsidRPr="00733AA0">
              <w:rPr>
                <w:rFonts w:ascii="Calibri" w:eastAsia="Times New Roman" w:hAnsi="Calibri" w:cs="Calibri"/>
                <w:kern w:val="0"/>
                <w:lang w:val="en-US"/>
                <w14:ligatures w14:val="none"/>
              </w:rPr>
              <w:t xml:space="preserve"> under financial stress</w:t>
            </w:r>
          </w:p>
        </w:tc>
      </w:tr>
      <w:tr w:rsidR="00FD6F88" w:rsidRPr="00733AA0" w14:paraId="388E1DF6" w14:textId="77777777" w:rsidTr="0082511F">
        <w:trPr>
          <w:tblCellSpacing w:w="15" w:type="dxa"/>
        </w:trPr>
        <w:tc>
          <w:tcPr>
            <w:tcW w:w="0" w:type="auto"/>
            <w:vAlign w:val="center"/>
            <w:hideMark/>
          </w:tcPr>
          <w:p w14:paraId="71113F03"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Overall System Performance</w:t>
            </w:r>
          </w:p>
        </w:tc>
        <w:tc>
          <w:tcPr>
            <w:tcW w:w="0" w:type="auto"/>
            <w:vAlign w:val="center"/>
            <w:hideMark/>
          </w:tcPr>
          <w:p w14:paraId="3DAB5A44"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Superior reliability &amp; economics</w:t>
            </w:r>
          </w:p>
        </w:tc>
        <w:tc>
          <w:tcPr>
            <w:tcW w:w="0" w:type="auto"/>
            <w:vAlign w:val="center"/>
            <w:hideMark/>
          </w:tcPr>
          <w:p w14:paraId="71B2A610"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kern w:val="0"/>
                <w:lang w:val="en-US"/>
                <w14:ligatures w14:val="none"/>
              </w:rPr>
              <w:t>Lower reliability, higher lifecycle cost</w:t>
            </w:r>
          </w:p>
        </w:tc>
        <w:tc>
          <w:tcPr>
            <w:tcW w:w="0" w:type="auto"/>
            <w:vAlign w:val="center"/>
            <w:hideMark/>
          </w:tcPr>
          <w:p w14:paraId="6D9998F7" w14:textId="77777777" w:rsidR="00FD6F88" w:rsidRPr="00733AA0" w:rsidRDefault="00FD6F88" w:rsidP="0082511F">
            <w:pPr>
              <w:spacing w:after="0" w:line="240" w:lineRule="auto"/>
              <w:jc w:val="center"/>
              <w:rPr>
                <w:rFonts w:ascii="Calibri" w:eastAsia="Times New Roman" w:hAnsi="Calibri" w:cs="Calibri"/>
                <w:kern w:val="0"/>
                <w:lang w:val="en-US"/>
                <w14:ligatures w14:val="none"/>
              </w:rPr>
            </w:pPr>
            <w:r w:rsidRPr="00733AA0">
              <w:rPr>
                <w:rFonts w:ascii="Calibri" w:eastAsia="Times New Roman" w:hAnsi="Calibri" w:cs="Calibri"/>
                <w:bCs/>
                <w:kern w:val="0"/>
                <w:lang w:val="en-US"/>
                <w14:ligatures w14:val="none"/>
              </w:rPr>
              <w:t>Gas system strongly preferred</w:t>
            </w:r>
          </w:p>
        </w:tc>
      </w:tr>
    </w:tbl>
    <w:p w14:paraId="3F20454D" w14:textId="77777777" w:rsidR="00FD6F88" w:rsidRDefault="00FD6F88" w:rsidP="00FD6F88">
      <w:pPr>
        <w:spacing w:before="100" w:beforeAutospacing="1" w:after="100" w:afterAutospacing="1" w:line="360" w:lineRule="auto"/>
        <w:jc w:val="both"/>
        <w:rPr>
          <w:rFonts w:ascii="Calibri" w:eastAsia="Times New Roman" w:hAnsi="Calibri" w:cs="Calibri"/>
          <w:kern w:val="0"/>
          <w:lang w:val="en-US"/>
          <w14:ligatures w14:val="none"/>
        </w:rPr>
        <w:sectPr w:rsidR="00FD6F88" w:rsidSect="00FD6F88">
          <w:pgSz w:w="16838" w:h="11906" w:orient="landscape"/>
          <w:pgMar w:top="1440" w:right="1440" w:bottom="1440" w:left="1440" w:header="720" w:footer="720" w:gutter="0"/>
          <w:cols w:space="720"/>
          <w:docGrid w:linePitch="360"/>
        </w:sectPr>
      </w:pPr>
    </w:p>
    <w:p w14:paraId="540F7A21"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lastRenderedPageBreak/>
        <w:t>The critical distinction lies in the absolute reliability values and failure probabilities. The gas system demonstrates reliability percentages consistently above 98% for core components, with many exceeding 99%, while diesel components frequently remain below 98%. This difference, though seemingly small in percentage terms, translates to significant operational implications over extended deployment periods.</w:t>
      </w:r>
    </w:p>
    <w:p w14:paraId="70CD380D"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 xml:space="preserve">The maintainability findings indicate that both systems achieve comparable MTTR values (2-6 hours), suggesting similar repair timeframes once failures occur. However, the gas generator's reduced failure frequency means that maintenance interventions occur less often, reducing cumulative downtime and associated costs. </w:t>
      </w:r>
      <w:r w:rsidRPr="00AE6591">
        <w:rPr>
          <w:rFonts w:ascii="Calibri" w:eastAsia="Times New Roman" w:hAnsi="Calibri" w:cs="Calibri"/>
          <w:kern w:val="0"/>
          <w:lang w:val="en-US"/>
          <w14:ligatures w14:val="none"/>
        </w:rPr>
        <w:t xml:space="preserve">This observation </w:t>
      </w:r>
      <w:r w:rsidR="00AE6591" w:rsidRPr="00AE6591">
        <w:rPr>
          <w:rFonts w:ascii="Calibri" w:eastAsia="Times New Roman" w:hAnsi="Calibri" w:cs="Calibri"/>
          <w:kern w:val="0"/>
          <w:lang w:val="en-US"/>
          <w14:ligatures w14:val="none"/>
        </w:rPr>
        <w:t xml:space="preserve">corresponds with other research findings that state that </w:t>
      </w:r>
      <w:r w:rsidRPr="0051231B">
        <w:rPr>
          <w:rFonts w:ascii="Calibri" w:eastAsia="Times New Roman" w:hAnsi="Calibri" w:cs="Calibri"/>
          <w:kern w:val="0"/>
          <w:lang w:val="en-US"/>
          <w14:ligatures w14:val="none"/>
        </w:rPr>
        <w:t>natural gas generators benefit from modular,</w:t>
      </w:r>
      <w:r w:rsidR="00AE6591">
        <w:rPr>
          <w:rFonts w:ascii="Calibri" w:eastAsia="Times New Roman" w:hAnsi="Calibri" w:cs="Calibri"/>
          <w:kern w:val="0"/>
          <w:lang w:val="en-US"/>
          <w14:ligatures w14:val="none"/>
        </w:rPr>
        <w:t xml:space="preserve"> less complex component designs, towards </w:t>
      </w:r>
      <w:r w:rsidRPr="0051231B">
        <w:rPr>
          <w:rFonts w:ascii="Calibri" w:eastAsia="Times New Roman" w:hAnsi="Calibri" w:cs="Calibri"/>
          <w:kern w:val="0"/>
          <w:lang w:val="en-US"/>
          <w14:ligatures w14:val="none"/>
        </w:rPr>
        <w:t>th</w:t>
      </w:r>
      <w:r w:rsidR="00AE6591">
        <w:rPr>
          <w:rFonts w:ascii="Calibri" w:eastAsia="Times New Roman" w:hAnsi="Calibri" w:cs="Calibri"/>
          <w:kern w:val="0"/>
          <w:lang w:val="en-US"/>
          <w14:ligatures w14:val="none"/>
        </w:rPr>
        <w:t xml:space="preserve">e simplification of </w:t>
      </w:r>
      <w:r w:rsidRPr="0051231B">
        <w:rPr>
          <w:rFonts w:ascii="Calibri" w:eastAsia="Times New Roman" w:hAnsi="Calibri" w:cs="Calibri"/>
          <w:kern w:val="0"/>
          <w:lang w:val="en-US"/>
          <w14:ligatures w14:val="none"/>
        </w:rPr>
        <w:t>repair logistics</w:t>
      </w:r>
      <w:r w:rsidR="00AE6591">
        <w:rPr>
          <w:rFonts w:ascii="Calibri" w:eastAsia="Times New Roman" w:hAnsi="Calibri" w:cs="Calibri"/>
          <w:kern w:val="0"/>
          <w:lang w:val="en-US"/>
          <w14:ligatures w14:val="none"/>
        </w:rPr>
        <w:t xml:space="preserve"> (Kim &amp; Park, 2020; Mirzaei </w:t>
      </w:r>
      <w:r w:rsidR="005D4285" w:rsidRPr="005D4285">
        <w:rPr>
          <w:rFonts w:ascii="Calibri" w:eastAsia="Times New Roman" w:hAnsi="Calibri" w:cs="Calibri"/>
          <w:i/>
          <w:kern w:val="0"/>
          <w:lang w:val="en-US"/>
          <w14:ligatures w14:val="none"/>
        </w:rPr>
        <w:t>et al</w:t>
      </w:r>
      <w:r w:rsidR="00AE6591">
        <w:rPr>
          <w:rFonts w:ascii="Calibri" w:eastAsia="Times New Roman" w:hAnsi="Calibri" w:cs="Calibri"/>
          <w:kern w:val="0"/>
          <w:lang w:val="en-US"/>
          <w14:ligatures w14:val="none"/>
        </w:rPr>
        <w:t>., 2023</w:t>
      </w:r>
      <w:r w:rsidR="000F6EA1">
        <w:rPr>
          <w:rFonts w:ascii="Calibri" w:eastAsia="Times New Roman" w:hAnsi="Calibri" w:cs="Calibri"/>
          <w:kern w:val="0"/>
          <w:lang w:val="en-US"/>
          <w14:ligatures w14:val="none"/>
        </w:rPr>
        <w:t xml:space="preserve">; </w:t>
      </w:r>
      <w:proofErr w:type="spellStart"/>
      <w:r w:rsidR="000F6EA1">
        <w:rPr>
          <w:rFonts w:ascii="Calibri" w:eastAsia="Times New Roman" w:hAnsi="Calibri" w:cs="Calibri"/>
          <w:kern w:val="0"/>
          <w:lang w:val="en-US"/>
          <w14:ligatures w14:val="none"/>
        </w:rPr>
        <w:t>Okirie</w:t>
      </w:r>
      <w:proofErr w:type="spellEnd"/>
      <w:r w:rsidR="000F6EA1">
        <w:rPr>
          <w:rFonts w:ascii="Calibri" w:eastAsia="Times New Roman" w:hAnsi="Calibri" w:cs="Calibri"/>
          <w:kern w:val="0"/>
          <w:lang w:val="en-US"/>
          <w14:ligatures w14:val="none"/>
        </w:rPr>
        <w:t xml:space="preserve"> </w:t>
      </w:r>
      <w:r w:rsidR="005D4285" w:rsidRPr="005D4285">
        <w:rPr>
          <w:rFonts w:ascii="Calibri" w:eastAsia="Times New Roman" w:hAnsi="Calibri" w:cs="Calibri"/>
          <w:i/>
          <w:kern w:val="0"/>
          <w:lang w:val="en-US"/>
          <w14:ligatures w14:val="none"/>
        </w:rPr>
        <w:t>et al</w:t>
      </w:r>
      <w:r w:rsidR="000F6EA1">
        <w:rPr>
          <w:rFonts w:ascii="Calibri" w:eastAsia="Times New Roman" w:hAnsi="Calibri" w:cs="Calibri"/>
          <w:kern w:val="0"/>
          <w:lang w:val="en-US"/>
          <w14:ligatures w14:val="none"/>
        </w:rPr>
        <w:t>., 2025</w:t>
      </w:r>
      <w:r w:rsidR="00AE6591">
        <w:rPr>
          <w:rFonts w:ascii="Calibri" w:eastAsia="Times New Roman" w:hAnsi="Calibri" w:cs="Calibri"/>
          <w:kern w:val="0"/>
          <w:lang w:val="en-US"/>
          <w14:ligatures w14:val="none"/>
        </w:rPr>
        <w:t>)</w:t>
      </w:r>
      <w:r w:rsidRPr="0051231B">
        <w:rPr>
          <w:rFonts w:ascii="Calibri" w:eastAsia="Times New Roman" w:hAnsi="Calibri" w:cs="Calibri"/>
          <w:kern w:val="0"/>
          <w:lang w:val="en-US"/>
          <w14:ligatures w14:val="none"/>
        </w:rPr>
        <w:t>. The diesel system's higher failure rates in components such as fuel filters (MTTF: 3,500 hours, 2.82% failure probability) and fuel priming pumps (MTTF: 3,000 hours, 3.28% failure probability) reflect the inherent challenges of diesel fuel's higher contaminant levels and the mechanical complexity of high-pressure diesel injection systems.</w:t>
      </w:r>
    </w:p>
    <w:p w14:paraId="0BEC326D"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Particular attention should be given to critical weak points in each system. For the gas generator, the spin-on oil filter emerges as a reliability concern with only 92.04% reliability and 7.96% failure probability. Similarly, the cooling system components (centrifugal water pump: 92.00% reliability; jack water pump: 92.77% reliability) represent potential vulnerability points requiring prioritized preventive maintenance. For the diesel system, the radiator fan belt (97.18% reliability, 2.82% failure probability) and multiple fuel system components present elevated failure risks. These findings emphasize the importance of component-specific maintenance scheduling rather than uniform maintenance intervals</w:t>
      </w:r>
      <w:r w:rsidR="000F6EA1">
        <w:rPr>
          <w:rFonts w:ascii="Calibri" w:eastAsia="Times New Roman" w:hAnsi="Calibri" w:cs="Calibri"/>
          <w:kern w:val="0"/>
          <w:lang w:val="en-US"/>
          <w14:ligatures w14:val="none"/>
        </w:rPr>
        <w:t xml:space="preserve"> (</w:t>
      </w:r>
      <w:r w:rsidR="000F6EA1" w:rsidRPr="000F6EA1">
        <w:rPr>
          <w:rFonts w:ascii="Calibri" w:hAnsi="Calibri" w:cs="Calibri"/>
        </w:rPr>
        <w:t>Yüksel</w:t>
      </w:r>
      <w:r w:rsidR="000F6EA1">
        <w:rPr>
          <w:rFonts w:ascii="Calibri" w:hAnsi="Calibri" w:cs="Calibri"/>
        </w:rPr>
        <w:t xml:space="preserve"> </w:t>
      </w:r>
      <w:r w:rsidR="005D4285" w:rsidRPr="005D4285">
        <w:rPr>
          <w:rFonts w:ascii="Calibri" w:hAnsi="Calibri" w:cs="Calibri"/>
          <w:i/>
        </w:rPr>
        <w:t>et al</w:t>
      </w:r>
      <w:r w:rsidR="000F6EA1">
        <w:rPr>
          <w:rFonts w:ascii="Calibri" w:hAnsi="Calibri" w:cs="Calibri"/>
        </w:rPr>
        <w:t>., 2024)</w:t>
      </w:r>
      <w:r w:rsidRPr="0051231B">
        <w:rPr>
          <w:rFonts w:ascii="Calibri" w:eastAsia="Times New Roman" w:hAnsi="Calibri" w:cs="Calibri"/>
          <w:kern w:val="0"/>
          <w:lang w:val="en-US"/>
          <w14:ligatures w14:val="none"/>
        </w:rPr>
        <w:t>.</w:t>
      </w:r>
    </w:p>
    <w:p w14:paraId="7F57420E"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 xml:space="preserve">The economic analysis provides even more striking evidence of the gas generator's superiority. The LCOE results demonstrate that despite the gas system's substantially higher capital cost ($445,000 vs. $125,000), it achieves dramatically lower lifecycle electricity costs. At every discount rate tested, the gas generator maintains approximately 60-73% lower LCOE than the diesel alternative. </w:t>
      </w:r>
      <w:r w:rsidR="0002431A">
        <w:rPr>
          <w:rFonts w:ascii="Calibri" w:eastAsia="Times New Roman" w:hAnsi="Calibri" w:cs="Calibri"/>
          <w:kern w:val="0"/>
          <w:lang w:val="en-US"/>
          <w14:ligatures w14:val="none"/>
        </w:rPr>
        <w:t xml:space="preserve">In essence, </w:t>
      </w:r>
      <w:r w:rsidRPr="0051231B">
        <w:rPr>
          <w:rFonts w:ascii="Calibri" w:eastAsia="Times New Roman" w:hAnsi="Calibri" w:cs="Calibri"/>
          <w:kern w:val="0"/>
          <w:lang w:val="en-US"/>
          <w14:ligatures w14:val="none"/>
        </w:rPr>
        <w:t xml:space="preserve">natural gas systems, though more capital-intensive </w:t>
      </w:r>
      <w:r w:rsidRPr="0051231B">
        <w:rPr>
          <w:rFonts w:ascii="Calibri" w:eastAsia="Times New Roman" w:hAnsi="Calibri" w:cs="Calibri"/>
          <w:kern w:val="0"/>
          <w:lang w:val="en-US"/>
          <w14:ligatures w14:val="none"/>
        </w:rPr>
        <w:lastRenderedPageBreak/>
        <w:t>upfront, achieve lower long-term electricity costs due to lower fuel prices, improved thermal efficiency, and reduced</w:t>
      </w:r>
      <w:r w:rsidR="0002431A">
        <w:rPr>
          <w:rFonts w:ascii="Calibri" w:eastAsia="Times New Roman" w:hAnsi="Calibri" w:cs="Calibri"/>
          <w:kern w:val="0"/>
          <w:lang w:val="en-US"/>
          <w14:ligatures w14:val="none"/>
        </w:rPr>
        <w:t xml:space="preserve"> environmental compliance costs (Ijeoma </w:t>
      </w:r>
      <w:r w:rsidR="005D4285" w:rsidRPr="005D4285">
        <w:rPr>
          <w:rFonts w:ascii="Calibri" w:eastAsia="Times New Roman" w:hAnsi="Calibri" w:cs="Calibri"/>
          <w:i/>
          <w:kern w:val="0"/>
          <w:lang w:val="en-US"/>
          <w14:ligatures w14:val="none"/>
        </w:rPr>
        <w:t>et al</w:t>
      </w:r>
      <w:r w:rsidR="0002431A">
        <w:rPr>
          <w:rFonts w:ascii="Calibri" w:eastAsia="Times New Roman" w:hAnsi="Calibri" w:cs="Calibri"/>
          <w:kern w:val="0"/>
          <w:lang w:val="en-US"/>
          <w14:ligatures w14:val="none"/>
        </w:rPr>
        <w:t xml:space="preserve">., 2024; </w:t>
      </w:r>
      <w:r w:rsidR="0002431A" w:rsidRPr="000F6EA1">
        <w:rPr>
          <w:rFonts w:ascii="Calibri" w:hAnsi="Calibri" w:cs="Calibri"/>
        </w:rPr>
        <w:t>Yüksel</w:t>
      </w:r>
      <w:r w:rsidR="0002431A">
        <w:rPr>
          <w:rFonts w:ascii="Calibri" w:eastAsia="Times New Roman" w:hAnsi="Calibri" w:cs="Calibri"/>
          <w:kern w:val="0"/>
          <w:lang w:val="en-US"/>
          <w14:ligatures w14:val="none"/>
        </w:rPr>
        <w:t xml:space="preserve"> </w:t>
      </w:r>
      <w:r w:rsidR="005D4285" w:rsidRPr="005D4285">
        <w:rPr>
          <w:rFonts w:ascii="Calibri" w:eastAsia="Times New Roman" w:hAnsi="Calibri" w:cs="Calibri"/>
          <w:i/>
          <w:kern w:val="0"/>
          <w:lang w:val="en-US"/>
          <w14:ligatures w14:val="none"/>
        </w:rPr>
        <w:t>et al</w:t>
      </w:r>
      <w:r w:rsidR="0002431A">
        <w:rPr>
          <w:rFonts w:ascii="Calibri" w:eastAsia="Times New Roman" w:hAnsi="Calibri" w:cs="Calibri"/>
          <w:kern w:val="0"/>
          <w:lang w:val="en-US"/>
          <w14:ligatures w14:val="none"/>
        </w:rPr>
        <w:t xml:space="preserve">., 2024; </w:t>
      </w:r>
      <w:proofErr w:type="spellStart"/>
      <w:r w:rsidR="0002431A">
        <w:rPr>
          <w:rFonts w:ascii="Calibri" w:eastAsia="Times New Roman" w:hAnsi="Calibri" w:cs="Calibri"/>
          <w:kern w:val="0"/>
          <w:lang w:val="en-US"/>
          <w14:ligatures w14:val="none"/>
        </w:rPr>
        <w:t>Odhafa</w:t>
      </w:r>
      <w:proofErr w:type="spellEnd"/>
      <w:r w:rsidR="0002431A">
        <w:rPr>
          <w:rFonts w:ascii="Calibri" w:eastAsia="Times New Roman" w:hAnsi="Calibri" w:cs="Calibri"/>
          <w:kern w:val="0"/>
          <w:lang w:val="en-US"/>
          <w14:ligatures w14:val="none"/>
        </w:rPr>
        <w:t xml:space="preserve"> </w:t>
      </w:r>
      <w:r w:rsidR="005D4285" w:rsidRPr="005D4285">
        <w:rPr>
          <w:rFonts w:ascii="Calibri" w:eastAsia="Times New Roman" w:hAnsi="Calibri" w:cs="Calibri"/>
          <w:i/>
          <w:kern w:val="0"/>
          <w:lang w:val="en-US"/>
          <w14:ligatures w14:val="none"/>
        </w:rPr>
        <w:t>et al</w:t>
      </w:r>
      <w:r w:rsidR="0002431A">
        <w:rPr>
          <w:rFonts w:ascii="Calibri" w:eastAsia="Times New Roman" w:hAnsi="Calibri" w:cs="Calibri"/>
          <w:kern w:val="0"/>
          <w:lang w:val="en-US"/>
          <w14:ligatures w14:val="none"/>
        </w:rPr>
        <w:t>., 2025).</w:t>
      </w:r>
    </w:p>
    <w:p w14:paraId="518E17B5"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The diesel generator's LCOE increase from $0.9394/kWh (10% discount rate) to $1.0589/kWh (30% discount rate) represents a relatively modest 12.7% rise, indicating the dominance of high recurring operational costs that are less sensitive to financial discounting. The annual fuel cost differential ($150,000 for diesel vs. $80,000 for gas) accumulates significantly over the operational lifetime, particularly given the diesel system's shorter 15-year lifespan versus 25 years for gas. This disparity reflects both the higher per-unit energy cost of diesel fuel and the diesel engine's lower thermal efficiency, especially under partial-load conditions typical of backup power applications.</w:t>
      </w:r>
    </w:p>
    <w:p w14:paraId="53306813"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The gas generator's LCOE increase from $0.2539/kWh to $0.4086/kWh (a 60.9% rise from 10% to 30% discount rates) appears more dramatic in percentage terms but remains substantially lower in absolute terms than diesel at all discount rates. This greater sensitivity to discount rate changes reflects the capital-intensive nature of the gas system, where upfront investment represents a larger proportion of total lifecycle costs. However, even under the most conservative financial assumptions (30% discount rate), the gas system maintains significant economic advantage, demonstrating robust viability acr</w:t>
      </w:r>
      <w:r w:rsidR="002648F1">
        <w:rPr>
          <w:rFonts w:ascii="Calibri" w:eastAsia="Times New Roman" w:hAnsi="Calibri" w:cs="Calibri"/>
          <w:kern w:val="0"/>
          <w:lang w:val="en-US"/>
          <w14:ligatures w14:val="none"/>
        </w:rPr>
        <w:t>oss varying financial scenarios (US-EIA, 2025).</w:t>
      </w:r>
    </w:p>
    <w:p w14:paraId="03157B45"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The integration of RAM and LCOE findings provides a holistic assessment framework that transcends single-dimension evaluations. Organizations prioritizing absolute reliability might initially favor diesel generators due to their proven track record and widespread familiarity. However, the data demonstrates that perceived reliability advantages</w:t>
      </w:r>
      <w:r w:rsidR="00F922DF">
        <w:rPr>
          <w:rFonts w:ascii="Calibri" w:eastAsia="Times New Roman" w:hAnsi="Calibri" w:cs="Calibri"/>
          <w:kern w:val="0"/>
          <w:lang w:val="en-US"/>
          <w14:ligatures w14:val="none"/>
        </w:rPr>
        <w:t xml:space="preserve"> do not materialize in practice, </w:t>
      </w:r>
      <w:r w:rsidRPr="0051231B">
        <w:rPr>
          <w:rFonts w:ascii="Calibri" w:eastAsia="Times New Roman" w:hAnsi="Calibri" w:cs="Calibri"/>
          <w:kern w:val="0"/>
          <w:lang w:val="en-US"/>
          <w14:ligatures w14:val="none"/>
        </w:rPr>
        <w:t>the gas system achieves superior actual reliability while simultaneously delivering substantial economic benefits. This finding addresses the common decision-making bias toward established technologies and supports observation that cleaner fuel technologies, despite upfront investment requirements, offer greater immunity to volatility due to fuel flexibility and longer service lifespans</w:t>
      </w:r>
      <w:r w:rsidR="00CB5408">
        <w:rPr>
          <w:rFonts w:ascii="Calibri" w:eastAsia="Times New Roman" w:hAnsi="Calibri" w:cs="Calibri"/>
          <w:kern w:val="0"/>
          <w:lang w:val="en-US"/>
          <w14:ligatures w14:val="none"/>
        </w:rPr>
        <w:t xml:space="preserve"> (</w:t>
      </w:r>
      <w:r w:rsidR="002648F1">
        <w:rPr>
          <w:rFonts w:ascii="Calibri" w:eastAsia="Times New Roman" w:hAnsi="Calibri" w:cs="Calibri"/>
          <w:kern w:val="0"/>
          <w:lang w:val="en-US"/>
          <w14:ligatures w14:val="none"/>
        </w:rPr>
        <w:t xml:space="preserve">Oliveira Barbosa </w:t>
      </w:r>
      <w:r w:rsidR="005D4285" w:rsidRPr="005D4285">
        <w:rPr>
          <w:rFonts w:ascii="Calibri" w:eastAsia="Times New Roman" w:hAnsi="Calibri" w:cs="Calibri"/>
          <w:i/>
          <w:kern w:val="0"/>
          <w:lang w:val="en-US"/>
          <w14:ligatures w14:val="none"/>
        </w:rPr>
        <w:t>et al</w:t>
      </w:r>
      <w:r w:rsidR="002648F1">
        <w:rPr>
          <w:rFonts w:ascii="Calibri" w:eastAsia="Times New Roman" w:hAnsi="Calibri" w:cs="Calibri"/>
          <w:kern w:val="0"/>
          <w:lang w:val="en-US"/>
          <w14:ligatures w14:val="none"/>
        </w:rPr>
        <w:t>., 2023</w:t>
      </w:r>
      <w:r w:rsidR="0075415C">
        <w:rPr>
          <w:rFonts w:ascii="Calibri" w:eastAsia="Times New Roman" w:hAnsi="Calibri" w:cs="Calibri"/>
          <w:kern w:val="0"/>
          <w:lang w:val="en-US"/>
          <w14:ligatures w14:val="none"/>
        </w:rPr>
        <w:t xml:space="preserve">; Hai </w:t>
      </w:r>
      <w:r w:rsidR="005D4285" w:rsidRPr="005D4285">
        <w:rPr>
          <w:rFonts w:ascii="Calibri" w:eastAsia="Times New Roman" w:hAnsi="Calibri" w:cs="Calibri"/>
          <w:i/>
          <w:kern w:val="0"/>
          <w:lang w:val="en-US"/>
          <w14:ligatures w14:val="none"/>
        </w:rPr>
        <w:t>et al</w:t>
      </w:r>
      <w:r w:rsidR="0075415C">
        <w:rPr>
          <w:rFonts w:ascii="Calibri" w:eastAsia="Times New Roman" w:hAnsi="Calibri" w:cs="Calibri"/>
          <w:kern w:val="0"/>
          <w:lang w:val="en-US"/>
          <w14:ligatures w14:val="none"/>
        </w:rPr>
        <w:t xml:space="preserve">., 2025; </w:t>
      </w:r>
      <w:proofErr w:type="spellStart"/>
      <w:r w:rsidR="0075415C">
        <w:rPr>
          <w:rFonts w:ascii="Calibri" w:eastAsia="Times New Roman" w:hAnsi="Calibri" w:cs="Calibri"/>
          <w:kern w:val="0"/>
          <w:lang w:val="en-US"/>
          <w14:ligatures w14:val="none"/>
        </w:rPr>
        <w:t>Odhafa</w:t>
      </w:r>
      <w:proofErr w:type="spellEnd"/>
      <w:r w:rsidR="0075415C">
        <w:rPr>
          <w:rFonts w:ascii="Calibri" w:eastAsia="Times New Roman" w:hAnsi="Calibri" w:cs="Calibri"/>
          <w:kern w:val="0"/>
          <w:lang w:val="en-US"/>
          <w14:ligatures w14:val="none"/>
        </w:rPr>
        <w:t xml:space="preserve"> </w:t>
      </w:r>
      <w:r w:rsidR="005D4285" w:rsidRPr="005D4285">
        <w:rPr>
          <w:rFonts w:ascii="Calibri" w:eastAsia="Times New Roman" w:hAnsi="Calibri" w:cs="Calibri"/>
          <w:i/>
          <w:kern w:val="0"/>
          <w:lang w:val="en-US"/>
          <w14:ligatures w14:val="none"/>
        </w:rPr>
        <w:t>et al</w:t>
      </w:r>
      <w:r w:rsidR="0075415C">
        <w:rPr>
          <w:rFonts w:ascii="Calibri" w:eastAsia="Times New Roman" w:hAnsi="Calibri" w:cs="Calibri"/>
          <w:kern w:val="0"/>
          <w:lang w:val="en-US"/>
          <w14:ligatures w14:val="none"/>
        </w:rPr>
        <w:t>., 2025).</w:t>
      </w:r>
    </w:p>
    <w:p w14:paraId="6A26BBCA"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lastRenderedPageBreak/>
        <w:t>From a practical deployment perspective, the findings suggest different optimal applications for each technology. The diesel generator's lower capital cost and operational simplicity make it potentially suitable for temporary installations, emergency backup applications with infrequent use, or locations completely lacking gas infrastructure. However, for c</w:t>
      </w:r>
      <w:r w:rsidR="00E64D0E">
        <w:rPr>
          <w:rFonts w:ascii="Calibri" w:eastAsia="Times New Roman" w:hAnsi="Calibri" w:cs="Calibri"/>
          <w:kern w:val="0"/>
          <w:lang w:val="en-US"/>
          <w14:ligatures w14:val="none"/>
        </w:rPr>
        <w:t xml:space="preserve">ontinuous or frequent operation, </w:t>
      </w:r>
      <w:r w:rsidRPr="0051231B">
        <w:rPr>
          <w:rFonts w:ascii="Calibri" w:eastAsia="Times New Roman" w:hAnsi="Calibri" w:cs="Calibri"/>
          <w:kern w:val="0"/>
          <w:lang w:val="en-US"/>
          <w14:ligatures w14:val="none"/>
        </w:rPr>
        <w:t xml:space="preserve">as required for telecommunication base stations in </w:t>
      </w:r>
      <w:r w:rsidR="00E64D0E">
        <w:rPr>
          <w:rFonts w:ascii="Calibri" w:eastAsia="Times New Roman" w:hAnsi="Calibri" w:cs="Calibri"/>
          <w:kern w:val="0"/>
          <w:lang w:val="en-US"/>
          <w14:ligatures w14:val="none"/>
        </w:rPr>
        <w:t xml:space="preserve">areas with unstable grid supply, </w:t>
      </w:r>
      <w:r w:rsidRPr="0051231B">
        <w:rPr>
          <w:rFonts w:ascii="Calibri" w:eastAsia="Times New Roman" w:hAnsi="Calibri" w:cs="Calibri"/>
          <w:kern w:val="0"/>
          <w:lang w:val="en-US"/>
          <w14:ligatures w14:val="none"/>
        </w:rPr>
        <w:t>the gas generator represents the economically and technically superior choice.</w:t>
      </w:r>
    </w:p>
    <w:p w14:paraId="6AFF174A"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The study's findings carry significant implications for telecommunications infrastructure planning in developing economies, particularly Nigeria. The country's vast natural gas reserves and ongoing gas infrastructure development create favorable conditions for expanded gas generator deployment. The economic advantages demonstrated here</w:t>
      </w:r>
      <w:r w:rsidR="00E64D0E">
        <w:rPr>
          <w:rFonts w:ascii="Calibri" w:eastAsia="Times New Roman" w:hAnsi="Calibri" w:cs="Calibri"/>
          <w:kern w:val="0"/>
          <w:lang w:val="en-US"/>
          <w14:ligatures w14:val="none"/>
        </w:rPr>
        <w:t xml:space="preserve">, </w:t>
      </w:r>
      <w:r w:rsidRPr="0051231B">
        <w:rPr>
          <w:rFonts w:ascii="Calibri" w:eastAsia="Times New Roman" w:hAnsi="Calibri" w:cs="Calibri"/>
          <w:kern w:val="0"/>
          <w:lang w:val="en-US"/>
          <w14:ligatures w14:val="none"/>
        </w:rPr>
        <w:t>combined with environmental benefits from reduced emissions</w:t>
      </w:r>
      <w:r w:rsidR="00E64D0E">
        <w:rPr>
          <w:rFonts w:ascii="Calibri" w:eastAsia="Times New Roman" w:hAnsi="Calibri" w:cs="Calibri"/>
          <w:kern w:val="0"/>
          <w:lang w:val="en-US"/>
          <w14:ligatures w14:val="none"/>
        </w:rPr>
        <w:t xml:space="preserve">, </w:t>
      </w:r>
      <w:r w:rsidRPr="0051231B">
        <w:rPr>
          <w:rFonts w:ascii="Calibri" w:eastAsia="Times New Roman" w:hAnsi="Calibri" w:cs="Calibri"/>
          <w:kern w:val="0"/>
          <w:lang w:val="en-US"/>
          <w14:ligatures w14:val="none"/>
        </w:rPr>
        <w:t>align with Nigeria's National Energy Transition Plan and global ESG commitments increasingly important to telecommunications operators and their investors.</w:t>
      </w:r>
    </w:p>
    <w:p w14:paraId="572D59BB" w14:textId="77777777" w:rsidR="0051231B" w:rsidRPr="0051231B" w:rsidRDefault="0051231B" w:rsidP="0051231B">
      <w:pPr>
        <w:spacing w:after="0" w:line="360" w:lineRule="auto"/>
        <w:jc w:val="both"/>
        <w:rPr>
          <w:rFonts w:ascii="Calibri" w:eastAsia="Times New Roman" w:hAnsi="Calibri" w:cs="Calibri"/>
          <w:kern w:val="0"/>
          <w:lang w:val="en-US"/>
          <w14:ligatures w14:val="none"/>
        </w:rPr>
      </w:pPr>
    </w:p>
    <w:p w14:paraId="01D851D9" w14:textId="77777777" w:rsidR="0051231B" w:rsidRPr="00FE6643" w:rsidRDefault="00FE6643" w:rsidP="00E64D0E">
      <w:pPr>
        <w:spacing w:before="100" w:beforeAutospacing="1" w:after="100" w:afterAutospacing="1" w:line="360" w:lineRule="auto"/>
        <w:jc w:val="both"/>
        <w:outlineLvl w:val="1"/>
        <w:rPr>
          <w:rFonts w:ascii="Calibri" w:eastAsia="Times New Roman" w:hAnsi="Calibri" w:cs="Calibri"/>
          <w:b/>
          <w:bCs/>
          <w:kern w:val="0"/>
          <w:lang w:val="en-US"/>
          <w14:ligatures w14:val="none"/>
        </w:rPr>
      </w:pPr>
      <w:r w:rsidRPr="00FE6643">
        <w:rPr>
          <w:rFonts w:ascii="Calibri" w:eastAsia="Times New Roman" w:hAnsi="Calibri" w:cs="Calibri"/>
          <w:b/>
          <w:bCs/>
          <w:kern w:val="0"/>
          <w:lang w:val="en-US"/>
          <w14:ligatures w14:val="none"/>
        </w:rPr>
        <w:t>CONCLUSION</w:t>
      </w:r>
    </w:p>
    <w:p w14:paraId="62C8AF6C" w14:textId="77777777" w:rsidR="0051231B" w:rsidRP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This comparative analysis of the CAT C-15 Diesel Generator and CAT G3516 Natural Gas Generator provides empirical evidence of the technical and economic superiority of gas-powered systems for telecommunication base station applications. The gas generator demonstrated higher reliability through superior MTBF values, lower failure rates, and better component-level performance across all major subsystems. The economic analysis revealed dramatically lower LCOE values for the gas system across all discount rates tested, with the advantage stemming from lower operational costs, longer equipment lifespan, and higher generation capacity despite higher initial capital investment.</w:t>
      </w:r>
    </w:p>
    <w:p w14:paraId="47FEA7EA" w14:textId="77777777" w:rsidR="0051231B"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51231B">
        <w:rPr>
          <w:rFonts w:ascii="Calibri" w:eastAsia="Times New Roman" w:hAnsi="Calibri" w:cs="Calibri"/>
          <w:kern w:val="0"/>
          <w:lang w:val="en-US"/>
          <w14:ligatures w14:val="none"/>
        </w:rPr>
        <w:t xml:space="preserve">The findings support strategic transition from diesel to gas-powered generation systems in telecommunications infrastructure, particularly in regions with accessible gas supply infrastructure. This transition offers dual benefits: improved operational reliability with reduced downtime and maintenance requirements, and substantial lifecycle cost reductions that enhance long-term financial sustainability. As telecommunications operators </w:t>
      </w:r>
      <w:r w:rsidRPr="0051231B">
        <w:rPr>
          <w:rFonts w:ascii="Calibri" w:eastAsia="Times New Roman" w:hAnsi="Calibri" w:cs="Calibri"/>
          <w:kern w:val="0"/>
          <w:lang w:val="en-US"/>
          <w14:ligatures w14:val="none"/>
        </w:rPr>
        <w:lastRenderedPageBreak/>
        <w:t>increasingly prioritize both operational excellence and environmental responsibility, gas generator systems represent an optimal solution that achieves superior performance across technical, economic, and sustainability dimensions.</w:t>
      </w:r>
    </w:p>
    <w:p w14:paraId="78360654" w14:textId="77777777" w:rsidR="00614D23" w:rsidRPr="00614D23" w:rsidRDefault="00614D23" w:rsidP="00614D23">
      <w:pPr>
        <w:spacing w:before="100" w:beforeAutospacing="1" w:after="100" w:afterAutospacing="1" w:line="360" w:lineRule="auto"/>
        <w:jc w:val="both"/>
        <w:rPr>
          <w:rFonts w:ascii="Calibri" w:eastAsia="Times New Roman" w:hAnsi="Calibri" w:cs="Calibri"/>
          <w:kern w:val="0"/>
          <w:lang w:val="en-US"/>
          <w14:ligatures w14:val="none"/>
        </w:rPr>
      </w:pPr>
      <w:r w:rsidRPr="00614D23">
        <w:rPr>
          <w:rFonts w:ascii="Calibri" w:eastAsia="Times New Roman" w:hAnsi="Calibri" w:cs="Calibri"/>
          <w:kern w:val="0"/>
          <w:lang w:val="en-US"/>
          <w14:ligatures w14:val="none"/>
        </w:rPr>
        <w:t>COMPETING INTERESTS DISCLAIMER:</w:t>
      </w:r>
    </w:p>
    <w:p w14:paraId="5D48ECD7" w14:textId="4B9DCDB5" w:rsidR="00614D23" w:rsidRPr="0051231B" w:rsidRDefault="00614D23" w:rsidP="00614D23">
      <w:pPr>
        <w:spacing w:before="100" w:beforeAutospacing="1" w:after="100" w:afterAutospacing="1" w:line="360" w:lineRule="auto"/>
        <w:jc w:val="both"/>
        <w:rPr>
          <w:rFonts w:ascii="Calibri" w:eastAsia="Times New Roman" w:hAnsi="Calibri" w:cs="Calibri"/>
          <w:kern w:val="0"/>
          <w:lang w:val="en-US"/>
          <w14:ligatures w14:val="none"/>
        </w:rPr>
      </w:pPr>
      <w:r w:rsidRPr="00614D23">
        <w:rPr>
          <w:rFonts w:ascii="Calibri" w:eastAsia="Times New Roman" w:hAnsi="Calibri" w:cs="Calibri"/>
          <w:kern w:val="0"/>
          <w:lang w:val="en-US"/>
          <w14:ligatures w14:val="none"/>
        </w:rPr>
        <w:t>Authors have declared that they have no known competing financial interests OR non-financial interests OR personal relationships that could have appeared to influence the work reported in this paper.</w:t>
      </w:r>
    </w:p>
    <w:p w14:paraId="0F7C9926" w14:textId="77777777" w:rsidR="0051231B" w:rsidRPr="0051231B" w:rsidRDefault="0051231B" w:rsidP="0051231B">
      <w:pPr>
        <w:spacing w:after="0" w:line="360" w:lineRule="auto"/>
        <w:jc w:val="both"/>
        <w:rPr>
          <w:rFonts w:ascii="Calibri" w:eastAsia="Times New Roman" w:hAnsi="Calibri" w:cs="Calibri"/>
          <w:kern w:val="0"/>
          <w:lang w:val="en-US"/>
          <w14:ligatures w14:val="none"/>
        </w:rPr>
      </w:pPr>
    </w:p>
    <w:p w14:paraId="3A0BF1D0" w14:textId="77777777" w:rsidR="0051231B" w:rsidRPr="00E64D0E" w:rsidRDefault="00FE6643" w:rsidP="0051231B">
      <w:pPr>
        <w:spacing w:before="100" w:beforeAutospacing="1" w:after="100" w:afterAutospacing="1" w:line="360" w:lineRule="auto"/>
        <w:jc w:val="both"/>
        <w:outlineLvl w:val="1"/>
        <w:rPr>
          <w:rFonts w:ascii="Calibri" w:eastAsia="Times New Roman" w:hAnsi="Calibri" w:cs="Calibri"/>
          <w:b/>
          <w:bCs/>
          <w:kern w:val="0"/>
          <w:lang w:val="en-US"/>
          <w14:ligatures w14:val="none"/>
        </w:rPr>
      </w:pPr>
      <w:r w:rsidRPr="00E64D0E">
        <w:rPr>
          <w:rFonts w:ascii="Calibri" w:eastAsia="Times New Roman" w:hAnsi="Calibri" w:cs="Calibri"/>
          <w:b/>
          <w:bCs/>
          <w:kern w:val="0"/>
          <w:lang w:val="en-US"/>
          <w14:ligatures w14:val="none"/>
        </w:rPr>
        <w:t>REFERENCES</w:t>
      </w:r>
    </w:p>
    <w:p w14:paraId="77489C70" w14:textId="77777777" w:rsidR="003D44D2" w:rsidRPr="00963B1D" w:rsidRDefault="003D44D2" w:rsidP="003D44D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eastAsia="Times New Roman" w:hAnsi="Calibri" w:cs="Calibri"/>
          <w:bCs/>
          <w:color w:val="000000" w:themeColor="text1"/>
          <w:kern w:val="0"/>
          <w14:ligatures w14:val="none"/>
        </w:rPr>
        <w:t xml:space="preserve">Cabrera-Tobar, A., Sánchez-Lozano, J. M., García-Cascales, M. S., &amp; Molina-Garcia, A. (2025). Adaptive energy management system for green and reliable telecommunication base stations. </w:t>
      </w:r>
      <w:r w:rsidRPr="00963B1D">
        <w:rPr>
          <w:rFonts w:ascii="Calibri" w:eastAsia="Times New Roman" w:hAnsi="Calibri" w:cs="Calibri"/>
          <w:bCs/>
          <w:i/>
          <w:iCs/>
          <w:color w:val="000000" w:themeColor="text1"/>
          <w:kern w:val="0"/>
          <w14:ligatures w14:val="none"/>
        </w:rPr>
        <w:t>Energies, 18</w:t>
      </w:r>
      <w:r w:rsidRPr="00963B1D">
        <w:rPr>
          <w:rFonts w:ascii="Calibri" w:eastAsia="Times New Roman" w:hAnsi="Calibri" w:cs="Calibri"/>
          <w:bCs/>
          <w:color w:val="000000" w:themeColor="text1"/>
          <w:kern w:val="0"/>
          <w14:ligatures w14:val="none"/>
        </w:rPr>
        <w:t>, 6115. https://doi.org/10.3390/en18236115</w:t>
      </w:r>
    </w:p>
    <w:p w14:paraId="37A679C3" w14:textId="77777777" w:rsidR="003D44D2" w:rsidRPr="00963B1D" w:rsidRDefault="003D44D2" w:rsidP="0051231B">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eastAsia="Times New Roman" w:hAnsi="Calibri" w:cs="Calibri"/>
          <w:bCs/>
          <w:color w:val="000000" w:themeColor="text1"/>
          <w:kern w:val="0"/>
          <w14:ligatures w14:val="none"/>
        </w:rPr>
        <w:t xml:space="preserve">Gómez-Luna, Eduardo, Palacios, M. A., &amp; Vasquez, J. C. (2025). </w:t>
      </w:r>
      <w:r w:rsidRPr="00963B1D">
        <w:rPr>
          <w:rFonts w:ascii="Calibri" w:eastAsia="Times New Roman" w:hAnsi="Calibri" w:cs="Calibri"/>
          <w:bCs/>
          <w:i/>
          <w:iCs/>
          <w:color w:val="000000" w:themeColor="text1"/>
          <w:kern w:val="0"/>
          <w14:ligatures w14:val="none"/>
        </w:rPr>
        <w:t>New Microgrid Architectures for Telecommunication Base Stations in Non-Interconnected Zones: A Colombian Case Study</w:t>
      </w:r>
      <w:r w:rsidRPr="00963B1D">
        <w:rPr>
          <w:rFonts w:ascii="Calibri" w:eastAsia="Times New Roman" w:hAnsi="Calibri" w:cs="Calibri"/>
          <w:bCs/>
          <w:color w:val="000000" w:themeColor="text1"/>
          <w:kern w:val="0"/>
          <w14:ligatures w14:val="none"/>
        </w:rPr>
        <w:t xml:space="preserve">. </w:t>
      </w:r>
      <w:r w:rsidRPr="00963B1D">
        <w:rPr>
          <w:rFonts w:ascii="Calibri" w:eastAsia="Times New Roman" w:hAnsi="Calibri" w:cs="Calibri"/>
          <w:bCs/>
          <w:i/>
          <w:iCs/>
          <w:color w:val="000000" w:themeColor="text1"/>
          <w:kern w:val="0"/>
          <w14:ligatures w14:val="none"/>
        </w:rPr>
        <w:t>Energies, 18</w:t>
      </w:r>
      <w:r w:rsidRPr="00963B1D">
        <w:rPr>
          <w:rFonts w:ascii="Calibri" w:eastAsia="Times New Roman" w:hAnsi="Calibri" w:cs="Calibri"/>
          <w:bCs/>
          <w:color w:val="000000" w:themeColor="text1"/>
          <w:kern w:val="0"/>
          <w14:ligatures w14:val="none"/>
        </w:rPr>
        <w:t xml:space="preserve">, 5499. </w:t>
      </w:r>
      <w:r w:rsidRPr="00963B1D">
        <w:rPr>
          <w:rFonts w:ascii="Calibri" w:hAnsi="Calibri" w:cs="Calibri"/>
          <w:color w:val="000000" w:themeColor="text1"/>
        </w:rPr>
        <w:t>https://doi.org/10.3390/en18205499</w:t>
      </w:r>
    </w:p>
    <w:p w14:paraId="0899F819" w14:textId="77777777" w:rsidR="00E64D0E" w:rsidRPr="00963B1D" w:rsidRDefault="000E1AEA" w:rsidP="0051231B">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hAnsi="Calibri" w:cs="Calibri"/>
          <w:color w:val="000000" w:themeColor="text1"/>
        </w:rPr>
        <w:t xml:space="preserve">Allen, O., &amp; Kofi, O. (2024). </w:t>
      </w:r>
      <w:r w:rsidRPr="00963B1D">
        <w:rPr>
          <w:rStyle w:val="Emphasis"/>
          <w:rFonts w:ascii="Calibri" w:hAnsi="Calibri" w:cs="Calibri"/>
          <w:i w:val="0"/>
          <w:color w:val="000000" w:themeColor="text1"/>
        </w:rPr>
        <w:t>The Importance of Renewable Energy for Telecommunications Base Stations</w:t>
      </w:r>
      <w:r w:rsidRPr="00963B1D">
        <w:rPr>
          <w:rFonts w:ascii="Calibri" w:hAnsi="Calibri" w:cs="Calibri"/>
          <w:i/>
          <w:color w:val="000000" w:themeColor="text1"/>
        </w:rPr>
        <w:t>.</w:t>
      </w:r>
      <w:r w:rsidRPr="00963B1D">
        <w:rPr>
          <w:rFonts w:ascii="Calibri" w:hAnsi="Calibri" w:cs="Calibri"/>
          <w:color w:val="000000" w:themeColor="text1"/>
        </w:rPr>
        <w:t xml:space="preserve"> International Journal of Research and Innovation in Social Science. </w:t>
      </w:r>
      <w:r w:rsidRPr="00963B1D">
        <w:rPr>
          <w:rFonts w:ascii="Calibri" w:eastAsia="Times New Roman" w:hAnsi="Calibri" w:cs="Calibri"/>
          <w:bCs/>
          <w:color w:val="000000" w:themeColor="text1"/>
          <w:kern w:val="0"/>
          <w:lang w:val="en-US"/>
          <w14:ligatures w14:val="none"/>
        </w:rPr>
        <w:t>IJRISS, 3363-3369. https://</w:t>
      </w:r>
      <w:hyperlink r:id="rId14" w:history="1">
        <w:r w:rsidRPr="00963B1D">
          <w:rPr>
            <w:rStyle w:val="Hyperlink"/>
            <w:rFonts w:ascii="Calibri" w:eastAsia="Times New Roman" w:hAnsi="Calibri" w:cs="Calibri"/>
            <w:bCs/>
            <w:color w:val="000000" w:themeColor="text1"/>
            <w:kern w:val="0"/>
            <w:u w:val="none"/>
            <w14:ligatures w14:val="none"/>
          </w:rPr>
          <w:t>doi.org/10.47772/IJRISS.2024.807256</w:t>
        </w:r>
      </w:hyperlink>
    </w:p>
    <w:p w14:paraId="15CF8AC9" w14:textId="77777777" w:rsidR="00E64D0E" w:rsidRPr="00963B1D" w:rsidRDefault="00602114" w:rsidP="00602114">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963B1D">
        <w:rPr>
          <w:rFonts w:ascii="Calibri" w:hAnsi="Calibri" w:cs="Calibri"/>
          <w:color w:val="000000" w:themeColor="text1"/>
        </w:rPr>
        <w:t>Tchike</w:t>
      </w:r>
      <w:proofErr w:type="spellEnd"/>
      <w:r w:rsidRPr="00963B1D">
        <w:rPr>
          <w:rFonts w:ascii="Calibri" w:hAnsi="Calibri" w:cs="Calibri"/>
          <w:color w:val="000000" w:themeColor="text1"/>
        </w:rPr>
        <w:t xml:space="preserve"> S. M., </w:t>
      </w:r>
      <w:proofErr w:type="spellStart"/>
      <w:r w:rsidRPr="00963B1D">
        <w:rPr>
          <w:rFonts w:ascii="Calibri" w:hAnsi="Calibri" w:cs="Calibri"/>
          <w:color w:val="000000" w:themeColor="text1"/>
        </w:rPr>
        <w:t>Chetangny</w:t>
      </w:r>
      <w:proofErr w:type="spellEnd"/>
      <w:r w:rsidRPr="00963B1D">
        <w:rPr>
          <w:rFonts w:ascii="Calibri" w:hAnsi="Calibri" w:cs="Calibri"/>
          <w:color w:val="000000" w:themeColor="text1"/>
        </w:rPr>
        <w:t xml:space="preserve"> P. K., </w:t>
      </w:r>
      <w:proofErr w:type="spellStart"/>
      <w:r w:rsidRPr="00963B1D">
        <w:rPr>
          <w:rFonts w:ascii="Calibri" w:hAnsi="Calibri" w:cs="Calibri"/>
          <w:color w:val="000000" w:themeColor="text1"/>
        </w:rPr>
        <w:t>Zogbochi</w:t>
      </w:r>
      <w:proofErr w:type="spellEnd"/>
      <w:r w:rsidRPr="00963B1D">
        <w:rPr>
          <w:rFonts w:ascii="Calibri" w:hAnsi="Calibri" w:cs="Calibri"/>
          <w:color w:val="000000" w:themeColor="text1"/>
        </w:rPr>
        <w:t xml:space="preserve"> V., </w:t>
      </w:r>
      <w:proofErr w:type="spellStart"/>
      <w:r w:rsidRPr="00963B1D">
        <w:rPr>
          <w:rFonts w:ascii="Calibri" w:hAnsi="Calibri" w:cs="Calibri"/>
          <w:color w:val="000000" w:themeColor="text1"/>
        </w:rPr>
        <w:t>Agbomahena</w:t>
      </w:r>
      <w:proofErr w:type="spellEnd"/>
      <w:r w:rsidRPr="00963B1D">
        <w:rPr>
          <w:rFonts w:ascii="Calibri" w:hAnsi="Calibri" w:cs="Calibri"/>
          <w:color w:val="000000" w:themeColor="text1"/>
        </w:rPr>
        <w:t xml:space="preserve"> B. M., </w:t>
      </w:r>
      <w:proofErr w:type="spellStart"/>
      <w:r w:rsidRPr="00963B1D">
        <w:rPr>
          <w:rFonts w:ascii="Calibri" w:hAnsi="Calibri" w:cs="Calibri"/>
          <w:color w:val="000000" w:themeColor="text1"/>
        </w:rPr>
        <w:t>Aredjodoun</w:t>
      </w:r>
      <w:proofErr w:type="spellEnd"/>
      <w:r w:rsidRPr="00963B1D">
        <w:rPr>
          <w:rFonts w:ascii="Calibri" w:hAnsi="Calibri" w:cs="Calibri"/>
          <w:color w:val="000000" w:themeColor="text1"/>
        </w:rPr>
        <w:t xml:space="preserve"> J., </w:t>
      </w:r>
      <w:proofErr w:type="spellStart"/>
      <w:r w:rsidRPr="00963B1D">
        <w:rPr>
          <w:rFonts w:ascii="Calibri" w:hAnsi="Calibri" w:cs="Calibri"/>
          <w:color w:val="000000" w:themeColor="text1"/>
        </w:rPr>
        <w:t>Hounnou</w:t>
      </w:r>
      <w:proofErr w:type="spellEnd"/>
      <w:r w:rsidRPr="00963B1D">
        <w:rPr>
          <w:rFonts w:ascii="Calibri" w:hAnsi="Calibri" w:cs="Calibri"/>
          <w:color w:val="000000" w:themeColor="text1"/>
        </w:rPr>
        <w:t xml:space="preserve"> H. A. J., </w:t>
      </w:r>
      <w:proofErr w:type="spellStart"/>
      <w:r w:rsidRPr="00963B1D">
        <w:rPr>
          <w:rFonts w:ascii="Calibri" w:hAnsi="Calibri" w:cs="Calibri"/>
          <w:color w:val="000000" w:themeColor="text1"/>
        </w:rPr>
        <w:t>Houndedako</w:t>
      </w:r>
      <w:proofErr w:type="spellEnd"/>
      <w:r w:rsidRPr="00963B1D">
        <w:rPr>
          <w:rFonts w:ascii="Calibri" w:hAnsi="Calibri" w:cs="Calibri"/>
          <w:color w:val="000000" w:themeColor="text1"/>
        </w:rPr>
        <w:t xml:space="preserve"> S., Barbier G., &amp; </w:t>
      </w:r>
      <w:proofErr w:type="spellStart"/>
      <w:r w:rsidRPr="00963B1D">
        <w:rPr>
          <w:rFonts w:ascii="Calibri" w:hAnsi="Calibri" w:cs="Calibri"/>
          <w:color w:val="000000" w:themeColor="text1"/>
        </w:rPr>
        <w:t>Chamagne</w:t>
      </w:r>
      <w:proofErr w:type="spellEnd"/>
      <w:r w:rsidRPr="00963B1D">
        <w:rPr>
          <w:rFonts w:ascii="Calibri" w:hAnsi="Calibri" w:cs="Calibri"/>
          <w:color w:val="000000" w:themeColor="text1"/>
        </w:rPr>
        <w:t xml:space="preserve"> D., (2024). Techno-Economic, Environmental and Efficiency Improvement of Telecom Base Transceiver Station Power Supply by Integrating Renewable Energies: The Case of Solar PV in Benin. Journal of Electrical Systems, 20-3, 4298-4313</w:t>
      </w:r>
    </w:p>
    <w:p w14:paraId="560C013B" w14:textId="77777777" w:rsidR="00E64D0E" w:rsidRPr="00963B1D" w:rsidRDefault="00602114" w:rsidP="00602114">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963B1D">
        <w:rPr>
          <w:rFonts w:ascii="Calibri" w:hAnsi="Calibri" w:cs="Calibri"/>
          <w:color w:val="000000" w:themeColor="text1"/>
        </w:rPr>
        <w:t>Ikegwuonu</w:t>
      </w:r>
      <w:proofErr w:type="spellEnd"/>
      <w:r w:rsidRPr="00963B1D">
        <w:rPr>
          <w:rFonts w:ascii="Calibri" w:hAnsi="Calibri" w:cs="Calibri"/>
          <w:color w:val="000000" w:themeColor="text1"/>
        </w:rPr>
        <w:t xml:space="preserve"> E., Ighodaro O., </w:t>
      </w:r>
      <w:proofErr w:type="spellStart"/>
      <w:r w:rsidRPr="00963B1D">
        <w:rPr>
          <w:rFonts w:ascii="Calibri" w:hAnsi="Calibri" w:cs="Calibri"/>
          <w:color w:val="000000" w:themeColor="text1"/>
        </w:rPr>
        <w:t>Airhiomwauhimwen</w:t>
      </w:r>
      <w:proofErr w:type="spellEnd"/>
      <w:r w:rsidRPr="00963B1D">
        <w:rPr>
          <w:rFonts w:ascii="Calibri" w:hAnsi="Calibri" w:cs="Calibri"/>
          <w:color w:val="000000" w:themeColor="text1"/>
        </w:rPr>
        <w:t xml:space="preserve"> O., </w:t>
      </w:r>
      <w:proofErr w:type="spellStart"/>
      <w:r w:rsidRPr="00963B1D">
        <w:rPr>
          <w:rFonts w:ascii="Calibri" w:hAnsi="Calibri" w:cs="Calibri"/>
          <w:color w:val="000000" w:themeColor="text1"/>
        </w:rPr>
        <w:t>Afinotan</w:t>
      </w:r>
      <w:proofErr w:type="spellEnd"/>
      <w:r w:rsidRPr="00963B1D">
        <w:rPr>
          <w:rFonts w:ascii="Calibri" w:hAnsi="Calibri" w:cs="Calibri"/>
          <w:color w:val="000000" w:themeColor="text1"/>
        </w:rPr>
        <w:t xml:space="preserve"> O., Idahosa L., &amp; Oboh A., (2025). Optimal Sizing, Techno-Economic, and Environmental Impact Assessment of Hybrid Renewable Energy Integration for Powering Telecommunication Infrastructure </w:t>
      </w:r>
      <w:r w:rsidRPr="00963B1D">
        <w:rPr>
          <w:rFonts w:ascii="Calibri" w:hAnsi="Calibri" w:cs="Calibri"/>
          <w:color w:val="000000" w:themeColor="text1"/>
        </w:rPr>
        <w:lastRenderedPageBreak/>
        <w:t>in a Nigerian Tertiary Institution. Journal of Energy Technology and Environment, 7, 218-235.</w:t>
      </w:r>
    </w:p>
    <w:p w14:paraId="259827D3" w14:textId="77777777" w:rsidR="00E64D0E" w:rsidRPr="00963B1D" w:rsidRDefault="00F620E5" w:rsidP="00602114">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hAnsi="Calibri" w:cs="Calibri"/>
          <w:bCs/>
          <w:color w:val="000000" w:themeColor="text1"/>
        </w:rPr>
        <w:t xml:space="preserve">The Guardian Nigeria. (2025, June 10). </w:t>
      </w:r>
      <w:r w:rsidRPr="00963B1D">
        <w:rPr>
          <w:rFonts w:ascii="Calibri" w:hAnsi="Calibri" w:cs="Calibri"/>
          <w:bCs/>
          <w:i/>
          <w:iCs/>
          <w:color w:val="000000" w:themeColor="text1"/>
        </w:rPr>
        <w:t>Nigeria’s telecom firms spend $350m yearly on diesel to power operations</w:t>
      </w:r>
      <w:r w:rsidRPr="00963B1D">
        <w:rPr>
          <w:rFonts w:ascii="Calibri" w:hAnsi="Calibri" w:cs="Calibri"/>
          <w:bCs/>
          <w:color w:val="000000" w:themeColor="text1"/>
        </w:rPr>
        <w:t xml:space="preserve">. </w:t>
      </w:r>
      <w:hyperlink r:id="rId15" w:tgtFrame="_new" w:history="1">
        <w:r w:rsidRPr="00963B1D">
          <w:rPr>
            <w:rStyle w:val="Hyperlink"/>
            <w:rFonts w:ascii="Calibri" w:hAnsi="Calibri" w:cs="Calibri"/>
            <w:bCs/>
            <w:color w:val="000000" w:themeColor="text1"/>
            <w:u w:val="none"/>
          </w:rPr>
          <w:t>https://guardian.ng/technology/nigerias-telecom-firms-spend-350m-yearly-on-diesel-to-power-operations</w:t>
        </w:r>
      </w:hyperlink>
    </w:p>
    <w:p w14:paraId="593C9900" w14:textId="77777777" w:rsidR="00E64D0E" w:rsidRPr="00963B1D" w:rsidRDefault="00602114" w:rsidP="00602114">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963B1D">
        <w:rPr>
          <w:rFonts w:ascii="Calibri" w:hAnsi="Calibri" w:cs="Calibri"/>
          <w:color w:val="000000" w:themeColor="text1"/>
          <w:lang w:val="en-US"/>
        </w:rPr>
        <w:t>Oviroh</w:t>
      </w:r>
      <w:proofErr w:type="spellEnd"/>
      <w:r w:rsidRPr="00963B1D">
        <w:rPr>
          <w:rFonts w:ascii="Calibri" w:hAnsi="Calibri" w:cs="Calibri"/>
          <w:color w:val="000000" w:themeColor="text1"/>
          <w:lang w:val="en-US"/>
        </w:rPr>
        <w:t xml:space="preserve"> P. O., &amp; Jen T-C., (2018). </w:t>
      </w:r>
      <w:r w:rsidRPr="00963B1D">
        <w:rPr>
          <w:rFonts w:ascii="Calibri" w:hAnsi="Calibri" w:cs="Calibri"/>
          <w:bCs/>
          <w:color w:val="000000" w:themeColor="text1"/>
        </w:rPr>
        <w:t>The Energy Cost Analysis of Hybrid Systems and Diesel Generators in Powering Selected Base Transceiver Station Locations in Nigeria. Energies, 11, 687</w:t>
      </w:r>
      <w:r w:rsidRPr="00963B1D">
        <w:rPr>
          <w:rFonts w:ascii="Calibri" w:hAnsi="Calibri" w:cs="Calibri"/>
          <w:b/>
          <w:bCs/>
          <w:color w:val="000000" w:themeColor="text1"/>
        </w:rPr>
        <w:t xml:space="preserve">. </w:t>
      </w:r>
      <w:hyperlink r:id="rId16" w:tgtFrame="_blank" w:history="1">
        <w:r w:rsidRPr="00963B1D">
          <w:rPr>
            <w:rStyle w:val="Hyperlink"/>
            <w:rFonts w:ascii="Calibri" w:hAnsi="Calibri" w:cs="Calibri"/>
            <w:bCs/>
            <w:color w:val="000000" w:themeColor="text1"/>
            <w:u w:val="none"/>
          </w:rPr>
          <w:t>https://doi.org/10.3390/en11030687</w:t>
        </w:r>
      </w:hyperlink>
    </w:p>
    <w:p w14:paraId="04C67C8E" w14:textId="77777777" w:rsidR="00E64D0E" w:rsidRPr="00963B1D" w:rsidRDefault="00602114" w:rsidP="00602114">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963B1D">
        <w:rPr>
          <w:rFonts w:ascii="Calibri" w:hAnsi="Calibri" w:cs="Calibri"/>
          <w:color w:val="000000" w:themeColor="text1"/>
        </w:rPr>
        <w:t>Danyaya</w:t>
      </w:r>
      <w:proofErr w:type="spellEnd"/>
      <w:r w:rsidRPr="00963B1D">
        <w:rPr>
          <w:rFonts w:ascii="Calibri" w:hAnsi="Calibri" w:cs="Calibri"/>
          <w:color w:val="000000" w:themeColor="text1"/>
        </w:rPr>
        <w:t xml:space="preserve">, Y. S., Ohabuiro, J., Ahmed, A., &amp; Iliyasu, U. (2024). Economic viability analysis for powering base station in remote areas using diesel generator and standalone PV system. </w:t>
      </w:r>
      <w:r w:rsidRPr="00963B1D">
        <w:rPr>
          <w:rFonts w:ascii="Calibri" w:hAnsi="Calibri" w:cs="Calibri"/>
          <w:i/>
          <w:iCs/>
          <w:color w:val="000000" w:themeColor="text1"/>
        </w:rPr>
        <w:t>International Journal of Advances in Engineering and Management</w:t>
      </w:r>
      <w:r w:rsidRPr="00963B1D">
        <w:rPr>
          <w:rFonts w:ascii="Calibri" w:hAnsi="Calibri" w:cs="Calibri"/>
          <w:color w:val="000000" w:themeColor="text1"/>
        </w:rPr>
        <w:t>, 6, 42-51.</w:t>
      </w:r>
      <w:r w:rsidRPr="00963B1D">
        <w:rPr>
          <w:rFonts w:ascii="Calibri" w:hAnsi="Calibri" w:cs="Calibri"/>
          <w:color w:val="000000" w:themeColor="text1"/>
          <w:lang w:val="en-US"/>
        </w:rPr>
        <w:t> </w:t>
      </w:r>
    </w:p>
    <w:p w14:paraId="4DA5081C" w14:textId="77777777" w:rsidR="00E64D0E" w:rsidRPr="00963B1D" w:rsidRDefault="00491200" w:rsidP="00602114">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hAnsi="Calibri" w:cs="Calibri"/>
          <w:color w:val="000000" w:themeColor="text1"/>
        </w:rPr>
        <w:t xml:space="preserve">Olanrewaju G. S., Salami T., </w:t>
      </w:r>
      <w:proofErr w:type="spellStart"/>
      <w:r w:rsidRPr="00963B1D">
        <w:rPr>
          <w:rFonts w:ascii="Calibri" w:hAnsi="Calibri" w:cs="Calibri"/>
          <w:color w:val="000000" w:themeColor="text1"/>
        </w:rPr>
        <w:t>Falajiki</w:t>
      </w:r>
      <w:proofErr w:type="spellEnd"/>
      <w:r w:rsidRPr="00963B1D">
        <w:rPr>
          <w:rFonts w:ascii="Calibri" w:hAnsi="Calibri" w:cs="Calibri"/>
          <w:color w:val="000000" w:themeColor="text1"/>
        </w:rPr>
        <w:t xml:space="preserve"> C., Akanbi W., Omoniyi L., &amp; Adebisi P., (2025). Technology-Led Greenhouse Gas Emissions (THGE) in Nigeria: A Narrative Review of Environmental Impacts and Digital Sustainability Strategies. Preprints, 1-15. </w:t>
      </w:r>
      <w:hyperlink r:id="rId17" w:history="1">
        <w:r w:rsidRPr="00963B1D">
          <w:rPr>
            <w:rStyle w:val="Hyperlink"/>
            <w:rFonts w:ascii="Calibri" w:hAnsi="Calibri" w:cs="Calibri"/>
            <w:color w:val="000000" w:themeColor="text1"/>
            <w:u w:val="none"/>
          </w:rPr>
          <w:t>https://doi.org.10.20944/preprints202503.1065</w:t>
        </w:r>
      </w:hyperlink>
    </w:p>
    <w:p w14:paraId="4F3500AC" w14:textId="77777777" w:rsidR="00E64D0E" w:rsidRPr="00963B1D" w:rsidRDefault="00491200" w:rsidP="0034345B">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963B1D">
        <w:rPr>
          <w:rFonts w:ascii="Calibri" w:hAnsi="Calibri" w:cs="Calibri"/>
          <w:color w:val="000000" w:themeColor="text1"/>
        </w:rPr>
        <w:t>Deevela</w:t>
      </w:r>
      <w:proofErr w:type="spellEnd"/>
      <w:r w:rsidRPr="00963B1D">
        <w:rPr>
          <w:rFonts w:ascii="Calibri" w:hAnsi="Calibri" w:cs="Calibri"/>
          <w:color w:val="000000" w:themeColor="text1"/>
        </w:rPr>
        <w:t xml:space="preserve">, N.R., </w:t>
      </w:r>
      <w:proofErr w:type="spellStart"/>
      <w:r w:rsidRPr="00963B1D">
        <w:rPr>
          <w:rFonts w:ascii="Calibri" w:hAnsi="Calibri" w:cs="Calibri"/>
          <w:color w:val="000000" w:themeColor="text1"/>
        </w:rPr>
        <w:t>Kandpal</w:t>
      </w:r>
      <w:proofErr w:type="spellEnd"/>
      <w:r w:rsidRPr="00963B1D">
        <w:rPr>
          <w:rFonts w:ascii="Calibri" w:hAnsi="Calibri" w:cs="Calibri"/>
          <w:color w:val="000000" w:themeColor="text1"/>
        </w:rPr>
        <w:t xml:space="preserve">, T.C. &amp; Singh, B., (2024). A review of renewable </w:t>
      </w:r>
      <w:proofErr w:type="gramStart"/>
      <w:r w:rsidRPr="00963B1D">
        <w:rPr>
          <w:rFonts w:ascii="Calibri" w:hAnsi="Calibri" w:cs="Calibri"/>
          <w:color w:val="000000" w:themeColor="text1"/>
        </w:rPr>
        <w:t>energy based</w:t>
      </w:r>
      <w:proofErr w:type="gramEnd"/>
      <w:r w:rsidRPr="00963B1D">
        <w:rPr>
          <w:rFonts w:ascii="Calibri" w:hAnsi="Calibri" w:cs="Calibri"/>
          <w:color w:val="000000" w:themeColor="text1"/>
        </w:rPr>
        <w:t xml:space="preserve"> power supply options for telecom towers. </w:t>
      </w:r>
      <w:r w:rsidRPr="00963B1D">
        <w:rPr>
          <w:rFonts w:ascii="Calibri" w:hAnsi="Calibri" w:cs="Calibri"/>
          <w:i/>
          <w:iCs/>
          <w:color w:val="000000" w:themeColor="text1"/>
        </w:rPr>
        <w:t>Environment, Development &amp; Sustainability,</w:t>
      </w:r>
      <w:r w:rsidRPr="00963B1D">
        <w:rPr>
          <w:rFonts w:ascii="Calibri" w:hAnsi="Calibri" w:cs="Calibri"/>
          <w:color w:val="000000" w:themeColor="text1"/>
        </w:rPr>
        <w:t> </w:t>
      </w:r>
      <w:r w:rsidRPr="00963B1D">
        <w:rPr>
          <w:rFonts w:ascii="Calibri" w:hAnsi="Calibri" w:cs="Calibri"/>
          <w:bCs/>
          <w:color w:val="000000" w:themeColor="text1"/>
        </w:rPr>
        <w:t>26</w:t>
      </w:r>
      <w:r w:rsidRPr="00963B1D">
        <w:rPr>
          <w:rFonts w:ascii="Calibri" w:hAnsi="Calibri" w:cs="Calibri"/>
          <w:color w:val="000000" w:themeColor="text1"/>
        </w:rPr>
        <w:t xml:space="preserve">, 2897–2964. </w:t>
      </w:r>
      <w:hyperlink r:id="rId18" w:history="1">
        <w:r w:rsidR="0034345B" w:rsidRPr="00963B1D">
          <w:rPr>
            <w:rStyle w:val="Hyperlink"/>
            <w:rFonts w:ascii="Calibri" w:hAnsi="Calibri" w:cs="Calibri"/>
            <w:color w:val="000000" w:themeColor="text1"/>
            <w:u w:val="none"/>
          </w:rPr>
          <w:t>https://doi.org/10.1007/s10668-023-02917-7</w:t>
        </w:r>
      </w:hyperlink>
    </w:p>
    <w:p w14:paraId="3F67B2E8" w14:textId="77777777" w:rsidR="00E64D0E" w:rsidRPr="00963B1D" w:rsidRDefault="0034345B" w:rsidP="00602114">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hAnsi="Calibri" w:cs="Calibri"/>
          <w:color w:val="000000" w:themeColor="text1"/>
          <w:lang w:val="en-US"/>
        </w:rPr>
        <w:t xml:space="preserve">Goli, P., Yelem, S., &amp; </w:t>
      </w:r>
      <w:proofErr w:type="spellStart"/>
      <w:r w:rsidRPr="00963B1D">
        <w:rPr>
          <w:rFonts w:ascii="Calibri" w:hAnsi="Calibri" w:cs="Calibri"/>
          <w:color w:val="000000" w:themeColor="text1"/>
          <w:lang w:val="en-US"/>
        </w:rPr>
        <w:t>Alhashem</w:t>
      </w:r>
      <w:proofErr w:type="spellEnd"/>
      <w:r w:rsidRPr="00963B1D">
        <w:rPr>
          <w:rFonts w:ascii="Calibri" w:hAnsi="Calibri" w:cs="Calibri"/>
          <w:color w:val="000000" w:themeColor="text1"/>
          <w:lang w:val="en-US"/>
        </w:rPr>
        <w:t xml:space="preserve">, M. (2025). Fuel efficiency and economic assessment of a hybrid power supply system for mission critical applications. </w:t>
      </w:r>
      <w:r w:rsidRPr="00963B1D">
        <w:rPr>
          <w:rFonts w:ascii="Calibri" w:hAnsi="Calibri" w:cs="Calibri"/>
          <w:i/>
          <w:iCs/>
          <w:color w:val="000000" w:themeColor="text1"/>
          <w:lang w:val="en-US"/>
        </w:rPr>
        <w:t>Frontiers in Energy Research</w:t>
      </w:r>
      <w:r w:rsidRPr="00963B1D">
        <w:rPr>
          <w:rFonts w:ascii="Calibri" w:hAnsi="Calibri" w:cs="Calibri"/>
          <w:color w:val="000000" w:themeColor="text1"/>
          <w:lang w:val="en-US"/>
        </w:rPr>
        <w:t xml:space="preserve">, </w:t>
      </w:r>
      <w:r w:rsidRPr="00963B1D">
        <w:rPr>
          <w:rFonts w:ascii="Calibri" w:hAnsi="Calibri" w:cs="Calibri"/>
          <w:i/>
          <w:iCs/>
          <w:color w:val="000000" w:themeColor="text1"/>
          <w:lang w:val="en-US"/>
        </w:rPr>
        <w:t>13</w:t>
      </w:r>
      <w:r w:rsidRPr="00963B1D">
        <w:rPr>
          <w:rFonts w:ascii="Calibri" w:hAnsi="Calibri" w:cs="Calibri"/>
          <w:color w:val="000000" w:themeColor="text1"/>
          <w:lang w:val="en-US"/>
        </w:rPr>
        <w:t xml:space="preserve">, 1511978. </w:t>
      </w:r>
      <w:hyperlink r:id="rId19" w:history="1">
        <w:r w:rsidR="00E64D0E" w:rsidRPr="00963B1D">
          <w:rPr>
            <w:rStyle w:val="Hyperlink"/>
            <w:rFonts w:ascii="Calibri" w:hAnsi="Calibri" w:cs="Calibri"/>
            <w:color w:val="000000" w:themeColor="text1"/>
            <w:u w:val="none"/>
            <w:lang w:val="en-US"/>
          </w:rPr>
          <w:t>https://doi.org/10.3389/fenrg.2025.1511978</w:t>
        </w:r>
      </w:hyperlink>
    </w:p>
    <w:p w14:paraId="084741C1" w14:textId="77777777" w:rsidR="00E64D0E" w:rsidRPr="00963B1D" w:rsidRDefault="0034345B" w:rsidP="0067535D">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hAnsi="Calibri" w:cs="Calibri"/>
          <w:color w:val="000000" w:themeColor="text1"/>
        </w:rPr>
        <w:t>Li, B., Sharina &amp; Taheri, B.</w:t>
      </w:r>
      <w:r w:rsidR="0067535D" w:rsidRPr="00963B1D">
        <w:rPr>
          <w:rFonts w:ascii="Calibri" w:hAnsi="Calibri" w:cs="Calibri"/>
          <w:color w:val="000000" w:themeColor="text1"/>
        </w:rPr>
        <w:t>, (2025).</w:t>
      </w:r>
      <w:r w:rsidRPr="00963B1D">
        <w:rPr>
          <w:rFonts w:ascii="Calibri" w:hAnsi="Calibri" w:cs="Calibri"/>
          <w:color w:val="000000" w:themeColor="text1"/>
        </w:rPr>
        <w:t xml:space="preserve"> Empowering telecommunication towers employing improved war strategy optimization method. </w:t>
      </w:r>
      <w:r w:rsidRPr="00963B1D">
        <w:rPr>
          <w:rFonts w:ascii="Calibri" w:hAnsi="Calibri" w:cs="Calibri"/>
          <w:i/>
          <w:iCs/>
          <w:color w:val="000000" w:themeColor="text1"/>
        </w:rPr>
        <w:t>Sci</w:t>
      </w:r>
      <w:r w:rsidR="0067535D" w:rsidRPr="00963B1D">
        <w:rPr>
          <w:rFonts w:ascii="Calibri" w:hAnsi="Calibri" w:cs="Calibri"/>
          <w:i/>
          <w:iCs/>
          <w:color w:val="000000" w:themeColor="text1"/>
        </w:rPr>
        <w:t xml:space="preserve">entific </w:t>
      </w:r>
      <w:r w:rsidRPr="00963B1D">
        <w:rPr>
          <w:rFonts w:ascii="Calibri" w:hAnsi="Calibri" w:cs="Calibri"/>
          <w:i/>
          <w:iCs/>
          <w:color w:val="000000" w:themeColor="text1"/>
        </w:rPr>
        <w:t>Rep</w:t>
      </w:r>
      <w:r w:rsidR="0067535D" w:rsidRPr="00963B1D">
        <w:rPr>
          <w:rFonts w:ascii="Calibri" w:hAnsi="Calibri" w:cs="Calibri"/>
          <w:i/>
          <w:iCs/>
          <w:color w:val="000000" w:themeColor="text1"/>
        </w:rPr>
        <w:t>orts,</w:t>
      </w:r>
      <w:r w:rsidRPr="00963B1D">
        <w:rPr>
          <w:rFonts w:ascii="Calibri" w:hAnsi="Calibri" w:cs="Calibri"/>
          <w:color w:val="000000" w:themeColor="text1"/>
        </w:rPr>
        <w:t> </w:t>
      </w:r>
      <w:r w:rsidRPr="00963B1D">
        <w:rPr>
          <w:rFonts w:ascii="Calibri" w:hAnsi="Calibri" w:cs="Calibri"/>
          <w:b/>
          <w:bCs/>
          <w:color w:val="000000" w:themeColor="text1"/>
        </w:rPr>
        <w:t>15</w:t>
      </w:r>
      <w:r w:rsidR="00E64D0E" w:rsidRPr="00963B1D">
        <w:rPr>
          <w:rFonts w:ascii="Calibri" w:hAnsi="Calibri" w:cs="Calibri"/>
          <w:color w:val="000000" w:themeColor="text1"/>
        </w:rPr>
        <w:t>, 8651</w:t>
      </w:r>
      <w:r w:rsidRPr="00963B1D">
        <w:rPr>
          <w:rFonts w:ascii="Calibri" w:hAnsi="Calibri" w:cs="Calibri"/>
          <w:color w:val="000000" w:themeColor="text1"/>
        </w:rPr>
        <w:t xml:space="preserve">. </w:t>
      </w:r>
      <w:hyperlink r:id="rId20" w:history="1">
        <w:r w:rsidR="0067535D" w:rsidRPr="00963B1D">
          <w:rPr>
            <w:rStyle w:val="Hyperlink"/>
            <w:rFonts w:ascii="Calibri" w:hAnsi="Calibri" w:cs="Calibri"/>
            <w:color w:val="000000" w:themeColor="text1"/>
            <w:u w:val="none"/>
          </w:rPr>
          <w:t>https://doi.org/10.1038/s41598-025-93073-7</w:t>
        </w:r>
      </w:hyperlink>
    </w:p>
    <w:p w14:paraId="30B249ED" w14:textId="77777777" w:rsidR="00E64D0E" w:rsidRPr="00963B1D" w:rsidRDefault="0067535D" w:rsidP="00C5261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963B1D">
        <w:rPr>
          <w:rFonts w:ascii="Calibri" w:hAnsi="Calibri" w:cs="Calibri"/>
          <w:color w:val="000000" w:themeColor="text1"/>
        </w:rPr>
        <w:t>Kaitwade</w:t>
      </w:r>
      <w:proofErr w:type="spellEnd"/>
      <w:r w:rsidRPr="00963B1D">
        <w:rPr>
          <w:rFonts w:ascii="Calibri" w:hAnsi="Calibri" w:cs="Calibri"/>
          <w:color w:val="000000" w:themeColor="text1"/>
        </w:rPr>
        <w:t xml:space="preserve"> N., (2025). </w:t>
      </w:r>
      <w:r w:rsidRPr="00963B1D">
        <w:rPr>
          <w:rFonts w:ascii="Calibri" w:hAnsi="Calibri" w:cs="Calibri"/>
          <w:color w:val="000000" w:themeColor="text1"/>
          <w:lang w:val="en-US"/>
        </w:rPr>
        <w:t>Gas Telecom Generator Market Size and Share Forecast Outlook 2025 to 2035. Future Market Insights, 1-250.</w:t>
      </w:r>
    </w:p>
    <w:p w14:paraId="42CAE782" w14:textId="77777777" w:rsidR="00C52612" w:rsidRPr="00963B1D" w:rsidRDefault="00C52612" w:rsidP="00C5261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963B1D">
        <w:rPr>
          <w:rFonts w:ascii="Calibri" w:hAnsi="Calibri" w:cs="Calibri"/>
          <w:color w:val="000000" w:themeColor="text1"/>
          <w:lang w:val="en-US"/>
        </w:rPr>
        <w:t>Chuwkuemeka</w:t>
      </w:r>
      <w:proofErr w:type="spellEnd"/>
      <w:r w:rsidRPr="00963B1D">
        <w:rPr>
          <w:rFonts w:ascii="Calibri" w:hAnsi="Calibri" w:cs="Calibri"/>
          <w:color w:val="000000" w:themeColor="text1"/>
          <w:lang w:val="en-US"/>
        </w:rPr>
        <w:t xml:space="preserve"> N., T., </w:t>
      </w:r>
      <w:proofErr w:type="spellStart"/>
      <w:r w:rsidRPr="00963B1D">
        <w:rPr>
          <w:rFonts w:ascii="Calibri" w:hAnsi="Calibri" w:cs="Calibri"/>
          <w:color w:val="000000" w:themeColor="text1"/>
          <w:lang w:val="en-US"/>
        </w:rPr>
        <w:t>Omorogiuwa</w:t>
      </w:r>
      <w:proofErr w:type="spellEnd"/>
      <w:r w:rsidRPr="00963B1D">
        <w:rPr>
          <w:rFonts w:ascii="Calibri" w:hAnsi="Calibri" w:cs="Calibri"/>
          <w:color w:val="000000" w:themeColor="text1"/>
          <w:lang w:val="en-US"/>
        </w:rPr>
        <w:t xml:space="preserve"> E., &amp; Ogbonna B. O., (2025). </w:t>
      </w:r>
      <w:r w:rsidRPr="00963B1D">
        <w:rPr>
          <w:rFonts w:ascii="Calibri" w:hAnsi="Calibri" w:cs="Calibri"/>
          <w:bCs/>
          <w:color w:val="000000" w:themeColor="text1"/>
        </w:rPr>
        <w:t>Optimization of Hybrid Solar-Diesel Power Systems for Telecom Base Stations in Nigeria. International Journal of Research, 12, 93-120.</w:t>
      </w:r>
    </w:p>
    <w:p w14:paraId="7D203AF8" w14:textId="77777777" w:rsidR="006925BF" w:rsidRPr="00963B1D" w:rsidRDefault="006925BF" w:rsidP="00C5261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eastAsia="Times New Roman" w:hAnsi="Calibri" w:cs="Calibri"/>
          <w:bCs/>
          <w:color w:val="000000" w:themeColor="text1"/>
          <w:kern w:val="0"/>
          <w14:ligatures w14:val="none"/>
        </w:rPr>
        <w:t xml:space="preserve">Choudhary A. K., Jha A. K., Manjunath K., &amp; </w:t>
      </w:r>
      <w:proofErr w:type="spellStart"/>
      <w:r w:rsidRPr="00963B1D">
        <w:rPr>
          <w:rFonts w:ascii="Calibri" w:eastAsia="Times New Roman" w:hAnsi="Calibri" w:cs="Calibri"/>
          <w:bCs/>
          <w:color w:val="000000" w:themeColor="text1"/>
          <w:kern w:val="0"/>
          <w14:ligatures w14:val="none"/>
        </w:rPr>
        <w:t>AnsariN</w:t>
      </w:r>
      <w:proofErr w:type="spellEnd"/>
      <w:r w:rsidRPr="00963B1D">
        <w:rPr>
          <w:rFonts w:ascii="Calibri" w:eastAsia="Times New Roman" w:hAnsi="Calibri" w:cs="Calibri"/>
          <w:bCs/>
          <w:color w:val="000000" w:themeColor="text1"/>
          <w:kern w:val="0"/>
          <w14:ligatures w14:val="none"/>
        </w:rPr>
        <w:t xml:space="preserve">. A., (2023). Techno Economic and Environmental Analysis of Replacing Diesel with Natural Gas Power Generator in an </w:t>
      </w:r>
      <w:r w:rsidRPr="00963B1D">
        <w:rPr>
          <w:rFonts w:ascii="Calibri" w:eastAsia="Times New Roman" w:hAnsi="Calibri" w:cs="Calibri"/>
          <w:bCs/>
          <w:color w:val="000000" w:themeColor="text1"/>
          <w:kern w:val="0"/>
          <w14:ligatures w14:val="none"/>
        </w:rPr>
        <w:lastRenderedPageBreak/>
        <w:t>Educational Institution. International Journal of Applied Engineering &amp; Technology, 5, 3326-3346.</w:t>
      </w:r>
    </w:p>
    <w:p w14:paraId="588326A4" w14:textId="77777777" w:rsidR="006925BF" w:rsidRPr="00963B1D" w:rsidRDefault="006925BF" w:rsidP="00C5261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963B1D">
        <w:rPr>
          <w:rFonts w:ascii="Calibri" w:eastAsia="Times New Roman" w:hAnsi="Calibri" w:cs="Calibri"/>
          <w:bCs/>
          <w:color w:val="000000" w:themeColor="text1"/>
          <w:kern w:val="0"/>
          <w14:ligatures w14:val="none"/>
        </w:rPr>
        <w:t>Odhafa</w:t>
      </w:r>
      <w:proofErr w:type="spellEnd"/>
      <w:r w:rsidRPr="00963B1D">
        <w:rPr>
          <w:rFonts w:ascii="Calibri" w:eastAsia="Times New Roman" w:hAnsi="Calibri" w:cs="Calibri"/>
          <w:bCs/>
          <w:color w:val="000000" w:themeColor="text1"/>
          <w:kern w:val="0"/>
          <w14:ligatures w14:val="none"/>
        </w:rPr>
        <w:t>, A. A. A., Awad, A. M. Z., &amp; Momeni, M. (202</w:t>
      </w:r>
      <w:r w:rsidR="002652AE" w:rsidRPr="00963B1D">
        <w:rPr>
          <w:rFonts w:ascii="Calibri" w:eastAsia="Times New Roman" w:hAnsi="Calibri" w:cs="Calibri"/>
          <w:bCs/>
          <w:color w:val="000000" w:themeColor="text1"/>
          <w:kern w:val="0"/>
          <w14:ligatures w14:val="none"/>
        </w:rPr>
        <w:t>5</w:t>
      </w:r>
      <w:r w:rsidRPr="00963B1D">
        <w:rPr>
          <w:rFonts w:ascii="Calibri" w:eastAsia="Times New Roman" w:hAnsi="Calibri" w:cs="Calibri"/>
          <w:bCs/>
          <w:color w:val="000000" w:themeColor="text1"/>
          <w:kern w:val="0"/>
          <w14:ligatures w14:val="none"/>
        </w:rPr>
        <w:t xml:space="preserve">). </w:t>
      </w:r>
      <w:r w:rsidRPr="00963B1D">
        <w:rPr>
          <w:rFonts w:ascii="Calibri" w:eastAsia="Times New Roman" w:hAnsi="Calibri" w:cs="Calibri"/>
          <w:bCs/>
          <w:iCs/>
          <w:color w:val="000000" w:themeColor="text1"/>
          <w:kern w:val="0"/>
          <w14:ligatures w14:val="none"/>
        </w:rPr>
        <w:t>Review of natural gas vs diesel in gas turbines: Efficiency enhancement, emissions reduction, and technological adaptation.</w:t>
      </w:r>
      <w:r w:rsidRPr="00963B1D">
        <w:rPr>
          <w:rFonts w:ascii="Calibri" w:eastAsia="Times New Roman" w:hAnsi="Calibri" w:cs="Calibri"/>
          <w:bCs/>
          <w:color w:val="000000" w:themeColor="text1"/>
          <w:kern w:val="0"/>
          <w14:ligatures w14:val="none"/>
        </w:rPr>
        <w:t xml:space="preserve"> </w:t>
      </w:r>
      <w:r w:rsidRPr="00963B1D">
        <w:rPr>
          <w:rFonts w:ascii="Calibri" w:eastAsia="Times New Roman" w:hAnsi="Calibri" w:cs="Calibri"/>
          <w:bCs/>
          <w:i/>
          <w:iCs/>
          <w:color w:val="000000" w:themeColor="text1"/>
          <w:kern w:val="0"/>
          <w14:ligatures w14:val="none"/>
        </w:rPr>
        <w:t xml:space="preserve">Advanced Research Journal, 13, </w:t>
      </w:r>
      <w:r w:rsidRPr="00963B1D">
        <w:rPr>
          <w:rFonts w:ascii="Calibri" w:eastAsia="Times New Roman" w:hAnsi="Calibri" w:cs="Calibri"/>
          <w:bCs/>
          <w:iCs/>
          <w:color w:val="000000" w:themeColor="text1"/>
          <w:kern w:val="0"/>
          <w14:ligatures w14:val="none"/>
        </w:rPr>
        <w:t>1-16</w:t>
      </w:r>
      <w:r w:rsidRPr="00963B1D">
        <w:rPr>
          <w:rFonts w:ascii="Calibri" w:eastAsia="Times New Roman" w:hAnsi="Calibri" w:cs="Calibri"/>
          <w:bCs/>
          <w:color w:val="000000" w:themeColor="text1"/>
          <w:kern w:val="0"/>
          <w14:ligatures w14:val="none"/>
        </w:rPr>
        <w:t xml:space="preserve">. </w:t>
      </w:r>
      <w:hyperlink r:id="rId21" w:history="1">
        <w:r w:rsidR="002652AE" w:rsidRPr="00963B1D">
          <w:rPr>
            <w:rStyle w:val="Hyperlink"/>
            <w:rFonts w:ascii="Calibri" w:eastAsia="Times New Roman" w:hAnsi="Calibri" w:cs="Calibri"/>
            <w:bCs/>
            <w:color w:val="000000" w:themeColor="text1"/>
            <w:kern w:val="0"/>
            <w:u w:val="none"/>
            <w14:ligatures w14:val="none"/>
          </w:rPr>
          <w:t>https://doi.org/10.71350/30621925101</w:t>
        </w:r>
      </w:hyperlink>
    </w:p>
    <w:p w14:paraId="3A6E46CF" w14:textId="77777777" w:rsidR="00B56042" w:rsidRPr="00963B1D" w:rsidRDefault="00B56042" w:rsidP="00B56042">
      <w:pPr>
        <w:pStyle w:val="ListParagraph"/>
        <w:numPr>
          <w:ilvl w:val="0"/>
          <w:numId w:val="9"/>
        </w:numPr>
        <w:spacing w:before="100" w:beforeAutospacing="1" w:after="100" w:afterAutospacing="1" w:line="360" w:lineRule="auto"/>
        <w:jc w:val="both"/>
        <w:rPr>
          <w:rFonts w:ascii="Calibri" w:eastAsia="Times New Roman" w:hAnsi="Calibri" w:cs="Calibri"/>
          <w:color w:val="000000" w:themeColor="text1"/>
          <w:kern w:val="0"/>
          <w:lang w:val="en-US"/>
          <w14:ligatures w14:val="none"/>
        </w:rPr>
      </w:pPr>
      <w:proofErr w:type="spellStart"/>
      <w:r w:rsidRPr="00963B1D">
        <w:rPr>
          <w:rFonts w:ascii="Calibri" w:eastAsia="Times New Roman" w:hAnsi="Calibri" w:cs="Calibri"/>
          <w:color w:val="000000" w:themeColor="text1"/>
          <w:kern w:val="0"/>
          <w:lang w:val="en-US"/>
          <w14:ligatures w14:val="none"/>
        </w:rPr>
        <w:t>Alabdulkarim</w:t>
      </w:r>
      <w:proofErr w:type="spellEnd"/>
      <w:r w:rsidRPr="00963B1D">
        <w:rPr>
          <w:rFonts w:ascii="Calibri" w:eastAsia="Times New Roman" w:hAnsi="Calibri" w:cs="Calibri"/>
          <w:color w:val="000000" w:themeColor="text1"/>
          <w:kern w:val="0"/>
          <w:lang w:val="en-US"/>
          <w14:ligatures w14:val="none"/>
        </w:rPr>
        <w:t xml:space="preserve">, A. A., Liao, P., &amp; Nour, M. A. (2018). Reliability analysis of distributed generation systems. </w:t>
      </w:r>
      <w:r w:rsidRPr="00963B1D">
        <w:rPr>
          <w:rFonts w:ascii="Calibri" w:eastAsia="Times New Roman" w:hAnsi="Calibri" w:cs="Calibri"/>
          <w:i/>
          <w:iCs/>
          <w:color w:val="000000" w:themeColor="text1"/>
          <w:kern w:val="0"/>
          <w:lang w:val="en-US"/>
          <w14:ligatures w14:val="none"/>
        </w:rPr>
        <w:t xml:space="preserve">IEEE Texas Power and Energy Conference, </w:t>
      </w:r>
      <w:r w:rsidRPr="00963B1D">
        <w:rPr>
          <w:rFonts w:ascii="Calibri" w:eastAsia="Times New Roman" w:hAnsi="Calibri" w:cs="Calibri"/>
          <w:color w:val="000000" w:themeColor="text1"/>
          <w:kern w:val="0"/>
          <w:lang w:val="en-US"/>
          <w14:ligatures w14:val="none"/>
        </w:rPr>
        <w:t>1-6.</w:t>
      </w:r>
    </w:p>
    <w:p w14:paraId="339F35E3" w14:textId="77777777" w:rsidR="00B56042" w:rsidRPr="00963B1D" w:rsidRDefault="002652AE" w:rsidP="00B5604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eastAsia="Times New Roman" w:hAnsi="Calibri" w:cs="Calibri"/>
          <w:bCs/>
          <w:color w:val="000000" w:themeColor="text1"/>
          <w:kern w:val="0"/>
          <w:lang w:val="en-US"/>
          <w14:ligatures w14:val="none"/>
        </w:rPr>
        <w:t xml:space="preserve">Józef C., Sławomir K., </w:t>
      </w:r>
      <w:proofErr w:type="spellStart"/>
      <w:r w:rsidRPr="00963B1D">
        <w:rPr>
          <w:rFonts w:ascii="Calibri" w:eastAsia="Times New Roman" w:hAnsi="Calibri" w:cs="Calibri"/>
          <w:bCs/>
          <w:color w:val="000000" w:themeColor="text1"/>
          <w:kern w:val="0"/>
          <w:lang w:val="en-US"/>
          <w14:ligatures w14:val="none"/>
        </w:rPr>
        <w:t>Generowicz</w:t>
      </w:r>
      <w:proofErr w:type="spellEnd"/>
      <w:r w:rsidRPr="00963B1D">
        <w:rPr>
          <w:rFonts w:ascii="Calibri" w:eastAsia="Times New Roman" w:hAnsi="Calibri" w:cs="Calibri"/>
          <w:bCs/>
          <w:color w:val="000000" w:themeColor="text1"/>
          <w:kern w:val="0"/>
          <w:lang w:val="en-US"/>
          <w14:ligatures w14:val="none"/>
        </w:rPr>
        <w:t xml:space="preserve"> A., </w:t>
      </w:r>
      <w:proofErr w:type="spellStart"/>
      <w:r w:rsidRPr="00963B1D">
        <w:rPr>
          <w:rFonts w:ascii="Calibri" w:eastAsia="Times New Roman" w:hAnsi="Calibri" w:cs="Calibri"/>
          <w:bCs/>
          <w:color w:val="000000" w:themeColor="text1"/>
          <w:kern w:val="0"/>
          <w:lang w:val="en-US"/>
          <w14:ligatures w14:val="none"/>
        </w:rPr>
        <w:t>Barbusinski</w:t>
      </w:r>
      <w:proofErr w:type="spellEnd"/>
      <w:r w:rsidRPr="00963B1D">
        <w:rPr>
          <w:rFonts w:ascii="Calibri" w:eastAsia="Times New Roman" w:hAnsi="Calibri" w:cs="Calibri"/>
          <w:bCs/>
          <w:color w:val="000000" w:themeColor="text1"/>
          <w:kern w:val="0"/>
          <w:lang w:val="en-US"/>
          <w14:ligatures w14:val="none"/>
        </w:rPr>
        <w:t xml:space="preserve"> K., Matuszak Z., &amp; Gaska K., (2023). Analysis of Energy Generation Efficiency and Reliability of a Cogeneration Unit Powered by Biogas. Energies, 16, 2180. </w:t>
      </w:r>
      <w:hyperlink r:id="rId22" w:history="1">
        <w:r w:rsidR="00B56042" w:rsidRPr="00963B1D">
          <w:rPr>
            <w:rStyle w:val="Hyperlink"/>
            <w:rFonts w:ascii="Calibri" w:eastAsia="Times New Roman" w:hAnsi="Calibri" w:cs="Calibri"/>
            <w:bCs/>
            <w:color w:val="000000" w:themeColor="text1"/>
            <w:kern w:val="0"/>
            <w:u w:val="none"/>
            <w:lang w:val="en-US"/>
            <w14:ligatures w14:val="none"/>
          </w:rPr>
          <w:t>https://doi.org.10.3390/en16052180</w:t>
        </w:r>
      </w:hyperlink>
      <w:r w:rsidRPr="00963B1D">
        <w:rPr>
          <w:rFonts w:ascii="Calibri" w:eastAsia="Times New Roman" w:hAnsi="Calibri" w:cs="Calibri"/>
          <w:bCs/>
          <w:color w:val="000000" w:themeColor="text1"/>
          <w:kern w:val="0"/>
          <w:lang w:val="en-US"/>
          <w14:ligatures w14:val="none"/>
        </w:rPr>
        <w:t>.</w:t>
      </w:r>
    </w:p>
    <w:p w14:paraId="7DE31243" w14:textId="77777777" w:rsidR="006149B2" w:rsidRPr="00963B1D" w:rsidRDefault="006149B2" w:rsidP="00B5604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eastAsia="Times New Roman" w:hAnsi="Calibri" w:cs="Calibri"/>
          <w:bCs/>
          <w:color w:val="000000" w:themeColor="text1"/>
          <w:kern w:val="0"/>
          <w14:ligatures w14:val="none"/>
        </w:rPr>
        <w:t xml:space="preserve">Al Rashdi Z., </w:t>
      </w:r>
      <w:proofErr w:type="spellStart"/>
      <w:r w:rsidRPr="00963B1D">
        <w:rPr>
          <w:rFonts w:ascii="Calibri" w:eastAsia="Times New Roman" w:hAnsi="Calibri" w:cs="Calibri"/>
          <w:bCs/>
          <w:color w:val="000000" w:themeColor="text1"/>
          <w:kern w:val="0"/>
          <w14:ligatures w14:val="none"/>
        </w:rPr>
        <w:t>Barghash</w:t>
      </w:r>
      <w:proofErr w:type="spellEnd"/>
      <w:r w:rsidRPr="00963B1D">
        <w:rPr>
          <w:rFonts w:ascii="Calibri" w:eastAsia="Times New Roman" w:hAnsi="Calibri" w:cs="Calibri"/>
          <w:bCs/>
          <w:color w:val="000000" w:themeColor="text1"/>
          <w:kern w:val="0"/>
          <w14:ligatures w14:val="none"/>
        </w:rPr>
        <w:t xml:space="preserve"> H., Al </w:t>
      </w:r>
      <w:proofErr w:type="spellStart"/>
      <w:r w:rsidRPr="00963B1D">
        <w:rPr>
          <w:rFonts w:ascii="Calibri" w:eastAsia="Times New Roman" w:hAnsi="Calibri" w:cs="Calibri"/>
          <w:bCs/>
          <w:color w:val="000000" w:themeColor="text1"/>
          <w:kern w:val="0"/>
          <w14:ligatures w14:val="none"/>
        </w:rPr>
        <w:t>Habsi</w:t>
      </w:r>
      <w:proofErr w:type="spellEnd"/>
      <w:r w:rsidRPr="00963B1D">
        <w:rPr>
          <w:rFonts w:ascii="Calibri" w:eastAsia="Times New Roman" w:hAnsi="Calibri" w:cs="Calibri"/>
          <w:bCs/>
          <w:color w:val="000000" w:themeColor="text1"/>
          <w:kern w:val="0"/>
          <w14:ligatures w14:val="none"/>
        </w:rPr>
        <w:t xml:space="preserve"> F., &amp; </w:t>
      </w:r>
      <w:proofErr w:type="spellStart"/>
      <w:r w:rsidRPr="00963B1D">
        <w:rPr>
          <w:rFonts w:ascii="Calibri" w:eastAsia="Times New Roman" w:hAnsi="Calibri" w:cs="Calibri"/>
          <w:bCs/>
          <w:color w:val="000000" w:themeColor="text1"/>
          <w:kern w:val="0"/>
          <w14:ligatures w14:val="none"/>
        </w:rPr>
        <w:t>Okedu</w:t>
      </w:r>
      <w:proofErr w:type="spellEnd"/>
      <w:r w:rsidRPr="00963B1D">
        <w:rPr>
          <w:rFonts w:ascii="Calibri" w:eastAsia="Times New Roman" w:hAnsi="Calibri" w:cs="Calibri"/>
          <w:bCs/>
          <w:color w:val="000000" w:themeColor="text1"/>
          <w:kern w:val="0"/>
          <w14:ligatures w14:val="none"/>
        </w:rPr>
        <w:t xml:space="preserve"> K. E., (2024). Environmental impact assessment of different power generation strategies in Oman: A comparative life-cycle analysis. </w:t>
      </w:r>
      <w:proofErr w:type="spellStart"/>
      <w:r w:rsidRPr="00963B1D">
        <w:rPr>
          <w:rFonts w:ascii="Calibri" w:eastAsia="Times New Roman" w:hAnsi="Calibri" w:cs="Calibri"/>
          <w:bCs/>
          <w:color w:val="000000" w:themeColor="text1"/>
          <w:kern w:val="0"/>
          <w14:ligatures w14:val="none"/>
        </w:rPr>
        <w:t>Heliyon</w:t>
      </w:r>
      <w:proofErr w:type="spellEnd"/>
      <w:r w:rsidRPr="00963B1D">
        <w:rPr>
          <w:rFonts w:ascii="Calibri" w:eastAsia="Times New Roman" w:hAnsi="Calibri" w:cs="Calibri"/>
          <w:bCs/>
          <w:color w:val="000000" w:themeColor="text1"/>
          <w:kern w:val="0"/>
          <w14:ligatures w14:val="none"/>
        </w:rPr>
        <w:t>, 10, e37781. https://doi.org.10.1016/j.heliyon.2024.e37781.</w:t>
      </w:r>
    </w:p>
    <w:p w14:paraId="0B409B84" w14:textId="77777777" w:rsidR="00F922DF" w:rsidRPr="00963B1D" w:rsidRDefault="00F922DF" w:rsidP="00B5604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eastAsia="Times New Roman" w:hAnsi="Calibri" w:cs="Calibri"/>
          <w:bCs/>
          <w:color w:val="000000" w:themeColor="text1"/>
          <w:kern w:val="0"/>
          <w:lang w:val="en-US"/>
          <w14:ligatures w14:val="none"/>
        </w:rPr>
        <w:t>Kim, J., &amp; Park, C. (2020). Optimal maintenance strategy for power generation systems. Reliability Engineering &amp; System Safety, 196, 106750.</w:t>
      </w:r>
    </w:p>
    <w:p w14:paraId="489ABE24" w14:textId="77777777" w:rsidR="0082511F" w:rsidRPr="00963B1D" w:rsidRDefault="0082511F" w:rsidP="0082511F">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eastAsia="Times New Roman" w:hAnsi="Calibri" w:cs="Calibri"/>
          <w:bCs/>
          <w:color w:val="000000" w:themeColor="text1"/>
          <w:kern w:val="0"/>
          <w:lang w:val="en-US"/>
          <w14:ligatures w14:val="none"/>
        </w:rPr>
        <w:t xml:space="preserve">Mirzaei D., </w:t>
      </w:r>
      <w:proofErr w:type="spellStart"/>
      <w:r w:rsidRPr="00963B1D">
        <w:rPr>
          <w:rFonts w:ascii="Calibri" w:eastAsia="Times New Roman" w:hAnsi="Calibri" w:cs="Calibri"/>
          <w:bCs/>
          <w:color w:val="000000" w:themeColor="text1"/>
          <w:kern w:val="0"/>
          <w:lang w:val="en-US"/>
          <w14:ligatures w14:val="none"/>
        </w:rPr>
        <w:t>Behbahaninia</w:t>
      </w:r>
      <w:proofErr w:type="spellEnd"/>
      <w:r w:rsidRPr="00963B1D">
        <w:rPr>
          <w:rFonts w:ascii="Calibri" w:eastAsia="Times New Roman" w:hAnsi="Calibri" w:cs="Calibri"/>
          <w:bCs/>
          <w:color w:val="000000" w:themeColor="text1"/>
          <w:kern w:val="0"/>
          <w:lang w:val="en-US"/>
          <w14:ligatures w14:val="none"/>
        </w:rPr>
        <w:t xml:space="preserve"> A., </w:t>
      </w:r>
      <w:proofErr w:type="spellStart"/>
      <w:r w:rsidRPr="00963B1D">
        <w:rPr>
          <w:rFonts w:ascii="Calibri" w:eastAsia="Times New Roman" w:hAnsi="Calibri" w:cs="Calibri"/>
          <w:bCs/>
          <w:color w:val="000000" w:themeColor="text1"/>
          <w:kern w:val="0"/>
          <w:lang w:val="en-US"/>
          <w14:ligatures w14:val="none"/>
        </w:rPr>
        <w:t>Abdalisousan</w:t>
      </w:r>
      <w:proofErr w:type="spellEnd"/>
      <w:r w:rsidRPr="00963B1D">
        <w:rPr>
          <w:rFonts w:ascii="Calibri" w:eastAsia="Times New Roman" w:hAnsi="Calibri" w:cs="Calibri"/>
          <w:bCs/>
          <w:color w:val="000000" w:themeColor="text1"/>
          <w:kern w:val="0"/>
          <w:lang w:val="en-US"/>
          <w14:ligatures w14:val="none"/>
        </w:rPr>
        <w:t xml:space="preserve"> A., </w:t>
      </w:r>
      <w:proofErr w:type="spellStart"/>
      <w:r w:rsidRPr="00963B1D">
        <w:rPr>
          <w:rFonts w:ascii="Calibri" w:eastAsia="Times New Roman" w:hAnsi="Calibri" w:cs="Calibri"/>
          <w:bCs/>
          <w:color w:val="000000" w:themeColor="text1"/>
          <w:kern w:val="0"/>
          <w:lang w:val="en-US"/>
          <w14:ligatures w14:val="none"/>
        </w:rPr>
        <w:t>Lavasani</w:t>
      </w:r>
      <w:proofErr w:type="spellEnd"/>
      <w:r w:rsidRPr="00963B1D">
        <w:rPr>
          <w:rFonts w:ascii="Calibri" w:eastAsia="Times New Roman" w:hAnsi="Calibri" w:cs="Calibri"/>
          <w:bCs/>
          <w:color w:val="000000" w:themeColor="text1"/>
          <w:kern w:val="0"/>
          <w:lang w:val="en-US"/>
          <w14:ligatures w14:val="none"/>
        </w:rPr>
        <w:t xml:space="preserve"> S. M. M., (2023). A novel approach to repair time prediction and availability assessment of the equipment in power generation systems using fuzzy logic and Monte Carlo simulation. Energy, 282,</w:t>
      </w:r>
    </w:p>
    <w:p w14:paraId="737D44D7" w14:textId="77777777" w:rsidR="000F6EA1" w:rsidRPr="00963B1D" w:rsidRDefault="0082511F" w:rsidP="000F6EA1">
      <w:pPr>
        <w:pStyle w:val="ListParagraph"/>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eastAsia="Times New Roman" w:hAnsi="Calibri" w:cs="Calibri"/>
          <w:bCs/>
          <w:color w:val="000000" w:themeColor="text1"/>
          <w:kern w:val="0"/>
          <w:lang w:val="en-US"/>
          <w14:ligatures w14:val="none"/>
        </w:rPr>
        <w:t xml:space="preserve">128842. </w:t>
      </w:r>
      <w:hyperlink r:id="rId23" w:history="1">
        <w:r w:rsidR="000F6EA1" w:rsidRPr="00963B1D">
          <w:rPr>
            <w:rStyle w:val="Hyperlink"/>
            <w:rFonts w:ascii="Calibri" w:eastAsia="Times New Roman" w:hAnsi="Calibri" w:cs="Calibri"/>
            <w:bCs/>
            <w:color w:val="000000" w:themeColor="text1"/>
            <w:kern w:val="0"/>
            <w:u w:val="none"/>
            <w:lang w:val="en-US"/>
            <w14:ligatures w14:val="none"/>
          </w:rPr>
          <w:t>https://doi.org/10.1016/j.energy.2023.128842</w:t>
        </w:r>
      </w:hyperlink>
      <w:r w:rsidRPr="00963B1D">
        <w:rPr>
          <w:rFonts w:ascii="Calibri" w:eastAsia="Times New Roman" w:hAnsi="Calibri" w:cs="Calibri"/>
          <w:bCs/>
          <w:color w:val="000000" w:themeColor="text1"/>
          <w:kern w:val="0"/>
          <w:lang w:val="en-US"/>
          <w14:ligatures w14:val="none"/>
        </w:rPr>
        <w:t>.</w:t>
      </w:r>
    </w:p>
    <w:p w14:paraId="27C6DD2D" w14:textId="77777777" w:rsidR="000F6EA1" w:rsidRPr="00963B1D" w:rsidRDefault="000F6EA1" w:rsidP="000F6EA1">
      <w:pPr>
        <w:pStyle w:val="ListParagraph"/>
        <w:numPr>
          <w:ilvl w:val="0"/>
          <w:numId w:val="10"/>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963B1D">
        <w:rPr>
          <w:rFonts w:ascii="Calibri" w:eastAsia="Times New Roman" w:hAnsi="Calibri" w:cs="Calibri"/>
          <w:bCs/>
          <w:color w:val="000000" w:themeColor="text1"/>
          <w:kern w:val="0"/>
          <w14:ligatures w14:val="none"/>
        </w:rPr>
        <w:t>Okirie</w:t>
      </w:r>
      <w:proofErr w:type="spellEnd"/>
      <w:r w:rsidRPr="00963B1D">
        <w:rPr>
          <w:rFonts w:ascii="Calibri" w:eastAsia="Times New Roman" w:hAnsi="Calibri" w:cs="Calibri"/>
          <w:bCs/>
          <w:color w:val="000000" w:themeColor="text1"/>
          <w:kern w:val="0"/>
          <w14:ligatures w14:val="none"/>
        </w:rPr>
        <w:t xml:space="preserve"> J., Saturday E. G., Gift M. I., &amp; Ewe D., (2025). Impact analysis of field maintenance practices on reliability metrics. </w:t>
      </w:r>
      <w:r w:rsidRPr="00963B1D">
        <w:rPr>
          <w:rFonts w:ascii="Calibri" w:eastAsia="Times New Roman" w:hAnsi="Calibri" w:cs="Calibri"/>
          <w:bCs/>
          <w:i/>
          <w:iCs/>
          <w:color w:val="000000" w:themeColor="text1"/>
          <w:kern w:val="0"/>
          <w14:ligatures w14:val="none"/>
        </w:rPr>
        <w:t>Maintenance, Reliability and Condition Monitoring</w:t>
      </w:r>
      <w:r w:rsidRPr="00963B1D">
        <w:rPr>
          <w:rFonts w:ascii="Calibri" w:eastAsia="Times New Roman" w:hAnsi="Calibri" w:cs="Calibri"/>
          <w:bCs/>
          <w:color w:val="000000" w:themeColor="text1"/>
          <w:kern w:val="0"/>
          <w14:ligatures w14:val="none"/>
        </w:rPr>
        <w:t xml:space="preserve">, 5, 1–24. </w:t>
      </w:r>
      <w:hyperlink r:id="rId24" w:history="1">
        <w:r w:rsidRPr="00963B1D">
          <w:rPr>
            <w:rStyle w:val="Hyperlink"/>
            <w:rFonts w:ascii="Calibri" w:eastAsia="Times New Roman" w:hAnsi="Calibri" w:cs="Calibri"/>
            <w:bCs/>
            <w:color w:val="000000" w:themeColor="text1"/>
            <w:kern w:val="0"/>
            <w:u w:val="none"/>
            <w14:ligatures w14:val="none"/>
          </w:rPr>
          <w:t>https://doi.org/10.21595/marc.2024.24585</w:t>
        </w:r>
      </w:hyperlink>
    </w:p>
    <w:p w14:paraId="131FBE93" w14:textId="77777777" w:rsidR="000F6EA1" w:rsidRPr="00963B1D" w:rsidRDefault="000F6EA1" w:rsidP="000F6EA1">
      <w:pPr>
        <w:pStyle w:val="ListParagraph"/>
        <w:numPr>
          <w:ilvl w:val="0"/>
          <w:numId w:val="10"/>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hAnsi="Calibri" w:cs="Calibri"/>
          <w:color w:val="000000" w:themeColor="text1"/>
        </w:rPr>
        <w:t xml:space="preserve">Yüksel, Ö., Gharib, H., &amp; Kovács, G. (2024). </w:t>
      </w:r>
      <w:r w:rsidRPr="00963B1D">
        <w:rPr>
          <w:rStyle w:val="Emphasis"/>
          <w:rFonts w:ascii="Calibri" w:hAnsi="Calibri" w:cs="Calibri"/>
          <w:color w:val="000000" w:themeColor="text1"/>
        </w:rPr>
        <w:t>Reliability analysis of diesel engine heat exchangers and critical subsystems: A comparative approach for marine and industrial applications</w:t>
      </w:r>
      <w:r w:rsidRPr="00963B1D">
        <w:rPr>
          <w:rFonts w:ascii="Calibri" w:hAnsi="Calibri" w:cs="Calibri"/>
          <w:color w:val="000000" w:themeColor="text1"/>
        </w:rPr>
        <w:t xml:space="preserve">. </w:t>
      </w:r>
      <w:r w:rsidRPr="00963B1D">
        <w:rPr>
          <w:rStyle w:val="Emphasis"/>
          <w:rFonts w:ascii="Calibri" w:hAnsi="Calibri" w:cs="Calibri"/>
          <w:color w:val="000000" w:themeColor="text1"/>
        </w:rPr>
        <w:t>Acta Logistica, 11</w:t>
      </w:r>
      <w:r w:rsidRPr="00963B1D">
        <w:rPr>
          <w:rFonts w:ascii="Calibri" w:hAnsi="Calibri" w:cs="Calibri"/>
          <w:color w:val="000000" w:themeColor="text1"/>
        </w:rPr>
        <w:t xml:space="preserve">, 325–337. </w:t>
      </w:r>
      <w:hyperlink r:id="rId25" w:history="1">
        <w:r w:rsidR="0002431A" w:rsidRPr="00963B1D">
          <w:rPr>
            <w:rStyle w:val="Hyperlink"/>
            <w:rFonts w:ascii="Calibri" w:hAnsi="Calibri" w:cs="Calibri"/>
            <w:color w:val="000000" w:themeColor="text1"/>
            <w:u w:val="none"/>
          </w:rPr>
          <w:t>https://doi.org/10.22306/al.v11i2.516</w:t>
        </w:r>
      </w:hyperlink>
    </w:p>
    <w:p w14:paraId="43DEBBDC" w14:textId="77777777" w:rsidR="0002431A" w:rsidRPr="00963B1D" w:rsidRDefault="0002431A" w:rsidP="000F6EA1">
      <w:pPr>
        <w:pStyle w:val="ListParagraph"/>
        <w:numPr>
          <w:ilvl w:val="0"/>
          <w:numId w:val="10"/>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eastAsia="Times New Roman" w:hAnsi="Calibri" w:cs="Calibri"/>
          <w:bCs/>
          <w:color w:val="000000" w:themeColor="text1"/>
          <w:kern w:val="0"/>
          <w14:ligatures w14:val="none"/>
        </w:rPr>
        <w:t xml:space="preserve">Ijeoma M. W., Lewis C. G., Chen H., Chukwu B. N., &amp; </w:t>
      </w:r>
      <w:proofErr w:type="spellStart"/>
      <w:r w:rsidRPr="00963B1D">
        <w:rPr>
          <w:rFonts w:ascii="Calibri" w:eastAsia="Times New Roman" w:hAnsi="Calibri" w:cs="Calibri"/>
          <w:bCs/>
          <w:color w:val="000000" w:themeColor="text1"/>
          <w:kern w:val="0"/>
          <w14:ligatures w14:val="none"/>
        </w:rPr>
        <w:t>Carbajales</w:t>
      </w:r>
      <w:proofErr w:type="spellEnd"/>
      <w:r w:rsidRPr="00963B1D">
        <w:rPr>
          <w:rFonts w:ascii="Calibri" w:eastAsia="Times New Roman" w:hAnsi="Calibri" w:cs="Calibri"/>
          <w:bCs/>
          <w:color w:val="000000" w:themeColor="text1"/>
          <w:kern w:val="0"/>
          <w14:ligatures w14:val="none"/>
        </w:rPr>
        <w:t>-Dale M., (2024). Technical, economic, and environmental feasibility assessment of solar-battery-generator hybrid energy systems: a case study in Nigeria. </w:t>
      </w:r>
      <w:r w:rsidRPr="00963B1D">
        <w:rPr>
          <w:rFonts w:ascii="Calibri" w:eastAsia="Times New Roman" w:hAnsi="Calibri" w:cs="Calibri"/>
          <w:bCs/>
          <w:i/>
          <w:iCs/>
          <w:color w:val="000000" w:themeColor="text1"/>
          <w:kern w:val="0"/>
          <w14:ligatures w14:val="none"/>
        </w:rPr>
        <w:t>Frontiers in Energy Research,</w:t>
      </w:r>
      <w:r w:rsidRPr="00963B1D">
        <w:rPr>
          <w:rFonts w:ascii="Calibri" w:eastAsia="Times New Roman" w:hAnsi="Calibri" w:cs="Calibri"/>
          <w:bCs/>
          <w:color w:val="000000" w:themeColor="text1"/>
          <w:kern w:val="0"/>
          <w14:ligatures w14:val="none"/>
        </w:rPr>
        <w:t xml:space="preserve"> 12: 1397037. </w:t>
      </w:r>
      <w:hyperlink r:id="rId26" w:history="1">
        <w:r w:rsidR="002648F1" w:rsidRPr="00963B1D">
          <w:rPr>
            <w:rStyle w:val="Hyperlink"/>
            <w:rFonts w:ascii="Calibri" w:eastAsia="Times New Roman" w:hAnsi="Calibri" w:cs="Calibri"/>
            <w:bCs/>
            <w:color w:val="000000" w:themeColor="text1"/>
            <w:kern w:val="0"/>
            <w:u w:val="none"/>
            <w14:ligatures w14:val="none"/>
          </w:rPr>
          <w:t>https://doi.org.10.3389/fenrg.2024.1397037</w:t>
        </w:r>
      </w:hyperlink>
      <w:r w:rsidR="002648F1" w:rsidRPr="00963B1D">
        <w:rPr>
          <w:rFonts w:ascii="Calibri" w:eastAsia="Times New Roman" w:hAnsi="Calibri" w:cs="Calibri"/>
          <w:bCs/>
          <w:color w:val="000000" w:themeColor="text1"/>
          <w:kern w:val="0"/>
          <w14:ligatures w14:val="none"/>
        </w:rPr>
        <w:t>.</w:t>
      </w:r>
    </w:p>
    <w:p w14:paraId="52D9B213" w14:textId="77777777" w:rsidR="002648F1" w:rsidRPr="00963B1D" w:rsidRDefault="002648F1" w:rsidP="000F6EA1">
      <w:pPr>
        <w:pStyle w:val="ListParagraph"/>
        <w:numPr>
          <w:ilvl w:val="0"/>
          <w:numId w:val="10"/>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eastAsia="Times New Roman" w:hAnsi="Calibri" w:cs="Calibri"/>
          <w:bCs/>
          <w:color w:val="000000" w:themeColor="text1"/>
          <w:kern w:val="0"/>
          <w14:ligatures w14:val="none"/>
        </w:rPr>
        <w:lastRenderedPageBreak/>
        <w:t xml:space="preserve">U.S. Energy Information Administration. (2025). </w:t>
      </w:r>
      <w:r w:rsidRPr="00963B1D">
        <w:rPr>
          <w:rFonts w:ascii="Calibri" w:eastAsia="Times New Roman" w:hAnsi="Calibri" w:cs="Calibri"/>
          <w:bCs/>
          <w:i/>
          <w:iCs/>
          <w:color w:val="000000" w:themeColor="text1"/>
          <w:kern w:val="0"/>
          <w14:ligatures w14:val="none"/>
        </w:rPr>
        <w:t>Levelized Costs of New Generation Resources in the Annual Energy Outlook 2025</w:t>
      </w:r>
      <w:r w:rsidRPr="00963B1D">
        <w:rPr>
          <w:rFonts w:ascii="Calibri" w:eastAsia="Times New Roman" w:hAnsi="Calibri" w:cs="Calibri"/>
          <w:bCs/>
          <w:color w:val="000000" w:themeColor="text1"/>
          <w:kern w:val="0"/>
          <w14:ligatures w14:val="none"/>
        </w:rPr>
        <w:t xml:space="preserve"> (LCOE report). U.S. EIA. </w:t>
      </w:r>
      <w:hyperlink r:id="rId27" w:tgtFrame="_new" w:history="1">
        <w:r w:rsidRPr="00963B1D">
          <w:rPr>
            <w:rStyle w:val="Hyperlink"/>
            <w:rFonts w:ascii="Calibri" w:eastAsia="Times New Roman" w:hAnsi="Calibri" w:cs="Calibri"/>
            <w:bCs/>
            <w:color w:val="000000" w:themeColor="text1"/>
            <w:kern w:val="0"/>
            <w:u w:val="none"/>
            <w14:ligatures w14:val="none"/>
          </w:rPr>
          <w:t>https://www.eia.gov/outlooks/aeo/electricity_generation/pdf/AEO2025_LCOE_report.pdf</w:t>
        </w:r>
      </w:hyperlink>
      <w:r w:rsidRPr="00963B1D">
        <w:rPr>
          <w:rFonts w:ascii="Calibri" w:eastAsia="Times New Roman" w:hAnsi="Calibri" w:cs="Calibri"/>
          <w:bCs/>
          <w:color w:val="000000" w:themeColor="text1"/>
          <w:kern w:val="0"/>
          <w:lang w:val="en-US"/>
          <w14:ligatures w14:val="none"/>
        </w:rPr>
        <w:t>.</w:t>
      </w:r>
    </w:p>
    <w:p w14:paraId="049163DD" w14:textId="77777777" w:rsidR="002648F1" w:rsidRPr="00963B1D" w:rsidRDefault="002648F1" w:rsidP="000F6EA1">
      <w:pPr>
        <w:pStyle w:val="ListParagraph"/>
        <w:numPr>
          <w:ilvl w:val="0"/>
          <w:numId w:val="10"/>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eastAsia="Times New Roman" w:hAnsi="Calibri" w:cs="Calibri"/>
          <w:bCs/>
          <w:color w:val="000000" w:themeColor="text1"/>
          <w:kern w:val="0"/>
          <w14:ligatures w14:val="none"/>
        </w:rPr>
        <w:t xml:space="preserve">Oliveira Barbosa, M., Peyerl, D., &amp; Mendes, A. B. (2023). </w:t>
      </w:r>
      <w:r w:rsidRPr="00963B1D">
        <w:rPr>
          <w:rFonts w:ascii="Calibri" w:eastAsia="Times New Roman" w:hAnsi="Calibri" w:cs="Calibri"/>
          <w:bCs/>
          <w:iCs/>
          <w:color w:val="000000" w:themeColor="text1"/>
          <w:kern w:val="0"/>
          <w14:ligatures w14:val="none"/>
        </w:rPr>
        <w:t>The economic and environmental benefits of adopting natural gas in isolated systems of Amazonas state, Brazil.</w:t>
      </w:r>
      <w:r w:rsidRPr="00963B1D">
        <w:rPr>
          <w:rFonts w:ascii="Calibri" w:eastAsia="Times New Roman" w:hAnsi="Calibri" w:cs="Calibri"/>
          <w:bCs/>
          <w:color w:val="000000" w:themeColor="text1"/>
          <w:kern w:val="0"/>
          <w14:ligatures w14:val="none"/>
        </w:rPr>
        <w:t xml:space="preserve"> </w:t>
      </w:r>
      <w:r w:rsidRPr="00963B1D">
        <w:rPr>
          <w:rFonts w:ascii="Calibri" w:eastAsia="Times New Roman" w:hAnsi="Calibri" w:cs="Calibri"/>
          <w:bCs/>
          <w:i/>
          <w:iCs/>
          <w:color w:val="000000" w:themeColor="text1"/>
          <w:kern w:val="0"/>
          <w14:ligatures w14:val="none"/>
        </w:rPr>
        <w:t>Environmental Development, 45</w:t>
      </w:r>
      <w:r w:rsidRPr="00963B1D">
        <w:rPr>
          <w:rFonts w:ascii="Calibri" w:eastAsia="Times New Roman" w:hAnsi="Calibri" w:cs="Calibri"/>
          <w:bCs/>
          <w:color w:val="000000" w:themeColor="text1"/>
          <w:kern w:val="0"/>
          <w14:ligatures w14:val="none"/>
        </w:rPr>
        <w:t xml:space="preserve">, 100889. </w:t>
      </w:r>
      <w:hyperlink r:id="rId28" w:history="1">
        <w:r w:rsidR="0075415C" w:rsidRPr="00963B1D">
          <w:rPr>
            <w:rStyle w:val="Hyperlink"/>
            <w:rFonts w:ascii="Calibri" w:eastAsia="Times New Roman" w:hAnsi="Calibri" w:cs="Calibri"/>
            <w:bCs/>
            <w:color w:val="000000" w:themeColor="text1"/>
            <w:kern w:val="0"/>
            <w:u w:val="none"/>
            <w14:ligatures w14:val="none"/>
          </w:rPr>
          <w:t>https://doi.org/10.1016/j.envdev.2023.100889</w:t>
        </w:r>
      </w:hyperlink>
    </w:p>
    <w:p w14:paraId="58B0CA68" w14:textId="77777777" w:rsidR="0075415C" w:rsidRPr="00963B1D" w:rsidRDefault="0075415C" w:rsidP="0075415C">
      <w:pPr>
        <w:pStyle w:val="ListParagraph"/>
        <w:numPr>
          <w:ilvl w:val="0"/>
          <w:numId w:val="10"/>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963B1D">
        <w:rPr>
          <w:rFonts w:ascii="Calibri" w:eastAsia="Times New Roman" w:hAnsi="Calibri" w:cs="Calibri"/>
          <w:bCs/>
          <w:color w:val="000000" w:themeColor="text1"/>
          <w:kern w:val="0"/>
          <w14:ligatures w14:val="none"/>
        </w:rPr>
        <w:t>Hai T., Seger A. A., El-Shafay A. S., Singh P. K., Al-</w:t>
      </w:r>
      <w:proofErr w:type="spellStart"/>
      <w:r w:rsidRPr="00963B1D">
        <w:rPr>
          <w:rFonts w:ascii="Calibri" w:eastAsia="Times New Roman" w:hAnsi="Calibri" w:cs="Calibri"/>
          <w:bCs/>
          <w:color w:val="000000" w:themeColor="text1"/>
          <w:kern w:val="0"/>
          <w14:ligatures w14:val="none"/>
        </w:rPr>
        <w:t>Yasiri</w:t>
      </w:r>
      <w:proofErr w:type="spellEnd"/>
      <w:r w:rsidRPr="00963B1D">
        <w:rPr>
          <w:rFonts w:ascii="Calibri" w:eastAsia="Times New Roman" w:hAnsi="Calibri" w:cs="Calibri"/>
          <w:bCs/>
          <w:color w:val="000000" w:themeColor="text1"/>
          <w:kern w:val="0"/>
          <w14:ligatures w14:val="none"/>
        </w:rPr>
        <w:t xml:space="preserve"> A. J., Ahmed M., </w:t>
      </w:r>
      <w:proofErr w:type="spellStart"/>
      <w:r w:rsidRPr="00963B1D">
        <w:rPr>
          <w:rFonts w:ascii="Calibri" w:eastAsia="Times New Roman" w:hAnsi="Calibri" w:cs="Calibri"/>
          <w:bCs/>
          <w:color w:val="000000" w:themeColor="text1"/>
          <w:kern w:val="0"/>
          <w14:ligatures w14:val="none"/>
        </w:rPr>
        <w:t>Almeshaal</w:t>
      </w:r>
      <w:proofErr w:type="spellEnd"/>
      <w:r w:rsidRPr="00963B1D">
        <w:rPr>
          <w:rFonts w:ascii="Calibri" w:eastAsia="Times New Roman" w:hAnsi="Calibri" w:cs="Calibri"/>
          <w:bCs/>
          <w:color w:val="000000" w:themeColor="text1"/>
          <w:kern w:val="0"/>
          <w14:ligatures w14:val="none"/>
        </w:rPr>
        <w:t xml:space="preserve"> M. A., </w:t>
      </w:r>
      <w:proofErr w:type="spellStart"/>
      <w:r w:rsidRPr="00963B1D">
        <w:rPr>
          <w:rFonts w:ascii="Calibri" w:eastAsia="Times New Roman" w:hAnsi="Calibri" w:cs="Calibri"/>
          <w:bCs/>
          <w:color w:val="000000" w:themeColor="text1"/>
          <w:kern w:val="0"/>
          <w14:ligatures w14:val="none"/>
        </w:rPr>
        <w:t>Darweesh</w:t>
      </w:r>
      <w:proofErr w:type="spellEnd"/>
      <w:r w:rsidRPr="00963B1D">
        <w:rPr>
          <w:rFonts w:ascii="Calibri" w:eastAsia="Times New Roman" w:hAnsi="Calibri" w:cs="Calibri"/>
          <w:bCs/>
          <w:color w:val="000000" w:themeColor="text1"/>
          <w:kern w:val="0"/>
          <w14:ligatures w14:val="none"/>
        </w:rPr>
        <w:t xml:space="preserve"> M. S., </w:t>
      </w:r>
      <w:proofErr w:type="spellStart"/>
      <w:r w:rsidRPr="00963B1D">
        <w:rPr>
          <w:rFonts w:ascii="Calibri" w:eastAsia="Times New Roman" w:hAnsi="Calibri" w:cs="Calibri"/>
          <w:bCs/>
          <w:color w:val="000000" w:themeColor="text1"/>
          <w:kern w:val="0"/>
          <w14:ligatures w14:val="none"/>
        </w:rPr>
        <w:t>Kolsi</w:t>
      </w:r>
      <w:proofErr w:type="spellEnd"/>
      <w:r w:rsidRPr="00963B1D">
        <w:rPr>
          <w:rFonts w:ascii="Calibri" w:eastAsia="Times New Roman" w:hAnsi="Calibri" w:cs="Calibri"/>
          <w:bCs/>
          <w:color w:val="000000" w:themeColor="text1"/>
          <w:kern w:val="0"/>
          <w14:ligatures w14:val="none"/>
        </w:rPr>
        <w:t xml:space="preserve"> L., &amp; Singh N. S. S. (2025). </w:t>
      </w:r>
      <w:r w:rsidRPr="00963B1D">
        <w:rPr>
          <w:rFonts w:ascii="Calibri" w:hAnsi="Calibri" w:cs="Calibri"/>
          <w:color w:val="000000" w:themeColor="text1"/>
          <w:shd w:val="clear" w:color="auto" w:fill="FFFFFF"/>
        </w:rPr>
        <w:t>Techno-economic-enviro evaluation of a PV/biogas/diesel/battery hybrid system to support the power network for the welfare of rural communities, </w:t>
      </w:r>
      <w:r w:rsidRPr="00963B1D">
        <w:rPr>
          <w:rStyle w:val="Emphasis"/>
          <w:rFonts w:ascii="Calibri" w:hAnsi="Calibri" w:cs="Calibri"/>
          <w:color w:val="000000" w:themeColor="text1"/>
          <w:bdr w:val="none" w:sz="0" w:space="0" w:color="auto" w:frame="1"/>
          <w:shd w:val="clear" w:color="auto" w:fill="FFFFFF"/>
        </w:rPr>
        <w:t>International Journal of Low-Carbon Technologies</w:t>
      </w:r>
      <w:r w:rsidRPr="00963B1D">
        <w:rPr>
          <w:rFonts w:ascii="Calibri" w:hAnsi="Calibri" w:cs="Calibri"/>
          <w:color w:val="000000" w:themeColor="text1"/>
          <w:shd w:val="clear" w:color="auto" w:fill="FFFFFF"/>
        </w:rPr>
        <w:t>, 20, 659–670, </w:t>
      </w:r>
      <w:hyperlink r:id="rId29" w:history="1">
        <w:r w:rsidRPr="00963B1D">
          <w:rPr>
            <w:rStyle w:val="Hyperlink"/>
            <w:rFonts w:ascii="Calibri" w:hAnsi="Calibri" w:cs="Calibri"/>
            <w:color w:val="000000" w:themeColor="text1"/>
            <w:u w:val="none"/>
            <w:bdr w:val="none" w:sz="0" w:space="0" w:color="auto" w:frame="1"/>
            <w:shd w:val="clear" w:color="auto" w:fill="FFFFFF"/>
          </w:rPr>
          <w:t>https://doi.org/10.1093/ijlct/ctae256</w:t>
        </w:r>
      </w:hyperlink>
      <w:r w:rsidR="00963B1D" w:rsidRPr="00963B1D">
        <w:rPr>
          <w:rFonts w:ascii="Calibri" w:hAnsi="Calibri" w:cs="Calibri"/>
          <w:color w:val="000000" w:themeColor="text1"/>
        </w:rPr>
        <w:t>.</w:t>
      </w:r>
    </w:p>
    <w:sectPr w:rsidR="0075415C" w:rsidRPr="00963B1D" w:rsidSect="00FD6F8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28E7D" w14:textId="77777777" w:rsidR="000409FF" w:rsidRDefault="000409FF" w:rsidP="00636793">
      <w:pPr>
        <w:spacing w:after="0" w:line="240" w:lineRule="auto"/>
      </w:pPr>
      <w:r>
        <w:separator/>
      </w:r>
    </w:p>
  </w:endnote>
  <w:endnote w:type="continuationSeparator" w:id="0">
    <w:p w14:paraId="012BA138" w14:textId="77777777" w:rsidR="000409FF" w:rsidRDefault="000409FF" w:rsidP="0063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BEA4A" w14:textId="77777777" w:rsidR="004A7FDA" w:rsidRDefault="004A7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B84D" w14:textId="77777777" w:rsidR="004A7FDA" w:rsidRDefault="004A7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0288A" w14:textId="77777777" w:rsidR="004A7FDA" w:rsidRDefault="004A7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652DE" w14:textId="77777777" w:rsidR="000409FF" w:rsidRDefault="000409FF" w:rsidP="00636793">
      <w:pPr>
        <w:spacing w:after="0" w:line="240" w:lineRule="auto"/>
      </w:pPr>
      <w:r>
        <w:separator/>
      </w:r>
    </w:p>
  </w:footnote>
  <w:footnote w:type="continuationSeparator" w:id="0">
    <w:p w14:paraId="72A46941" w14:textId="77777777" w:rsidR="000409FF" w:rsidRDefault="000409FF" w:rsidP="00636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23049" w14:textId="6E95D59E" w:rsidR="004A7FDA" w:rsidRDefault="004A7FDA">
    <w:pPr>
      <w:pStyle w:val="Header"/>
    </w:pPr>
    <w:r>
      <w:rPr>
        <w:noProof/>
      </w:rPr>
      <w:pict w14:anchorId="7AD8E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9817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A4C3" w14:textId="777CAD92" w:rsidR="004A7FDA" w:rsidRDefault="004A7FDA">
    <w:pPr>
      <w:pStyle w:val="Header"/>
    </w:pPr>
    <w:r>
      <w:rPr>
        <w:noProof/>
      </w:rPr>
      <w:pict w14:anchorId="77E3C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9817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BE06" w14:textId="7E853DC9" w:rsidR="004A7FDA" w:rsidRDefault="004A7FDA">
    <w:pPr>
      <w:pStyle w:val="Header"/>
    </w:pPr>
    <w:r>
      <w:rPr>
        <w:noProof/>
      </w:rPr>
      <w:pict w14:anchorId="02E3F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9817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0BB1"/>
    <w:multiLevelType w:val="multilevel"/>
    <w:tmpl w:val="9438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96E26"/>
    <w:multiLevelType w:val="multilevel"/>
    <w:tmpl w:val="10EE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731A8"/>
    <w:multiLevelType w:val="hybridMultilevel"/>
    <w:tmpl w:val="F8CE8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84BE3"/>
    <w:multiLevelType w:val="multilevel"/>
    <w:tmpl w:val="222C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C08A5"/>
    <w:multiLevelType w:val="multilevel"/>
    <w:tmpl w:val="A09C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57514"/>
    <w:multiLevelType w:val="multilevel"/>
    <w:tmpl w:val="B46632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59A46EE"/>
    <w:multiLevelType w:val="multilevel"/>
    <w:tmpl w:val="B16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56E90"/>
    <w:multiLevelType w:val="multilevel"/>
    <w:tmpl w:val="D5BC40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E860C1"/>
    <w:multiLevelType w:val="multilevel"/>
    <w:tmpl w:val="D5BC40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C63EFC"/>
    <w:multiLevelType w:val="multilevel"/>
    <w:tmpl w:val="D5BC40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E403DA"/>
    <w:multiLevelType w:val="hybridMultilevel"/>
    <w:tmpl w:val="EBDC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5"/>
  </w:num>
  <w:num w:numId="6">
    <w:abstractNumId w:val="3"/>
  </w:num>
  <w:num w:numId="7">
    <w:abstractNumId w:val="4"/>
  </w:num>
  <w:num w:numId="8">
    <w:abstractNumId w:val="9"/>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1B"/>
    <w:rsid w:val="0002431A"/>
    <w:rsid w:val="000409FF"/>
    <w:rsid w:val="000A3F29"/>
    <w:rsid w:val="000E1AEA"/>
    <w:rsid w:val="000F6EA1"/>
    <w:rsid w:val="00135864"/>
    <w:rsid w:val="001B042D"/>
    <w:rsid w:val="001F1AD3"/>
    <w:rsid w:val="00233A40"/>
    <w:rsid w:val="00252DA3"/>
    <w:rsid w:val="002648F1"/>
    <w:rsid w:val="002652AE"/>
    <w:rsid w:val="00276B09"/>
    <w:rsid w:val="002B6E6E"/>
    <w:rsid w:val="003039B9"/>
    <w:rsid w:val="00311EF6"/>
    <w:rsid w:val="0034345B"/>
    <w:rsid w:val="00387BFA"/>
    <w:rsid w:val="003D09C5"/>
    <w:rsid w:val="003D44D2"/>
    <w:rsid w:val="00410714"/>
    <w:rsid w:val="004235F4"/>
    <w:rsid w:val="00491200"/>
    <w:rsid w:val="004A7FDA"/>
    <w:rsid w:val="0051231B"/>
    <w:rsid w:val="005A5F3F"/>
    <w:rsid w:val="005D4285"/>
    <w:rsid w:val="00602114"/>
    <w:rsid w:val="006149B2"/>
    <w:rsid w:val="00614D23"/>
    <w:rsid w:val="00636793"/>
    <w:rsid w:val="0067535D"/>
    <w:rsid w:val="00676A4F"/>
    <w:rsid w:val="006925BF"/>
    <w:rsid w:val="00695B9D"/>
    <w:rsid w:val="00733AA0"/>
    <w:rsid w:val="0075415C"/>
    <w:rsid w:val="007C5BD6"/>
    <w:rsid w:val="0082511F"/>
    <w:rsid w:val="0084666B"/>
    <w:rsid w:val="00880DCB"/>
    <w:rsid w:val="008869A1"/>
    <w:rsid w:val="008E73A4"/>
    <w:rsid w:val="00924CAA"/>
    <w:rsid w:val="00963B1D"/>
    <w:rsid w:val="009651F8"/>
    <w:rsid w:val="00984597"/>
    <w:rsid w:val="009D7879"/>
    <w:rsid w:val="00A208C9"/>
    <w:rsid w:val="00A95FB9"/>
    <w:rsid w:val="00AE6591"/>
    <w:rsid w:val="00B14A71"/>
    <w:rsid w:val="00B56042"/>
    <w:rsid w:val="00C1107D"/>
    <w:rsid w:val="00C17B1D"/>
    <w:rsid w:val="00C2322C"/>
    <w:rsid w:val="00C520FC"/>
    <w:rsid w:val="00C52612"/>
    <w:rsid w:val="00C67A1D"/>
    <w:rsid w:val="00C71329"/>
    <w:rsid w:val="00CB5408"/>
    <w:rsid w:val="00D1315F"/>
    <w:rsid w:val="00D157CA"/>
    <w:rsid w:val="00D349D0"/>
    <w:rsid w:val="00D47877"/>
    <w:rsid w:val="00DD0CE2"/>
    <w:rsid w:val="00E057AB"/>
    <w:rsid w:val="00E30C01"/>
    <w:rsid w:val="00E44041"/>
    <w:rsid w:val="00E47D0F"/>
    <w:rsid w:val="00E64D0E"/>
    <w:rsid w:val="00F25D62"/>
    <w:rsid w:val="00F25F2D"/>
    <w:rsid w:val="00F620E5"/>
    <w:rsid w:val="00F922DF"/>
    <w:rsid w:val="00FD6F88"/>
    <w:rsid w:val="00FE6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C7DF76"/>
  <w15:chartTrackingRefBased/>
  <w15:docId w15:val="{B54DDED9-94E7-49FE-9737-140C3D9A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1231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link w:val="Heading2Char"/>
    <w:uiPriority w:val="9"/>
    <w:qFormat/>
    <w:rsid w:val="0051231B"/>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link w:val="Heading3Char"/>
    <w:uiPriority w:val="9"/>
    <w:qFormat/>
    <w:rsid w:val="0051231B"/>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paragraph" w:styleId="Heading4">
    <w:name w:val="heading 4"/>
    <w:basedOn w:val="Normal"/>
    <w:link w:val="Heading4Char"/>
    <w:uiPriority w:val="9"/>
    <w:qFormat/>
    <w:rsid w:val="0051231B"/>
    <w:pPr>
      <w:spacing w:before="100" w:beforeAutospacing="1" w:after="100" w:afterAutospacing="1" w:line="240" w:lineRule="auto"/>
      <w:outlineLvl w:val="3"/>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31B"/>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
    <w:rsid w:val="0051231B"/>
    <w:rPr>
      <w:rFonts w:ascii="Times New Roman" w:eastAsia="Times New Roman" w:hAnsi="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rsid w:val="0051231B"/>
    <w:rPr>
      <w:rFonts w:ascii="Times New Roman" w:eastAsia="Times New Roman" w:hAnsi="Times New Roman" w:cs="Times New Roman"/>
      <w:b/>
      <w:bCs/>
      <w:kern w:val="0"/>
      <w:sz w:val="27"/>
      <w:szCs w:val="27"/>
      <w:lang w:val="en-US"/>
      <w14:ligatures w14:val="none"/>
    </w:rPr>
  </w:style>
  <w:style w:type="character" w:customStyle="1" w:styleId="Heading4Char">
    <w:name w:val="Heading 4 Char"/>
    <w:basedOn w:val="DefaultParagraphFont"/>
    <w:link w:val="Heading4"/>
    <w:uiPriority w:val="9"/>
    <w:rsid w:val="0051231B"/>
    <w:rPr>
      <w:rFonts w:ascii="Times New Roman" w:eastAsia="Times New Roman" w:hAnsi="Times New Roman" w:cs="Times New Roman"/>
      <w:b/>
      <w:bCs/>
      <w:kern w:val="0"/>
      <w:lang w:val="en-US"/>
      <w14:ligatures w14:val="none"/>
    </w:rPr>
  </w:style>
  <w:style w:type="paragraph" w:customStyle="1" w:styleId="font-claude-response-body">
    <w:name w:val="font-claude-response-body"/>
    <w:basedOn w:val="Normal"/>
    <w:rsid w:val="0051231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51231B"/>
    <w:rPr>
      <w:b/>
      <w:bCs/>
    </w:rPr>
  </w:style>
  <w:style w:type="character" w:customStyle="1" w:styleId="katex-mathml">
    <w:name w:val="katex-mathml"/>
    <w:basedOn w:val="DefaultParagraphFont"/>
    <w:rsid w:val="0051231B"/>
  </w:style>
  <w:style w:type="character" w:customStyle="1" w:styleId="mord">
    <w:name w:val="mord"/>
    <w:basedOn w:val="DefaultParagraphFont"/>
    <w:rsid w:val="0051231B"/>
  </w:style>
  <w:style w:type="character" w:customStyle="1" w:styleId="mrel">
    <w:name w:val="mrel"/>
    <w:basedOn w:val="DefaultParagraphFont"/>
    <w:rsid w:val="0051231B"/>
  </w:style>
  <w:style w:type="character" w:customStyle="1" w:styleId="mopen">
    <w:name w:val="mopen"/>
    <w:basedOn w:val="DefaultParagraphFont"/>
    <w:rsid w:val="0051231B"/>
  </w:style>
  <w:style w:type="character" w:customStyle="1" w:styleId="mop">
    <w:name w:val="mop"/>
    <w:basedOn w:val="DefaultParagraphFont"/>
    <w:rsid w:val="0051231B"/>
  </w:style>
  <w:style w:type="character" w:customStyle="1" w:styleId="vlist-s">
    <w:name w:val="vlist-s"/>
    <w:basedOn w:val="DefaultParagraphFont"/>
    <w:rsid w:val="0051231B"/>
  </w:style>
  <w:style w:type="character" w:customStyle="1" w:styleId="mclose">
    <w:name w:val="mclose"/>
    <w:basedOn w:val="DefaultParagraphFont"/>
    <w:rsid w:val="0051231B"/>
  </w:style>
  <w:style w:type="character" w:customStyle="1" w:styleId="mbin">
    <w:name w:val="mbin"/>
    <w:basedOn w:val="DefaultParagraphFont"/>
    <w:rsid w:val="0051231B"/>
  </w:style>
  <w:style w:type="character" w:styleId="Emphasis">
    <w:name w:val="Emphasis"/>
    <w:basedOn w:val="DefaultParagraphFont"/>
    <w:uiPriority w:val="20"/>
    <w:qFormat/>
    <w:rsid w:val="0051231B"/>
    <w:rPr>
      <w:i/>
      <w:iCs/>
    </w:rPr>
  </w:style>
  <w:style w:type="character" w:styleId="Hyperlink">
    <w:name w:val="Hyperlink"/>
    <w:basedOn w:val="DefaultParagraphFont"/>
    <w:uiPriority w:val="99"/>
    <w:unhideWhenUsed/>
    <w:rsid w:val="0051231B"/>
    <w:rPr>
      <w:color w:val="0000FF"/>
      <w:u w:val="single"/>
    </w:rPr>
  </w:style>
  <w:style w:type="character" w:customStyle="1" w:styleId="inline-flex">
    <w:name w:val="inline-flex"/>
    <w:basedOn w:val="DefaultParagraphFont"/>
    <w:rsid w:val="00733AA0"/>
  </w:style>
  <w:style w:type="character" w:customStyle="1" w:styleId="relative">
    <w:name w:val="relative"/>
    <w:basedOn w:val="DefaultParagraphFont"/>
    <w:rsid w:val="00733AA0"/>
  </w:style>
  <w:style w:type="character" w:customStyle="1" w:styleId="markedcontent">
    <w:name w:val="markedcontent"/>
    <w:basedOn w:val="DefaultParagraphFont"/>
    <w:rsid w:val="00E30C01"/>
  </w:style>
  <w:style w:type="paragraph" w:styleId="ListParagraph">
    <w:name w:val="List Paragraph"/>
    <w:basedOn w:val="Normal"/>
    <w:uiPriority w:val="34"/>
    <w:qFormat/>
    <w:rsid w:val="000E1AEA"/>
    <w:pPr>
      <w:ind w:left="720"/>
      <w:contextualSpacing/>
    </w:pPr>
  </w:style>
  <w:style w:type="paragraph" w:styleId="Header">
    <w:name w:val="header"/>
    <w:basedOn w:val="Normal"/>
    <w:link w:val="HeaderChar"/>
    <w:uiPriority w:val="99"/>
    <w:unhideWhenUsed/>
    <w:rsid w:val="00636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793"/>
  </w:style>
  <w:style w:type="paragraph" w:styleId="Footer">
    <w:name w:val="footer"/>
    <w:basedOn w:val="Normal"/>
    <w:link w:val="FooterChar"/>
    <w:uiPriority w:val="99"/>
    <w:unhideWhenUsed/>
    <w:rsid w:val="00636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793"/>
  </w:style>
  <w:style w:type="character" w:styleId="UnresolvedMention">
    <w:name w:val="Unresolved Mention"/>
    <w:basedOn w:val="DefaultParagraphFont"/>
    <w:uiPriority w:val="99"/>
    <w:semiHidden/>
    <w:unhideWhenUsed/>
    <w:rsid w:val="000A3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25155">
      <w:bodyDiv w:val="1"/>
      <w:marLeft w:val="0"/>
      <w:marRight w:val="0"/>
      <w:marTop w:val="0"/>
      <w:marBottom w:val="0"/>
      <w:divBdr>
        <w:top w:val="none" w:sz="0" w:space="0" w:color="auto"/>
        <w:left w:val="none" w:sz="0" w:space="0" w:color="auto"/>
        <w:bottom w:val="none" w:sz="0" w:space="0" w:color="auto"/>
        <w:right w:val="none" w:sz="0" w:space="0" w:color="auto"/>
      </w:divBdr>
    </w:div>
    <w:div w:id="324553629">
      <w:bodyDiv w:val="1"/>
      <w:marLeft w:val="0"/>
      <w:marRight w:val="0"/>
      <w:marTop w:val="0"/>
      <w:marBottom w:val="0"/>
      <w:divBdr>
        <w:top w:val="none" w:sz="0" w:space="0" w:color="auto"/>
        <w:left w:val="none" w:sz="0" w:space="0" w:color="auto"/>
        <w:bottom w:val="none" w:sz="0" w:space="0" w:color="auto"/>
        <w:right w:val="none" w:sz="0" w:space="0" w:color="auto"/>
      </w:divBdr>
    </w:div>
    <w:div w:id="372657563">
      <w:bodyDiv w:val="1"/>
      <w:marLeft w:val="0"/>
      <w:marRight w:val="0"/>
      <w:marTop w:val="0"/>
      <w:marBottom w:val="0"/>
      <w:divBdr>
        <w:top w:val="none" w:sz="0" w:space="0" w:color="auto"/>
        <w:left w:val="none" w:sz="0" w:space="0" w:color="auto"/>
        <w:bottom w:val="none" w:sz="0" w:space="0" w:color="auto"/>
        <w:right w:val="none" w:sz="0" w:space="0" w:color="auto"/>
      </w:divBdr>
    </w:div>
    <w:div w:id="417870827">
      <w:bodyDiv w:val="1"/>
      <w:marLeft w:val="0"/>
      <w:marRight w:val="0"/>
      <w:marTop w:val="0"/>
      <w:marBottom w:val="0"/>
      <w:divBdr>
        <w:top w:val="none" w:sz="0" w:space="0" w:color="auto"/>
        <w:left w:val="none" w:sz="0" w:space="0" w:color="auto"/>
        <w:bottom w:val="none" w:sz="0" w:space="0" w:color="auto"/>
        <w:right w:val="none" w:sz="0" w:space="0" w:color="auto"/>
      </w:divBdr>
    </w:div>
    <w:div w:id="464659598">
      <w:bodyDiv w:val="1"/>
      <w:marLeft w:val="0"/>
      <w:marRight w:val="0"/>
      <w:marTop w:val="0"/>
      <w:marBottom w:val="0"/>
      <w:divBdr>
        <w:top w:val="none" w:sz="0" w:space="0" w:color="auto"/>
        <w:left w:val="none" w:sz="0" w:space="0" w:color="auto"/>
        <w:bottom w:val="none" w:sz="0" w:space="0" w:color="auto"/>
        <w:right w:val="none" w:sz="0" w:space="0" w:color="auto"/>
      </w:divBdr>
    </w:div>
    <w:div w:id="658919722">
      <w:bodyDiv w:val="1"/>
      <w:marLeft w:val="0"/>
      <w:marRight w:val="0"/>
      <w:marTop w:val="0"/>
      <w:marBottom w:val="0"/>
      <w:divBdr>
        <w:top w:val="none" w:sz="0" w:space="0" w:color="auto"/>
        <w:left w:val="none" w:sz="0" w:space="0" w:color="auto"/>
        <w:bottom w:val="none" w:sz="0" w:space="0" w:color="auto"/>
        <w:right w:val="none" w:sz="0" w:space="0" w:color="auto"/>
      </w:divBdr>
    </w:div>
    <w:div w:id="699360892">
      <w:bodyDiv w:val="1"/>
      <w:marLeft w:val="0"/>
      <w:marRight w:val="0"/>
      <w:marTop w:val="0"/>
      <w:marBottom w:val="0"/>
      <w:divBdr>
        <w:top w:val="none" w:sz="0" w:space="0" w:color="auto"/>
        <w:left w:val="none" w:sz="0" w:space="0" w:color="auto"/>
        <w:bottom w:val="none" w:sz="0" w:space="0" w:color="auto"/>
        <w:right w:val="none" w:sz="0" w:space="0" w:color="auto"/>
      </w:divBdr>
    </w:div>
    <w:div w:id="923223926">
      <w:bodyDiv w:val="1"/>
      <w:marLeft w:val="0"/>
      <w:marRight w:val="0"/>
      <w:marTop w:val="0"/>
      <w:marBottom w:val="0"/>
      <w:divBdr>
        <w:top w:val="none" w:sz="0" w:space="0" w:color="auto"/>
        <w:left w:val="none" w:sz="0" w:space="0" w:color="auto"/>
        <w:bottom w:val="none" w:sz="0" w:space="0" w:color="auto"/>
        <w:right w:val="none" w:sz="0" w:space="0" w:color="auto"/>
      </w:divBdr>
    </w:div>
    <w:div w:id="1012075308">
      <w:bodyDiv w:val="1"/>
      <w:marLeft w:val="0"/>
      <w:marRight w:val="0"/>
      <w:marTop w:val="0"/>
      <w:marBottom w:val="0"/>
      <w:divBdr>
        <w:top w:val="none" w:sz="0" w:space="0" w:color="auto"/>
        <w:left w:val="none" w:sz="0" w:space="0" w:color="auto"/>
        <w:bottom w:val="none" w:sz="0" w:space="0" w:color="auto"/>
        <w:right w:val="none" w:sz="0" w:space="0" w:color="auto"/>
      </w:divBdr>
    </w:div>
    <w:div w:id="1277249838">
      <w:bodyDiv w:val="1"/>
      <w:marLeft w:val="0"/>
      <w:marRight w:val="0"/>
      <w:marTop w:val="0"/>
      <w:marBottom w:val="0"/>
      <w:divBdr>
        <w:top w:val="none" w:sz="0" w:space="0" w:color="auto"/>
        <w:left w:val="none" w:sz="0" w:space="0" w:color="auto"/>
        <w:bottom w:val="none" w:sz="0" w:space="0" w:color="auto"/>
        <w:right w:val="none" w:sz="0" w:space="0" w:color="auto"/>
      </w:divBdr>
    </w:div>
    <w:div w:id="1368876378">
      <w:bodyDiv w:val="1"/>
      <w:marLeft w:val="0"/>
      <w:marRight w:val="0"/>
      <w:marTop w:val="0"/>
      <w:marBottom w:val="0"/>
      <w:divBdr>
        <w:top w:val="none" w:sz="0" w:space="0" w:color="auto"/>
        <w:left w:val="none" w:sz="0" w:space="0" w:color="auto"/>
        <w:bottom w:val="none" w:sz="0" w:space="0" w:color="auto"/>
        <w:right w:val="none" w:sz="0" w:space="0" w:color="auto"/>
      </w:divBdr>
    </w:div>
    <w:div w:id="1387803533">
      <w:bodyDiv w:val="1"/>
      <w:marLeft w:val="0"/>
      <w:marRight w:val="0"/>
      <w:marTop w:val="0"/>
      <w:marBottom w:val="0"/>
      <w:divBdr>
        <w:top w:val="none" w:sz="0" w:space="0" w:color="auto"/>
        <w:left w:val="none" w:sz="0" w:space="0" w:color="auto"/>
        <w:bottom w:val="none" w:sz="0" w:space="0" w:color="auto"/>
        <w:right w:val="none" w:sz="0" w:space="0" w:color="auto"/>
      </w:divBdr>
    </w:div>
    <w:div w:id="1411535895">
      <w:bodyDiv w:val="1"/>
      <w:marLeft w:val="0"/>
      <w:marRight w:val="0"/>
      <w:marTop w:val="0"/>
      <w:marBottom w:val="0"/>
      <w:divBdr>
        <w:top w:val="none" w:sz="0" w:space="0" w:color="auto"/>
        <w:left w:val="none" w:sz="0" w:space="0" w:color="auto"/>
        <w:bottom w:val="none" w:sz="0" w:space="0" w:color="auto"/>
        <w:right w:val="none" w:sz="0" w:space="0" w:color="auto"/>
      </w:divBdr>
    </w:div>
    <w:div w:id="1594702688">
      <w:bodyDiv w:val="1"/>
      <w:marLeft w:val="0"/>
      <w:marRight w:val="0"/>
      <w:marTop w:val="0"/>
      <w:marBottom w:val="0"/>
      <w:divBdr>
        <w:top w:val="none" w:sz="0" w:space="0" w:color="auto"/>
        <w:left w:val="none" w:sz="0" w:space="0" w:color="auto"/>
        <w:bottom w:val="none" w:sz="0" w:space="0" w:color="auto"/>
        <w:right w:val="none" w:sz="0" w:space="0" w:color="auto"/>
      </w:divBdr>
    </w:div>
    <w:div w:id="1720280176">
      <w:bodyDiv w:val="1"/>
      <w:marLeft w:val="0"/>
      <w:marRight w:val="0"/>
      <w:marTop w:val="0"/>
      <w:marBottom w:val="0"/>
      <w:divBdr>
        <w:top w:val="none" w:sz="0" w:space="0" w:color="auto"/>
        <w:left w:val="none" w:sz="0" w:space="0" w:color="auto"/>
        <w:bottom w:val="none" w:sz="0" w:space="0" w:color="auto"/>
        <w:right w:val="none" w:sz="0" w:space="0" w:color="auto"/>
      </w:divBdr>
    </w:div>
    <w:div w:id="17785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10668-023-02917-7" TargetMode="External"/><Relationship Id="rId26" Type="http://schemas.openxmlformats.org/officeDocument/2006/relationships/hyperlink" Target="https://doi.org.10.3389/fenrg.2024.1397037" TargetMode="External"/><Relationship Id="rId3" Type="http://schemas.openxmlformats.org/officeDocument/2006/relationships/styles" Target="styles.xml"/><Relationship Id="rId21" Type="http://schemas.openxmlformats.org/officeDocument/2006/relationships/hyperlink" Target="https://doi.org/10.71350/3062192510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0944/preprints202503.1065" TargetMode="External"/><Relationship Id="rId25" Type="http://schemas.openxmlformats.org/officeDocument/2006/relationships/hyperlink" Target="https://doi.org/10.22306/al.v11i2.516" TargetMode="External"/><Relationship Id="rId2" Type="http://schemas.openxmlformats.org/officeDocument/2006/relationships/numbering" Target="numbering.xml"/><Relationship Id="rId16" Type="http://schemas.openxmlformats.org/officeDocument/2006/relationships/hyperlink" Target="https://doi.org/10.3390/en11030687" TargetMode="External"/><Relationship Id="rId20" Type="http://schemas.openxmlformats.org/officeDocument/2006/relationships/hyperlink" Target="https://doi.org/10.1038/s41598-025-93073-7" TargetMode="External"/><Relationship Id="rId29" Type="http://schemas.openxmlformats.org/officeDocument/2006/relationships/hyperlink" Target="https://doi.org/10.1093/ijlct/ctae2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595/marc.2024.24585" TargetMode="External"/><Relationship Id="rId5" Type="http://schemas.openxmlformats.org/officeDocument/2006/relationships/webSettings" Target="webSettings.xml"/><Relationship Id="rId15" Type="http://schemas.openxmlformats.org/officeDocument/2006/relationships/hyperlink" Target="https://guardian.ng/technology/nigerias-telecom-firms-spend-350m-yearly-on-diesel-to-power-operations/?utm_source=chatgpt.com" TargetMode="External"/><Relationship Id="rId23" Type="http://schemas.openxmlformats.org/officeDocument/2006/relationships/hyperlink" Target="https://doi.org/10.1016/j.energy.2023.128842" TargetMode="External"/><Relationship Id="rId28" Type="http://schemas.openxmlformats.org/officeDocument/2006/relationships/hyperlink" Target="https://doi.org/10.1016/j.envdev.2023.100889" TargetMode="External"/><Relationship Id="rId10" Type="http://schemas.openxmlformats.org/officeDocument/2006/relationships/footer" Target="footer1.xml"/><Relationship Id="rId19" Type="http://schemas.openxmlformats.org/officeDocument/2006/relationships/hyperlink" Target="https://doi.org/10.3389/fenrg.2025.151197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x.doi.org/10.47772/IJRISS.2024.807256" TargetMode="External"/><Relationship Id="rId22" Type="http://schemas.openxmlformats.org/officeDocument/2006/relationships/hyperlink" Target="https://doi.org.10.3390/en16052180" TargetMode="External"/><Relationship Id="rId27" Type="http://schemas.openxmlformats.org/officeDocument/2006/relationships/hyperlink" Target="https://www.eia.gov/outlooks/aeo/electricity_generation/pdf/AEO2025_LCOE_report.pdf?utm_source=chatgpt.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9B1A6-A14C-475B-B8E2-E0371CA86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5587</TotalTime>
  <Pages>22</Pages>
  <Words>6090</Words>
  <Characters>34715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72</cp:revision>
  <dcterms:created xsi:type="dcterms:W3CDTF">2026-01-08T14:44:00Z</dcterms:created>
  <dcterms:modified xsi:type="dcterms:W3CDTF">2026-01-14T11:12:00Z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4571bb4d-3a84-4ad3-b200-2090820e3c10</vt:lpwstr>
  </property>
</Properties>
</file>