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F6DB" w14:textId="77777777" w:rsidR="000F50B4" w:rsidRDefault="000F50B4" w:rsidP="00242CB3">
      <w:pPr>
        <w:jc w:val="center"/>
        <w:rPr>
          <w:rFonts w:ascii="Arial" w:hAnsi="Arial" w:cs="Arial"/>
          <w:b/>
          <w:bCs/>
          <w:lang w:val="en-US"/>
        </w:rPr>
      </w:pPr>
      <w:r w:rsidRPr="000F50B4">
        <w:rPr>
          <w:rFonts w:ascii="Arial" w:hAnsi="Arial" w:cs="Arial"/>
          <w:b/>
          <w:bCs/>
          <w:lang w:val="en-US"/>
        </w:rPr>
        <w:t>Short Research Article</w:t>
      </w:r>
    </w:p>
    <w:p w14:paraId="6C29FB24" w14:textId="77777777" w:rsidR="000F50B4" w:rsidRDefault="000F50B4" w:rsidP="00242CB3">
      <w:pPr>
        <w:jc w:val="center"/>
        <w:rPr>
          <w:rFonts w:ascii="Arial" w:hAnsi="Arial" w:cs="Arial"/>
          <w:b/>
          <w:bCs/>
          <w:lang w:val="en-US"/>
        </w:rPr>
      </w:pPr>
    </w:p>
    <w:p w14:paraId="4AA78BB2" w14:textId="0D0DF984" w:rsidR="00CE3FA9" w:rsidRDefault="00242CB3" w:rsidP="00242CB3">
      <w:pPr>
        <w:jc w:val="center"/>
        <w:rPr>
          <w:rFonts w:ascii="Arial" w:hAnsi="Arial" w:cs="Arial"/>
          <w:b/>
          <w:bCs/>
          <w:lang w:val="en-US"/>
        </w:rPr>
      </w:pPr>
      <w:r w:rsidRPr="005547EE">
        <w:rPr>
          <w:rFonts w:ascii="Arial" w:hAnsi="Arial" w:cs="Arial"/>
          <w:b/>
          <w:bCs/>
          <w:lang w:val="en-US"/>
        </w:rPr>
        <w:t>Structural Features of Employment in the Italian Labor Market</w:t>
      </w:r>
    </w:p>
    <w:p w14:paraId="7340E3FC" w14:textId="77777777" w:rsidR="004A12BD" w:rsidRPr="005547EE" w:rsidRDefault="004A12BD" w:rsidP="00242CB3">
      <w:pPr>
        <w:jc w:val="center"/>
        <w:rPr>
          <w:rFonts w:ascii="Arial" w:hAnsi="Arial" w:cs="Arial"/>
          <w:b/>
          <w:bCs/>
          <w:lang w:val="en-US"/>
        </w:rPr>
      </w:pPr>
    </w:p>
    <w:p w14:paraId="1996FDDE" w14:textId="77777777" w:rsidR="00B7027C" w:rsidRDefault="00B7027C" w:rsidP="00434696">
      <w:pPr>
        <w:rPr>
          <w:rFonts w:ascii="Times New Roman" w:hAnsi="Times New Roman" w:cs="Times New Roman"/>
          <w:b/>
          <w:bCs/>
          <w:sz w:val="24"/>
          <w:szCs w:val="24"/>
          <w:lang w:val="en-US"/>
        </w:rPr>
      </w:pPr>
      <w:bookmarkStart w:id="0" w:name="_GoBack"/>
      <w:bookmarkEnd w:id="0"/>
    </w:p>
    <w:p w14:paraId="2049618B" w14:textId="77777777" w:rsidR="00B7027C" w:rsidRDefault="00B7027C" w:rsidP="00242CB3">
      <w:pPr>
        <w:jc w:val="center"/>
        <w:rPr>
          <w:rFonts w:ascii="Times New Roman" w:hAnsi="Times New Roman" w:cs="Times New Roman"/>
          <w:b/>
          <w:bCs/>
          <w:sz w:val="24"/>
          <w:szCs w:val="24"/>
          <w:lang w:val="en-US"/>
        </w:rPr>
      </w:pPr>
    </w:p>
    <w:p w14:paraId="55AA15DF" w14:textId="5DA2E2E9" w:rsidR="00B7027C" w:rsidRPr="005547EE" w:rsidRDefault="00B7027C" w:rsidP="00B7027C">
      <w:pPr>
        <w:jc w:val="both"/>
        <w:rPr>
          <w:rFonts w:ascii="Arial" w:hAnsi="Arial" w:cs="Arial"/>
          <w:b/>
          <w:bCs/>
          <w:lang w:val="en-US"/>
        </w:rPr>
      </w:pPr>
      <w:r w:rsidRPr="005547EE">
        <w:rPr>
          <w:rFonts w:ascii="Arial" w:hAnsi="Arial" w:cs="Arial"/>
          <w:b/>
          <w:bCs/>
          <w:lang w:val="en-US"/>
        </w:rPr>
        <w:t>Abstract</w:t>
      </w:r>
    </w:p>
    <w:p w14:paraId="5ECA15AB" w14:textId="19A89186" w:rsidR="00B7027C" w:rsidRPr="005547EE" w:rsidRDefault="00B7027C" w:rsidP="00B7027C">
      <w:pPr>
        <w:jc w:val="both"/>
        <w:rPr>
          <w:rFonts w:ascii="Arial" w:hAnsi="Arial" w:cs="Arial"/>
          <w:sz w:val="20"/>
          <w:szCs w:val="20"/>
          <w:lang w:val="en-US"/>
        </w:rPr>
      </w:pPr>
      <w:r w:rsidRPr="005547EE">
        <w:rPr>
          <w:rFonts w:ascii="Arial" w:hAnsi="Arial" w:cs="Arial"/>
          <w:sz w:val="20"/>
          <w:szCs w:val="20"/>
          <w:lang w:val="en-US"/>
        </w:rPr>
        <w:t>This paper analyzes the Italian labor market, highlighting the structural issues that have persisted for decades and remain largely unresolved despite various government reforms. Key challenges include stagnant real wages, significant regional disparities between the North and South, and gender inequalities that disproportionately affect women. Furthermore, the study addresses high youth unemployment—particularly in Southern Italy—the "brain drain," and the prevalence of irregular work within the underground economy. Finally, the analysis examines recent employment trends, noting improvements in employment and unemployment rates over the last three years, even as productivity remains stagnant and economic growth stays modest.</w:t>
      </w:r>
    </w:p>
    <w:p w14:paraId="3398871C" w14:textId="41F5A636" w:rsidR="00BE10F5" w:rsidRPr="005547EE" w:rsidRDefault="00BE10F5" w:rsidP="00BE10F5">
      <w:pPr>
        <w:jc w:val="both"/>
        <w:rPr>
          <w:rFonts w:ascii="Arial" w:hAnsi="Arial" w:cs="Arial"/>
          <w:lang w:val="en-US"/>
        </w:rPr>
      </w:pPr>
      <w:r w:rsidRPr="005547EE">
        <w:rPr>
          <w:rFonts w:ascii="Arial" w:hAnsi="Arial" w:cs="Arial"/>
          <w:b/>
          <w:bCs/>
          <w:lang w:val="en-US"/>
        </w:rPr>
        <w:t>Keywords</w:t>
      </w:r>
      <w:r w:rsidRPr="005547EE">
        <w:rPr>
          <w:rFonts w:ascii="Arial" w:hAnsi="Arial" w:cs="Arial"/>
          <w:lang w:val="en-US"/>
        </w:rPr>
        <w:t>: Italian labor market, employment trends, youth unemployment, real wage stagnation, regional disparities, irregular work, digital transformation, artificial intelligence.</w:t>
      </w:r>
    </w:p>
    <w:p w14:paraId="41270ED7" w14:textId="2B27F6DC" w:rsidR="00C94F9C" w:rsidRDefault="00B76EC0" w:rsidP="00BE10F5">
      <w:pPr>
        <w:jc w:val="both"/>
        <w:rPr>
          <w:rFonts w:ascii="Arial" w:hAnsi="Arial" w:cs="Arial"/>
          <w:lang w:val="en-US"/>
        </w:rPr>
      </w:pPr>
      <w:r w:rsidRPr="005547EE">
        <w:rPr>
          <w:rFonts w:ascii="Arial" w:hAnsi="Arial" w:cs="Arial"/>
          <w:b/>
          <w:bCs/>
          <w:lang w:val="en-US"/>
        </w:rPr>
        <w:t>JEL</w:t>
      </w:r>
      <w:r w:rsidRPr="005547EE">
        <w:rPr>
          <w:rFonts w:ascii="Arial" w:hAnsi="Arial" w:cs="Arial"/>
          <w:lang w:val="en-US"/>
        </w:rPr>
        <w:t>: J</w:t>
      </w:r>
      <w:r w:rsidR="00B1586A" w:rsidRPr="005547EE">
        <w:rPr>
          <w:rFonts w:ascii="Arial" w:hAnsi="Arial" w:cs="Arial"/>
          <w:lang w:val="en-US"/>
        </w:rPr>
        <w:t>0</w:t>
      </w:r>
      <w:r w:rsidR="00C37516" w:rsidRPr="005547EE">
        <w:rPr>
          <w:rFonts w:ascii="Arial" w:hAnsi="Arial" w:cs="Arial"/>
          <w:lang w:val="en-US"/>
        </w:rPr>
        <w:t>, J</w:t>
      </w:r>
      <w:r w:rsidRPr="005547EE">
        <w:rPr>
          <w:rFonts w:ascii="Arial" w:hAnsi="Arial" w:cs="Arial"/>
          <w:lang w:val="en-US"/>
        </w:rPr>
        <w:t xml:space="preserve">15, </w:t>
      </w:r>
      <w:r w:rsidR="00B1586A" w:rsidRPr="005547EE">
        <w:rPr>
          <w:rFonts w:ascii="Arial" w:hAnsi="Arial" w:cs="Arial"/>
          <w:lang w:val="en-US"/>
        </w:rPr>
        <w:t xml:space="preserve">J24, </w:t>
      </w:r>
      <w:r w:rsidR="00910C55" w:rsidRPr="005547EE">
        <w:rPr>
          <w:rFonts w:ascii="Arial" w:hAnsi="Arial" w:cs="Arial"/>
          <w:lang w:val="en-US"/>
        </w:rPr>
        <w:t xml:space="preserve">M53, M55, </w:t>
      </w:r>
      <w:r w:rsidR="00B1586A" w:rsidRPr="005547EE">
        <w:rPr>
          <w:rFonts w:ascii="Arial" w:hAnsi="Arial" w:cs="Arial"/>
          <w:lang w:val="en-US"/>
        </w:rPr>
        <w:t>030</w:t>
      </w:r>
    </w:p>
    <w:p w14:paraId="40D36004" w14:textId="77777777" w:rsidR="005547EE" w:rsidRPr="005547EE" w:rsidRDefault="005547EE" w:rsidP="00BE10F5">
      <w:pPr>
        <w:jc w:val="both"/>
        <w:rPr>
          <w:rFonts w:ascii="Arial" w:hAnsi="Arial" w:cs="Arial"/>
          <w:lang w:val="en-US"/>
        </w:rPr>
      </w:pPr>
    </w:p>
    <w:p w14:paraId="1BDC6C28" w14:textId="7970A41F" w:rsidR="00C94F9C" w:rsidRPr="005547EE" w:rsidRDefault="00C94F9C" w:rsidP="00C94F9C">
      <w:pPr>
        <w:pStyle w:val="ListParagraph"/>
        <w:numPr>
          <w:ilvl w:val="0"/>
          <w:numId w:val="1"/>
        </w:numPr>
        <w:jc w:val="both"/>
        <w:rPr>
          <w:rFonts w:ascii="Arial" w:hAnsi="Arial" w:cs="Arial"/>
          <w:b/>
          <w:bCs/>
          <w:lang w:val="en-US"/>
        </w:rPr>
      </w:pPr>
      <w:r w:rsidRPr="005547EE">
        <w:rPr>
          <w:rFonts w:ascii="Arial" w:hAnsi="Arial" w:cs="Arial"/>
          <w:b/>
          <w:bCs/>
          <w:lang w:val="en-US"/>
        </w:rPr>
        <w:t>Introduction</w:t>
      </w:r>
    </w:p>
    <w:p w14:paraId="2B76583A" w14:textId="205AF06A" w:rsidR="00C94F9C" w:rsidRPr="005547EE" w:rsidRDefault="00C94F9C" w:rsidP="00C94F9C">
      <w:pPr>
        <w:jc w:val="both"/>
        <w:rPr>
          <w:rFonts w:ascii="Arial" w:hAnsi="Arial" w:cs="Arial"/>
          <w:sz w:val="20"/>
          <w:szCs w:val="20"/>
          <w:lang w:val="en-US"/>
        </w:rPr>
      </w:pPr>
      <w:r w:rsidRPr="005547EE">
        <w:rPr>
          <w:rFonts w:ascii="Arial" w:hAnsi="Arial" w:cs="Arial"/>
          <w:sz w:val="20"/>
          <w:szCs w:val="20"/>
          <w:lang w:val="en-US"/>
        </w:rPr>
        <w:t xml:space="preserve">This paper analyzes the Italian labor market, focusing on its structural features and employment dynamics. For decades, the Italian labor market has been characterized by systemic issues that undermine productivity, economic growth, and social cohesion. These challenges stem from institutional rigidities, demographic pressures, and persistent regional disparities. Furthermore, Italy’s economic fabric is defined by a dichotomy: </w:t>
      </w:r>
      <w:r w:rsidR="00475D7A" w:rsidRPr="005547EE">
        <w:rPr>
          <w:rFonts w:ascii="Arial" w:hAnsi="Arial" w:cs="Arial"/>
          <w:sz w:val="20"/>
          <w:szCs w:val="20"/>
          <w:lang w:val="en-US"/>
        </w:rPr>
        <w:t>a manufacturing core of small and medium enterprises (SMEs) contrasted with a service sector led by large-scale corporations —such as banks, insurance companies, and public utilities—that benefit from privileged market positions.</w:t>
      </w:r>
      <w:r w:rsidRPr="005547EE">
        <w:rPr>
          <w:rFonts w:ascii="Arial" w:hAnsi="Arial" w:cs="Arial"/>
          <w:sz w:val="20"/>
          <w:szCs w:val="20"/>
          <w:lang w:val="en-US"/>
        </w:rPr>
        <w:t xml:space="preserve"> This study offers a comprehensive analysis of these structural barriers and their implications for employment over the last twenty years.</w:t>
      </w:r>
    </w:p>
    <w:p w14:paraId="010D7DB8" w14:textId="7D9CBE9A" w:rsidR="00BA22E9" w:rsidRPr="005547EE" w:rsidRDefault="00BA22E9" w:rsidP="00C94F9C">
      <w:pPr>
        <w:jc w:val="both"/>
        <w:rPr>
          <w:rFonts w:ascii="Arial" w:hAnsi="Arial" w:cs="Arial"/>
          <w:sz w:val="20"/>
          <w:szCs w:val="20"/>
          <w:lang w:val="en-US"/>
        </w:rPr>
      </w:pPr>
      <w:r w:rsidRPr="005547EE">
        <w:rPr>
          <w:rFonts w:ascii="Arial" w:hAnsi="Arial" w:cs="Arial"/>
          <w:sz w:val="20"/>
          <w:szCs w:val="20"/>
          <w:lang w:val="en-US"/>
        </w:rPr>
        <w:t xml:space="preserve">The study examines the relationship between employment and growth, alongside the impact of technological development on labor. Drawing on Solow’s growth theory (1956, 1957) and Romer’s endogenous growth models (1986, 1990)—which underscore technological progress as the engine of growth—this research addresses how emerging technologies transform production processes and the nature of work (Autor, 2022). This shift necessitates new organizational models and significant investment in training and digital transformation to cultivate entirely new professional roles. </w:t>
      </w:r>
    </w:p>
    <w:p w14:paraId="03655984" w14:textId="5858E180" w:rsidR="00C94F9C" w:rsidRPr="005547EE" w:rsidRDefault="00C94F9C" w:rsidP="00C94F9C">
      <w:pPr>
        <w:jc w:val="both"/>
        <w:rPr>
          <w:rFonts w:ascii="Arial" w:hAnsi="Arial" w:cs="Arial"/>
          <w:sz w:val="20"/>
          <w:szCs w:val="20"/>
          <w:lang w:val="en-US"/>
        </w:rPr>
      </w:pPr>
      <w:r w:rsidRPr="005547EE">
        <w:rPr>
          <w:rFonts w:ascii="Arial" w:hAnsi="Arial" w:cs="Arial"/>
          <w:sz w:val="20"/>
          <w:szCs w:val="20"/>
          <w:lang w:val="en-US"/>
        </w:rPr>
        <w:t>Additionally, the analysis argues for modernized wage bargaining frameworks to address the stagnation of real wages, which in Italy have long remained below the European average. Finally, the paper explores critical barriers for the younger generation, including the mismatch between skills and job requirements, the prevalence of precarious contracts, suppressed wages, and the resulting "brain drain" as talent emigrates abroad.</w:t>
      </w:r>
    </w:p>
    <w:p w14:paraId="43413385" w14:textId="2D4695D9" w:rsidR="00317554" w:rsidRPr="00553964" w:rsidRDefault="00317554" w:rsidP="00317554">
      <w:pPr>
        <w:pStyle w:val="ListParagraph"/>
        <w:numPr>
          <w:ilvl w:val="0"/>
          <w:numId w:val="1"/>
        </w:numPr>
        <w:jc w:val="both"/>
        <w:rPr>
          <w:rFonts w:ascii="Arial" w:hAnsi="Arial" w:cs="Arial"/>
          <w:b/>
          <w:bCs/>
          <w:lang w:val="en-US"/>
        </w:rPr>
      </w:pPr>
      <w:r w:rsidRPr="00553964">
        <w:rPr>
          <w:rFonts w:ascii="Arial" w:hAnsi="Arial" w:cs="Arial"/>
          <w:b/>
          <w:bCs/>
          <w:lang w:val="en-US"/>
        </w:rPr>
        <w:t>Structural Features of the Italian Labor Market</w:t>
      </w:r>
    </w:p>
    <w:p w14:paraId="37623BE6" w14:textId="77777777" w:rsidR="00317554" w:rsidRPr="005547EE" w:rsidRDefault="00317554" w:rsidP="00317554">
      <w:pPr>
        <w:jc w:val="both"/>
        <w:rPr>
          <w:rFonts w:ascii="Arial" w:hAnsi="Arial" w:cs="Arial"/>
          <w:sz w:val="20"/>
          <w:szCs w:val="20"/>
          <w:lang w:val="en-US"/>
        </w:rPr>
      </w:pPr>
      <w:r w:rsidRPr="005547EE">
        <w:rPr>
          <w:rFonts w:ascii="Arial" w:hAnsi="Arial" w:cs="Arial"/>
          <w:sz w:val="20"/>
          <w:szCs w:val="20"/>
          <w:lang w:val="en-US"/>
        </w:rPr>
        <w:t>The Italian labor market has faced deep-seated structural challenges for decades. Despite various legislative efforts by successive governments of differing political orientations, these issues remain largely unresolved.</w:t>
      </w:r>
    </w:p>
    <w:p w14:paraId="09C095AD" w14:textId="02D970AC" w:rsidR="000278AD" w:rsidRPr="005547EE" w:rsidRDefault="00065A31" w:rsidP="000278AD">
      <w:pPr>
        <w:tabs>
          <w:tab w:val="num" w:pos="720"/>
        </w:tabs>
        <w:jc w:val="both"/>
        <w:rPr>
          <w:rFonts w:ascii="Arial" w:hAnsi="Arial" w:cs="Arial"/>
          <w:sz w:val="20"/>
          <w:szCs w:val="20"/>
          <w:lang w:val="en-US"/>
        </w:rPr>
      </w:pPr>
      <w:r w:rsidRPr="005547EE">
        <w:rPr>
          <w:rFonts w:ascii="Arial" w:hAnsi="Arial" w:cs="Arial"/>
          <w:sz w:val="20"/>
          <w:szCs w:val="20"/>
          <w:lang w:val="en-US"/>
        </w:rPr>
        <w:t xml:space="preserve">As highlighted by Schilirò (2025), Italy’s primary structural obstacles include significant territorial disparities, most notably the stark divide between the North and South. While several Northern regions operate near full employment, parts of the Mezzogiorno continue to face unemployment rates exceeding 20%. This geographic </w:t>
      </w:r>
      <w:r w:rsidRPr="005547EE">
        <w:rPr>
          <w:rFonts w:ascii="Arial" w:hAnsi="Arial" w:cs="Arial"/>
          <w:sz w:val="20"/>
          <w:szCs w:val="20"/>
          <w:lang w:val="en-US"/>
        </w:rPr>
        <w:lastRenderedPageBreak/>
        <w:t xml:space="preserve">dualism is compounded by a persistent youth unemployment and training gap. High unemployment among young people remains a critical issue nationwide, though it is particularly acute in the South. Furthermore, Italy’s vocational training and apprenticeship systems remain underdeveloped compared to the German dual-education model. Consequently, the school-to-work transition is exceptionally slow, delaying financial independence and family formation for the younger generation. </w:t>
      </w:r>
      <w:r w:rsidR="000278AD" w:rsidRPr="005547EE">
        <w:rPr>
          <w:rFonts w:ascii="Arial" w:hAnsi="Arial" w:cs="Arial"/>
          <w:sz w:val="20"/>
          <w:szCs w:val="20"/>
          <w:lang w:val="en-US"/>
        </w:rPr>
        <w:t>Also, Schilirò (2018) has argued, the Italian labor market is further burdened by persistent gender exclusion and low labor participation. Female participation in Italy remains among the lowest in Europe, with unemployment rates for women staying significantly higher than those for men. This disparity is driven by a combination of traditional cultural norms, a shortage of affordable childcare, and a lack of flexible work arrangements. Consequently, when women and young people do enter the workforce, they are frequently relegated to precarious and atypical contracts characterized by low wages, weak social protections, and restricted career advancement.</w:t>
      </w:r>
      <w:r w:rsidR="001865C1" w:rsidRPr="005547EE">
        <w:rPr>
          <w:rFonts w:ascii="Arial" w:hAnsi="Arial" w:cs="Arial"/>
          <w:sz w:val="20"/>
          <w:szCs w:val="20"/>
          <w:lang w:val="en-US"/>
        </w:rPr>
        <w:t xml:space="preserve"> </w:t>
      </w:r>
    </w:p>
    <w:p w14:paraId="2C141ACC" w14:textId="3C3AD4CE" w:rsidR="007D1D26" w:rsidRPr="005547EE" w:rsidRDefault="007D1D26" w:rsidP="007D1D26">
      <w:pPr>
        <w:tabs>
          <w:tab w:val="num" w:pos="720"/>
        </w:tabs>
        <w:jc w:val="both"/>
        <w:rPr>
          <w:rFonts w:ascii="Arial" w:hAnsi="Arial" w:cs="Arial"/>
          <w:sz w:val="20"/>
          <w:szCs w:val="20"/>
          <w:lang w:val="en-US"/>
        </w:rPr>
      </w:pPr>
      <w:r w:rsidRPr="005547EE">
        <w:rPr>
          <w:rFonts w:ascii="Arial" w:hAnsi="Arial" w:cs="Arial"/>
          <w:sz w:val="20"/>
          <w:szCs w:val="20"/>
          <w:lang w:val="en-US"/>
        </w:rPr>
        <w:t>Last but not least, Italy suffers from a particularly high percentage of long-term unemployment: approximately 60% of the unemployed have been out of work for more than a year. Furthermore, the Italian labor market and its associated welfare system have been strained by an escalating demographic crisis. In 2024, Italy recorded a new record low in births, continuing a downward trend: only 370,000 children were born—a significant decrease from the 382,600 recorded in 2023. The fertility rate in 2024 fell to 1.18 children per woman, far below the "standard replacement rate" of 2.1 required to ensure population stability.</w:t>
      </w:r>
    </w:p>
    <w:p w14:paraId="1A54BBA2" w14:textId="77777777" w:rsidR="007D1D26" w:rsidRPr="005547EE" w:rsidRDefault="007D1D26" w:rsidP="007D1D26">
      <w:pPr>
        <w:tabs>
          <w:tab w:val="num" w:pos="720"/>
        </w:tabs>
        <w:jc w:val="both"/>
        <w:rPr>
          <w:rFonts w:ascii="Arial" w:hAnsi="Arial" w:cs="Arial"/>
          <w:sz w:val="20"/>
          <w:szCs w:val="20"/>
          <w:lang w:val="en-US"/>
        </w:rPr>
      </w:pPr>
      <w:r w:rsidRPr="005547EE">
        <w:rPr>
          <w:rFonts w:ascii="Arial" w:hAnsi="Arial" w:cs="Arial"/>
          <w:sz w:val="20"/>
          <w:szCs w:val="20"/>
          <w:lang w:val="en-US"/>
        </w:rPr>
        <w:t>Provisional data from ISTAT for 2025 suggest the situation is worsening, with an estimated 7% further decrease in births, while the death rate is more than double the birth rate. This demographic collapse has severe implications for the future workforce: the coming years will see a shrinking pool of workers and contributors to the social security system, alongside a growing number of retirees. This imbalance will inevitably strain the social security and tax systems, exerting upward pressure on public spending and the Italian public debt.</w:t>
      </w:r>
    </w:p>
    <w:p w14:paraId="62CB7BD8" w14:textId="77777777" w:rsidR="00184701" w:rsidRPr="005547EE" w:rsidRDefault="00184701" w:rsidP="00184701">
      <w:pPr>
        <w:tabs>
          <w:tab w:val="num" w:pos="720"/>
        </w:tabs>
        <w:jc w:val="both"/>
        <w:rPr>
          <w:rFonts w:ascii="Arial" w:hAnsi="Arial" w:cs="Arial"/>
          <w:sz w:val="20"/>
          <w:szCs w:val="20"/>
          <w:lang w:val="en-US"/>
        </w:rPr>
      </w:pPr>
      <w:r w:rsidRPr="005547EE">
        <w:rPr>
          <w:rFonts w:ascii="Arial" w:hAnsi="Arial" w:cs="Arial"/>
          <w:sz w:val="20"/>
          <w:szCs w:val="20"/>
          <w:lang w:val="en-US"/>
        </w:rPr>
        <w:t>Among the factors that stifle labor market dynamism and discourage investment are cumbersome administrative processes, complex compliance procedures, and significant delays in the judicial resolution of labor disputes. These barriers hinder entrepreneurial initiative and dampen the overall demand for labor.</w:t>
      </w:r>
    </w:p>
    <w:p w14:paraId="335AFF5D" w14:textId="77777777" w:rsidR="00184701" w:rsidRPr="005547EE" w:rsidRDefault="00184701" w:rsidP="00184701">
      <w:pPr>
        <w:tabs>
          <w:tab w:val="num" w:pos="720"/>
        </w:tabs>
        <w:jc w:val="both"/>
        <w:rPr>
          <w:rFonts w:ascii="Arial" w:hAnsi="Arial" w:cs="Arial"/>
          <w:sz w:val="20"/>
          <w:szCs w:val="20"/>
          <w:lang w:val="en-US"/>
        </w:rPr>
      </w:pPr>
      <w:r w:rsidRPr="005547EE">
        <w:rPr>
          <w:rFonts w:ascii="Arial" w:hAnsi="Arial" w:cs="Arial"/>
          <w:sz w:val="20"/>
          <w:szCs w:val="20"/>
          <w:lang w:val="en-US"/>
        </w:rPr>
        <w:t>Furthermore, a critical structural failure in the Italian labor market is the prevalence of undeclared work, which remains a profound socio-economic scourge. Irregular workers do not pay the social security contributions necessary to fund the current pension system; yet, in many instances, they continue to access welfare benefits and healthcare services. Consequently, they impose a "double burden" on the nation’s financial system without contributing to its sustainability.</w:t>
      </w:r>
    </w:p>
    <w:p w14:paraId="45035552" w14:textId="77777777" w:rsidR="00184701" w:rsidRPr="005547EE" w:rsidRDefault="00184701" w:rsidP="00184701">
      <w:pPr>
        <w:tabs>
          <w:tab w:val="num" w:pos="720"/>
        </w:tabs>
        <w:jc w:val="both"/>
        <w:rPr>
          <w:rFonts w:ascii="Arial" w:hAnsi="Arial" w:cs="Arial"/>
          <w:sz w:val="20"/>
          <w:szCs w:val="20"/>
          <w:lang w:val="en-US"/>
        </w:rPr>
      </w:pPr>
      <w:r w:rsidRPr="005547EE">
        <w:rPr>
          <w:rFonts w:ascii="Arial" w:hAnsi="Arial" w:cs="Arial"/>
          <w:sz w:val="20"/>
          <w:szCs w:val="20"/>
          <w:lang w:val="en-US"/>
        </w:rPr>
        <w:t>In Italy, undeclared or irregular work involves approximately 3 million people, representing an irregularity rate of 12%, with domestic work accounting for one-quarter of this figure (Schilirò, 2025). This phenomenon is inextricably linked to the underground economy, which erodes systemic efficiency. It forces the economic system to operate outside the rule of law, results in precarious conditions and minimal protection for workers, and fosters unfair competition between businesses.</w:t>
      </w:r>
    </w:p>
    <w:p w14:paraId="30ACA398" w14:textId="009E1AF9" w:rsidR="00D91879" w:rsidRPr="005547EE" w:rsidRDefault="00A20D23" w:rsidP="00C054C7">
      <w:pPr>
        <w:tabs>
          <w:tab w:val="num" w:pos="720"/>
        </w:tabs>
        <w:jc w:val="both"/>
        <w:rPr>
          <w:rFonts w:ascii="Arial" w:hAnsi="Arial" w:cs="Arial"/>
          <w:sz w:val="20"/>
          <w:szCs w:val="20"/>
          <w:lang w:val="en-US"/>
        </w:rPr>
      </w:pPr>
      <w:r w:rsidRPr="005547EE">
        <w:rPr>
          <w:rFonts w:ascii="Arial" w:hAnsi="Arial" w:cs="Arial"/>
          <w:sz w:val="20"/>
          <w:szCs w:val="20"/>
          <w:lang w:val="en-US"/>
        </w:rPr>
        <w:t>Efforts to reform the labor market—most notably the Jobs Act (Law No. 183 of December 10, 2014)—have largely failed to deliver their intended benefits. These reforms have not resolved the structural distortions within the Italian labor market, particularly regarding territorial and gender disparities. Furthermore, several economists</w:t>
      </w:r>
      <w:r w:rsidR="00EE0B39" w:rsidRPr="005547EE">
        <w:rPr>
          <w:rFonts w:ascii="Arial" w:hAnsi="Arial" w:cs="Arial"/>
          <w:sz w:val="20"/>
          <w:szCs w:val="20"/>
          <w:lang w:val="en-US"/>
        </w:rPr>
        <w:t xml:space="preserve"> (e.g., </w:t>
      </w:r>
      <w:r w:rsidR="000278AD" w:rsidRPr="005547EE">
        <w:rPr>
          <w:rFonts w:ascii="Arial" w:hAnsi="Arial" w:cs="Arial"/>
          <w:sz w:val="20"/>
          <w:szCs w:val="20"/>
          <w:lang w:val="en-US"/>
        </w:rPr>
        <w:t xml:space="preserve">Garnero, 2018; </w:t>
      </w:r>
      <w:r w:rsidR="00EE0B39" w:rsidRPr="005547EE">
        <w:rPr>
          <w:rFonts w:ascii="Arial" w:hAnsi="Arial" w:cs="Arial"/>
          <w:sz w:val="20"/>
          <w:szCs w:val="20"/>
          <w:lang w:val="en-US"/>
        </w:rPr>
        <w:t>Boeri &amp; Garibaldi, 2019)</w:t>
      </w:r>
      <w:r w:rsidRPr="005547EE">
        <w:rPr>
          <w:rFonts w:ascii="Arial" w:hAnsi="Arial" w:cs="Arial"/>
          <w:sz w:val="20"/>
          <w:szCs w:val="20"/>
          <w:lang w:val="en-US"/>
        </w:rPr>
        <w:t xml:space="preserve"> argue that the Jobs Act has only partially succeeded in addressing Italy’s labor market dualism: the divide between protected older workers and precarious younger ones.</w:t>
      </w:r>
    </w:p>
    <w:p w14:paraId="2DD37FCE" w14:textId="098AE158" w:rsidR="00C054C7" w:rsidRPr="005547EE" w:rsidRDefault="00D91879" w:rsidP="00C054C7">
      <w:pPr>
        <w:tabs>
          <w:tab w:val="num" w:pos="720"/>
        </w:tabs>
        <w:jc w:val="both"/>
        <w:rPr>
          <w:rFonts w:ascii="Arial" w:hAnsi="Arial" w:cs="Arial"/>
          <w:sz w:val="20"/>
          <w:szCs w:val="20"/>
          <w:lang w:val="en-US"/>
        </w:rPr>
      </w:pPr>
      <w:r w:rsidRPr="005547EE">
        <w:rPr>
          <w:rFonts w:ascii="Arial" w:hAnsi="Arial" w:cs="Arial"/>
          <w:sz w:val="20"/>
          <w:szCs w:val="20"/>
          <w:lang w:val="en-US"/>
        </w:rPr>
        <w:t>C</w:t>
      </w:r>
      <w:r w:rsidR="00C054C7" w:rsidRPr="005547EE">
        <w:rPr>
          <w:rFonts w:ascii="Arial" w:hAnsi="Arial" w:cs="Arial"/>
          <w:sz w:val="20"/>
          <w:szCs w:val="20"/>
          <w:lang w:val="en-US"/>
        </w:rPr>
        <w:t>ritics argue that these measures facilitated an influx of low-productivity labor—defined by a low output-per-employee ratio—including a significant number of immigrant workers, while imposing severe wage moderation. While these factors contributed to a quantitative increase in employment, they did so without a corresponding rise in productivity or the overall economic growth rate. This resulted in "job-rich" but "productivity-poor" growth, leaving Italy’s underlying structural weaknesses unaddressed.</w:t>
      </w:r>
    </w:p>
    <w:p w14:paraId="4A3D6921" w14:textId="3AC6F321" w:rsidR="00D91879" w:rsidRPr="005547EE" w:rsidRDefault="00D91879" w:rsidP="00C054C7">
      <w:pPr>
        <w:tabs>
          <w:tab w:val="num" w:pos="720"/>
        </w:tabs>
        <w:jc w:val="both"/>
        <w:rPr>
          <w:rFonts w:ascii="Arial" w:hAnsi="Arial" w:cs="Arial"/>
          <w:sz w:val="20"/>
          <w:szCs w:val="20"/>
          <w:lang w:val="en-US"/>
        </w:rPr>
      </w:pPr>
      <w:r w:rsidRPr="005547EE">
        <w:rPr>
          <w:rFonts w:ascii="Arial" w:hAnsi="Arial" w:cs="Arial"/>
          <w:sz w:val="20"/>
          <w:szCs w:val="20"/>
          <w:lang w:val="en-US"/>
        </w:rPr>
        <w:t xml:space="preserve">More generally, according to Moretti et al. (2021), the Italian labor market suffers from a significant misallocation of resources driven by its centralized bargaining system. By comparing Italy to Germany, the authors demonstrate that "one-size-fits-all" national wages are a primary driver of the persistent North-South divide. They argue that because Southern Italian firms cannot lower nominal wages to match their lower productivity, they simply stop hiring. This creates a "spatial equilibrium" where in the South workers queue for high-paying, rigid-wage jobs that don't exist in sufficient numbers, leading to chronic non-employment and a </w:t>
      </w:r>
      <w:r w:rsidRPr="005547EE">
        <w:rPr>
          <w:rFonts w:ascii="Arial" w:hAnsi="Arial" w:cs="Arial"/>
          <w:sz w:val="20"/>
          <w:szCs w:val="20"/>
          <w:lang w:val="en-US"/>
        </w:rPr>
        <w:lastRenderedPageBreak/>
        <w:t>massive underground economy, while in the North high demand for labor pushes up housing prices, meaning that although Northern workers earn the same nominal wage as Southern workers, their real wages (purchasing power) are actually lower due to the high cost of living.</w:t>
      </w:r>
    </w:p>
    <w:p w14:paraId="6B6F196A" w14:textId="3866766A" w:rsidR="003552A9" w:rsidRPr="005547EE" w:rsidRDefault="00D91879" w:rsidP="00BE10F5">
      <w:pPr>
        <w:jc w:val="both"/>
        <w:rPr>
          <w:rFonts w:ascii="Arial" w:hAnsi="Arial" w:cs="Arial"/>
          <w:sz w:val="20"/>
          <w:szCs w:val="20"/>
          <w:lang w:val="en-US"/>
        </w:rPr>
      </w:pPr>
      <w:r w:rsidRPr="005547EE">
        <w:rPr>
          <w:rFonts w:ascii="Arial" w:hAnsi="Arial" w:cs="Arial"/>
          <w:sz w:val="20"/>
          <w:szCs w:val="20"/>
          <w:lang w:val="en-US"/>
        </w:rPr>
        <w:t>T</w:t>
      </w:r>
      <w:r w:rsidR="003552A9" w:rsidRPr="005547EE">
        <w:rPr>
          <w:rFonts w:ascii="Arial" w:hAnsi="Arial" w:cs="Arial"/>
          <w:sz w:val="20"/>
          <w:szCs w:val="20"/>
          <w:lang w:val="en-US"/>
        </w:rPr>
        <w:t xml:space="preserve">he large-scale use of emerging digital technologies, such as artificial intelligence, is causing significant changes in the labor market. These technologies often replace both manual and non-manual roles (Schilirò, 2023), requiring higher-quality, more complex work while simultaneously displacing workers from traditional positions. </w:t>
      </w:r>
    </w:p>
    <w:p w14:paraId="794E8A2F" w14:textId="343835A7" w:rsidR="00B7027C" w:rsidRPr="005547EE" w:rsidRDefault="003552A9" w:rsidP="00BE10F5">
      <w:pPr>
        <w:jc w:val="both"/>
        <w:rPr>
          <w:rFonts w:ascii="Arial" w:hAnsi="Arial" w:cs="Arial"/>
          <w:sz w:val="20"/>
          <w:szCs w:val="20"/>
          <w:lang w:val="en-US"/>
        </w:rPr>
      </w:pPr>
      <w:r w:rsidRPr="005547EE">
        <w:rPr>
          <w:rFonts w:ascii="Arial" w:hAnsi="Arial" w:cs="Arial"/>
          <w:sz w:val="20"/>
          <w:szCs w:val="20"/>
          <w:lang w:val="en-US"/>
        </w:rPr>
        <w:t>This shift is further contributing to labor market polarization (Autor and Dorn, 2013). In this challenging context, there is a growing awareness of institutions as a decisive factor in transforming the labor market and addressing structural issues. Consequently, the ability to reform institutions—understood as the 'rules of the game'—and the resulting impacts on employment have become a primary focus for scholars and policymakers alike.</w:t>
      </w:r>
    </w:p>
    <w:p w14:paraId="1B824027" w14:textId="0CA6D4EF" w:rsidR="00EE0B39" w:rsidRPr="00553964" w:rsidRDefault="003B1AD4" w:rsidP="003B1AD4">
      <w:pPr>
        <w:pStyle w:val="ListParagraph"/>
        <w:numPr>
          <w:ilvl w:val="0"/>
          <w:numId w:val="1"/>
        </w:numPr>
        <w:jc w:val="both"/>
        <w:rPr>
          <w:rFonts w:ascii="Arial" w:hAnsi="Arial" w:cs="Arial"/>
          <w:b/>
          <w:bCs/>
          <w:lang w:val="en-US"/>
        </w:rPr>
      </w:pPr>
      <w:r w:rsidRPr="00553964">
        <w:rPr>
          <w:rFonts w:ascii="Arial" w:hAnsi="Arial" w:cs="Arial"/>
          <w:b/>
          <w:bCs/>
          <w:lang w:val="en-US"/>
        </w:rPr>
        <w:t>The Employment Challenge</w:t>
      </w:r>
    </w:p>
    <w:p w14:paraId="422038D9" w14:textId="62FB5C39" w:rsidR="00EE0B39" w:rsidRPr="005547EE" w:rsidRDefault="00820867" w:rsidP="00BE10F5">
      <w:pPr>
        <w:jc w:val="both"/>
        <w:rPr>
          <w:rFonts w:ascii="Arial" w:hAnsi="Arial" w:cs="Arial"/>
          <w:sz w:val="20"/>
          <w:szCs w:val="20"/>
          <w:lang w:val="en-US"/>
        </w:rPr>
      </w:pPr>
      <w:r w:rsidRPr="005547EE">
        <w:rPr>
          <w:rFonts w:ascii="Arial" w:hAnsi="Arial" w:cs="Arial"/>
          <w:sz w:val="20"/>
          <w:szCs w:val="20"/>
          <w:lang w:val="en-US"/>
        </w:rPr>
        <w:t>Employment is a central theme of this analysis; indeed, fostering employment growth and reducing unemployment are the primary objectives of any labor market study. In Italy, these challenges have become increasingly pressing over the last several years. Despite a significant improvement in the employment rate over the past two years, the Italian economy remains burdened by a low overall participation rate and high youth unemployment. This structural fragility persists despite the modest economic growth that has defined the country for nearly three decades.</w:t>
      </w:r>
    </w:p>
    <w:p w14:paraId="303758D1" w14:textId="22A39503" w:rsidR="00EE0B39" w:rsidRPr="005547EE" w:rsidRDefault="00840807" w:rsidP="00BE10F5">
      <w:pPr>
        <w:jc w:val="both"/>
        <w:rPr>
          <w:rFonts w:ascii="Arial" w:hAnsi="Arial" w:cs="Arial"/>
          <w:sz w:val="20"/>
          <w:szCs w:val="20"/>
          <w:lang w:val="en-US"/>
        </w:rPr>
      </w:pPr>
      <w:r w:rsidRPr="005547EE">
        <w:rPr>
          <w:rFonts w:ascii="Arial" w:hAnsi="Arial" w:cs="Arial"/>
          <w:sz w:val="20"/>
          <w:szCs w:val="20"/>
          <w:lang w:val="en-US"/>
        </w:rPr>
        <w:t>This section begins by examining the relationship between labor market dynamics and economic growth. It then evaluates the impact of technological progress on employment levels. Finally, it analyzes recent labor market developments and structural challenges in Italy, identifying the primary obstacles that remain to be overcome.</w:t>
      </w:r>
    </w:p>
    <w:p w14:paraId="40DB2C48" w14:textId="555B01FC" w:rsidR="00F41A64" w:rsidRPr="005547EE" w:rsidRDefault="00F41A64" w:rsidP="00F41A64">
      <w:pPr>
        <w:pStyle w:val="ListParagraph"/>
        <w:numPr>
          <w:ilvl w:val="1"/>
          <w:numId w:val="1"/>
        </w:numPr>
        <w:jc w:val="both"/>
        <w:rPr>
          <w:rFonts w:ascii="Arial" w:hAnsi="Arial" w:cs="Arial"/>
          <w:i/>
          <w:iCs/>
          <w:sz w:val="20"/>
          <w:szCs w:val="20"/>
          <w:lang w:val="en-US"/>
        </w:rPr>
      </w:pPr>
      <w:r w:rsidRPr="005547EE">
        <w:rPr>
          <w:rFonts w:ascii="Arial" w:hAnsi="Arial" w:cs="Arial"/>
          <w:b/>
          <w:bCs/>
          <w:i/>
          <w:iCs/>
          <w:sz w:val="20"/>
          <w:szCs w:val="20"/>
          <w:lang w:val="en-US"/>
        </w:rPr>
        <w:t>The relationship between employment and growth</w:t>
      </w:r>
    </w:p>
    <w:p w14:paraId="333E9CA0" w14:textId="047E6B1F" w:rsidR="00F41A64" w:rsidRPr="005547EE" w:rsidRDefault="00F41A64" w:rsidP="00F41A64">
      <w:pPr>
        <w:jc w:val="both"/>
        <w:rPr>
          <w:rFonts w:ascii="Arial" w:hAnsi="Arial" w:cs="Arial"/>
          <w:sz w:val="20"/>
          <w:szCs w:val="20"/>
          <w:lang w:val="en-US"/>
        </w:rPr>
      </w:pPr>
      <w:r w:rsidRPr="005547EE">
        <w:rPr>
          <w:rFonts w:ascii="Arial" w:hAnsi="Arial" w:cs="Arial"/>
          <w:sz w:val="20"/>
          <w:szCs w:val="20"/>
          <w:lang w:val="en-US"/>
        </w:rPr>
        <w:t>Existing literature underscores that the relationship between employment, productivity, and growth is inherently complex. Generally, higher productivity enhances competitiveness, thereby stimulating economic growth. The long-term impact on employment is consequently expected to be positive. Furthermore, Verdoorn (1949) argued that robust growth, driven by an expansion in aggregate demand, can catalyze productivity gains and increase employment while simultaneously facilitating structural chang</w:t>
      </w:r>
      <w:r w:rsidR="00ED34EF" w:rsidRPr="005547EE">
        <w:rPr>
          <w:rFonts w:ascii="Arial" w:hAnsi="Arial" w:cs="Arial"/>
          <w:sz w:val="20"/>
          <w:szCs w:val="20"/>
          <w:lang w:val="en-US"/>
        </w:rPr>
        <w:t xml:space="preserve">e. </w:t>
      </w:r>
      <w:r w:rsidR="00E23A6C" w:rsidRPr="005547EE">
        <w:rPr>
          <w:rFonts w:ascii="Arial" w:hAnsi="Arial" w:cs="Arial"/>
          <w:sz w:val="20"/>
          <w:szCs w:val="20"/>
          <w:lang w:val="en-US"/>
        </w:rPr>
        <w:t xml:space="preserve"> Sylos Labini (1967, 1972) utilized Verdoorn's Law to argue that Italy's stagnant productivity is not merely a supply-side constraint rooted in labor regulations, but primarily a demand-side phenomenon. He contended that if the economy fails to expand at a sufficient pace, firms lack the incentive to invest in the large-scale technological advancements necessary to trigger a virtuous cycle of productivity gains and employment growth.</w:t>
      </w:r>
    </w:p>
    <w:p w14:paraId="311D5B43" w14:textId="13C25374" w:rsidR="00E23A6C" w:rsidRPr="005547EE" w:rsidRDefault="00E23A6C" w:rsidP="00E23A6C">
      <w:pPr>
        <w:jc w:val="both"/>
        <w:rPr>
          <w:rFonts w:ascii="Arial" w:hAnsi="Arial" w:cs="Arial"/>
          <w:sz w:val="20"/>
          <w:szCs w:val="20"/>
          <w:lang w:val="en-US"/>
        </w:rPr>
      </w:pPr>
      <w:r w:rsidRPr="005547EE">
        <w:rPr>
          <w:rFonts w:ascii="Arial" w:hAnsi="Arial" w:cs="Arial"/>
          <w:sz w:val="20"/>
          <w:szCs w:val="20"/>
          <w:lang w:val="en-US"/>
        </w:rPr>
        <w:t xml:space="preserve">Okun (1962) demonstrated an inverse correlation between the GDP growth rate and the unemployment rate, though this relationship is not strictly proportional. A one percent increase in GDP does not translate to a one percent decrease in unemployment or a corresponding one percent increase in employment. Specifically, Okun highlighted that this relationship is non-linear: unemployment typically decreases by significantly less than one percent </w:t>
      </w:r>
      <w:r w:rsidR="001E77F8" w:rsidRPr="005547EE">
        <w:rPr>
          <w:rFonts w:ascii="Arial" w:hAnsi="Arial" w:cs="Arial"/>
          <w:sz w:val="20"/>
          <w:szCs w:val="20"/>
          <w:lang w:val="en-US"/>
        </w:rPr>
        <w:t xml:space="preserve">point </w:t>
      </w:r>
      <w:r w:rsidRPr="005547EE">
        <w:rPr>
          <w:rFonts w:ascii="Arial" w:hAnsi="Arial" w:cs="Arial"/>
          <w:sz w:val="20"/>
          <w:szCs w:val="20"/>
          <w:lang w:val="en-US"/>
        </w:rPr>
        <w:t xml:space="preserve">relative to growth. Similarly, employment increases less than proportionally, although its percentage gain often exceeds the percentage decline in unemployment. This discrepancy occurs because, during periods of economic expansion, </w:t>
      </w:r>
      <w:r w:rsidR="002F2924" w:rsidRPr="005547EE">
        <w:rPr>
          <w:rFonts w:ascii="Arial" w:hAnsi="Arial" w:cs="Arial"/>
          <w:sz w:val="20"/>
          <w:szCs w:val="20"/>
          <w:lang w:val="en-US"/>
        </w:rPr>
        <w:t xml:space="preserve">Okun’s Law predicts that not all new positions are filled by the officially unemployed. </w:t>
      </w:r>
      <w:r w:rsidRPr="005547EE">
        <w:rPr>
          <w:rFonts w:ascii="Arial" w:hAnsi="Arial" w:cs="Arial"/>
          <w:sz w:val="20"/>
          <w:szCs w:val="20"/>
          <w:lang w:val="en-US"/>
        </w:rPr>
        <w:t xml:space="preserve">A primary factor is the rise in the labor force participation rate; as the economy grows, </w:t>
      </w:r>
      <w:r w:rsidR="00E11855" w:rsidRPr="005547EE">
        <w:rPr>
          <w:rFonts w:ascii="Arial" w:hAnsi="Arial" w:cs="Arial"/>
          <w:sz w:val="20"/>
          <w:szCs w:val="20"/>
          <w:lang w:val="en-US"/>
        </w:rPr>
        <w:t xml:space="preserve">inactive or discouraged workers </w:t>
      </w:r>
      <w:r w:rsidRPr="005547EE">
        <w:rPr>
          <w:rFonts w:ascii="Arial" w:hAnsi="Arial" w:cs="Arial"/>
          <w:sz w:val="20"/>
          <w:szCs w:val="20"/>
          <w:lang w:val="en-US"/>
        </w:rPr>
        <w:t xml:space="preserve">re-enter the labor market to seek work. Additionally, firms maintain a core group of </w:t>
      </w:r>
      <w:r w:rsidRPr="005547EE">
        <w:rPr>
          <w:rFonts w:ascii="Arial" w:hAnsi="Arial" w:cs="Arial"/>
          <w:i/>
          <w:iCs/>
          <w:sz w:val="20"/>
          <w:szCs w:val="20"/>
          <w:lang w:val="en-US"/>
        </w:rPr>
        <w:t>overhead labor</w:t>
      </w:r>
      <w:r w:rsidRPr="005547EE">
        <w:rPr>
          <w:rFonts w:ascii="Arial" w:hAnsi="Arial" w:cs="Arial"/>
          <w:sz w:val="20"/>
          <w:szCs w:val="20"/>
          <w:lang w:val="en-US"/>
        </w:rPr>
        <w:t>—essential staff required regardless of production levels. Furthermore, because training costs are substantial, firms often prioritize increasing overtime for existing staff during demand surges rather than initiating new hires. Together, these factors explain the non-linear nature of the law and why employment growth is relatively greater than the observed reduction in unemployment.</w:t>
      </w:r>
      <w:r w:rsidR="002F2924" w:rsidRPr="005547EE">
        <w:rPr>
          <w:rFonts w:ascii="Arial" w:hAnsi="Arial" w:cs="Arial"/>
          <w:sz w:val="20"/>
          <w:szCs w:val="20"/>
          <w:lang w:val="en-US"/>
        </w:rPr>
        <w:t xml:space="preserve"> However, while Okun’s Law provides a framework for understanding short-term cyclical fluctuations in labor, its non-linear nature is increasingly influenced by structural shifts, where technological progress—the 'engine of growth'—does not merely expand output, but fundamentally alters the composition of the labor force.</w:t>
      </w:r>
    </w:p>
    <w:p w14:paraId="40F5D44E" w14:textId="24D3B218" w:rsidR="00225C6A" w:rsidRPr="005547EE" w:rsidRDefault="002F2924" w:rsidP="00BE10F5">
      <w:pPr>
        <w:jc w:val="both"/>
        <w:rPr>
          <w:rFonts w:ascii="Arial" w:hAnsi="Arial" w:cs="Arial"/>
          <w:sz w:val="20"/>
          <w:szCs w:val="20"/>
          <w:lang w:val="en-US"/>
        </w:rPr>
      </w:pPr>
      <w:r w:rsidRPr="005547EE">
        <w:rPr>
          <w:rFonts w:ascii="Arial" w:hAnsi="Arial" w:cs="Arial"/>
          <w:sz w:val="20"/>
          <w:szCs w:val="20"/>
          <w:lang w:val="en-US"/>
        </w:rPr>
        <w:t>Nevertheless</w:t>
      </w:r>
      <w:r w:rsidR="009903AF" w:rsidRPr="005547EE">
        <w:rPr>
          <w:rFonts w:ascii="Arial" w:hAnsi="Arial" w:cs="Arial"/>
          <w:sz w:val="20"/>
          <w:szCs w:val="20"/>
          <w:lang w:val="en-US"/>
        </w:rPr>
        <w:t xml:space="preserve">, </w:t>
      </w:r>
      <w:r w:rsidRPr="005547EE">
        <w:rPr>
          <w:rFonts w:ascii="Arial" w:hAnsi="Arial" w:cs="Arial"/>
          <w:sz w:val="20"/>
          <w:szCs w:val="20"/>
          <w:lang w:val="en-US"/>
        </w:rPr>
        <w:t>a</w:t>
      </w:r>
      <w:r w:rsidR="009903AF" w:rsidRPr="005547EE">
        <w:rPr>
          <w:rFonts w:ascii="Arial" w:hAnsi="Arial" w:cs="Arial"/>
          <w:sz w:val="20"/>
          <w:szCs w:val="20"/>
          <w:lang w:val="en-US"/>
        </w:rPr>
        <w:t>s highlighted by Schilirò (2018)</w:t>
      </w:r>
      <w:r w:rsidR="00CB2D28" w:rsidRPr="005547EE">
        <w:rPr>
          <w:rFonts w:ascii="Arial" w:hAnsi="Arial" w:cs="Arial"/>
          <w:sz w:val="20"/>
          <w:szCs w:val="20"/>
          <w:lang w:val="en-US"/>
        </w:rPr>
        <w:t>—drawing on Sylos Labini’s foundational contributions—it</w:t>
      </w:r>
      <w:r w:rsidR="009903AF" w:rsidRPr="005547EE">
        <w:rPr>
          <w:rFonts w:ascii="Arial" w:hAnsi="Arial" w:cs="Arial"/>
          <w:sz w:val="20"/>
          <w:szCs w:val="20"/>
          <w:lang w:val="en-US"/>
        </w:rPr>
        <w:t xml:space="preserve"> is essential to consider the role of productivity, which can paradoxically act as a counterforce to employment </w:t>
      </w:r>
      <w:r w:rsidR="009903AF" w:rsidRPr="005547EE">
        <w:rPr>
          <w:rFonts w:ascii="Arial" w:hAnsi="Arial" w:cs="Arial"/>
          <w:sz w:val="20"/>
          <w:szCs w:val="20"/>
          <w:lang w:val="en-US"/>
        </w:rPr>
        <w:lastRenderedPageBreak/>
        <w:t>growth and impede the reduction of unemployment. A distinct trade-off is often observed between productivity and employment levels. Specifically, higher employment may fail to translate into sustained economic growth if it is driven by low-productivity jobs—a phenomenon that has characterized the Italian economy for over twenty years.</w:t>
      </w:r>
    </w:p>
    <w:p w14:paraId="3D3F43AB" w14:textId="4DE1BD4E" w:rsidR="00BC2AD1" w:rsidRPr="005807B5" w:rsidRDefault="00BC2AD1" w:rsidP="00BC2AD1">
      <w:pPr>
        <w:jc w:val="both"/>
        <w:rPr>
          <w:rFonts w:ascii="Arial" w:hAnsi="Arial" w:cs="Arial"/>
          <w:i/>
          <w:iCs/>
          <w:lang w:val="en-US"/>
        </w:rPr>
      </w:pPr>
      <w:r w:rsidRPr="005807B5">
        <w:rPr>
          <w:rFonts w:ascii="Arial" w:hAnsi="Arial" w:cs="Arial"/>
          <w:b/>
          <w:bCs/>
          <w:i/>
          <w:iCs/>
          <w:lang w:val="en-US"/>
        </w:rPr>
        <w:t xml:space="preserve">3.2. Technological </w:t>
      </w:r>
      <w:r w:rsidR="0081044C" w:rsidRPr="005807B5">
        <w:rPr>
          <w:rFonts w:ascii="Arial" w:hAnsi="Arial" w:cs="Arial"/>
          <w:b/>
          <w:bCs/>
          <w:i/>
          <w:iCs/>
          <w:lang w:val="en-US"/>
        </w:rPr>
        <w:t>d</w:t>
      </w:r>
      <w:r w:rsidRPr="005807B5">
        <w:rPr>
          <w:rFonts w:ascii="Arial" w:hAnsi="Arial" w:cs="Arial"/>
          <w:b/>
          <w:bCs/>
          <w:i/>
          <w:iCs/>
          <w:lang w:val="en-US"/>
        </w:rPr>
        <w:t xml:space="preserve">evelopment and </w:t>
      </w:r>
      <w:r w:rsidR="0081044C" w:rsidRPr="005807B5">
        <w:rPr>
          <w:rFonts w:ascii="Arial" w:hAnsi="Arial" w:cs="Arial"/>
          <w:b/>
          <w:bCs/>
          <w:i/>
          <w:iCs/>
          <w:lang w:val="en-US"/>
        </w:rPr>
        <w:t>e</w:t>
      </w:r>
      <w:r w:rsidRPr="005807B5">
        <w:rPr>
          <w:rFonts w:ascii="Arial" w:hAnsi="Arial" w:cs="Arial"/>
          <w:b/>
          <w:bCs/>
          <w:i/>
          <w:iCs/>
          <w:lang w:val="en-US"/>
        </w:rPr>
        <w:t>mployment</w:t>
      </w:r>
    </w:p>
    <w:p w14:paraId="125097AC" w14:textId="64FE2356" w:rsidR="0081044C" w:rsidRPr="005547EE" w:rsidRDefault="0081044C" w:rsidP="00BC5F75">
      <w:pPr>
        <w:spacing w:after="0"/>
        <w:jc w:val="both"/>
        <w:rPr>
          <w:rFonts w:ascii="Arial" w:hAnsi="Arial" w:cs="Arial"/>
          <w:sz w:val="20"/>
          <w:szCs w:val="20"/>
          <w:lang w:val="en-US"/>
        </w:rPr>
      </w:pPr>
      <w:r w:rsidRPr="005547EE">
        <w:rPr>
          <w:rFonts w:ascii="Arial" w:hAnsi="Arial" w:cs="Arial"/>
          <w:sz w:val="20"/>
          <w:szCs w:val="20"/>
          <w:lang w:val="en-US"/>
        </w:rPr>
        <w:t xml:space="preserve">Technological development is reordering the global labor market. </w:t>
      </w:r>
      <w:r w:rsidR="00BC5F75" w:rsidRPr="005547EE">
        <w:rPr>
          <w:rFonts w:ascii="Arial" w:hAnsi="Arial" w:cs="Arial"/>
          <w:sz w:val="20"/>
          <w:szCs w:val="20"/>
          <w:lang w:val="en-US"/>
        </w:rPr>
        <w:t>Three major shifts are characterizing the current landscape: job displacement, skill transformation, and creation of new jobs.</w:t>
      </w:r>
    </w:p>
    <w:p w14:paraId="4600CE01" w14:textId="77777777" w:rsidR="008F37A2" w:rsidRPr="005547EE" w:rsidRDefault="008F37A2" w:rsidP="008059C8">
      <w:pPr>
        <w:jc w:val="both"/>
        <w:rPr>
          <w:rFonts w:ascii="Arial" w:hAnsi="Arial" w:cs="Arial"/>
          <w:sz w:val="20"/>
          <w:szCs w:val="20"/>
          <w:lang w:val="en-US"/>
        </w:rPr>
      </w:pPr>
      <w:r w:rsidRPr="005547EE">
        <w:rPr>
          <w:rFonts w:ascii="Arial" w:hAnsi="Arial" w:cs="Arial"/>
          <w:sz w:val="20"/>
          <w:szCs w:val="20"/>
          <w:lang w:val="en-US"/>
        </w:rPr>
        <w:t xml:space="preserve">Growth models analyze how various inputs and innovations drive economic expansion and output dynamics. </w:t>
      </w:r>
    </w:p>
    <w:p w14:paraId="2D085744" w14:textId="340885C6" w:rsidR="008F37A2" w:rsidRPr="005547EE" w:rsidRDefault="008F37A2" w:rsidP="008059C8">
      <w:pPr>
        <w:jc w:val="both"/>
        <w:rPr>
          <w:rFonts w:ascii="Arial" w:hAnsi="Arial" w:cs="Arial"/>
          <w:sz w:val="20"/>
          <w:szCs w:val="20"/>
          <w:lang w:val="en-US"/>
        </w:rPr>
      </w:pPr>
      <w:r w:rsidRPr="005547EE">
        <w:rPr>
          <w:rFonts w:ascii="Arial" w:hAnsi="Arial" w:cs="Arial"/>
          <w:sz w:val="20"/>
          <w:szCs w:val="20"/>
          <w:lang w:val="en-US"/>
        </w:rPr>
        <w:t>Solow’s (1956, 1957) growth theory underscored the limited long-term significance of capital accumulation compared to the decisive role of technological progress in sustaining economic growth (Schilirò, 2017). Building on this, Romer’s endogenous growth theory (1986, 1990) internalized technological change by emphasizing the importance of increasing returns. Within this framework, knowledge is treated as a fundamental factor of production—a pivotal driver of economic expansion. Romer’s focus on knowledge-based growth implies a structural shift in labor demand, suggesting that human capital (highly skilled labor) serves as the primary engine of long-term growth.</w:t>
      </w:r>
    </w:p>
    <w:p w14:paraId="6D548D07" w14:textId="2027AC43" w:rsidR="008059C8" w:rsidRPr="005547EE" w:rsidRDefault="008059C8" w:rsidP="008059C8">
      <w:pPr>
        <w:jc w:val="both"/>
        <w:rPr>
          <w:rFonts w:ascii="Arial" w:hAnsi="Arial" w:cs="Arial"/>
          <w:sz w:val="20"/>
          <w:szCs w:val="20"/>
          <w:lang w:val="en-US"/>
        </w:rPr>
      </w:pPr>
      <w:r w:rsidRPr="005547EE">
        <w:rPr>
          <w:rFonts w:ascii="Arial" w:hAnsi="Arial" w:cs="Arial"/>
          <w:sz w:val="20"/>
          <w:szCs w:val="20"/>
          <w:lang w:val="en-US"/>
        </w:rPr>
        <w:t>Building on these fundamental contributions, both policymakers and economists have long prioritized technological progress and productivity growth. However, the relationship between technological development and employment remains a broad, complex, and highly relevant issue. While the automation of production processes is not new, the current stage of development possesses unique peculiarities.</w:t>
      </w:r>
    </w:p>
    <w:p w14:paraId="5FB34332" w14:textId="77777777" w:rsidR="008059C8" w:rsidRPr="005547EE" w:rsidRDefault="008059C8" w:rsidP="008059C8">
      <w:pPr>
        <w:jc w:val="both"/>
        <w:rPr>
          <w:rFonts w:ascii="Arial" w:hAnsi="Arial" w:cs="Arial"/>
          <w:sz w:val="20"/>
          <w:szCs w:val="20"/>
          <w:lang w:val="en-US"/>
        </w:rPr>
      </w:pPr>
      <w:r w:rsidRPr="005547EE">
        <w:rPr>
          <w:rFonts w:ascii="Arial" w:hAnsi="Arial" w:cs="Arial"/>
          <w:sz w:val="20"/>
          <w:szCs w:val="20"/>
          <w:lang w:val="en-US"/>
        </w:rPr>
        <w:t>Modern technologies are no longer limited to replicating basic human actions; rather, through advancements in generative artificial intelligence, they are increasingly capable of performing complex tasks with greater capacity and faster diffusion than in the past. Susskind (2020) argues that these breakthroughs put virtually all types of work at risk, as sophisticated machines learn to autonomously execute non-routine tasks. Consequently, functions previously deemed beyond the reach of computers—such as diagnosing diseases, drafting legal contracts, and composing music—are now within their capabilities. As the threat of technological unemployment intensifies, a future with a diminished demand for labor may become a reality, potentially exacerbating social and economic inequality in the coming decades.</w:t>
      </w:r>
    </w:p>
    <w:p w14:paraId="47C50485" w14:textId="05D9D0DA" w:rsidR="00683BC4" w:rsidRPr="005547EE" w:rsidRDefault="00683BC4" w:rsidP="00683BC4">
      <w:pPr>
        <w:jc w:val="both"/>
        <w:rPr>
          <w:rFonts w:ascii="Arial" w:hAnsi="Arial" w:cs="Arial"/>
          <w:sz w:val="20"/>
          <w:szCs w:val="20"/>
          <w:lang w:val="en-US"/>
        </w:rPr>
      </w:pPr>
      <w:r w:rsidRPr="005547EE">
        <w:rPr>
          <w:rFonts w:ascii="Arial" w:hAnsi="Arial" w:cs="Arial"/>
          <w:sz w:val="20"/>
          <w:szCs w:val="20"/>
          <w:lang w:val="en-US"/>
        </w:rPr>
        <w:t>Today, more than ever, we operate in an economic environment defined by continuous, rapid, and complex innovation. A vital response to the disruptions caused by such innovation is to prioritize investment in knowledge, education, and human capital training, as advocated by Acemoglu and Autor (2011). Focusing specifically on the Europe</w:t>
      </w:r>
      <w:r w:rsidR="000B31FD" w:rsidRPr="005547EE">
        <w:rPr>
          <w:rFonts w:ascii="Arial" w:hAnsi="Arial" w:cs="Arial"/>
          <w:sz w:val="20"/>
          <w:szCs w:val="20"/>
          <w:lang w:val="en-US"/>
        </w:rPr>
        <w:t>a</w:t>
      </w:r>
      <w:r w:rsidRPr="005547EE">
        <w:rPr>
          <w:rFonts w:ascii="Arial" w:hAnsi="Arial" w:cs="Arial"/>
          <w:sz w:val="20"/>
          <w:szCs w:val="20"/>
          <w:lang w:val="en-US"/>
        </w:rPr>
        <w:t>n labor market, Piva and Vivarelli (2018) emphasize the necessity of active policy intervention in human capital, arguing that the job-creation effects of innovation—typically driven by lower prices and new products—are not automatic. Such strategies are essential for mitigating labor market imbalances and fostering sustainable, long-term employment growth.</w:t>
      </w:r>
    </w:p>
    <w:p w14:paraId="565CEBB0" w14:textId="56D8FAF5" w:rsidR="006139FA" w:rsidRPr="005807B5" w:rsidRDefault="006139FA" w:rsidP="006139FA">
      <w:pPr>
        <w:pStyle w:val="ListParagraph"/>
        <w:numPr>
          <w:ilvl w:val="1"/>
          <w:numId w:val="1"/>
        </w:numPr>
        <w:jc w:val="both"/>
        <w:rPr>
          <w:rFonts w:ascii="Arial" w:hAnsi="Arial" w:cs="Arial"/>
          <w:b/>
          <w:bCs/>
          <w:i/>
          <w:iCs/>
          <w:lang w:val="en-US"/>
        </w:rPr>
      </w:pPr>
      <w:r w:rsidRPr="005807B5">
        <w:rPr>
          <w:rFonts w:ascii="Arial" w:hAnsi="Arial" w:cs="Arial"/>
          <w:b/>
          <w:bCs/>
          <w:i/>
          <w:iCs/>
          <w:lang w:val="en-US"/>
        </w:rPr>
        <w:t>Employment developments and problems in Italy</w:t>
      </w:r>
    </w:p>
    <w:p w14:paraId="1B45C060" w14:textId="2AD9E670" w:rsidR="006139FA" w:rsidRPr="005547EE" w:rsidRDefault="00E239EE" w:rsidP="006139FA">
      <w:pPr>
        <w:jc w:val="both"/>
        <w:rPr>
          <w:rFonts w:ascii="Arial" w:hAnsi="Arial" w:cs="Arial"/>
          <w:sz w:val="20"/>
          <w:szCs w:val="20"/>
          <w:lang w:val="en-US"/>
        </w:rPr>
      </w:pPr>
      <w:r w:rsidRPr="005547EE">
        <w:rPr>
          <w:rFonts w:ascii="Arial" w:hAnsi="Arial" w:cs="Arial"/>
          <w:sz w:val="20"/>
          <w:szCs w:val="20"/>
          <w:lang w:val="en-US"/>
        </w:rPr>
        <w:t>A marked improvement in employment levels and participation rates currently characterizes the Italian labor market. This trend might suggest that Italy’s long-standing labor challenges have been resolved; however, the reality is far more nuanced, and significant structural hurdles remain.</w:t>
      </w:r>
      <w:r w:rsidR="006139FA" w:rsidRPr="005547EE">
        <w:rPr>
          <w:rFonts w:ascii="Arial" w:hAnsi="Arial" w:cs="Arial"/>
          <w:sz w:val="20"/>
          <w:szCs w:val="20"/>
          <w:lang w:val="en-US"/>
        </w:rPr>
        <w:t xml:space="preserve"> </w:t>
      </w:r>
    </w:p>
    <w:p w14:paraId="52888E10" w14:textId="27C5CB76" w:rsidR="0012198F" w:rsidRPr="005547EE" w:rsidRDefault="00A139A3" w:rsidP="0012198F">
      <w:pPr>
        <w:jc w:val="both"/>
        <w:rPr>
          <w:rFonts w:ascii="Arial" w:hAnsi="Arial" w:cs="Arial"/>
          <w:sz w:val="20"/>
          <w:szCs w:val="20"/>
          <w:lang w:val="en-US"/>
        </w:rPr>
      </w:pPr>
      <w:r w:rsidRPr="005547EE">
        <w:rPr>
          <w:rFonts w:ascii="Arial" w:hAnsi="Arial" w:cs="Arial"/>
          <w:sz w:val="20"/>
          <w:szCs w:val="20"/>
          <w:lang w:val="en-US"/>
        </w:rPr>
        <w:t>Figure 1 illustrates the trends in employment rates for Italy (light blue line) and the European Union (green line) between 2000 and 2024, based on annual data for the population aged 20 to 64.</w:t>
      </w:r>
      <w:r w:rsidR="00E90539" w:rsidRPr="005547EE">
        <w:rPr>
          <w:rFonts w:ascii="Arial" w:hAnsi="Arial" w:cs="Arial"/>
          <w:sz w:val="20"/>
          <w:szCs w:val="20"/>
          <w:lang w:val="en-US"/>
        </w:rPr>
        <w:t xml:space="preserve"> Italy’s </w:t>
      </w:r>
      <w:r w:rsidR="0012198F" w:rsidRPr="005547EE">
        <w:rPr>
          <w:rFonts w:ascii="Arial" w:hAnsi="Arial" w:cs="Arial"/>
          <w:sz w:val="20"/>
          <w:szCs w:val="20"/>
          <w:lang w:val="en-US"/>
        </w:rPr>
        <w:t>employment rate from 2021 onward</w:t>
      </w:r>
      <w:r w:rsidR="00E90539" w:rsidRPr="005547EE">
        <w:rPr>
          <w:rFonts w:ascii="Arial" w:hAnsi="Arial" w:cs="Arial"/>
          <w:sz w:val="20"/>
          <w:szCs w:val="20"/>
          <w:lang w:val="en-US"/>
        </w:rPr>
        <w:t xml:space="preserve"> has a positive trend</w:t>
      </w:r>
      <w:r w:rsidR="0012198F" w:rsidRPr="005547EE">
        <w:rPr>
          <w:rFonts w:ascii="Arial" w:hAnsi="Arial" w:cs="Arial"/>
          <w:sz w:val="20"/>
          <w:szCs w:val="20"/>
          <w:lang w:val="en-US"/>
        </w:rPr>
        <w:t>. In 2024, this rate surpassed 65%, reaching a historic peak. However, when comparing this trajectory to the EU average (EU-20), Italy remains approximately 10 percentage points below its European peers.</w:t>
      </w:r>
      <w:r w:rsidR="008D514E" w:rsidRPr="005547EE">
        <w:rPr>
          <w:rStyle w:val="FootnoteReference"/>
          <w:rFonts w:ascii="Arial" w:hAnsi="Arial" w:cs="Arial"/>
          <w:sz w:val="20"/>
          <w:szCs w:val="20"/>
          <w:lang w:val="en-US"/>
        </w:rPr>
        <w:footnoteReference w:id="1"/>
      </w:r>
    </w:p>
    <w:p w14:paraId="369FB092" w14:textId="77777777" w:rsidR="002F2924" w:rsidRPr="005547EE" w:rsidRDefault="0012198F" w:rsidP="002F2924">
      <w:pPr>
        <w:jc w:val="both"/>
        <w:rPr>
          <w:rFonts w:ascii="Arial" w:hAnsi="Arial" w:cs="Arial"/>
          <w:sz w:val="20"/>
          <w:szCs w:val="20"/>
          <w:lang w:val="en-US"/>
        </w:rPr>
      </w:pPr>
      <w:r w:rsidRPr="005547EE">
        <w:rPr>
          <w:rFonts w:ascii="Arial" w:hAnsi="Arial" w:cs="Arial"/>
          <w:sz w:val="20"/>
          <w:szCs w:val="20"/>
          <w:lang w:val="en-US"/>
        </w:rPr>
        <w:lastRenderedPageBreak/>
        <w:t>Furthermore, the situation is less favorable than it initially appears. As noted by Brancati and Carboni (2024), between one-quarter and one-third of the Italian workforce is effectively underemployed. This is driven by systemic factors such as stagnant wages, a rise in involuntary part-time work, and a persistent skills mismatch.</w:t>
      </w:r>
      <w:r w:rsidR="002F2924" w:rsidRPr="005547EE">
        <w:rPr>
          <w:rFonts w:ascii="Arial" w:hAnsi="Arial" w:cs="Arial"/>
          <w:sz w:val="20"/>
          <w:szCs w:val="20"/>
          <w:lang w:val="en-US"/>
        </w:rPr>
        <w:t xml:space="preserve"> </w:t>
      </w:r>
    </w:p>
    <w:p w14:paraId="7415EB82" w14:textId="60FCFD82" w:rsidR="0012198F" w:rsidRPr="005547EE" w:rsidRDefault="004A12BD" w:rsidP="002F2924">
      <w:pPr>
        <w:spacing w:after="0"/>
        <w:jc w:val="center"/>
        <w:rPr>
          <w:rFonts w:ascii="Arial" w:hAnsi="Arial" w:cs="Arial"/>
          <w:sz w:val="20"/>
          <w:szCs w:val="20"/>
          <w:lang w:val="en-US"/>
        </w:rPr>
      </w:pPr>
      <w:r w:rsidRPr="004A12BD">
        <w:rPr>
          <w:rFonts w:ascii="Arial" w:hAnsi="Arial" w:cs="Arial"/>
          <w:sz w:val="20"/>
          <w:szCs w:val="20"/>
          <w:lang w:val="en-US"/>
        </w:rPr>
        <w:t>Figure 1</w:t>
      </w:r>
      <w:r>
        <w:rPr>
          <w:rFonts w:ascii="Arial" w:hAnsi="Arial" w:cs="Arial"/>
          <w:sz w:val="20"/>
          <w:szCs w:val="20"/>
          <w:lang w:val="en-US"/>
        </w:rPr>
        <w:t xml:space="preserve"> </w:t>
      </w:r>
      <w:r w:rsidR="00F72274" w:rsidRPr="005547EE">
        <w:rPr>
          <w:rFonts w:ascii="Arial" w:hAnsi="Arial" w:cs="Arial"/>
          <w:sz w:val="20"/>
          <w:szCs w:val="20"/>
          <w:lang w:val="en-US"/>
        </w:rPr>
        <w:t>Annual Employment Rates (%) for the Population Aged 20–64</w:t>
      </w:r>
      <w:r w:rsidR="0012198F" w:rsidRPr="005547EE">
        <w:rPr>
          <w:rFonts w:ascii="Arial" w:hAnsi="Arial" w:cs="Arial"/>
          <w:sz w:val="20"/>
          <w:szCs w:val="20"/>
          <w:lang w:val="en-US"/>
        </w:rPr>
        <w:t>.</w:t>
      </w:r>
    </w:p>
    <w:p w14:paraId="74736F26" w14:textId="3746F6F3" w:rsidR="00E239EE" w:rsidRPr="005547EE" w:rsidRDefault="00A139A3" w:rsidP="0012198F">
      <w:pPr>
        <w:jc w:val="center"/>
        <w:rPr>
          <w:rFonts w:ascii="Arial" w:hAnsi="Arial" w:cs="Arial"/>
          <w:sz w:val="20"/>
          <w:szCs w:val="20"/>
          <w:lang w:val="en-US"/>
        </w:rPr>
      </w:pPr>
      <w:r w:rsidRPr="005547EE">
        <w:rPr>
          <w:rFonts w:ascii="Arial" w:hAnsi="Arial" w:cs="Arial"/>
          <w:noProof/>
          <w:sz w:val="20"/>
          <w:szCs w:val="20"/>
          <w:lang w:val="en-US"/>
        </w:rPr>
        <w:drawing>
          <wp:inline distT="0" distB="0" distL="0" distR="0" wp14:anchorId="1EFD0571" wp14:editId="65CFFFDD">
            <wp:extent cx="5689600" cy="2463800"/>
            <wp:effectExtent l="0" t="0" r="6350" b="0"/>
            <wp:docPr id="13333314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0" cy="2463800"/>
                    </a:xfrm>
                    <a:prstGeom prst="rect">
                      <a:avLst/>
                    </a:prstGeom>
                    <a:noFill/>
                    <a:ln>
                      <a:noFill/>
                    </a:ln>
                  </pic:spPr>
                </pic:pic>
              </a:graphicData>
            </a:graphic>
          </wp:inline>
        </w:drawing>
      </w:r>
    </w:p>
    <w:p w14:paraId="6DAC4973" w14:textId="25DC061E" w:rsidR="0012198F" w:rsidRPr="005547EE" w:rsidRDefault="0012198F" w:rsidP="0012198F">
      <w:pPr>
        <w:jc w:val="both"/>
        <w:rPr>
          <w:rFonts w:ascii="Arial" w:hAnsi="Arial" w:cs="Arial"/>
          <w:sz w:val="20"/>
          <w:szCs w:val="20"/>
          <w:lang w:val="en-US"/>
        </w:rPr>
      </w:pPr>
      <w:r w:rsidRPr="005547EE">
        <w:rPr>
          <w:rFonts w:ascii="Arial" w:hAnsi="Arial" w:cs="Arial"/>
          <w:sz w:val="20"/>
          <w:szCs w:val="20"/>
          <w:lang w:val="en-US"/>
        </w:rPr>
        <w:t>Source: Eurostat</w:t>
      </w:r>
      <w:r w:rsidR="002519A8" w:rsidRPr="005547EE">
        <w:rPr>
          <w:rStyle w:val="FootnoteReference"/>
          <w:rFonts w:ascii="Arial" w:hAnsi="Arial" w:cs="Arial"/>
          <w:sz w:val="20"/>
          <w:szCs w:val="20"/>
          <w:lang w:val="en-US"/>
        </w:rPr>
        <w:footnoteReference w:id="2"/>
      </w:r>
    </w:p>
    <w:p w14:paraId="4506EB32" w14:textId="4CD821E5" w:rsidR="00F12A82" w:rsidRPr="005547EE" w:rsidRDefault="0005294F" w:rsidP="0012198F">
      <w:pPr>
        <w:jc w:val="both"/>
        <w:rPr>
          <w:rFonts w:ascii="Arial" w:hAnsi="Arial" w:cs="Arial"/>
          <w:sz w:val="20"/>
          <w:szCs w:val="20"/>
          <w:lang w:val="en-US"/>
        </w:rPr>
      </w:pPr>
      <w:r w:rsidRPr="005547EE">
        <w:rPr>
          <w:rFonts w:ascii="Arial" w:hAnsi="Arial" w:cs="Arial"/>
          <w:sz w:val="20"/>
          <w:szCs w:val="20"/>
          <w:lang w:val="en-US"/>
        </w:rPr>
        <w:t>The unemployment rate in Italy has also followed a downward trend in recent years, mirroring the growth in the employment rate.</w:t>
      </w:r>
    </w:p>
    <w:p w14:paraId="4CDBF94B" w14:textId="53E225BD" w:rsidR="002D2851" w:rsidRPr="005547EE" w:rsidRDefault="006E4B8E" w:rsidP="000278AD">
      <w:pPr>
        <w:jc w:val="both"/>
        <w:rPr>
          <w:rFonts w:ascii="Arial" w:hAnsi="Arial" w:cs="Arial"/>
          <w:sz w:val="20"/>
          <w:szCs w:val="20"/>
          <w:lang w:val="en-US"/>
        </w:rPr>
      </w:pPr>
      <w:r w:rsidRPr="005547EE">
        <w:rPr>
          <w:rFonts w:ascii="Arial" w:hAnsi="Arial" w:cs="Arial"/>
          <w:sz w:val="20"/>
          <w:szCs w:val="20"/>
          <w:lang w:val="en-US"/>
        </w:rPr>
        <w:t>Figure 2 shows the fluctuations in Italy's unemployment rate from January 2020 to January 2025, capturing the impacts of the pandemic and the subsequent recovery.</w:t>
      </w:r>
    </w:p>
    <w:p w14:paraId="4EE1D86E" w14:textId="44E050D0" w:rsidR="002D2851" w:rsidRPr="005547EE" w:rsidRDefault="004A12BD" w:rsidP="002F2924">
      <w:pPr>
        <w:spacing w:after="0"/>
        <w:jc w:val="center"/>
        <w:rPr>
          <w:rFonts w:ascii="Arial" w:hAnsi="Arial" w:cs="Arial"/>
          <w:b/>
          <w:bCs/>
          <w:sz w:val="20"/>
          <w:szCs w:val="20"/>
          <w:lang w:val="en-US"/>
        </w:rPr>
      </w:pPr>
      <w:r w:rsidRPr="004A12BD">
        <w:rPr>
          <w:rFonts w:ascii="Arial" w:hAnsi="Arial" w:cs="Arial"/>
          <w:sz w:val="20"/>
          <w:szCs w:val="20"/>
          <w:lang w:val="en-US"/>
        </w:rPr>
        <w:t>Figure 2</w:t>
      </w:r>
      <w:r>
        <w:rPr>
          <w:rFonts w:ascii="Arial" w:hAnsi="Arial" w:cs="Arial"/>
          <w:sz w:val="20"/>
          <w:szCs w:val="20"/>
          <w:lang w:val="en-US"/>
        </w:rPr>
        <w:t xml:space="preserve"> </w:t>
      </w:r>
      <w:r w:rsidR="008A16F1" w:rsidRPr="005547EE">
        <w:rPr>
          <w:rFonts w:ascii="Arial" w:hAnsi="Arial" w:cs="Arial"/>
          <w:sz w:val="20"/>
          <w:szCs w:val="20"/>
          <w:lang w:val="en-US"/>
        </w:rPr>
        <w:t>January 2020 – January 2025 (seasonally adjusted).</w:t>
      </w:r>
      <w:r w:rsidR="00EE7877" w:rsidRPr="005547EE">
        <w:rPr>
          <w:rFonts w:ascii="Arial" w:hAnsi="Arial" w:cs="Arial"/>
          <w:b/>
          <w:bCs/>
          <w:sz w:val="20"/>
          <w:szCs w:val="20"/>
          <w:lang w:val="en-US"/>
        </w:rPr>
        <w:t xml:space="preserve">                 </w:t>
      </w:r>
      <w:r w:rsidR="008A16F1" w:rsidRPr="005547EE">
        <w:rPr>
          <w:rFonts w:ascii="Arial" w:hAnsi="Arial" w:cs="Arial"/>
          <w:b/>
          <w:bCs/>
          <w:sz w:val="20"/>
          <w:szCs w:val="20"/>
          <w:lang w:val="en-US"/>
        </w:rPr>
        <w:t xml:space="preserve">          </w:t>
      </w:r>
      <w:r w:rsidR="00EE7877" w:rsidRPr="005547EE">
        <w:rPr>
          <w:rFonts w:ascii="Arial" w:hAnsi="Arial" w:cs="Arial"/>
          <w:b/>
          <w:bCs/>
          <w:noProof/>
          <w:sz w:val="20"/>
          <w:szCs w:val="20"/>
          <w:lang w:val="en-US"/>
        </w:rPr>
        <w:drawing>
          <wp:inline distT="0" distB="0" distL="0" distR="0" wp14:anchorId="4ED9D91B" wp14:editId="21D4C45D">
            <wp:extent cx="6083300" cy="2241550"/>
            <wp:effectExtent l="0" t="0" r="0" b="6350"/>
            <wp:docPr id="9640702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300" cy="2241550"/>
                    </a:xfrm>
                    <a:prstGeom prst="rect">
                      <a:avLst/>
                    </a:prstGeom>
                    <a:noFill/>
                    <a:ln>
                      <a:noFill/>
                    </a:ln>
                  </pic:spPr>
                </pic:pic>
              </a:graphicData>
            </a:graphic>
          </wp:inline>
        </w:drawing>
      </w:r>
    </w:p>
    <w:p w14:paraId="251EED6B" w14:textId="36EC969E" w:rsidR="002D2851" w:rsidRPr="005547EE" w:rsidRDefault="008A16F1" w:rsidP="000278AD">
      <w:pPr>
        <w:jc w:val="both"/>
        <w:rPr>
          <w:rFonts w:ascii="Arial" w:hAnsi="Arial" w:cs="Arial"/>
          <w:sz w:val="20"/>
          <w:szCs w:val="20"/>
          <w:lang w:val="en-US"/>
        </w:rPr>
      </w:pPr>
      <w:r w:rsidRPr="005547EE">
        <w:rPr>
          <w:rFonts w:ascii="Arial" w:hAnsi="Arial" w:cs="Arial"/>
          <w:sz w:val="20"/>
          <w:szCs w:val="20"/>
          <w:lang w:val="en-US"/>
        </w:rPr>
        <w:t>Source: ISTAT</w:t>
      </w:r>
      <w:r w:rsidRPr="005547EE">
        <w:rPr>
          <w:rStyle w:val="FootnoteReference"/>
          <w:rFonts w:ascii="Arial" w:hAnsi="Arial" w:cs="Arial"/>
          <w:sz w:val="20"/>
          <w:szCs w:val="20"/>
          <w:lang w:val="en-US"/>
        </w:rPr>
        <w:footnoteReference w:id="3"/>
      </w:r>
    </w:p>
    <w:p w14:paraId="0B1D0AAC" w14:textId="3A0F331C" w:rsidR="002D2851" w:rsidRPr="005547EE" w:rsidRDefault="005150CF" w:rsidP="000278AD">
      <w:pPr>
        <w:jc w:val="both"/>
        <w:rPr>
          <w:rFonts w:ascii="Arial" w:hAnsi="Arial" w:cs="Arial"/>
          <w:sz w:val="20"/>
          <w:szCs w:val="20"/>
          <w:lang w:val="en-US"/>
        </w:rPr>
      </w:pPr>
      <w:r w:rsidRPr="005547EE">
        <w:rPr>
          <w:rFonts w:ascii="Arial" w:hAnsi="Arial" w:cs="Arial"/>
          <w:sz w:val="20"/>
          <w:szCs w:val="20"/>
          <w:lang w:val="en-US"/>
        </w:rPr>
        <w:t>This figure illustrates a steady decline in the unemployment rate over the last five years, signaling a resilient labor market recovering from the COVID-19 crisis, supported by relatively robust demand. However, the youth unemployment rate remains more than triple the national average; in 2024, it stood at approximately 20%, contrasted with an overall rate of just over 6%. This disparity underscores that the market's underlying structural issues remain largely unresolved.</w:t>
      </w:r>
    </w:p>
    <w:p w14:paraId="21DB128D" w14:textId="4366339D" w:rsidR="005150CF" w:rsidRPr="005547EE" w:rsidRDefault="005150CF" w:rsidP="000278AD">
      <w:pPr>
        <w:jc w:val="both"/>
        <w:rPr>
          <w:rFonts w:ascii="Arial" w:hAnsi="Arial" w:cs="Arial"/>
          <w:sz w:val="20"/>
          <w:szCs w:val="20"/>
          <w:lang w:val="en-US"/>
        </w:rPr>
      </w:pPr>
      <w:r w:rsidRPr="005547EE">
        <w:rPr>
          <w:rFonts w:ascii="Arial" w:hAnsi="Arial" w:cs="Arial"/>
          <w:sz w:val="20"/>
          <w:szCs w:val="20"/>
          <w:lang w:val="en-US"/>
        </w:rPr>
        <w:t>Indeed, one of the most persistent issues within the Italian labor market is the stark contrast between the industrialized, high-productivity Northern regions and the less developed South (</w:t>
      </w:r>
      <w:r w:rsidRPr="005547EE">
        <w:rPr>
          <w:rFonts w:ascii="Arial" w:hAnsi="Arial" w:cs="Arial"/>
          <w:i/>
          <w:iCs/>
          <w:sz w:val="20"/>
          <w:szCs w:val="20"/>
          <w:lang w:val="en-US"/>
        </w:rPr>
        <w:t>Mezzogiorno</w:t>
      </w:r>
      <w:r w:rsidRPr="005547EE">
        <w:rPr>
          <w:rFonts w:ascii="Arial" w:hAnsi="Arial" w:cs="Arial"/>
          <w:sz w:val="20"/>
          <w:szCs w:val="20"/>
          <w:lang w:val="en-US"/>
        </w:rPr>
        <w:t xml:space="preserve">). In the latter, </w:t>
      </w:r>
      <w:r w:rsidRPr="005547EE">
        <w:rPr>
          <w:rFonts w:ascii="Arial" w:hAnsi="Arial" w:cs="Arial"/>
          <w:sz w:val="20"/>
          <w:szCs w:val="20"/>
          <w:lang w:val="en-US"/>
        </w:rPr>
        <w:lastRenderedPageBreak/>
        <w:t>unemployment—particularly among the youth—remains significantly higher. This disparity is further exacerbated by lower labor market participation rates, a fragmented industrial base, and inadequate infrastructure, all of which hinder sustainable job creation. Furthermore, substantial differences in wage levels and productivity reflect deep-seated inequalities in economic opportunity. Ultimately, this territorial fragmentation undermines national competitiveness and fuels both internal and international migration.</w:t>
      </w:r>
      <w:r w:rsidR="00217448" w:rsidRPr="005547EE">
        <w:rPr>
          <w:rFonts w:ascii="Arial" w:hAnsi="Arial" w:cs="Arial"/>
          <w:sz w:val="20"/>
          <w:szCs w:val="20"/>
          <w:lang w:val="en-US"/>
        </w:rPr>
        <w:t xml:space="preserve"> Consequently, high youth unemployment—which is disproportionately concentrated in the South—remains a critical economic and social challenge for Italy. In the context of a sharp demographic decline driven by record-low birth rates, the lack of professional opportunities for young people is triggering a massive 'brain drain.' This migration of human capital toward more prosperous regions and foreign markets further depletes the nation's productive potential.</w:t>
      </w:r>
      <w:r w:rsidR="00DC2EE8" w:rsidRPr="005547EE">
        <w:rPr>
          <w:rStyle w:val="FootnoteReference"/>
          <w:rFonts w:ascii="Arial" w:hAnsi="Arial" w:cs="Arial"/>
          <w:sz w:val="20"/>
          <w:szCs w:val="20"/>
          <w:lang w:val="en-US"/>
        </w:rPr>
        <w:footnoteReference w:id="4"/>
      </w:r>
    </w:p>
    <w:p w14:paraId="3465E82E" w14:textId="3AC212DE" w:rsidR="00BC2A4B" w:rsidRPr="005547EE" w:rsidRDefault="00BC2A4B" w:rsidP="00BC2A4B">
      <w:pPr>
        <w:jc w:val="both"/>
        <w:rPr>
          <w:rFonts w:ascii="Arial" w:hAnsi="Arial" w:cs="Arial"/>
          <w:sz w:val="20"/>
          <w:szCs w:val="20"/>
          <w:lang w:val="en-US"/>
        </w:rPr>
      </w:pPr>
      <w:r w:rsidRPr="005547EE">
        <w:rPr>
          <w:rFonts w:ascii="Arial" w:hAnsi="Arial" w:cs="Arial"/>
          <w:sz w:val="20"/>
          <w:szCs w:val="20"/>
          <w:lang w:val="en-US"/>
        </w:rPr>
        <w:t>Regarding the employment rate, a positive development is that growth has been driven primarily by an increase in permanent employees and self-employed workers. The latter category encompasses a broad spectrum, including entrepreneurs, freelancers, family business assistants, and gig economy collaborators. Conversely, the number of temporary (fixed-term) workers has decreased. However, it is important to note that a decline in the participation rate also occurred, which mechanically contributed to the lower unemployment figures. Another critical observation is the correlation between contract type and earnings: the share of permanent employees increases alongside income levels, whereas temporary workers are concentrated in lower-income brackets. This underscores how employment fragmentation and job insecurity tend to compress overall wage growth.</w:t>
      </w:r>
    </w:p>
    <w:p w14:paraId="547FC18B" w14:textId="2AA8BFF6" w:rsidR="005150CF" w:rsidRPr="005547EE" w:rsidRDefault="00811FFE" w:rsidP="000278AD">
      <w:pPr>
        <w:jc w:val="both"/>
        <w:rPr>
          <w:rFonts w:ascii="Arial" w:hAnsi="Arial" w:cs="Arial"/>
          <w:sz w:val="20"/>
          <w:szCs w:val="20"/>
          <w:lang w:val="en-US"/>
        </w:rPr>
      </w:pPr>
      <w:r w:rsidRPr="005547EE">
        <w:rPr>
          <w:rFonts w:ascii="Arial" w:hAnsi="Arial" w:cs="Arial"/>
          <w:sz w:val="20"/>
          <w:szCs w:val="20"/>
          <w:lang w:val="en-US"/>
        </w:rPr>
        <w:t>Barbini &amp; De Novellis (2025) identify the modest wage response to price inflation in recent years as a decisive driver of Italy’s employment growth. The resulting decline in real labor costs appears to have incentivized a substitution effect, where firms favor labor over more expensive production inputs like energy or capital. Consequently, Italy has experienced significantly weaker wage growth compared to other major European economies—a factor that has bolstered hiring but simultaneously eroded workers' purchasing power. As Schilirò (2025) notes, this stagnation in real disposable income has exerted a substantial negative impact on domestic consumption, potentially limiting the long-term sustainability of the current economic expansion.</w:t>
      </w:r>
    </w:p>
    <w:p w14:paraId="4F86F012" w14:textId="19A9856D" w:rsidR="002D2851" w:rsidRPr="005547EE" w:rsidRDefault="009745F1" w:rsidP="000278AD">
      <w:pPr>
        <w:jc w:val="both"/>
        <w:rPr>
          <w:rFonts w:ascii="Arial" w:hAnsi="Arial" w:cs="Arial"/>
          <w:sz w:val="20"/>
          <w:szCs w:val="20"/>
          <w:lang w:val="en-US"/>
        </w:rPr>
      </w:pPr>
      <w:r w:rsidRPr="005547EE">
        <w:rPr>
          <w:rFonts w:ascii="Arial" w:hAnsi="Arial" w:cs="Arial"/>
          <w:sz w:val="20"/>
          <w:szCs w:val="20"/>
          <w:lang w:val="en-US"/>
        </w:rPr>
        <w:t>Closely linked to sluggish employment growth and low wages</w:t>
      </w:r>
      <w:r w:rsidR="0038369E" w:rsidRPr="005547EE">
        <w:rPr>
          <w:rStyle w:val="FootnoteReference"/>
          <w:rFonts w:ascii="Arial" w:hAnsi="Arial" w:cs="Arial"/>
          <w:sz w:val="20"/>
          <w:szCs w:val="20"/>
          <w:lang w:val="en-US"/>
        </w:rPr>
        <w:footnoteReference w:id="5"/>
      </w:r>
      <w:r w:rsidRPr="005547EE">
        <w:rPr>
          <w:rFonts w:ascii="Arial" w:hAnsi="Arial" w:cs="Arial"/>
          <w:sz w:val="20"/>
          <w:szCs w:val="20"/>
          <w:lang w:val="en-US"/>
        </w:rPr>
        <w:t xml:space="preserve"> is low productivity, which acts as a primary constraint on economic expansion. Structural factors are significant here; for instance, the Italian economy is dominated by small and medium-sized enterprises (SMEs) that often struggle to achieve economies of scale or invest in innovation. Furthermore, a persistent skills gap in emerging technologies hinders the workforce’s ability to adapt to the organizational and production shifts required by digital transformation, further stifling productivity gains.</w:t>
      </w:r>
    </w:p>
    <w:p w14:paraId="0DC8F6EE" w14:textId="2153B2CE" w:rsidR="0038369E" w:rsidRPr="005547EE" w:rsidRDefault="008E0DA1" w:rsidP="000278AD">
      <w:pPr>
        <w:jc w:val="both"/>
        <w:rPr>
          <w:rFonts w:ascii="Arial" w:hAnsi="Arial" w:cs="Arial"/>
          <w:sz w:val="20"/>
          <w:szCs w:val="20"/>
          <w:lang w:val="en-US"/>
        </w:rPr>
      </w:pPr>
      <w:r w:rsidRPr="005547EE">
        <w:rPr>
          <w:rFonts w:ascii="Arial" w:hAnsi="Arial" w:cs="Arial"/>
          <w:sz w:val="20"/>
          <w:szCs w:val="20"/>
          <w:lang w:val="en-US"/>
        </w:rPr>
        <w:t>Furthermore, the tax burden on labor in Italy remains among the highest in Europe. This high tax wedge—comprising income taxes and social security contributions from both employers and employees—significantly reduces take-home pay. Additionally, the national collective bargaining process often results in agreements being reached several years after the expiration of previous contracts. This delay causes a substantial loss in real wages, as adjustments fail to keep pace with rising inflation.</w:t>
      </w:r>
    </w:p>
    <w:p w14:paraId="4504C1FA" w14:textId="54AAB3B6" w:rsidR="004123D7" w:rsidRPr="005547EE" w:rsidRDefault="004123D7" w:rsidP="000278AD">
      <w:pPr>
        <w:jc w:val="both"/>
        <w:rPr>
          <w:rFonts w:ascii="Arial" w:hAnsi="Arial" w:cs="Arial"/>
          <w:sz w:val="20"/>
          <w:szCs w:val="20"/>
          <w:lang w:val="en-US"/>
        </w:rPr>
      </w:pPr>
      <w:r w:rsidRPr="005547EE">
        <w:rPr>
          <w:rFonts w:ascii="Arial" w:hAnsi="Arial" w:cs="Arial"/>
          <w:sz w:val="20"/>
          <w:szCs w:val="20"/>
          <w:lang w:val="en-US"/>
        </w:rPr>
        <w:t>Attempts to address low wages primarily through tax interventions yield only modest results and often create distorting effects on income redistribution. Furthermore, this approach fails to tackle the underlying causes of low real wages. Given Italy’s high public debt and the constraints of European fiscal rules, the state’s capacity to fund significant tax relief for workers remains severely limited. Therefore, as some economists suggest (e.g., Giavazzi, 2025) it is more appropriate to modernize wage bargaining frameworks to address the stagnation of real wages and ensure they adapt more quickly to current inflation levels.</w:t>
      </w:r>
    </w:p>
    <w:p w14:paraId="60EA8D0B" w14:textId="49221F31" w:rsidR="002D2851" w:rsidRPr="005547EE" w:rsidRDefault="00823229" w:rsidP="000278AD">
      <w:pPr>
        <w:jc w:val="both"/>
        <w:rPr>
          <w:rFonts w:ascii="Arial" w:hAnsi="Arial" w:cs="Arial"/>
          <w:sz w:val="20"/>
          <w:szCs w:val="20"/>
          <w:lang w:val="en-US"/>
        </w:rPr>
      </w:pPr>
      <w:r w:rsidRPr="005547EE">
        <w:rPr>
          <w:rFonts w:ascii="Arial" w:hAnsi="Arial" w:cs="Arial"/>
          <w:sz w:val="20"/>
          <w:szCs w:val="20"/>
          <w:lang w:val="en-US"/>
        </w:rPr>
        <w:t xml:space="preserve">In conclusion, while Italian employment continues to trend upward, the data reveal several specific structural shifts. Notably, the significant rise in workers over 50 highlights a graying workforce with an average age now </w:t>
      </w:r>
      <w:r w:rsidRPr="005547EE">
        <w:rPr>
          <w:rFonts w:ascii="Arial" w:hAnsi="Arial" w:cs="Arial"/>
          <w:sz w:val="20"/>
          <w:szCs w:val="20"/>
          <w:lang w:val="en-US"/>
        </w:rPr>
        <w:lastRenderedPageBreak/>
        <w:t>nearing 45.</w:t>
      </w:r>
      <w:r w:rsidR="001D772A" w:rsidRPr="005547EE">
        <w:rPr>
          <w:rStyle w:val="FootnoteReference"/>
          <w:rFonts w:ascii="Arial" w:hAnsi="Arial" w:cs="Arial"/>
          <w:sz w:val="20"/>
          <w:szCs w:val="20"/>
          <w:lang w:val="en-US"/>
        </w:rPr>
        <w:footnoteReference w:id="6"/>
      </w:r>
      <w:r w:rsidRPr="005547EE">
        <w:rPr>
          <w:rFonts w:ascii="Arial" w:hAnsi="Arial" w:cs="Arial"/>
          <w:sz w:val="20"/>
          <w:szCs w:val="20"/>
          <w:lang w:val="en-US"/>
        </w:rPr>
        <w:t xml:space="preserve"> This growth is primarily driven by permanent contracts, where older workers are outperforming the general employment average. Conversely, younger workers face scarce opportunities and wages that are uncompetitive by European standards. This creates a push factor for emigration, further complicating generational turnover within companies and deepening Italy's demographic challenges. While the decline in unemployment is a welcome development, it is tempered by a concerning rise in labor inactivity and a persistent youth brain drain. Ultimately, these employment gains are occurring within a fragile macroeconomic framework defined by sub-1% growth, stagnant productivity, and real wages that continue to lose purchasing power to inflation.</w:t>
      </w:r>
    </w:p>
    <w:p w14:paraId="0E725A0D" w14:textId="3504CAC8" w:rsidR="002D2851" w:rsidRPr="005807B5" w:rsidRDefault="00787310" w:rsidP="000278AD">
      <w:pPr>
        <w:jc w:val="both"/>
        <w:rPr>
          <w:rFonts w:ascii="Arial" w:hAnsi="Arial" w:cs="Arial"/>
          <w:b/>
          <w:bCs/>
          <w:lang w:val="en-US"/>
        </w:rPr>
      </w:pPr>
      <w:r w:rsidRPr="005807B5">
        <w:rPr>
          <w:rFonts w:ascii="Arial" w:hAnsi="Arial" w:cs="Arial"/>
          <w:b/>
          <w:bCs/>
          <w:lang w:val="en-US"/>
        </w:rPr>
        <w:t xml:space="preserve">Discussion and </w:t>
      </w:r>
      <w:r w:rsidR="00063AAB" w:rsidRPr="005807B5">
        <w:rPr>
          <w:rFonts w:ascii="Arial" w:hAnsi="Arial" w:cs="Arial"/>
          <w:b/>
          <w:bCs/>
          <w:lang w:val="en-US"/>
        </w:rPr>
        <w:t>Conclusion</w:t>
      </w:r>
    </w:p>
    <w:p w14:paraId="4435B922" w14:textId="3764B358" w:rsidR="00063AAB" w:rsidRPr="005547EE" w:rsidRDefault="00063AAB" w:rsidP="000278AD">
      <w:pPr>
        <w:jc w:val="both"/>
        <w:rPr>
          <w:rFonts w:ascii="Arial" w:hAnsi="Arial" w:cs="Arial"/>
          <w:sz w:val="20"/>
          <w:szCs w:val="20"/>
          <w:lang w:val="en-US"/>
        </w:rPr>
      </w:pPr>
      <w:r w:rsidRPr="005547EE">
        <w:rPr>
          <w:rFonts w:ascii="Arial" w:hAnsi="Arial" w:cs="Arial"/>
          <w:sz w:val="20"/>
          <w:szCs w:val="20"/>
          <w:lang w:val="en-US"/>
        </w:rPr>
        <w:t>This study underscores that the structural deficiencies of the Italian labor market remain entrenched. A complex 'tangle' of issues—ranging from high youth unemployment and stark North-South disparities to gender gaps that drive female inactivity—continues to impede efficiency. These challenges are compounded by a persistent brain drain, a pervasive underground economy, and institutional rigidities. Furthermore, an economic landscape dominated by small, traditional firms—contrasted with a few large entities in finance and utilities with entrenched interests—stifles innovation. Collectively, these factors act as a drag on productivity and the broader growth of the Italian economy.</w:t>
      </w:r>
    </w:p>
    <w:p w14:paraId="3F22FEB5" w14:textId="2E4BF394" w:rsidR="00297143" w:rsidRPr="005547EE" w:rsidRDefault="00297143" w:rsidP="00297143">
      <w:pPr>
        <w:spacing w:after="0"/>
        <w:jc w:val="both"/>
        <w:rPr>
          <w:rFonts w:ascii="Arial" w:hAnsi="Arial" w:cs="Arial"/>
          <w:sz w:val="20"/>
          <w:szCs w:val="20"/>
          <w:lang w:val="en-US"/>
        </w:rPr>
      </w:pPr>
      <w:r w:rsidRPr="005547EE">
        <w:rPr>
          <w:rFonts w:ascii="Arial" w:hAnsi="Arial" w:cs="Arial"/>
          <w:sz w:val="20"/>
          <w:szCs w:val="20"/>
          <w:lang w:val="en-US"/>
        </w:rPr>
        <w:t>Furthermore, low real wages, driven by an outdated bargaining mechanism, continue to limit consumption. Although the reduction in unemployment should support a recovery in real wages, stagnant productivity is contributing to slowing wage growth. Although unraveling all these structural issues is not an easy task and requires time and continuous action by the many actors interacting in the labor market, training incentives, along with the financing of professional retraining programs,</w:t>
      </w:r>
    </w:p>
    <w:p w14:paraId="3C922EBC" w14:textId="77777777" w:rsidR="00297143" w:rsidRPr="005547EE" w:rsidRDefault="00297143" w:rsidP="00297143">
      <w:pPr>
        <w:spacing w:after="0"/>
        <w:jc w:val="both"/>
        <w:rPr>
          <w:rFonts w:ascii="Arial" w:hAnsi="Arial" w:cs="Arial"/>
          <w:sz w:val="20"/>
          <w:szCs w:val="20"/>
          <w:lang w:val="en-US"/>
        </w:rPr>
      </w:pPr>
      <w:r w:rsidRPr="005547EE">
        <w:rPr>
          <w:rFonts w:ascii="Arial" w:hAnsi="Arial" w:cs="Arial"/>
          <w:sz w:val="20"/>
          <w:szCs w:val="20"/>
          <w:lang w:val="en-US"/>
        </w:rPr>
        <w:t>are certainly important to meet the training needs of young people and workers and, consequently,</w:t>
      </w:r>
    </w:p>
    <w:p w14:paraId="71E51B1C" w14:textId="4F17B8FD" w:rsidR="00297143" w:rsidRPr="005547EE" w:rsidRDefault="00297143" w:rsidP="00297143">
      <w:pPr>
        <w:spacing w:after="0"/>
        <w:jc w:val="both"/>
        <w:rPr>
          <w:rFonts w:ascii="Arial" w:hAnsi="Arial" w:cs="Arial"/>
          <w:sz w:val="20"/>
          <w:szCs w:val="20"/>
          <w:lang w:val="en-US"/>
        </w:rPr>
      </w:pPr>
      <w:r w:rsidRPr="005547EE">
        <w:rPr>
          <w:rFonts w:ascii="Arial" w:hAnsi="Arial" w:cs="Arial"/>
          <w:sz w:val="20"/>
          <w:szCs w:val="20"/>
          <w:lang w:val="en-US"/>
        </w:rPr>
        <w:t>are essential to improving employment and general labor market conditions.</w:t>
      </w:r>
    </w:p>
    <w:p w14:paraId="5E951428" w14:textId="77777777" w:rsidR="00297143" w:rsidRPr="005547EE" w:rsidRDefault="00297143" w:rsidP="00297143">
      <w:pPr>
        <w:spacing w:after="0"/>
        <w:jc w:val="both"/>
        <w:rPr>
          <w:rFonts w:ascii="Arial" w:hAnsi="Arial" w:cs="Arial"/>
          <w:sz w:val="20"/>
          <w:szCs w:val="20"/>
          <w:lang w:val="en-US"/>
        </w:rPr>
      </w:pPr>
    </w:p>
    <w:p w14:paraId="7FAB4DF3" w14:textId="660FAEAB" w:rsidR="00297143" w:rsidRPr="005547EE" w:rsidRDefault="001D772A" w:rsidP="00297143">
      <w:pPr>
        <w:spacing w:after="0"/>
        <w:jc w:val="both"/>
        <w:rPr>
          <w:rFonts w:ascii="Arial" w:hAnsi="Arial" w:cs="Arial"/>
          <w:sz w:val="20"/>
          <w:szCs w:val="20"/>
          <w:lang w:val="en-US"/>
        </w:rPr>
      </w:pPr>
      <w:r w:rsidRPr="005547EE">
        <w:rPr>
          <w:rFonts w:ascii="Arial" w:hAnsi="Arial" w:cs="Arial"/>
          <w:sz w:val="20"/>
          <w:szCs w:val="20"/>
          <w:lang w:val="en-US"/>
        </w:rPr>
        <w:t xml:space="preserve">To remain competitive, Italy must prioritize developing a workforce that can manage technological transformation. </w:t>
      </w:r>
      <w:r w:rsidR="006F74F3" w:rsidRPr="005547EE">
        <w:rPr>
          <w:rFonts w:ascii="Arial" w:hAnsi="Arial" w:cs="Arial"/>
          <w:sz w:val="20"/>
          <w:szCs w:val="20"/>
          <w:lang w:val="en-US"/>
        </w:rPr>
        <w:t>The</w:t>
      </w:r>
      <w:r w:rsidRPr="005547EE">
        <w:rPr>
          <w:rFonts w:ascii="Arial" w:hAnsi="Arial" w:cs="Arial"/>
          <w:sz w:val="20"/>
          <w:szCs w:val="20"/>
          <w:lang w:val="en-US"/>
        </w:rPr>
        <w:t>refore, the</w:t>
      </w:r>
      <w:r w:rsidR="006F74F3" w:rsidRPr="005547EE">
        <w:rPr>
          <w:rFonts w:ascii="Arial" w:hAnsi="Arial" w:cs="Arial"/>
          <w:sz w:val="20"/>
          <w:szCs w:val="20"/>
          <w:lang w:val="en-US"/>
        </w:rPr>
        <w:t xml:space="preserve"> Italian labor market requires targeted policies and investments to cultivate a workforce capable of steering innovation. As emerging technologies radically reshape organizational structures, the rapid advancement of artificial intelligence—particularly in manufacturing and services—necessitates urgent action. Stakeholders must be empowered to harness the benefits of AI while proactively mitigating its risks. Furthermore, fostering a more dynamic ecosystem for startups and innovative enterprises is essential for long-term growth. Finally, aggressively combating the informal economy remains a prerequisite for improving overall labor standards and ensuring fair employment conditions.</w:t>
      </w:r>
    </w:p>
    <w:p w14:paraId="52FB0A60" w14:textId="77777777" w:rsidR="00237328" w:rsidRPr="005547EE" w:rsidRDefault="00237328" w:rsidP="00297143">
      <w:pPr>
        <w:spacing w:after="0"/>
        <w:jc w:val="both"/>
        <w:rPr>
          <w:rFonts w:ascii="Arial" w:hAnsi="Arial" w:cs="Arial"/>
          <w:sz w:val="20"/>
          <w:szCs w:val="20"/>
          <w:lang w:val="en-US"/>
        </w:rPr>
      </w:pPr>
    </w:p>
    <w:p w14:paraId="75EA1C30" w14:textId="5EDD02F4" w:rsidR="00237328" w:rsidRPr="005547EE" w:rsidRDefault="00237328" w:rsidP="00297143">
      <w:pPr>
        <w:spacing w:after="0"/>
        <w:jc w:val="both"/>
        <w:rPr>
          <w:rFonts w:ascii="Arial" w:hAnsi="Arial" w:cs="Arial"/>
          <w:sz w:val="20"/>
          <w:szCs w:val="20"/>
          <w:lang w:val="en-US"/>
        </w:rPr>
      </w:pPr>
      <w:r w:rsidRPr="005547EE">
        <w:rPr>
          <w:rFonts w:ascii="Arial" w:hAnsi="Arial" w:cs="Arial"/>
          <w:sz w:val="20"/>
          <w:szCs w:val="20"/>
          <w:lang w:val="en-US"/>
        </w:rPr>
        <w:t>Institutional reform is also essential to modernize wage-bargaining mechanisms, ensuring that pay scales adjust more dynamically to inflationary pressures. Furthermore, fostering increased competition across the service sectors would help eliminate economic rents and drive down consumer prices, ultimately boosting the real purchasing power of households.</w:t>
      </w:r>
    </w:p>
    <w:p w14:paraId="76117161" w14:textId="77777777" w:rsidR="00237328" w:rsidRPr="005547EE" w:rsidRDefault="00237328" w:rsidP="00297143">
      <w:pPr>
        <w:spacing w:after="0"/>
        <w:jc w:val="both"/>
        <w:rPr>
          <w:rFonts w:ascii="Arial" w:hAnsi="Arial" w:cs="Arial"/>
          <w:sz w:val="20"/>
          <w:szCs w:val="20"/>
          <w:lang w:val="en-US"/>
        </w:rPr>
      </w:pPr>
    </w:p>
    <w:p w14:paraId="6DA26570" w14:textId="7AC24F48" w:rsidR="00063AAB" w:rsidRPr="005547EE" w:rsidRDefault="001D772A" w:rsidP="000278AD">
      <w:pPr>
        <w:jc w:val="both"/>
        <w:rPr>
          <w:rFonts w:ascii="Arial" w:hAnsi="Arial" w:cs="Arial"/>
          <w:sz w:val="20"/>
          <w:szCs w:val="20"/>
          <w:lang w:val="en-US"/>
        </w:rPr>
      </w:pPr>
      <w:r w:rsidRPr="005547EE">
        <w:rPr>
          <w:rFonts w:ascii="Arial" w:hAnsi="Arial" w:cs="Arial"/>
          <w:sz w:val="20"/>
          <w:szCs w:val="20"/>
          <w:lang w:val="en-US"/>
        </w:rPr>
        <w:t>Ultimately, a comprehensive strategy to improve labor market conditions must prioritize the quality of human capital, the narrowing of the gender gap, and the reversal of declining birth rates. While the recent rise in employment and the decline in unemployment are welcome developments, these gains will remain fragile without coordinated action. Solving Italy’s entrenched structural inefficiencies requires a unified effort from all labor market stakeholders to improve bargaining mechanisms and restore the growth of real wages.</w:t>
      </w:r>
    </w:p>
    <w:p w14:paraId="117CB1B4" w14:textId="77777777" w:rsidR="005547EE" w:rsidRDefault="005547EE" w:rsidP="000278AD">
      <w:pPr>
        <w:jc w:val="both"/>
        <w:rPr>
          <w:rFonts w:ascii="Arial" w:hAnsi="Arial" w:cs="Arial"/>
          <w:b/>
          <w:bCs/>
          <w:lang w:val="en-US"/>
        </w:rPr>
      </w:pPr>
    </w:p>
    <w:p w14:paraId="34B0AB73" w14:textId="77777777" w:rsidR="005547EE" w:rsidRDefault="005547EE" w:rsidP="000278AD">
      <w:pPr>
        <w:jc w:val="both"/>
        <w:rPr>
          <w:rFonts w:ascii="Arial" w:hAnsi="Arial" w:cs="Arial"/>
          <w:b/>
          <w:bCs/>
          <w:lang w:val="en-US"/>
        </w:rPr>
      </w:pPr>
    </w:p>
    <w:p w14:paraId="100FF791" w14:textId="77B9F9CA" w:rsidR="000278AD" w:rsidRPr="005547EE" w:rsidRDefault="000278AD" w:rsidP="000278AD">
      <w:pPr>
        <w:jc w:val="both"/>
        <w:rPr>
          <w:rFonts w:ascii="Arial" w:hAnsi="Arial" w:cs="Arial"/>
          <w:b/>
          <w:bCs/>
          <w:lang w:val="en-US"/>
        </w:rPr>
      </w:pPr>
      <w:r w:rsidRPr="005547EE">
        <w:rPr>
          <w:rFonts w:ascii="Arial" w:hAnsi="Arial" w:cs="Arial"/>
          <w:b/>
          <w:bCs/>
          <w:lang w:val="en-US"/>
        </w:rPr>
        <w:t>References</w:t>
      </w:r>
    </w:p>
    <w:p w14:paraId="6805338D" w14:textId="10AC5C80" w:rsidR="003B20F1" w:rsidRPr="00F53811" w:rsidRDefault="00F53811" w:rsidP="00F53811">
      <w:pPr>
        <w:ind w:left="360"/>
        <w:jc w:val="both"/>
        <w:rPr>
          <w:rFonts w:ascii="Arial" w:hAnsi="Arial" w:cs="Arial"/>
          <w:sz w:val="20"/>
          <w:szCs w:val="20"/>
          <w:lang w:val="en-US"/>
        </w:rPr>
      </w:pPr>
      <w:r w:rsidRPr="00F53811">
        <w:rPr>
          <w:rFonts w:ascii="Arial" w:hAnsi="Arial" w:cs="Arial"/>
          <w:sz w:val="20"/>
          <w:szCs w:val="20"/>
          <w:lang w:val="en-US"/>
        </w:rPr>
        <w:t xml:space="preserve">Acemoglu, D., &amp; Autor, D. (2010). Skills, Tasks and Technologies: Implications for Employment and Earnings. NBER Working Paper 16082. </w:t>
      </w:r>
      <w:hyperlink r:id="rId10" w:history="1">
        <w:r w:rsidRPr="004761E6">
          <w:rPr>
            <w:rStyle w:val="Hyperlink"/>
            <w:rFonts w:ascii="Arial" w:hAnsi="Arial" w:cs="Arial"/>
            <w:sz w:val="20"/>
            <w:szCs w:val="20"/>
            <w:lang w:val="en-US"/>
          </w:rPr>
          <w:t>https://doi.org/10.3386/w16082</w:t>
        </w:r>
      </w:hyperlink>
      <w:r>
        <w:rPr>
          <w:rFonts w:ascii="Arial" w:hAnsi="Arial" w:cs="Arial"/>
          <w:sz w:val="20"/>
          <w:szCs w:val="20"/>
          <w:lang w:val="en-US"/>
        </w:rPr>
        <w:t xml:space="preserve"> </w:t>
      </w:r>
    </w:p>
    <w:p w14:paraId="5EA2158E" w14:textId="55230194" w:rsidR="000278AD" w:rsidRPr="00F53811" w:rsidRDefault="001C3756" w:rsidP="00F53811">
      <w:pPr>
        <w:spacing w:after="0"/>
        <w:ind w:left="360"/>
        <w:jc w:val="both"/>
        <w:rPr>
          <w:rFonts w:ascii="Arial" w:hAnsi="Arial" w:cs="Arial"/>
          <w:sz w:val="20"/>
          <w:szCs w:val="20"/>
          <w:lang w:val="en-US"/>
        </w:rPr>
      </w:pPr>
      <w:r w:rsidRPr="001C3756">
        <w:rPr>
          <w:rFonts w:ascii="Arial" w:hAnsi="Arial" w:cs="Arial"/>
          <w:sz w:val="20"/>
          <w:szCs w:val="20"/>
          <w:lang w:val="en-US"/>
        </w:rPr>
        <w:lastRenderedPageBreak/>
        <w:t xml:space="preserve">Autor, D. (2022). The Labor Market Impacts of Technological Change: From Unbridled Enthusiasm to Qualified Optimism to Vast Uncertainty. NBER Working Paper 30074. </w:t>
      </w:r>
      <w:hyperlink r:id="rId11" w:history="1">
        <w:r w:rsidRPr="004761E6">
          <w:rPr>
            <w:rStyle w:val="Hyperlink"/>
            <w:rFonts w:ascii="Arial" w:hAnsi="Arial" w:cs="Arial"/>
            <w:sz w:val="20"/>
            <w:szCs w:val="20"/>
            <w:lang w:val="en-US"/>
          </w:rPr>
          <w:t>https://doi.org/10.3386/w30074</w:t>
        </w:r>
      </w:hyperlink>
      <w:r>
        <w:rPr>
          <w:rFonts w:ascii="Arial" w:hAnsi="Arial" w:cs="Arial"/>
          <w:sz w:val="20"/>
          <w:szCs w:val="20"/>
          <w:lang w:val="en-US"/>
        </w:rPr>
        <w:t xml:space="preserve"> </w:t>
      </w:r>
    </w:p>
    <w:p w14:paraId="18F18771" w14:textId="77777777" w:rsidR="00616DBF" w:rsidRPr="005547EE" w:rsidRDefault="00616DBF" w:rsidP="00F53811">
      <w:pPr>
        <w:spacing w:after="0"/>
        <w:jc w:val="both"/>
        <w:rPr>
          <w:rFonts w:ascii="Arial" w:hAnsi="Arial" w:cs="Arial"/>
          <w:sz w:val="20"/>
          <w:szCs w:val="20"/>
          <w:lang w:val="en-US"/>
        </w:rPr>
      </w:pPr>
    </w:p>
    <w:p w14:paraId="2BF58133" w14:textId="455F3426" w:rsidR="000278AD" w:rsidRPr="00F53811" w:rsidRDefault="00DA5F5E" w:rsidP="00F53811">
      <w:pPr>
        <w:spacing w:after="0"/>
        <w:ind w:left="360"/>
        <w:jc w:val="both"/>
        <w:rPr>
          <w:rFonts w:ascii="Arial" w:hAnsi="Arial" w:cs="Arial"/>
          <w:sz w:val="20"/>
          <w:szCs w:val="20"/>
        </w:rPr>
      </w:pPr>
      <w:r w:rsidRPr="00DA5F5E">
        <w:rPr>
          <w:rFonts w:ascii="Arial" w:hAnsi="Arial" w:cs="Arial"/>
          <w:sz w:val="20"/>
          <w:szCs w:val="20"/>
          <w:lang w:val="en-US"/>
        </w:rPr>
        <w:t xml:space="preserve">Autor, D. H., &amp; Dorn, D. (2013). The Growth of Low-Skill Service Jobs and the Polarization of the US Labor Market. American Economic Review, 103(5), 1553–1597. </w:t>
      </w:r>
      <w:hyperlink r:id="rId12" w:history="1">
        <w:r w:rsidRPr="004761E6">
          <w:rPr>
            <w:rStyle w:val="Hyperlink"/>
            <w:rFonts w:ascii="Arial" w:hAnsi="Arial" w:cs="Arial"/>
            <w:sz w:val="20"/>
            <w:szCs w:val="20"/>
            <w:lang w:val="en-US"/>
          </w:rPr>
          <w:t>https://doi.org/10.1257/aer.103.5.1553</w:t>
        </w:r>
      </w:hyperlink>
      <w:r>
        <w:rPr>
          <w:rFonts w:ascii="Arial" w:hAnsi="Arial" w:cs="Arial"/>
          <w:sz w:val="20"/>
          <w:szCs w:val="20"/>
          <w:lang w:val="en-US"/>
        </w:rPr>
        <w:t xml:space="preserve"> </w:t>
      </w:r>
    </w:p>
    <w:p w14:paraId="63643763" w14:textId="77777777" w:rsidR="000278AD" w:rsidRPr="005547EE" w:rsidRDefault="000278AD" w:rsidP="00F53811">
      <w:pPr>
        <w:spacing w:after="0"/>
        <w:jc w:val="both"/>
        <w:rPr>
          <w:rFonts w:ascii="Arial" w:hAnsi="Arial" w:cs="Arial"/>
          <w:sz w:val="20"/>
          <w:szCs w:val="20"/>
        </w:rPr>
      </w:pPr>
    </w:p>
    <w:p w14:paraId="7B7FE203" w14:textId="2C05EE89" w:rsidR="000278AD" w:rsidRPr="00F53811" w:rsidRDefault="009008A4" w:rsidP="00F53811">
      <w:pPr>
        <w:spacing w:after="0" w:line="240" w:lineRule="auto"/>
        <w:ind w:left="360"/>
        <w:jc w:val="both"/>
        <w:rPr>
          <w:rFonts w:ascii="Arial" w:hAnsi="Arial" w:cs="Arial"/>
          <w:sz w:val="20"/>
          <w:szCs w:val="20"/>
        </w:rPr>
      </w:pPr>
      <w:r w:rsidRPr="009008A4">
        <w:rPr>
          <w:rFonts w:ascii="Arial" w:hAnsi="Arial" w:cs="Arial"/>
          <w:sz w:val="20"/>
          <w:szCs w:val="20"/>
        </w:rPr>
        <w:t xml:space="preserve">Barbini, M., &amp; De Novellis, F. (2025). Check up del mercato del lavoro italiano: tre anni a confronto. Lavoce.info. </w:t>
      </w:r>
      <w:r>
        <w:rPr>
          <w:rFonts w:ascii="Arial" w:hAnsi="Arial" w:cs="Arial"/>
          <w:sz w:val="20"/>
          <w:szCs w:val="20"/>
        </w:rPr>
        <w:fldChar w:fldCharType="begin"/>
      </w:r>
      <w:r>
        <w:rPr>
          <w:rFonts w:ascii="Arial" w:hAnsi="Arial" w:cs="Arial"/>
          <w:sz w:val="20"/>
          <w:szCs w:val="20"/>
        </w:rPr>
        <w:instrText xml:space="preserve"> HYPERLINK "</w:instrText>
      </w:r>
      <w:r w:rsidRPr="009008A4">
        <w:rPr>
          <w:rFonts w:ascii="Arial" w:hAnsi="Arial" w:cs="Arial"/>
          <w:sz w:val="20"/>
          <w:szCs w:val="20"/>
        </w:rPr>
        <w:instrText>https://www.lavoce.info/archives/100000/check-up-del-mercato-del-lavoro-italiano-tre-anni-a-confronto/</w:instrText>
      </w:r>
      <w:r>
        <w:rPr>
          <w:rFonts w:ascii="Arial" w:hAnsi="Arial" w:cs="Arial"/>
          <w:sz w:val="20"/>
          <w:szCs w:val="20"/>
        </w:rPr>
        <w:instrText xml:space="preserve">" </w:instrText>
      </w:r>
      <w:r>
        <w:rPr>
          <w:rFonts w:ascii="Arial" w:hAnsi="Arial" w:cs="Arial"/>
          <w:sz w:val="20"/>
          <w:szCs w:val="20"/>
        </w:rPr>
        <w:fldChar w:fldCharType="separate"/>
      </w:r>
      <w:r w:rsidRPr="004761E6">
        <w:rPr>
          <w:rStyle w:val="Hyperlink"/>
          <w:rFonts w:ascii="Arial" w:hAnsi="Arial" w:cs="Arial"/>
          <w:sz w:val="20"/>
          <w:szCs w:val="20"/>
        </w:rPr>
        <w:t>https://www.lavoce.info/archives/100000/check-up-del-mercato-del-lavoro-italiano-tre-anni-a-confronto/</w:t>
      </w:r>
      <w:r>
        <w:rPr>
          <w:rFonts w:ascii="Arial" w:hAnsi="Arial" w:cs="Arial"/>
          <w:sz w:val="20"/>
          <w:szCs w:val="20"/>
        </w:rPr>
        <w:fldChar w:fldCharType="end"/>
      </w:r>
      <w:r>
        <w:rPr>
          <w:rFonts w:ascii="Arial" w:hAnsi="Arial" w:cs="Arial"/>
          <w:sz w:val="20"/>
          <w:szCs w:val="20"/>
        </w:rPr>
        <w:t xml:space="preserve"> </w:t>
      </w:r>
    </w:p>
    <w:p w14:paraId="1F9B3138" w14:textId="77777777" w:rsidR="000278AD" w:rsidRPr="005547EE" w:rsidRDefault="000278AD" w:rsidP="00F53811">
      <w:pPr>
        <w:spacing w:after="0" w:line="240" w:lineRule="auto"/>
        <w:jc w:val="both"/>
        <w:rPr>
          <w:rFonts w:ascii="Arial" w:hAnsi="Arial" w:cs="Arial"/>
          <w:sz w:val="20"/>
          <w:szCs w:val="20"/>
        </w:rPr>
      </w:pPr>
    </w:p>
    <w:p w14:paraId="48BCCB96" w14:textId="34B41047" w:rsidR="000278AD" w:rsidRPr="00F53811" w:rsidRDefault="007F384C" w:rsidP="00F53811">
      <w:pPr>
        <w:spacing w:line="240" w:lineRule="auto"/>
        <w:ind w:left="360"/>
        <w:jc w:val="both"/>
        <w:rPr>
          <w:rFonts w:ascii="Arial" w:hAnsi="Arial" w:cs="Arial"/>
          <w:sz w:val="20"/>
          <w:szCs w:val="20"/>
        </w:rPr>
      </w:pPr>
      <w:r w:rsidRPr="007F384C">
        <w:rPr>
          <w:rFonts w:ascii="Arial" w:hAnsi="Arial" w:cs="Arial"/>
          <w:sz w:val="20"/>
          <w:szCs w:val="20"/>
          <w:lang w:val="en-US"/>
        </w:rPr>
        <w:t xml:space="preserve">Boeri, T., &amp; Garibaldi, P. (2019). A tale of comprehensive labor market reforms: Evidence from the Italian jobs act. </w:t>
      </w:r>
      <w:proofErr w:type="spellStart"/>
      <w:r w:rsidRPr="007F384C">
        <w:rPr>
          <w:rFonts w:ascii="Arial" w:hAnsi="Arial" w:cs="Arial"/>
          <w:sz w:val="20"/>
          <w:szCs w:val="20"/>
          <w:lang w:val="en-US"/>
        </w:rPr>
        <w:t>Labour</w:t>
      </w:r>
      <w:proofErr w:type="spellEnd"/>
      <w:r w:rsidRPr="007F384C">
        <w:rPr>
          <w:rFonts w:ascii="Arial" w:hAnsi="Arial" w:cs="Arial"/>
          <w:sz w:val="20"/>
          <w:szCs w:val="20"/>
          <w:lang w:val="en-US"/>
        </w:rPr>
        <w:t xml:space="preserve"> Economics, 59, 33-48. </w:t>
      </w:r>
      <w:hyperlink r:id="rId13" w:history="1">
        <w:r w:rsidRPr="004761E6">
          <w:rPr>
            <w:rStyle w:val="Hyperlink"/>
            <w:rFonts w:ascii="Arial" w:hAnsi="Arial" w:cs="Arial"/>
            <w:sz w:val="20"/>
            <w:szCs w:val="20"/>
            <w:lang w:val="en-US"/>
          </w:rPr>
          <w:t>https://doi.org/10.1016/j.labeco.2019.03.007</w:t>
        </w:r>
      </w:hyperlink>
      <w:r>
        <w:rPr>
          <w:rFonts w:ascii="Arial" w:hAnsi="Arial" w:cs="Arial"/>
          <w:sz w:val="20"/>
          <w:szCs w:val="20"/>
          <w:lang w:val="en-US"/>
        </w:rPr>
        <w:t xml:space="preserve"> </w:t>
      </w:r>
    </w:p>
    <w:p w14:paraId="7E04BA42" w14:textId="2198426F" w:rsidR="00616DBF" w:rsidRPr="00F53811" w:rsidRDefault="00842C4A" w:rsidP="00F53811">
      <w:pPr>
        <w:spacing w:line="240" w:lineRule="auto"/>
        <w:ind w:left="360"/>
        <w:jc w:val="both"/>
        <w:rPr>
          <w:rFonts w:ascii="Arial" w:hAnsi="Arial" w:cs="Arial"/>
          <w:sz w:val="20"/>
          <w:szCs w:val="20"/>
          <w:lang w:val="en-US"/>
        </w:rPr>
      </w:pPr>
      <w:r w:rsidRPr="00842C4A">
        <w:rPr>
          <w:rFonts w:ascii="Arial" w:hAnsi="Arial" w:cs="Arial"/>
          <w:sz w:val="20"/>
          <w:szCs w:val="20"/>
        </w:rPr>
        <w:t xml:space="preserve">Boeri, T., Ichino, A., Moretti, E., &amp; Posch, J. (2021). Wage equalization and regional misallocation: Evidence from Italian and German provinces. Journal of the European Economic Association, 19(6), 3249–3292. </w:t>
      </w:r>
      <w:r>
        <w:rPr>
          <w:rFonts w:ascii="Arial" w:hAnsi="Arial" w:cs="Arial"/>
          <w:sz w:val="20"/>
          <w:szCs w:val="20"/>
        </w:rPr>
        <w:fldChar w:fldCharType="begin"/>
      </w:r>
      <w:r>
        <w:rPr>
          <w:rFonts w:ascii="Arial" w:hAnsi="Arial" w:cs="Arial"/>
          <w:sz w:val="20"/>
          <w:szCs w:val="20"/>
        </w:rPr>
        <w:instrText xml:space="preserve"> HYPERLINK "</w:instrText>
      </w:r>
      <w:r w:rsidRPr="00842C4A">
        <w:rPr>
          <w:rFonts w:ascii="Arial" w:hAnsi="Arial" w:cs="Arial"/>
          <w:sz w:val="20"/>
          <w:szCs w:val="20"/>
        </w:rPr>
        <w:instrText>https://doi.org/10.1093/jeea/jvab019</w:instrText>
      </w:r>
      <w:r>
        <w:rPr>
          <w:rFonts w:ascii="Arial" w:hAnsi="Arial" w:cs="Arial"/>
          <w:sz w:val="20"/>
          <w:szCs w:val="20"/>
        </w:rPr>
        <w:instrText xml:space="preserve">" </w:instrText>
      </w:r>
      <w:r>
        <w:rPr>
          <w:rFonts w:ascii="Arial" w:hAnsi="Arial" w:cs="Arial"/>
          <w:sz w:val="20"/>
          <w:szCs w:val="20"/>
        </w:rPr>
        <w:fldChar w:fldCharType="separate"/>
      </w:r>
      <w:r w:rsidRPr="004761E6">
        <w:rPr>
          <w:rStyle w:val="Hyperlink"/>
          <w:rFonts w:ascii="Arial" w:hAnsi="Arial" w:cs="Arial"/>
          <w:sz w:val="20"/>
          <w:szCs w:val="20"/>
        </w:rPr>
        <w:t>https://doi.org/10.1093/jeea/jvab019</w:t>
      </w:r>
      <w:r>
        <w:rPr>
          <w:rFonts w:ascii="Arial" w:hAnsi="Arial" w:cs="Arial"/>
          <w:sz w:val="20"/>
          <w:szCs w:val="20"/>
        </w:rPr>
        <w:fldChar w:fldCharType="end"/>
      </w:r>
      <w:r>
        <w:rPr>
          <w:rFonts w:ascii="Arial" w:hAnsi="Arial" w:cs="Arial"/>
          <w:sz w:val="20"/>
          <w:szCs w:val="20"/>
        </w:rPr>
        <w:t xml:space="preserve"> </w:t>
      </w:r>
    </w:p>
    <w:p w14:paraId="6C8BD0C9" w14:textId="43420A53" w:rsidR="000278AD" w:rsidRPr="00F53811" w:rsidRDefault="006E3D79" w:rsidP="00F53811">
      <w:pPr>
        <w:spacing w:after="0" w:line="240" w:lineRule="auto"/>
        <w:ind w:left="360"/>
        <w:jc w:val="both"/>
        <w:rPr>
          <w:rFonts w:ascii="Arial" w:hAnsi="Arial" w:cs="Arial"/>
          <w:sz w:val="20"/>
          <w:szCs w:val="20"/>
          <w:lang w:val="en-US"/>
        </w:rPr>
      </w:pPr>
      <w:r w:rsidRPr="006E3D79">
        <w:rPr>
          <w:rFonts w:ascii="Arial" w:hAnsi="Arial" w:cs="Arial"/>
          <w:sz w:val="20"/>
          <w:szCs w:val="20"/>
        </w:rPr>
        <w:t xml:space="preserve">Brancati, R., &amp; Carboni, C. (2024). Verso la piena sottoccupazione. Come cambia il lavoro in Italia. Donzelli. </w:t>
      </w:r>
      <w:r>
        <w:rPr>
          <w:rFonts w:ascii="Arial" w:hAnsi="Arial" w:cs="Arial"/>
          <w:sz w:val="20"/>
          <w:szCs w:val="20"/>
        </w:rPr>
        <w:fldChar w:fldCharType="begin"/>
      </w:r>
      <w:r>
        <w:rPr>
          <w:rFonts w:ascii="Arial" w:hAnsi="Arial" w:cs="Arial"/>
          <w:sz w:val="20"/>
          <w:szCs w:val="20"/>
        </w:rPr>
        <w:instrText xml:space="preserve"> HYPERLINK "</w:instrText>
      </w:r>
      <w:r w:rsidRPr="006E3D79">
        <w:rPr>
          <w:rFonts w:ascii="Arial" w:hAnsi="Arial" w:cs="Arial"/>
          <w:sz w:val="20"/>
          <w:szCs w:val="20"/>
        </w:rPr>
        <w:instrText>https://www.donzelli.it/libro/9788855226349/verso-la-piena-sottoccupazione</w:instrText>
      </w:r>
      <w:r>
        <w:rPr>
          <w:rFonts w:ascii="Arial" w:hAnsi="Arial" w:cs="Arial"/>
          <w:sz w:val="20"/>
          <w:szCs w:val="20"/>
        </w:rPr>
        <w:instrText xml:space="preserve">" </w:instrText>
      </w:r>
      <w:r>
        <w:rPr>
          <w:rFonts w:ascii="Arial" w:hAnsi="Arial" w:cs="Arial"/>
          <w:sz w:val="20"/>
          <w:szCs w:val="20"/>
        </w:rPr>
        <w:fldChar w:fldCharType="separate"/>
      </w:r>
      <w:r w:rsidRPr="004761E6">
        <w:rPr>
          <w:rStyle w:val="Hyperlink"/>
          <w:rFonts w:ascii="Arial" w:hAnsi="Arial" w:cs="Arial"/>
          <w:sz w:val="20"/>
          <w:szCs w:val="20"/>
        </w:rPr>
        <w:t>https://www.donzelli.it/libro/9788855226349/verso-la-piena-sottoccupazione</w:t>
      </w:r>
      <w:r>
        <w:rPr>
          <w:rFonts w:ascii="Arial" w:hAnsi="Arial" w:cs="Arial"/>
          <w:sz w:val="20"/>
          <w:szCs w:val="20"/>
        </w:rPr>
        <w:fldChar w:fldCharType="end"/>
      </w:r>
      <w:r>
        <w:rPr>
          <w:rFonts w:ascii="Arial" w:hAnsi="Arial" w:cs="Arial"/>
          <w:sz w:val="20"/>
          <w:szCs w:val="20"/>
        </w:rPr>
        <w:t xml:space="preserve"> </w:t>
      </w:r>
    </w:p>
    <w:p w14:paraId="3529ABEA" w14:textId="77777777" w:rsidR="000278AD" w:rsidRPr="005547EE" w:rsidRDefault="000278AD" w:rsidP="00F53811">
      <w:pPr>
        <w:spacing w:after="0" w:line="240" w:lineRule="auto"/>
        <w:jc w:val="both"/>
        <w:rPr>
          <w:rFonts w:ascii="Arial" w:hAnsi="Arial" w:cs="Arial"/>
          <w:sz w:val="20"/>
          <w:szCs w:val="20"/>
          <w:lang w:val="en-US"/>
        </w:rPr>
      </w:pPr>
    </w:p>
    <w:p w14:paraId="1635DE9F" w14:textId="705C16E2" w:rsidR="000278AD" w:rsidRPr="00F53811" w:rsidRDefault="006E3D79" w:rsidP="00F53811">
      <w:pPr>
        <w:spacing w:line="240" w:lineRule="auto"/>
        <w:ind w:left="360"/>
        <w:jc w:val="both"/>
        <w:rPr>
          <w:rFonts w:ascii="Arial" w:hAnsi="Arial" w:cs="Arial"/>
          <w:sz w:val="20"/>
          <w:szCs w:val="20"/>
          <w:lang w:val="en-US"/>
        </w:rPr>
      </w:pPr>
      <w:proofErr w:type="spellStart"/>
      <w:r w:rsidRPr="006E3D79">
        <w:rPr>
          <w:rFonts w:ascii="Arial" w:hAnsi="Arial" w:cs="Arial"/>
          <w:sz w:val="20"/>
          <w:szCs w:val="20"/>
          <w:lang w:val="en-US"/>
        </w:rPr>
        <w:t>Garnero</w:t>
      </w:r>
      <w:proofErr w:type="spellEnd"/>
      <w:r w:rsidRPr="006E3D79">
        <w:rPr>
          <w:rFonts w:ascii="Arial" w:hAnsi="Arial" w:cs="Arial"/>
          <w:sz w:val="20"/>
          <w:szCs w:val="20"/>
          <w:lang w:val="en-US"/>
        </w:rPr>
        <w:t xml:space="preserve">, A. (2018). The Dog That Barks Doesn't Bite: Coverage and compliance of sectoral minimum wages in Italy. IZA Journal of Labor Policy, 7(3), 1-24. </w:t>
      </w:r>
      <w:hyperlink r:id="rId14" w:history="1">
        <w:r w:rsidRPr="004761E6">
          <w:rPr>
            <w:rStyle w:val="Hyperlink"/>
            <w:rFonts w:ascii="Arial" w:hAnsi="Arial" w:cs="Arial"/>
            <w:sz w:val="20"/>
            <w:szCs w:val="20"/>
            <w:lang w:val="en-US"/>
          </w:rPr>
          <w:t>https://doi.org/10.1186/s40173-018-0096-6</w:t>
        </w:r>
      </w:hyperlink>
      <w:r>
        <w:rPr>
          <w:rFonts w:ascii="Arial" w:hAnsi="Arial" w:cs="Arial"/>
          <w:sz w:val="20"/>
          <w:szCs w:val="20"/>
          <w:lang w:val="en-US"/>
        </w:rPr>
        <w:t xml:space="preserve"> </w:t>
      </w:r>
    </w:p>
    <w:p w14:paraId="7C414304" w14:textId="536CFAC2" w:rsidR="004123D7" w:rsidRPr="00F53811" w:rsidRDefault="006E3D79" w:rsidP="00F53811">
      <w:pPr>
        <w:spacing w:line="240" w:lineRule="auto"/>
        <w:ind w:left="360"/>
        <w:jc w:val="both"/>
        <w:rPr>
          <w:rFonts w:ascii="Arial" w:hAnsi="Arial" w:cs="Arial"/>
          <w:sz w:val="20"/>
          <w:szCs w:val="20"/>
        </w:rPr>
      </w:pPr>
      <w:proofErr w:type="spellStart"/>
      <w:r w:rsidRPr="006E3D79">
        <w:rPr>
          <w:rFonts w:ascii="Arial" w:hAnsi="Arial" w:cs="Arial"/>
          <w:sz w:val="20"/>
          <w:szCs w:val="20"/>
          <w:lang w:val="en-US"/>
        </w:rPr>
        <w:t>Giavazzi</w:t>
      </w:r>
      <w:proofErr w:type="spellEnd"/>
      <w:r w:rsidRPr="006E3D79">
        <w:rPr>
          <w:rFonts w:ascii="Arial" w:hAnsi="Arial" w:cs="Arial"/>
          <w:sz w:val="20"/>
          <w:szCs w:val="20"/>
          <w:lang w:val="en-US"/>
        </w:rPr>
        <w:t xml:space="preserve">, F. (2025). Dilemma </w:t>
      </w:r>
      <w:proofErr w:type="spellStart"/>
      <w:r w:rsidRPr="006E3D79">
        <w:rPr>
          <w:rFonts w:ascii="Arial" w:hAnsi="Arial" w:cs="Arial"/>
          <w:sz w:val="20"/>
          <w:szCs w:val="20"/>
          <w:lang w:val="en-US"/>
        </w:rPr>
        <w:t>salari</w:t>
      </w:r>
      <w:proofErr w:type="spellEnd"/>
      <w:r w:rsidRPr="006E3D79">
        <w:rPr>
          <w:rFonts w:ascii="Arial" w:hAnsi="Arial" w:cs="Arial"/>
          <w:sz w:val="20"/>
          <w:szCs w:val="20"/>
          <w:lang w:val="en-US"/>
        </w:rPr>
        <w:t xml:space="preserve"> in Italia. ilcorriereblog.it. </w:t>
      </w:r>
      <w:hyperlink r:id="rId15" w:history="1">
        <w:r w:rsidRPr="004761E6">
          <w:rPr>
            <w:rStyle w:val="Hyperlink"/>
            <w:rFonts w:ascii="Arial" w:hAnsi="Arial" w:cs="Arial"/>
            <w:sz w:val="20"/>
            <w:szCs w:val="20"/>
            <w:lang w:val="en-US"/>
          </w:rPr>
          <w:t xml:space="preserve">https://www.ilcorriereblog.it/2025/11/08/dilemma-salari-in </w:t>
        </w:r>
        <w:proofErr w:type="spellStart"/>
        <w:r w:rsidRPr="004761E6">
          <w:rPr>
            <w:rStyle w:val="Hyperlink"/>
            <w:rFonts w:ascii="Arial" w:hAnsi="Arial" w:cs="Arial"/>
            <w:sz w:val="20"/>
            <w:szCs w:val="20"/>
            <w:lang w:val="en-US"/>
          </w:rPr>
          <w:t>italia</w:t>
        </w:r>
        <w:proofErr w:type="spellEnd"/>
        <w:r w:rsidRPr="004761E6">
          <w:rPr>
            <w:rStyle w:val="Hyperlink"/>
            <w:rFonts w:ascii="Arial" w:hAnsi="Arial" w:cs="Arial"/>
            <w:sz w:val="20"/>
            <w:szCs w:val="20"/>
            <w:lang w:val="en-US"/>
          </w:rPr>
          <w:t>/</w:t>
        </w:r>
      </w:hyperlink>
      <w:r>
        <w:rPr>
          <w:rFonts w:ascii="Arial" w:hAnsi="Arial" w:cs="Arial"/>
          <w:sz w:val="20"/>
          <w:szCs w:val="20"/>
          <w:lang w:val="en-US"/>
        </w:rPr>
        <w:t xml:space="preserve"> </w:t>
      </w:r>
    </w:p>
    <w:p w14:paraId="7FAD921C" w14:textId="405146D7" w:rsidR="000278AD" w:rsidRPr="00F53811" w:rsidRDefault="00A30F78" w:rsidP="00F53811">
      <w:pPr>
        <w:spacing w:after="0" w:line="240" w:lineRule="auto"/>
        <w:ind w:left="360"/>
        <w:jc w:val="both"/>
        <w:rPr>
          <w:rFonts w:ascii="Arial" w:hAnsi="Arial" w:cs="Arial"/>
          <w:sz w:val="20"/>
          <w:szCs w:val="20"/>
          <w:lang w:val="en-US"/>
        </w:rPr>
      </w:pPr>
      <w:r w:rsidRPr="00A30F78">
        <w:rPr>
          <w:rFonts w:ascii="Arial" w:hAnsi="Arial" w:cs="Arial"/>
          <w:sz w:val="20"/>
          <w:szCs w:val="20"/>
          <w:lang w:val="en-US"/>
        </w:rPr>
        <w:t xml:space="preserve">Okun, A. M. (1962). Potential GNP: Its Measurement and Significance. Cowles Foundation Paper no. 190. </w:t>
      </w:r>
      <w:hyperlink r:id="rId16" w:history="1">
        <w:r w:rsidRPr="004761E6">
          <w:rPr>
            <w:rStyle w:val="Hyperlink"/>
            <w:rFonts w:ascii="Arial" w:hAnsi="Arial" w:cs="Arial"/>
            <w:sz w:val="20"/>
            <w:szCs w:val="20"/>
            <w:lang w:val="en-US"/>
          </w:rPr>
          <w:t>https://cowles.yale.edu/publications/cfp/cfp190</w:t>
        </w:r>
      </w:hyperlink>
      <w:r>
        <w:rPr>
          <w:rFonts w:ascii="Arial" w:hAnsi="Arial" w:cs="Arial"/>
          <w:sz w:val="20"/>
          <w:szCs w:val="20"/>
          <w:lang w:val="en-US"/>
        </w:rPr>
        <w:t xml:space="preserve"> </w:t>
      </w:r>
    </w:p>
    <w:p w14:paraId="19BE9D96" w14:textId="77777777" w:rsidR="00683BC4" w:rsidRPr="005547EE" w:rsidRDefault="00683BC4" w:rsidP="00F53811">
      <w:pPr>
        <w:spacing w:after="0" w:line="240" w:lineRule="auto"/>
        <w:jc w:val="both"/>
        <w:rPr>
          <w:rFonts w:ascii="Arial" w:hAnsi="Arial" w:cs="Arial"/>
          <w:b/>
          <w:bCs/>
          <w:sz w:val="20"/>
          <w:szCs w:val="20"/>
          <w:lang w:val="en-US"/>
        </w:rPr>
      </w:pPr>
    </w:p>
    <w:p w14:paraId="6510F9E9" w14:textId="68A86322" w:rsidR="00683BC4" w:rsidRPr="00F53811" w:rsidRDefault="001C238B" w:rsidP="00F53811">
      <w:pPr>
        <w:spacing w:after="0" w:line="240" w:lineRule="auto"/>
        <w:ind w:left="360"/>
        <w:jc w:val="both"/>
        <w:rPr>
          <w:rFonts w:ascii="Arial" w:hAnsi="Arial" w:cs="Arial"/>
          <w:sz w:val="20"/>
          <w:szCs w:val="20"/>
          <w:lang w:val="en-US"/>
        </w:rPr>
      </w:pPr>
      <w:proofErr w:type="spellStart"/>
      <w:r w:rsidRPr="001C238B">
        <w:rPr>
          <w:rFonts w:ascii="Arial" w:hAnsi="Arial" w:cs="Arial"/>
          <w:sz w:val="20"/>
          <w:szCs w:val="20"/>
          <w:lang w:val="en-US"/>
        </w:rPr>
        <w:t>Piva</w:t>
      </w:r>
      <w:proofErr w:type="spellEnd"/>
      <w:r w:rsidRPr="001C238B">
        <w:rPr>
          <w:rFonts w:ascii="Arial" w:hAnsi="Arial" w:cs="Arial"/>
          <w:sz w:val="20"/>
          <w:szCs w:val="20"/>
          <w:lang w:val="en-US"/>
        </w:rPr>
        <w:t xml:space="preserve">, M., &amp; </w:t>
      </w:r>
      <w:proofErr w:type="spellStart"/>
      <w:r w:rsidRPr="001C238B">
        <w:rPr>
          <w:rFonts w:ascii="Arial" w:hAnsi="Arial" w:cs="Arial"/>
          <w:sz w:val="20"/>
          <w:szCs w:val="20"/>
          <w:lang w:val="en-US"/>
        </w:rPr>
        <w:t>Vivarelli</w:t>
      </w:r>
      <w:proofErr w:type="spellEnd"/>
      <w:r w:rsidRPr="001C238B">
        <w:rPr>
          <w:rFonts w:ascii="Arial" w:hAnsi="Arial" w:cs="Arial"/>
          <w:sz w:val="20"/>
          <w:szCs w:val="20"/>
          <w:lang w:val="en-US"/>
        </w:rPr>
        <w:t xml:space="preserve">, M. (2018). Technological change and employment: is Europe ready for the </w:t>
      </w:r>
      <w:proofErr w:type="gramStart"/>
      <w:r w:rsidRPr="001C238B">
        <w:rPr>
          <w:rFonts w:ascii="Arial" w:hAnsi="Arial" w:cs="Arial"/>
          <w:sz w:val="20"/>
          <w:szCs w:val="20"/>
          <w:lang w:val="en-US"/>
        </w:rPr>
        <w:t>challenge?.</w:t>
      </w:r>
      <w:proofErr w:type="gramEnd"/>
      <w:r w:rsidRPr="001C238B">
        <w:rPr>
          <w:rFonts w:ascii="Arial" w:hAnsi="Arial" w:cs="Arial"/>
          <w:sz w:val="20"/>
          <w:szCs w:val="20"/>
          <w:lang w:val="en-US"/>
        </w:rPr>
        <w:t xml:space="preserve"> Eurasian Business Review, 8, 13-32. </w:t>
      </w:r>
      <w:hyperlink r:id="rId17" w:history="1">
        <w:r w:rsidRPr="004761E6">
          <w:rPr>
            <w:rStyle w:val="Hyperlink"/>
            <w:rFonts w:ascii="Arial" w:hAnsi="Arial" w:cs="Arial"/>
            <w:sz w:val="20"/>
            <w:szCs w:val="20"/>
            <w:lang w:val="en-US"/>
          </w:rPr>
          <w:t>https://doi.org/10.1007/s40821-017-0100-x</w:t>
        </w:r>
      </w:hyperlink>
      <w:r>
        <w:rPr>
          <w:rFonts w:ascii="Arial" w:hAnsi="Arial" w:cs="Arial"/>
          <w:sz w:val="20"/>
          <w:szCs w:val="20"/>
          <w:lang w:val="en-US"/>
        </w:rPr>
        <w:t xml:space="preserve"> </w:t>
      </w:r>
    </w:p>
    <w:p w14:paraId="361C3A37" w14:textId="77777777" w:rsidR="000278AD" w:rsidRPr="005547EE" w:rsidRDefault="000278AD" w:rsidP="00F53811">
      <w:pPr>
        <w:spacing w:after="0" w:line="240" w:lineRule="auto"/>
        <w:jc w:val="both"/>
        <w:rPr>
          <w:rFonts w:ascii="Arial" w:hAnsi="Arial" w:cs="Arial"/>
          <w:sz w:val="20"/>
          <w:szCs w:val="20"/>
          <w:lang w:val="en-US"/>
        </w:rPr>
      </w:pPr>
    </w:p>
    <w:p w14:paraId="4F9BA369" w14:textId="7DE6C307" w:rsidR="000278AD" w:rsidRPr="00F53811" w:rsidRDefault="00543D61" w:rsidP="00F53811">
      <w:pPr>
        <w:spacing w:after="0" w:line="240" w:lineRule="auto"/>
        <w:ind w:left="360"/>
        <w:jc w:val="both"/>
        <w:rPr>
          <w:rFonts w:ascii="Arial" w:hAnsi="Arial" w:cs="Arial"/>
          <w:sz w:val="20"/>
          <w:szCs w:val="20"/>
          <w:lang w:val="en-US"/>
        </w:rPr>
      </w:pPr>
      <w:r w:rsidRPr="00543D61">
        <w:rPr>
          <w:rFonts w:ascii="Arial" w:hAnsi="Arial" w:cs="Arial"/>
          <w:sz w:val="20"/>
          <w:szCs w:val="20"/>
          <w:lang w:val="en-US"/>
        </w:rPr>
        <w:t xml:space="preserve">Romer, P. M. (1986). Increasing returns and long-run growth. Journal of Political Economy, 94(5), 1002-1037. </w:t>
      </w:r>
      <w:hyperlink r:id="rId18" w:history="1">
        <w:r w:rsidRPr="004761E6">
          <w:rPr>
            <w:rStyle w:val="Hyperlink"/>
            <w:rFonts w:ascii="Arial" w:hAnsi="Arial" w:cs="Arial"/>
            <w:sz w:val="20"/>
            <w:szCs w:val="20"/>
            <w:lang w:val="en-US"/>
          </w:rPr>
          <w:t>https://doi.org/10.1086/261420</w:t>
        </w:r>
      </w:hyperlink>
      <w:r>
        <w:rPr>
          <w:rFonts w:ascii="Arial" w:hAnsi="Arial" w:cs="Arial"/>
          <w:sz w:val="20"/>
          <w:szCs w:val="20"/>
          <w:lang w:val="en-US"/>
        </w:rPr>
        <w:t xml:space="preserve"> </w:t>
      </w:r>
    </w:p>
    <w:p w14:paraId="0566F29C" w14:textId="77777777" w:rsidR="000278AD" w:rsidRPr="005547EE" w:rsidRDefault="000278AD" w:rsidP="00F53811">
      <w:pPr>
        <w:spacing w:after="0" w:line="240" w:lineRule="auto"/>
        <w:jc w:val="both"/>
        <w:rPr>
          <w:rFonts w:ascii="Arial" w:hAnsi="Arial" w:cs="Arial"/>
          <w:sz w:val="20"/>
          <w:szCs w:val="20"/>
          <w:lang w:val="en-US"/>
        </w:rPr>
      </w:pPr>
    </w:p>
    <w:p w14:paraId="1ADE9F88" w14:textId="1954A4EB" w:rsidR="002C5E61" w:rsidRPr="00F53811" w:rsidRDefault="00816E97" w:rsidP="00F53811">
      <w:pPr>
        <w:spacing w:after="0" w:line="240" w:lineRule="auto"/>
        <w:ind w:left="360"/>
        <w:jc w:val="both"/>
        <w:rPr>
          <w:rFonts w:ascii="Arial" w:hAnsi="Arial" w:cs="Arial"/>
          <w:sz w:val="20"/>
          <w:szCs w:val="20"/>
          <w:lang w:val="en-US"/>
        </w:rPr>
      </w:pPr>
      <w:r w:rsidRPr="00816E97">
        <w:rPr>
          <w:rFonts w:ascii="Arial" w:hAnsi="Arial" w:cs="Arial"/>
          <w:sz w:val="20"/>
          <w:szCs w:val="20"/>
          <w:lang w:val="en-US"/>
        </w:rPr>
        <w:t xml:space="preserve">Romer, P. M. (1990). Endogenous technological change. Journal of Political Economy, 98(5), S71-S102. </w:t>
      </w:r>
      <w:hyperlink r:id="rId19" w:history="1">
        <w:r w:rsidRPr="004761E6">
          <w:rPr>
            <w:rStyle w:val="Hyperlink"/>
            <w:rFonts w:ascii="Arial" w:hAnsi="Arial" w:cs="Arial"/>
            <w:sz w:val="20"/>
            <w:szCs w:val="20"/>
            <w:lang w:val="en-US"/>
          </w:rPr>
          <w:t>https://doi.org/10.1086/261725</w:t>
        </w:r>
      </w:hyperlink>
      <w:r>
        <w:rPr>
          <w:rFonts w:ascii="Arial" w:hAnsi="Arial" w:cs="Arial"/>
          <w:sz w:val="20"/>
          <w:szCs w:val="20"/>
          <w:lang w:val="en-US"/>
        </w:rPr>
        <w:t xml:space="preserve"> </w:t>
      </w:r>
    </w:p>
    <w:p w14:paraId="209AD2D9" w14:textId="77777777" w:rsidR="000278AD" w:rsidRPr="005547EE" w:rsidRDefault="000278AD" w:rsidP="00F53811">
      <w:pPr>
        <w:spacing w:after="0" w:line="240" w:lineRule="auto"/>
        <w:jc w:val="both"/>
        <w:rPr>
          <w:rFonts w:ascii="Arial" w:hAnsi="Arial" w:cs="Arial"/>
          <w:sz w:val="20"/>
          <w:szCs w:val="20"/>
          <w:lang w:val="en-US"/>
        </w:rPr>
      </w:pPr>
    </w:p>
    <w:p w14:paraId="02F22EBC" w14:textId="61110E38" w:rsidR="000278AD" w:rsidRPr="00F53811" w:rsidRDefault="00D3724F" w:rsidP="00F53811">
      <w:pPr>
        <w:spacing w:after="0" w:line="240" w:lineRule="auto"/>
        <w:ind w:left="360"/>
        <w:jc w:val="both"/>
        <w:rPr>
          <w:rFonts w:ascii="Arial" w:hAnsi="Arial" w:cs="Arial"/>
          <w:sz w:val="20"/>
          <w:szCs w:val="20"/>
        </w:rPr>
      </w:pPr>
      <w:r w:rsidRPr="00D3724F">
        <w:rPr>
          <w:rFonts w:ascii="Arial" w:hAnsi="Arial" w:cs="Arial"/>
          <w:sz w:val="20"/>
          <w:szCs w:val="20"/>
        </w:rPr>
        <w:t xml:space="preserve">Schilirò, D. (2004). Occupazione e crescita in Italia. MPRA Paper No. 47161. </w:t>
      </w:r>
      <w:r>
        <w:rPr>
          <w:rFonts w:ascii="Arial" w:hAnsi="Arial" w:cs="Arial"/>
          <w:sz w:val="20"/>
          <w:szCs w:val="20"/>
        </w:rPr>
        <w:fldChar w:fldCharType="begin"/>
      </w:r>
      <w:r>
        <w:rPr>
          <w:rFonts w:ascii="Arial" w:hAnsi="Arial" w:cs="Arial"/>
          <w:sz w:val="20"/>
          <w:szCs w:val="20"/>
        </w:rPr>
        <w:instrText xml:space="preserve"> HYPERLINK "</w:instrText>
      </w:r>
      <w:r w:rsidRPr="00D3724F">
        <w:rPr>
          <w:rFonts w:ascii="Arial" w:hAnsi="Arial" w:cs="Arial"/>
          <w:sz w:val="20"/>
          <w:szCs w:val="20"/>
        </w:rPr>
        <w:instrText>https://mpra.ub.uni-muenchen.de/47161/</w:instrText>
      </w:r>
      <w:r>
        <w:rPr>
          <w:rFonts w:ascii="Arial" w:hAnsi="Arial" w:cs="Arial"/>
          <w:sz w:val="20"/>
          <w:szCs w:val="20"/>
        </w:rPr>
        <w:instrText xml:space="preserve">" </w:instrText>
      </w:r>
      <w:r>
        <w:rPr>
          <w:rFonts w:ascii="Arial" w:hAnsi="Arial" w:cs="Arial"/>
          <w:sz w:val="20"/>
          <w:szCs w:val="20"/>
        </w:rPr>
        <w:fldChar w:fldCharType="separate"/>
      </w:r>
      <w:r w:rsidRPr="004761E6">
        <w:rPr>
          <w:rStyle w:val="Hyperlink"/>
          <w:rFonts w:ascii="Arial" w:hAnsi="Arial" w:cs="Arial"/>
          <w:sz w:val="20"/>
          <w:szCs w:val="20"/>
        </w:rPr>
        <w:t>https://mpra.ub.uni-muenchen.de/47161/</w:t>
      </w:r>
      <w:r>
        <w:rPr>
          <w:rFonts w:ascii="Arial" w:hAnsi="Arial" w:cs="Arial"/>
          <w:sz w:val="20"/>
          <w:szCs w:val="20"/>
        </w:rPr>
        <w:fldChar w:fldCharType="end"/>
      </w:r>
      <w:r>
        <w:rPr>
          <w:rFonts w:ascii="Arial" w:hAnsi="Arial" w:cs="Arial"/>
          <w:sz w:val="20"/>
          <w:szCs w:val="20"/>
        </w:rPr>
        <w:t xml:space="preserve"> </w:t>
      </w:r>
    </w:p>
    <w:p w14:paraId="4685B5D4" w14:textId="77777777" w:rsidR="000278AD" w:rsidRPr="005547EE" w:rsidRDefault="000278AD" w:rsidP="00F53811">
      <w:pPr>
        <w:spacing w:after="0" w:line="240" w:lineRule="auto"/>
        <w:jc w:val="both"/>
        <w:rPr>
          <w:rFonts w:ascii="Arial" w:hAnsi="Arial" w:cs="Arial"/>
          <w:sz w:val="20"/>
          <w:szCs w:val="20"/>
        </w:rPr>
      </w:pPr>
    </w:p>
    <w:p w14:paraId="76B2B030" w14:textId="317DD71B" w:rsidR="000278AD" w:rsidRPr="00F53811" w:rsidRDefault="00205AAF" w:rsidP="00F53811">
      <w:pPr>
        <w:spacing w:after="0"/>
        <w:ind w:left="360"/>
        <w:jc w:val="both"/>
        <w:rPr>
          <w:rFonts w:ascii="Arial" w:hAnsi="Arial" w:cs="Arial"/>
          <w:sz w:val="20"/>
          <w:szCs w:val="20"/>
          <w:lang w:val="en-US"/>
        </w:rPr>
      </w:pPr>
      <w:r w:rsidRPr="00205AAF">
        <w:rPr>
          <w:rFonts w:ascii="Arial" w:hAnsi="Arial" w:cs="Arial"/>
          <w:sz w:val="20"/>
          <w:szCs w:val="20"/>
        </w:rPr>
        <w:t xml:space="preserve">Schilirò, D. (2017). A Glance at Solow's Growth Theory. Journal of Mathematical Economics and Finance, 3(2(5)), 83-103. </w:t>
      </w:r>
      <w:r>
        <w:rPr>
          <w:rFonts w:ascii="Arial" w:hAnsi="Arial" w:cs="Arial"/>
          <w:sz w:val="20"/>
          <w:szCs w:val="20"/>
        </w:rPr>
        <w:fldChar w:fldCharType="begin"/>
      </w:r>
      <w:r>
        <w:rPr>
          <w:rFonts w:ascii="Arial" w:hAnsi="Arial" w:cs="Arial"/>
          <w:sz w:val="20"/>
          <w:szCs w:val="20"/>
        </w:rPr>
        <w:instrText xml:space="preserve"> HYPERLINK "</w:instrText>
      </w:r>
      <w:r w:rsidRPr="00205AAF">
        <w:rPr>
          <w:rFonts w:ascii="Arial" w:hAnsi="Arial" w:cs="Arial"/>
          <w:sz w:val="20"/>
          <w:szCs w:val="20"/>
        </w:rPr>
        <w:instrText>https://doi.org/10.14505/jmef.v3.2(5).04</w:instrText>
      </w:r>
      <w:r>
        <w:rPr>
          <w:rFonts w:ascii="Arial" w:hAnsi="Arial" w:cs="Arial"/>
          <w:sz w:val="20"/>
          <w:szCs w:val="20"/>
        </w:rPr>
        <w:instrText xml:space="preserve">" </w:instrText>
      </w:r>
      <w:r>
        <w:rPr>
          <w:rFonts w:ascii="Arial" w:hAnsi="Arial" w:cs="Arial"/>
          <w:sz w:val="20"/>
          <w:szCs w:val="20"/>
        </w:rPr>
        <w:fldChar w:fldCharType="separate"/>
      </w:r>
      <w:r w:rsidRPr="004761E6">
        <w:rPr>
          <w:rStyle w:val="Hyperlink"/>
          <w:rFonts w:ascii="Arial" w:hAnsi="Arial" w:cs="Arial"/>
          <w:sz w:val="20"/>
          <w:szCs w:val="20"/>
        </w:rPr>
        <w:t>https://doi.org/10.14505/jmef.v3.2(5).04</w:t>
      </w:r>
      <w:r>
        <w:rPr>
          <w:rFonts w:ascii="Arial" w:hAnsi="Arial" w:cs="Arial"/>
          <w:sz w:val="20"/>
          <w:szCs w:val="20"/>
        </w:rPr>
        <w:fldChar w:fldCharType="end"/>
      </w:r>
      <w:r>
        <w:rPr>
          <w:rFonts w:ascii="Arial" w:hAnsi="Arial" w:cs="Arial"/>
          <w:sz w:val="20"/>
          <w:szCs w:val="20"/>
        </w:rPr>
        <w:t xml:space="preserve"> </w:t>
      </w:r>
    </w:p>
    <w:p w14:paraId="37FAC2AF" w14:textId="77777777" w:rsidR="000278AD" w:rsidRPr="005547EE" w:rsidRDefault="000278AD" w:rsidP="00F53811">
      <w:pPr>
        <w:spacing w:after="0"/>
        <w:jc w:val="both"/>
        <w:rPr>
          <w:rFonts w:ascii="Arial" w:hAnsi="Arial" w:cs="Arial"/>
          <w:sz w:val="20"/>
          <w:szCs w:val="20"/>
          <w:lang w:val="en-US"/>
        </w:rPr>
      </w:pPr>
    </w:p>
    <w:p w14:paraId="3B76D199" w14:textId="6F2643D8" w:rsidR="000278AD" w:rsidRPr="00F53811" w:rsidRDefault="00A16535" w:rsidP="00F53811">
      <w:pPr>
        <w:spacing w:after="0"/>
        <w:ind w:left="360"/>
        <w:jc w:val="both"/>
        <w:rPr>
          <w:rFonts w:ascii="Arial" w:hAnsi="Arial" w:cs="Arial"/>
          <w:sz w:val="20"/>
          <w:szCs w:val="20"/>
          <w:lang w:val="en-US"/>
        </w:rPr>
      </w:pPr>
      <w:r w:rsidRPr="00A16535">
        <w:rPr>
          <w:rFonts w:ascii="Arial" w:hAnsi="Arial" w:cs="Arial"/>
          <w:sz w:val="20"/>
          <w:szCs w:val="20"/>
        </w:rPr>
        <w:t xml:space="preserve">Schilirò, D. (2018). Occupazione e mercato del lavoro in Italia. Aspetti congiunturali e strutturali. MPRA Paper No. 107630. </w:t>
      </w:r>
      <w:r>
        <w:rPr>
          <w:rFonts w:ascii="Arial" w:hAnsi="Arial" w:cs="Arial"/>
          <w:sz w:val="20"/>
          <w:szCs w:val="20"/>
        </w:rPr>
        <w:fldChar w:fldCharType="begin"/>
      </w:r>
      <w:r>
        <w:rPr>
          <w:rFonts w:ascii="Arial" w:hAnsi="Arial" w:cs="Arial"/>
          <w:sz w:val="20"/>
          <w:szCs w:val="20"/>
        </w:rPr>
        <w:instrText xml:space="preserve"> HYPERLINK "</w:instrText>
      </w:r>
      <w:r w:rsidRPr="00A16535">
        <w:rPr>
          <w:rFonts w:ascii="Arial" w:hAnsi="Arial" w:cs="Arial"/>
          <w:sz w:val="20"/>
          <w:szCs w:val="20"/>
        </w:rPr>
        <w:instrText>https://mpra.ub.uni-muenchen.de/107630/1/MPRA_paper_107630.pdf</w:instrText>
      </w:r>
      <w:r>
        <w:rPr>
          <w:rFonts w:ascii="Arial" w:hAnsi="Arial" w:cs="Arial"/>
          <w:sz w:val="20"/>
          <w:szCs w:val="20"/>
        </w:rPr>
        <w:instrText xml:space="preserve">" </w:instrText>
      </w:r>
      <w:r>
        <w:rPr>
          <w:rFonts w:ascii="Arial" w:hAnsi="Arial" w:cs="Arial"/>
          <w:sz w:val="20"/>
          <w:szCs w:val="20"/>
        </w:rPr>
        <w:fldChar w:fldCharType="separate"/>
      </w:r>
      <w:r w:rsidRPr="004761E6">
        <w:rPr>
          <w:rStyle w:val="Hyperlink"/>
          <w:rFonts w:ascii="Arial" w:hAnsi="Arial" w:cs="Arial"/>
          <w:sz w:val="20"/>
          <w:szCs w:val="20"/>
        </w:rPr>
        <w:t>https://mpra.ub.uni-muenchen.de/107630/1/MPRA_paper_107630.pdf</w:t>
      </w:r>
      <w:r>
        <w:rPr>
          <w:rFonts w:ascii="Arial" w:hAnsi="Arial" w:cs="Arial"/>
          <w:sz w:val="20"/>
          <w:szCs w:val="20"/>
        </w:rPr>
        <w:fldChar w:fldCharType="end"/>
      </w:r>
      <w:r>
        <w:rPr>
          <w:rFonts w:ascii="Arial" w:hAnsi="Arial" w:cs="Arial"/>
          <w:sz w:val="20"/>
          <w:szCs w:val="20"/>
        </w:rPr>
        <w:t xml:space="preserve"> </w:t>
      </w:r>
    </w:p>
    <w:p w14:paraId="6DB7A19C" w14:textId="77777777" w:rsidR="00510E96" w:rsidRPr="005547EE" w:rsidRDefault="00510E96" w:rsidP="00F53811">
      <w:pPr>
        <w:spacing w:after="0"/>
        <w:jc w:val="both"/>
        <w:rPr>
          <w:rFonts w:ascii="Arial" w:hAnsi="Arial" w:cs="Arial"/>
          <w:sz w:val="20"/>
          <w:szCs w:val="20"/>
          <w:lang w:val="en-US"/>
        </w:rPr>
      </w:pPr>
    </w:p>
    <w:p w14:paraId="644795D8" w14:textId="6009F5A5" w:rsidR="004929ED" w:rsidRPr="00F53811" w:rsidRDefault="00A16535" w:rsidP="00F53811">
      <w:pPr>
        <w:spacing w:after="0"/>
        <w:ind w:left="360"/>
        <w:jc w:val="both"/>
        <w:rPr>
          <w:rFonts w:ascii="Arial" w:hAnsi="Arial" w:cs="Arial"/>
          <w:color w:val="2C2C2C"/>
          <w:sz w:val="20"/>
          <w:szCs w:val="20"/>
          <w:shd w:val="clear" w:color="auto" w:fill="FFFFFF"/>
          <w:lang w:val="en-US"/>
        </w:rPr>
      </w:pPr>
      <w:proofErr w:type="spellStart"/>
      <w:r w:rsidRPr="00A16535">
        <w:rPr>
          <w:rFonts w:ascii="Arial" w:hAnsi="Arial" w:cs="Arial"/>
          <w:sz w:val="20"/>
          <w:szCs w:val="20"/>
          <w:lang w:val="en-US"/>
        </w:rPr>
        <w:t>Schilirò</w:t>
      </w:r>
      <w:proofErr w:type="spellEnd"/>
      <w:r w:rsidRPr="00A16535">
        <w:rPr>
          <w:rFonts w:ascii="Arial" w:hAnsi="Arial" w:cs="Arial"/>
          <w:sz w:val="20"/>
          <w:szCs w:val="20"/>
          <w:lang w:val="en-US"/>
        </w:rPr>
        <w:t xml:space="preserve">, D. (2023). Technological progress and the future of work. International Journal of Business Management and Economic Research, 14(2), 2108-2118. </w:t>
      </w:r>
      <w:hyperlink r:id="rId20" w:history="1">
        <w:r w:rsidRPr="004761E6">
          <w:rPr>
            <w:rStyle w:val="Hyperlink"/>
            <w:rFonts w:ascii="Arial" w:hAnsi="Arial" w:cs="Arial"/>
            <w:sz w:val="20"/>
            <w:szCs w:val="20"/>
            <w:lang w:val="en-US"/>
          </w:rPr>
          <w:t>https://ijbmer.com/vol14issue2.php</w:t>
        </w:r>
      </w:hyperlink>
      <w:r>
        <w:rPr>
          <w:rFonts w:ascii="Arial" w:hAnsi="Arial" w:cs="Arial"/>
          <w:sz w:val="20"/>
          <w:szCs w:val="20"/>
          <w:lang w:val="en-US"/>
        </w:rPr>
        <w:t xml:space="preserve"> </w:t>
      </w:r>
    </w:p>
    <w:p w14:paraId="5D832EB5" w14:textId="77777777" w:rsidR="00893730" w:rsidRPr="005547EE" w:rsidRDefault="00893730" w:rsidP="00F53811">
      <w:pPr>
        <w:spacing w:after="0"/>
        <w:jc w:val="both"/>
        <w:rPr>
          <w:rFonts w:ascii="Arial" w:hAnsi="Arial" w:cs="Arial"/>
          <w:sz w:val="20"/>
          <w:szCs w:val="20"/>
          <w:lang w:val="en-US"/>
        </w:rPr>
      </w:pPr>
    </w:p>
    <w:p w14:paraId="4548C7D0" w14:textId="62005D05" w:rsidR="00893730" w:rsidRPr="00F53811" w:rsidRDefault="00CB0F2D" w:rsidP="00F53811">
      <w:pPr>
        <w:spacing w:after="0"/>
        <w:ind w:left="360"/>
        <w:jc w:val="both"/>
        <w:rPr>
          <w:rFonts w:ascii="Arial" w:hAnsi="Arial" w:cs="Arial"/>
          <w:sz w:val="20"/>
          <w:szCs w:val="20"/>
          <w:lang w:val="en-US"/>
        </w:rPr>
      </w:pPr>
      <w:proofErr w:type="spellStart"/>
      <w:r w:rsidRPr="00CB0F2D">
        <w:rPr>
          <w:rFonts w:ascii="Arial" w:hAnsi="Arial" w:cs="Arial"/>
          <w:sz w:val="20"/>
          <w:szCs w:val="20"/>
          <w:lang w:val="en-US"/>
        </w:rPr>
        <w:t>Schilirò</w:t>
      </w:r>
      <w:proofErr w:type="spellEnd"/>
      <w:r w:rsidRPr="00CB0F2D">
        <w:rPr>
          <w:rFonts w:ascii="Arial" w:hAnsi="Arial" w:cs="Arial"/>
          <w:sz w:val="20"/>
          <w:szCs w:val="20"/>
          <w:lang w:val="en-US"/>
        </w:rPr>
        <w:t xml:space="preserve">, D. (2025). High employment rate and unresolved issues in the Italian labor market. International Journal of Business Management and Economic Research, 16(1), 2551-2556. </w:t>
      </w:r>
      <w:hyperlink r:id="rId21" w:history="1">
        <w:r w:rsidRPr="004761E6">
          <w:rPr>
            <w:rStyle w:val="Hyperlink"/>
            <w:rFonts w:ascii="Arial" w:hAnsi="Arial" w:cs="Arial"/>
            <w:sz w:val="20"/>
            <w:szCs w:val="20"/>
            <w:lang w:val="en-US"/>
          </w:rPr>
          <w:t>http://ijbmer.com/docs/volumes/vol16issue1/ijbmer2025160101.pdf</w:t>
        </w:r>
      </w:hyperlink>
      <w:r>
        <w:rPr>
          <w:rFonts w:ascii="Arial" w:hAnsi="Arial" w:cs="Arial"/>
          <w:sz w:val="20"/>
          <w:szCs w:val="20"/>
          <w:lang w:val="en-US"/>
        </w:rPr>
        <w:t xml:space="preserve"> </w:t>
      </w:r>
    </w:p>
    <w:p w14:paraId="6641A02B" w14:textId="77777777" w:rsidR="00893730" w:rsidRPr="005547EE" w:rsidRDefault="00893730" w:rsidP="00F53811">
      <w:pPr>
        <w:spacing w:after="0"/>
        <w:jc w:val="both"/>
        <w:rPr>
          <w:rFonts w:ascii="Arial" w:hAnsi="Arial" w:cs="Arial"/>
          <w:sz w:val="20"/>
          <w:szCs w:val="20"/>
          <w:lang w:val="en-US"/>
        </w:rPr>
      </w:pPr>
    </w:p>
    <w:p w14:paraId="1E0C83E7" w14:textId="617C507E" w:rsidR="00893730" w:rsidRPr="00F53811" w:rsidRDefault="006E0BD8" w:rsidP="00F53811">
      <w:pPr>
        <w:spacing w:after="0"/>
        <w:ind w:left="360"/>
        <w:jc w:val="both"/>
        <w:rPr>
          <w:rFonts w:ascii="Arial" w:hAnsi="Arial" w:cs="Arial"/>
          <w:sz w:val="20"/>
          <w:szCs w:val="20"/>
          <w:lang w:val="en-US"/>
        </w:rPr>
      </w:pPr>
      <w:r w:rsidRPr="006E0BD8">
        <w:rPr>
          <w:rFonts w:ascii="Arial" w:hAnsi="Arial" w:cs="Arial"/>
          <w:sz w:val="20"/>
          <w:szCs w:val="20"/>
          <w:lang w:val="en-US"/>
        </w:rPr>
        <w:t xml:space="preserve">Solow, R. M. (1956). A contribution to the theory of economic growth. The Quarterly Journal of Economics, 70(1), 65-94. </w:t>
      </w:r>
      <w:hyperlink r:id="rId22" w:history="1">
        <w:r w:rsidRPr="004761E6">
          <w:rPr>
            <w:rStyle w:val="Hyperlink"/>
            <w:rFonts w:ascii="Arial" w:hAnsi="Arial" w:cs="Arial"/>
            <w:sz w:val="20"/>
            <w:szCs w:val="20"/>
            <w:lang w:val="en-US"/>
          </w:rPr>
          <w:t>https://doi.org/10.2307/1884513</w:t>
        </w:r>
      </w:hyperlink>
      <w:r>
        <w:rPr>
          <w:rFonts w:ascii="Arial" w:hAnsi="Arial" w:cs="Arial"/>
          <w:sz w:val="20"/>
          <w:szCs w:val="20"/>
          <w:lang w:val="en-US"/>
        </w:rPr>
        <w:t xml:space="preserve"> </w:t>
      </w:r>
    </w:p>
    <w:p w14:paraId="6CDAA92A" w14:textId="77777777" w:rsidR="00893730" w:rsidRPr="005547EE" w:rsidRDefault="00893730" w:rsidP="00F53811">
      <w:pPr>
        <w:spacing w:after="0"/>
        <w:jc w:val="both"/>
        <w:rPr>
          <w:rFonts w:ascii="Arial" w:hAnsi="Arial" w:cs="Arial"/>
          <w:sz w:val="20"/>
          <w:szCs w:val="20"/>
          <w:lang w:val="en-US"/>
        </w:rPr>
      </w:pPr>
    </w:p>
    <w:p w14:paraId="130A3A4C" w14:textId="76D4026A" w:rsidR="00893730" w:rsidRPr="00F53811" w:rsidRDefault="007209F3" w:rsidP="00F53811">
      <w:pPr>
        <w:spacing w:after="0"/>
        <w:ind w:left="360"/>
        <w:jc w:val="both"/>
        <w:rPr>
          <w:rFonts w:ascii="Arial" w:hAnsi="Arial" w:cs="Arial"/>
          <w:sz w:val="20"/>
          <w:szCs w:val="20"/>
          <w:lang w:val="en-US"/>
        </w:rPr>
      </w:pPr>
      <w:r w:rsidRPr="007209F3">
        <w:rPr>
          <w:rFonts w:ascii="Arial" w:hAnsi="Arial" w:cs="Arial"/>
          <w:sz w:val="20"/>
          <w:szCs w:val="20"/>
          <w:lang w:val="en-US"/>
        </w:rPr>
        <w:t xml:space="preserve">Solow, R. M. (1957). Technical change and the aggregate production function. The Review of Economics and Statistics, 39(3), 312-320. </w:t>
      </w:r>
      <w:hyperlink r:id="rId23" w:history="1">
        <w:r w:rsidRPr="004761E6">
          <w:rPr>
            <w:rStyle w:val="Hyperlink"/>
            <w:rFonts w:ascii="Arial" w:hAnsi="Arial" w:cs="Arial"/>
            <w:sz w:val="20"/>
            <w:szCs w:val="20"/>
            <w:lang w:val="en-US"/>
          </w:rPr>
          <w:t>https://doi.org/10.2307/1926047</w:t>
        </w:r>
      </w:hyperlink>
      <w:r>
        <w:rPr>
          <w:rFonts w:ascii="Arial" w:hAnsi="Arial" w:cs="Arial"/>
          <w:sz w:val="20"/>
          <w:szCs w:val="20"/>
          <w:lang w:val="en-US"/>
        </w:rPr>
        <w:t xml:space="preserve"> </w:t>
      </w:r>
    </w:p>
    <w:p w14:paraId="484C97EE" w14:textId="77777777" w:rsidR="00893730" w:rsidRPr="005547EE" w:rsidRDefault="00893730" w:rsidP="00F53811">
      <w:pPr>
        <w:spacing w:after="0"/>
        <w:jc w:val="both"/>
        <w:rPr>
          <w:rFonts w:ascii="Arial" w:hAnsi="Arial" w:cs="Arial"/>
          <w:sz w:val="20"/>
          <w:szCs w:val="20"/>
          <w:lang w:val="en-US"/>
        </w:rPr>
      </w:pPr>
    </w:p>
    <w:p w14:paraId="1BF59933" w14:textId="53885AE3" w:rsidR="00893730" w:rsidRPr="00F53811" w:rsidRDefault="00F13A65" w:rsidP="00F53811">
      <w:pPr>
        <w:spacing w:after="0"/>
        <w:ind w:left="360"/>
        <w:jc w:val="both"/>
        <w:rPr>
          <w:rFonts w:ascii="Arial" w:hAnsi="Arial" w:cs="Arial"/>
          <w:sz w:val="20"/>
          <w:szCs w:val="20"/>
          <w:lang w:val="en-US"/>
        </w:rPr>
      </w:pPr>
      <w:r w:rsidRPr="00F13A65">
        <w:rPr>
          <w:rFonts w:ascii="Arial" w:hAnsi="Arial" w:cs="Arial"/>
          <w:sz w:val="20"/>
          <w:szCs w:val="20"/>
          <w:lang w:val="en-US"/>
        </w:rPr>
        <w:lastRenderedPageBreak/>
        <w:t xml:space="preserve">Susskind, D. (2020). A world without work: Technology, automation and how we should respond. Penguin Books Ltd. </w:t>
      </w:r>
      <w:hyperlink r:id="rId24" w:history="1">
        <w:r w:rsidRPr="004761E6">
          <w:rPr>
            <w:rStyle w:val="Hyperlink"/>
            <w:rFonts w:ascii="Arial" w:hAnsi="Arial" w:cs="Arial"/>
            <w:sz w:val="20"/>
            <w:szCs w:val="20"/>
            <w:lang w:val="en-US"/>
          </w:rPr>
          <w:t>https://www.penguin.co.uk/books/111/1118800/a-world-without-work.html</w:t>
        </w:r>
      </w:hyperlink>
      <w:r>
        <w:rPr>
          <w:rFonts w:ascii="Arial" w:hAnsi="Arial" w:cs="Arial"/>
          <w:sz w:val="20"/>
          <w:szCs w:val="20"/>
          <w:lang w:val="en-US"/>
        </w:rPr>
        <w:t xml:space="preserve"> </w:t>
      </w:r>
    </w:p>
    <w:p w14:paraId="24200646" w14:textId="354DDE83" w:rsidR="00ED34EF" w:rsidRPr="005547EE" w:rsidRDefault="00ED34EF" w:rsidP="00F53811">
      <w:pPr>
        <w:spacing w:after="0"/>
        <w:jc w:val="both"/>
        <w:rPr>
          <w:rFonts w:ascii="Arial" w:hAnsi="Arial" w:cs="Arial"/>
          <w:sz w:val="20"/>
          <w:szCs w:val="20"/>
          <w:lang w:val="en-US"/>
        </w:rPr>
      </w:pPr>
    </w:p>
    <w:p w14:paraId="41121B94" w14:textId="03A9BC14" w:rsidR="00ED34EF" w:rsidRPr="00F53811" w:rsidRDefault="00433F85" w:rsidP="00F53811">
      <w:pPr>
        <w:ind w:left="360"/>
        <w:jc w:val="both"/>
        <w:rPr>
          <w:rFonts w:ascii="Arial" w:hAnsi="Arial" w:cs="Arial"/>
          <w:sz w:val="20"/>
          <w:szCs w:val="20"/>
        </w:rPr>
      </w:pPr>
      <w:proofErr w:type="spellStart"/>
      <w:r w:rsidRPr="00433F85">
        <w:rPr>
          <w:rFonts w:ascii="Arial" w:hAnsi="Arial" w:cs="Arial"/>
          <w:sz w:val="20"/>
          <w:szCs w:val="20"/>
          <w:lang w:val="en-US"/>
        </w:rPr>
        <w:t>Sylos</w:t>
      </w:r>
      <w:proofErr w:type="spellEnd"/>
      <w:r w:rsidRPr="00433F85">
        <w:rPr>
          <w:rFonts w:ascii="Arial" w:hAnsi="Arial" w:cs="Arial"/>
          <w:sz w:val="20"/>
          <w:szCs w:val="20"/>
          <w:lang w:val="en-US"/>
        </w:rPr>
        <w:t xml:space="preserve"> </w:t>
      </w:r>
      <w:proofErr w:type="spellStart"/>
      <w:r w:rsidRPr="00433F85">
        <w:rPr>
          <w:rFonts w:ascii="Arial" w:hAnsi="Arial" w:cs="Arial"/>
          <w:sz w:val="20"/>
          <w:szCs w:val="20"/>
          <w:lang w:val="en-US"/>
        </w:rPr>
        <w:t>Labini</w:t>
      </w:r>
      <w:proofErr w:type="spellEnd"/>
      <w:r w:rsidRPr="00433F85">
        <w:rPr>
          <w:rFonts w:ascii="Arial" w:hAnsi="Arial" w:cs="Arial"/>
          <w:sz w:val="20"/>
          <w:szCs w:val="20"/>
          <w:lang w:val="en-US"/>
        </w:rPr>
        <w:t xml:space="preserve">, P. (1967). </w:t>
      </w:r>
      <w:proofErr w:type="spellStart"/>
      <w:r w:rsidRPr="00433F85">
        <w:rPr>
          <w:rFonts w:ascii="Arial" w:hAnsi="Arial" w:cs="Arial"/>
          <w:sz w:val="20"/>
          <w:szCs w:val="20"/>
          <w:lang w:val="en-US"/>
        </w:rPr>
        <w:t>Prezzi</w:t>
      </w:r>
      <w:proofErr w:type="spellEnd"/>
      <w:r w:rsidRPr="00433F85">
        <w:rPr>
          <w:rFonts w:ascii="Arial" w:hAnsi="Arial" w:cs="Arial"/>
          <w:sz w:val="20"/>
          <w:szCs w:val="20"/>
          <w:lang w:val="en-US"/>
        </w:rPr>
        <w:t xml:space="preserve">, </w:t>
      </w:r>
      <w:proofErr w:type="spellStart"/>
      <w:r w:rsidRPr="00433F85">
        <w:rPr>
          <w:rFonts w:ascii="Arial" w:hAnsi="Arial" w:cs="Arial"/>
          <w:sz w:val="20"/>
          <w:szCs w:val="20"/>
          <w:lang w:val="en-US"/>
        </w:rPr>
        <w:t>distribuzione</w:t>
      </w:r>
      <w:proofErr w:type="spellEnd"/>
      <w:r w:rsidRPr="00433F85">
        <w:rPr>
          <w:rFonts w:ascii="Arial" w:hAnsi="Arial" w:cs="Arial"/>
          <w:sz w:val="20"/>
          <w:szCs w:val="20"/>
          <w:lang w:val="en-US"/>
        </w:rPr>
        <w:t xml:space="preserve"> e </w:t>
      </w:r>
      <w:proofErr w:type="spellStart"/>
      <w:r w:rsidRPr="00433F85">
        <w:rPr>
          <w:rFonts w:ascii="Arial" w:hAnsi="Arial" w:cs="Arial"/>
          <w:sz w:val="20"/>
          <w:szCs w:val="20"/>
          <w:lang w:val="en-US"/>
        </w:rPr>
        <w:t>investimenti</w:t>
      </w:r>
      <w:proofErr w:type="spellEnd"/>
      <w:r w:rsidRPr="00433F85">
        <w:rPr>
          <w:rFonts w:ascii="Arial" w:hAnsi="Arial" w:cs="Arial"/>
          <w:sz w:val="20"/>
          <w:szCs w:val="20"/>
          <w:lang w:val="en-US"/>
        </w:rPr>
        <w:t xml:space="preserve"> in Italia dal 1951 al 1966: </w:t>
      </w:r>
      <w:proofErr w:type="spellStart"/>
      <w:r w:rsidRPr="00433F85">
        <w:rPr>
          <w:rFonts w:ascii="Arial" w:hAnsi="Arial" w:cs="Arial"/>
          <w:sz w:val="20"/>
          <w:szCs w:val="20"/>
          <w:lang w:val="en-US"/>
        </w:rPr>
        <w:t>uno</w:t>
      </w:r>
      <w:proofErr w:type="spellEnd"/>
      <w:r w:rsidRPr="00433F85">
        <w:rPr>
          <w:rFonts w:ascii="Arial" w:hAnsi="Arial" w:cs="Arial"/>
          <w:sz w:val="20"/>
          <w:szCs w:val="20"/>
          <w:lang w:val="en-US"/>
        </w:rPr>
        <w:t xml:space="preserve"> schema </w:t>
      </w:r>
      <w:proofErr w:type="spellStart"/>
      <w:r w:rsidRPr="00433F85">
        <w:rPr>
          <w:rFonts w:ascii="Arial" w:hAnsi="Arial" w:cs="Arial"/>
          <w:sz w:val="20"/>
          <w:szCs w:val="20"/>
          <w:lang w:val="en-US"/>
        </w:rPr>
        <w:t>interpretativo</w:t>
      </w:r>
      <w:proofErr w:type="spellEnd"/>
      <w:r w:rsidRPr="00433F85">
        <w:rPr>
          <w:rFonts w:ascii="Arial" w:hAnsi="Arial" w:cs="Arial"/>
          <w:sz w:val="20"/>
          <w:szCs w:val="20"/>
          <w:lang w:val="en-US"/>
        </w:rPr>
        <w:t xml:space="preserve">. Moneta e </w:t>
      </w:r>
      <w:proofErr w:type="spellStart"/>
      <w:r w:rsidRPr="00433F85">
        <w:rPr>
          <w:rFonts w:ascii="Arial" w:hAnsi="Arial" w:cs="Arial"/>
          <w:sz w:val="20"/>
          <w:szCs w:val="20"/>
          <w:lang w:val="en-US"/>
        </w:rPr>
        <w:t>Credito</w:t>
      </w:r>
      <w:proofErr w:type="spellEnd"/>
      <w:r w:rsidRPr="00433F85">
        <w:rPr>
          <w:rFonts w:ascii="Arial" w:hAnsi="Arial" w:cs="Arial"/>
          <w:sz w:val="20"/>
          <w:szCs w:val="20"/>
          <w:lang w:val="en-US"/>
        </w:rPr>
        <w:t xml:space="preserve">, 20(79), 265-344. </w:t>
      </w:r>
      <w:hyperlink r:id="rId25" w:history="1">
        <w:r w:rsidRPr="004761E6">
          <w:rPr>
            <w:rStyle w:val="Hyperlink"/>
            <w:rFonts w:ascii="Arial" w:hAnsi="Arial" w:cs="Arial"/>
            <w:sz w:val="20"/>
            <w:szCs w:val="20"/>
            <w:lang w:val="en-US"/>
          </w:rPr>
          <w:t>https://doi.org/10.13133/2037-3651/12498</w:t>
        </w:r>
      </w:hyperlink>
      <w:r>
        <w:rPr>
          <w:rFonts w:ascii="Arial" w:hAnsi="Arial" w:cs="Arial"/>
          <w:sz w:val="20"/>
          <w:szCs w:val="20"/>
          <w:lang w:val="en-US"/>
        </w:rPr>
        <w:t xml:space="preserve"> </w:t>
      </w:r>
    </w:p>
    <w:p w14:paraId="1A5913A7" w14:textId="28505F13" w:rsidR="007D2C7B" w:rsidRPr="00F53811" w:rsidRDefault="00CF291D" w:rsidP="00F53811">
      <w:pPr>
        <w:spacing w:after="0"/>
        <w:ind w:left="360"/>
        <w:jc w:val="both"/>
        <w:rPr>
          <w:rFonts w:ascii="Arial" w:hAnsi="Arial" w:cs="Arial"/>
          <w:sz w:val="20"/>
          <w:szCs w:val="20"/>
        </w:rPr>
      </w:pPr>
      <w:r w:rsidRPr="00CF291D">
        <w:rPr>
          <w:rFonts w:ascii="Arial" w:hAnsi="Arial" w:cs="Arial"/>
          <w:sz w:val="20"/>
          <w:szCs w:val="20"/>
        </w:rPr>
        <w:t xml:space="preserve">Sylos Labini, P. (1972). Sindacati, inflazione e produttività. Laterza. </w:t>
      </w:r>
      <w:hyperlink r:id="rId26" w:history="1">
        <w:r w:rsidRPr="004761E6">
          <w:rPr>
            <w:rStyle w:val="Hyperlink"/>
            <w:rFonts w:ascii="Arial" w:hAnsi="Arial" w:cs="Arial"/>
            <w:sz w:val="20"/>
            <w:szCs w:val="20"/>
          </w:rPr>
          <w:t>https://www.ibs.it/sindacati-inflazione-produttivita-libro-paolo-sylos-labini/e/9788842007900</w:t>
        </w:r>
      </w:hyperlink>
      <w:r>
        <w:rPr>
          <w:rFonts w:ascii="Arial" w:hAnsi="Arial" w:cs="Arial"/>
          <w:sz w:val="20"/>
          <w:szCs w:val="20"/>
        </w:rPr>
        <w:t xml:space="preserve"> </w:t>
      </w:r>
    </w:p>
    <w:p w14:paraId="69990802" w14:textId="77777777" w:rsidR="00644079" w:rsidRPr="005547EE" w:rsidRDefault="00644079" w:rsidP="00F53811">
      <w:pPr>
        <w:spacing w:after="0"/>
        <w:jc w:val="both"/>
        <w:rPr>
          <w:rFonts w:ascii="Arial" w:hAnsi="Arial" w:cs="Arial"/>
          <w:sz w:val="20"/>
          <w:szCs w:val="20"/>
        </w:rPr>
      </w:pPr>
    </w:p>
    <w:p w14:paraId="0E2729ED" w14:textId="2E3AF310" w:rsidR="00EE0B39" w:rsidRPr="00F53811" w:rsidRDefault="00660AFB" w:rsidP="00F53811">
      <w:pPr>
        <w:spacing w:after="0"/>
        <w:ind w:left="360"/>
        <w:jc w:val="both"/>
        <w:rPr>
          <w:rFonts w:ascii="Times New Roman" w:hAnsi="Times New Roman" w:cs="Times New Roman"/>
          <w:sz w:val="24"/>
          <w:szCs w:val="24"/>
        </w:rPr>
      </w:pPr>
      <w:r w:rsidRPr="00660AFB">
        <w:rPr>
          <w:rFonts w:ascii="Arial" w:hAnsi="Arial" w:cs="Arial"/>
          <w:sz w:val="20"/>
          <w:szCs w:val="20"/>
        </w:rPr>
        <w:t>Verdoorn, P. J. (1949). Fattori che regolano lo sviluppo della produttività del lavoro. L'Industria, 1, 45-53.</w:t>
      </w:r>
      <w:r>
        <w:rPr>
          <w:rFonts w:ascii="Arial" w:hAnsi="Arial" w:cs="Arial"/>
          <w:sz w:val="20"/>
          <w:szCs w:val="20"/>
        </w:rPr>
        <w:t xml:space="preserve"> </w:t>
      </w:r>
    </w:p>
    <w:sectPr w:rsidR="00EE0B39" w:rsidRPr="00F53811">
      <w:headerReference w:type="even" r:id="rId27"/>
      <w:headerReference w:type="default" r:id="rId28"/>
      <w:footerReference w:type="even" r:id="rId29"/>
      <w:footerReference w:type="default" r:id="rId30"/>
      <w:headerReference w:type="first" r:id="rId31"/>
      <w:footerReference w:type="first" r:id="rId3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0ACDF" w14:textId="77777777" w:rsidR="00001DD4" w:rsidRDefault="00001DD4" w:rsidP="001F1B2A">
      <w:pPr>
        <w:spacing w:after="0" w:line="240" w:lineRule="auto"/>
      </w:pPr>
      <w:r>
        <w:separator/>
      </w:r>
    </w:p>
  </w:endnote>
  <w:endnote w:type="continuationSeparator" w:id="0">
    <w:p w14:paraId="31C73CDE" w14:textId="77777777" w:rsidR="00001DD4" w:rsidRDefault="00001DD4" w:rsidP="001F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F5" w14:textId="77777777" w:rsidR="00260695" w:rsidRDefault="00260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743942"/>
      <w:docPartObj>
        <w:docPartGallery w:val="Page Numbers (Bottom of Page)"/>
        <w:docPartUnique/>
      </w:docPartObj>
    </w:sdtPr>
    <w:sdtEndPr/>
    <w:sdtContent>
      <w:p w14:paraId="27BB2509" w14:textId="579849A9" w:rsidR="001F1B2A" w:rsidRDefault="001F1B2A">
        <w:pPr>
          <w:pStyle w:val="Footer"/>
          <w:jc w:val="right"/>
        </w:pPr>
        <w:r>
          <w:fldChar w:fldCharType="begin"/>
        </w:r>
        <w:r>
          <w:instrText>PAGE   \* MERGEFORMAT</w:instrText>
        </w:r>
        <w:r>
          <w:fldChar w:fldCharType="separate"/>
        </w:r>
        <w:r>
          <w:t>2</w:t>
        </w:r>
        <w:r>
          <w:fldChar w:fldCharType="end"/>
        </w:r>
      </w:p>
    </w:sdtContent>
  </w:sdt>
  <w:p w14:paraId="05CD0BF0" w14:textId="77777777" w:rsidR="001F1B2A" w:rsidRDefault="001F1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6016" w14:textId="77777777" w:rsidR="00260695" w:rsidRDefault="00260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17CD" w14:textId="77777777" w:rsidR="00001DD4" w:rsidRDefault="00001DD4" w:rsidP="001F1B2A">
      <w:pPr>
        <w:spacing w:after="0" w:line="240" w:lineRule="auto"/>
      </w:pPr>
      <w:r>
        <w:separator/>
      </w:r>
    </w:p>
  </w:footnote>
  <w:footnote w:type="continuationSeparator" w:id="0">
    <w:p w14:paraId="07B6DA1E" w14:textId="77777777" w:rsidR="00001DD4" w:rsidRDefault="00001DD4" w:rsidP="001F1B2A">
      <w:pPr>
        <w:spacing w:after="0" w:line="240" w:lineRule="auto"/>
      </w:pPr>
      <w:r>
        <w:continuationSeparator/>
      </w:r>
    </w:p>
  </w:footnote>
  <w:footnote w:id="1">
    <w:p w14:paraId="061506A8" w14:textId="1AB36AB9" w:rsidR="008D514E" w:rsidRPr="008D514E" w:rsidRDefault="008D514E" w:rsidP="008D514E">
      <w:pPr>
        <w:pStyle w:val="FootnoteText"/>
        <w:jc w:val="both"/>
        <w:rPr>
          <w:rFonts w:ascii="Times New Roman" w:hAnsi="Times New Roman" w:cs="Times New Roman"/>
          <w:lang w:val="en-US"/>
        </w:rPr>
      </w:pPr>
      <w:r>
        <w:rPr>
          <w:rStyle w:val="FootnoteReference"/>
        </w:rPr>
        <w:footnoteRef/>
      </w:r>
      <w:r w:rsidRPr="008D514E">
        <w:rPr>
          <w:lang w:val="en-US"/>
        </w:rPr>
        <w:t xml:space="preserve"> </w:t>
      </w:r>
      <w:r w:rsidRPr="008D514E">
        <w:rPr>
          <w:rFonts w:ascii="Times New Roman" w:hAnsi="Times New Roman" w:cs="Times New Roman"/>
          <w:lang w:val="en-US"/>
        </w:rPr>
        <w:t>In October 2025, Italy's employment rate—defined by ISTAT as the ratio of employed individuals (aged 15–64) to the total population—continued its upward trend, reaching 62.7%. This represents the highest level recorded since the start of the current statistical series in 2004. In absolute terms, the number of employed persons rose to 24,208,000, reflecting a steady recovery and growth in the national labor market.</w:t>
      </w:r>
    </w:p>
    <w:p w14:paraId="520CB0D1" w14:textId="6FAD1E9D" w:rsidR="008D514E" w:rsidRPr="00893730" w:rsidRDefault="008D514E" w:rsidP="008D514E">
      <w:pPr>
        <w:pStyle w:val="FootnoteText"/>
        <w:jc w:val="both"/>
        <w:rPr>
          <w:rFonts w:ascii="Times New Roman" w:hAnsi="Times New Roman" w:cs="Times New Roman"/>
          <w:lang w:val="en-US"/>
        </w:rPr>
      </w:pPr>
    </w:p>
  </w:footnote>
  <w:footnote w:id="2">
    <w:p w14:paraId="061683E0" w14:textId="321641C6" w:rsidR="002519A8" w:rsidRPr="00EA0514" w:rsidRDefault="002519A8">
      <w:pPr>
        <w:pStyle w:val="FootnoteText"/>
        <w:rPr>
          <w:rFonts w:ascii="Times New Roman" w:hAnsi="Times New Roman" w:cs="Times New Roman"/>
          <w:lang w:val="en-US"/>
        </w:rPr>
      </w:pPr>
      <w:r w:rsidRPr="008A16F1">
        <w:rPr>
          <w:rStyle w:val="FootnoteReference"/>
          <w:rFonts w:ascii="Times New Roman" w:hAnsi="Times New Roman" w:cs="Times New Roman"/>
        </w:rPr>
        <w:footnoteRef/>
      </w:r>
      <w:r w:rsidRPr="00EA0514">
        <w:rPr>
          <w:rFonts w:ascii="Times New Roman" w:hAnsi="Times New Roman" w:cs="Times New Roman"/>
          <w:lang w:val="en-US"/>
        </w:rPr>
        <w:t xml:space="preserve"> </w:t>
      </w:r>
      <w:hyperlink r:id="rId1" w:history="1">
        <w:r w:rsidRPr="00EA0514">
          <w:rPr>
            <w:rStyle w:val="Hyperlink"/>
            <w:rFonts w:ascii="Times New Roman" w:hAnsi="Times New Roman" w:cs="Times New Roman"/>
            <w:lang w:val="en-US"/>
          </w:rPr>
          <w:t>https://ec.europa.eu/eurostat</w:t>
        </w:r>
      </w:hyperlink>
    </w:p>
  </w:footnote>
  <w:footnote w:id="3">
    <w:p w14:paraId="2D5AEF0F" w14:textId="3686DA43" w:rsidR="008A16F1" w:rsidRPr="00EA0514" w:rsidRDefault="008A16F1">
      <w:pPr>
        <w:pStyle w:val="FootnoteText"/>
        <w:rPr>
          <w:rFonts w:ascii="Times New Roman" w:hAnsi="Times New Roman" w:cs="Times New Roman"/>
          <w:lang w:val="en-US"/>
        </w:rPr>
      </w:pPr>
      <w:r w:rsidRPr="008A16F1">
        <w:rPr>
          <w:rStyle w:val="FootnoteReference"/>
          <w:rFonts w:ascii="Times New Roman" w:hAnsi="Times New Roman" w:cs="Times New Roman"/>
        </w:rPr>
        <w:footnoteRef/>
      </w:r>
      <w:r w:rsidRPr="00EA0514">
        <w:rPr>
          <w:rFonts w:ascii="Times New Roman" w:hAnsi="Times New Roman" w:cs="Times New Roman"/>
          <w:lang w:val="en-US"/>
        </w:rPr>
        <w:t xml:space="preserve"> </w:t>
      </w:r>
      <w:hyperlink r:id="rId2" w:history="1">
        <w:r w:rsidRPr="00EA0514">
          <w:rPr>
            <w:rStyle w:val="Hyperlink"/>
            <w:rFonts w:ascii="Times New Roman" w:hAnsi="Times New Roman" w:cs="Times New Roman"/>
            <w:lang w:val="en-US"/>
          </w:rPr>
          <w:t>https://www.istat.it/en/statistical-themes/education-and-labour/labour-and-wages/</w:t>
        </w:r>
      </w:hyperlink>
    </w:p>
    <w:p w14:paraId="4F1BFA41" w14:textId="77777777" w:rsidR="008A16F1" w:rsidRPr="00EA0514" w:rsidRDefault="008A16F1">
      <w:pPr>
        <w:pStyle w:val="FootnoteText"/>
        <w:rPr>
          <w:rFonts w:ascii="Times New Roman" w:hAnsi="Times New Roman" w:cs="Times New Roman"/>
          <w:lang w:val="en-US"/>
        </w:rPr>
      </w:pPr>
    </w:p>
  </w:footnote>
  <w:footnote w:id="4">
    <w:p w14:paraId="42D6DA2A" w14:textId="6CF7C08C" w:rsidR="00DC2EE8" w:rsidRPr="00DC2EE8" w:rsidRDefault="00DC2EE8" w:rsidP="0038369E">
      <w:pPr>
        <w:pStyle w:val="FootnoteText"/>
        <w:jc w:val="both"/>
        <w:rPr>
          <w:lang w:val="en-US"/>
        </w:rPr>
      </w:pPr>
      <w:r w:rsidRPr="00BC2A4B">
        <w:rPr>
          <w:rStyle w:val="FootnoteReference"/>
          <w:rFonts w:ascii="Times New Roman" w:hAnsi="Times New Roman" w:cs="Times New Roman"/>
        </w:rPr>
        <w:footnoteRef/>
      </w:r>
      <w:r w:rsidRPr="00BC2A4B">
        <w:rPr>
          <w:rFonts w:ascii="Times New Roman" w:hAnsi="Times New Roman" w:cs="Times New Roman"/>
          <w:lang w:val="en-US"/>
        </w:rPr>
        <w:t xml:space="preserve"> </w:t>
      </w:r>
      <w:r w:rsidRPr="00DC2EE8">
        <w:rPr>
          <w:rFonts w:ascii="Times New Roman" w:hAnsi="Times New Roman" w:cs="Times New Roman"/>
          <w:lang w:val="en-US"/>
        </w:rPr>
        <w:t>Over the past decade, more than one million residents have emigrated from Italy; approximately one-quarter of these individuals held a university degree, with a significant portion originating from the North. Those leaving are typically aged between 25 and 34, and nearly half of this specific age group possesses a bachelor's degree or a higher education qualification</w:t>
      </w:r>
      <w:r w:rsidR="00BC2A4B">
        <w:rPr>
          <w:rFonts w:ascii="Times New Roman" w:hAnsi="Times New Roman" w:cs="Times New Roman"/>
          <w:lang w:val="en-US"/>
        </w:rPr>
        <w:t xml:space="preserve"> (Schilirò, 2025).</w:t>
      </w:r>
    </w:p>
  </w:footnote>
  <w:footnote w:id="5">
    <w:p w14:paraId="17705A27" w14:textId="594952BB" w:rsidR="0038369E" w:rsidRPr="0038369E" w:rsidRDefault="0038369E">
      <w:pPr>
        <w:pStyle w:val="FootnoteText"/>
        <w:rPr>
          <w:rFonts w:ascii="Times New Roman" w:hAnsi="Times New Roman" w:cs="Times New Roman"/>
          <w:lang w:val="en-US"/>
        </w:rPr>
      </w:pPr>
      <w:r w:rsidRPr="0038369E">
        <w:rPr>
          <w:rStyle w:val="FootnoteReference"/>
          <w:rFonts w:ascii="Times New Roman" w:hAnsi="Times New Roman" w:cs="Times New Roman"/>
        </w:rPr>
        <w:footnoteRef/>
      </w:r>
      <w:r w:rsidRPr="0038369E">
        <w:rPr>
          <w:rFonts w:ascii="Times New Roman" w:hAnsi="Times New Roman" w:cs="Times New Roman"/>
          <w:lang w:val="en-US"/>
        </w:rPr>
        <w:t xml:space="preserve"> According to Eurostat, real household income per capita in Italy declined by 4% between 2004 and 2024, highlighting a two-decade trend of stagnating purchasing power.</w:t>
      </w:r>
    </w:p>
  </w:footnote>
  <w:footnote w:id="6">
    <w:p w14:paraId="3D137DC8" w14:textId="05AC410B" w:rsidR="001D772A" w:rsidRPr="001D772A" w:rsidRDefault="001D772A">
      <w:pPr>
        <w:pStyle w:val="FootnoteText"/>
        <w:rPr>
          <w:rFonts w:ascii="Times New Roman" w:hAnsi="Times New Roman" w:cs="Times New Roman"/>
          <w:lang w:val="en-US"/>
        </w:rPr>
      </w:pPr>
      <w:r w:rsidRPr="001D772A">
        <w:rPr>
          <w:rStyle w:val="FootnoteReference"/>
          <w:rFonts w:ascii="Times New Roman" w:hAnsi="Times New Roman" w:cs="Times New Roman"/>
        </w:rPr>
        <w:footnoteRef/>
      </w:r>
      <w:r w:rsidRPr="001D772A">
        <w:rPr>
          <w:rFonts w:ascii="Times New Roman" w:hAnsi="Times New Roman" w:cs="Times New Roman"/>
          <w:lang w:val="en-US"/>
        </w:rPr>
        <w:t xml:space="preserve"> As previously noted, Italy's low birth rate and aging workforce represent significant demographic headwinds, posing a critical risk to the long-term sustainability of the labor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C131" w14:textId="1E90E2B5" w:rsidR="00260695" w:rsidRDefault="00260695">
    <w:pPr>
      <w:pStyle w:val="Header"/>
    </w:pPr>
    <w:r>
      <w:rPr>
        <w:noProof/>
      </w:rPr>
      <w:pict w14:anchorId="18E4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13079"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8A92" w14:textId="01FE02AE" w:rsidR="00260695" w:rsidRDefault="00260695">
    <w:pPr>
      <w:pStyle w:val="Header"/>
    </w:pPr>
    <w:r>
      <w:rPr>
        <w:noProof/>
      </w:rPr>
      <w:pict w14:anchorId="5A978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13080"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E9C3" w14:textId="696950E0" w:rsidR="00260695" w:rsidRDefault="00260695">
    <w:pPr>
      <w:pStyle w:val="Header"/>
    </w:pPr>
    <w:r>
      <w:rPr>
        <w:noProof/>
      </w:rPr>
      <w:pict w14:anchorId="2F3A4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13078"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283"/>
    <w:multiLevelType w:val="hybridMultilevel"/>
    <w:tmpl w:val="A1188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C37E22"/>
    <w:multiLevelType w:val="multilevel"/>
    <w:tmpl w:val="5B4C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25FB6"/>
    <w:multiLevelType w:val="hybridMultilevel"/>
    <w:tmpl w:val="2B2C8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892737"/>
    <w:multiLevelType w:val="multilevel"/>
    <w:tmpl w:val="959894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D7"/>
    <w:rsid w:val="00001DD4"/>
    <w:rsid w:val="00022381"/>
    <w:rsid w:val="000278AD"/>
    <w:rsid w:val="0005294F"/>
    <w:rsid w:val="00063AAB"/>
    <w:rsid w:val="00065A31"/>
    <w:rsid w:val="00071470"/>
    <w:rsid w:val="000B1980"/>
    <w:rsid w:val="000B31FD"/>
    <w:rsid w:val="000D15FA"/>
    <w:rsid w:val="000E7E3F"/>
    <w:rsid w:val="000F50B4"/>
    <w:rsid w:val="0012198F"/>
    <w:rsid w:val="0016681D"/>
    <w:rsid w:val="00184701"/>
    <w:rsid w:val="001865C1"/>
    <w:rsid w:val="001C238B"/>
    <w:rsid w:val="001C3756"/>
    <w:rsid w:val="001D772A"/>
    <w:rsid w:val="001E77F8"/>
    <w:rsid w:val="001F1B2A"/>
    <w:rsid w:val="00205AAF"/>
    <w:rsid w:val="00217448"/>
    <w:rsid w:val="00225C6A"/>
    <w:rsid w:val="00237328"/>
    <w:rsid w:val="00242CB3"/>
    <w:rsid w:val="002519A8"/>
    <w:rsid w:val="0025578E"/>
    <w:rsid w:val="00260695"/>
    <w:rsid w:val="00297143"/>
    <w:rsid w:val="002C5E61"/>
    <w:rsid w:val="002D2851"/>
    <w:rsid w:val="002E6967"/>
    <w:rsid w:val="002F2924"/>
    <w:rsid w:val="00311D05"/>
    <w:rsid w:val="00317554"/>
    <w:rsid w:val="00337AAD"/>
    <w:rsid w:val="003552A9"/>
    <w:rsid w:val="0038369E"/>
    <w:rsid w:val="003B1AD4"/>
    <w:rsid w:val="003B20F1"/>
    <w:rsid w:val="003E056E"/>
    <w:rsid w:val="003E1106"/>
    <w:rsid w:val="004123D7"/>
    <w:rsid w:val="0042421C"/>
    <w:rsid w:val="00433F85"/>
    <w:rsid w:val="00434696"/>
    <w:rsid w:val="004462AD"/>
    <w:rsid w:val="00467832"/>
    <w:rsid w:val="00475D7A"/>
    <w:rsid w:val="004929ED"/>
    <w:rsid w:val="004A12BD"/>
    <w:rsid w:val="00510E96"/>
    <w:rsid w:val="005150CF"/>
    <w:rsid w:val="00543D61"/>
    <w:rsid w:val="00553964"/>
    <w:rsid w:val="005547EE"/>
    <w:rsid w:val="00565999"/>
    <w:rsid w:val="005807B5"/>
    <w:rsid w:val="005C6809"/>
    <w:rsid w:val="006139FA"/>
    <w:rsid w:val="00616DBF"/>
    <w:rsid w:val="00624C4D"/>
    <w:rsid w:val="00644079"/>
    <w:rsid w:val="006513DC"/>
    <w:rsid w:val="00660AFB"/>
    <w:rsid w:val="006806F7"/>
    <w:rsid w:val="00683BC4"/>
    <w:rsid w:val="006A3318"/>
    <w:rsid w:val="006E0BD8"/>
    <w:rsid w:val="006E3D79"/>
    <w:rsid w:val="006E4B8E"/>
    <w:rsid w:val="006F74F3"/>
    <w:rsid w:val="007209F3"/>
    <w:rsid w:val="0072536E"/>
    <w:rsid w:val="0074608F"/>
    <w:rsid w:val="00772AFD"/>
    <w:rsid w:val="00787310"/>
    <w:rsid w:val="007A09EC"/>
    <w:rsid w:val="007D1D26"/>
    <w:rsid w:val="007D2C7B"/>
    <w:rsid w:val="007F384C"/>
    <w:rsid w:val="008059C8"/>
    <w:rsid w:val="0081044C"/>
    <w:rsid w:val="00811FFE"/>
    <w:rsid w:val="00816E97"/>
    <w:rsid w:val="00820867"/>
    <w:rsid w:val="00823229"/>
    <w:rsid w:val="00840807"/>
    <w:rsid w:val="00841ED2"/>
    <w:rsid w:val="00842C4A"/>
    <w:rsid w:val="00893730"/>
    <w:rsid w:val="008A16F1"/>
    <w:rsid w:val="008B0013"/>
    <w:rsid w:val="008D514E"/>
    <w:rsid w:val="008E0DA1"/>
    <w:rsid w:val="008F2B27"/>
    <w:rsid w:val="008F37A2"/>
    <w:rsid w:val="009008A4"/>
    <w:rsid w:val="00910C55"/>
    <w:rsid w:val="009745F1"/>
    <w:rsid w:val="009903AF"/>
    <w:rsid w:val="009B4269"/>
    <w:rsid w:val="00A001F4"/>
    <w:rsid w:val="00A139A3"/>
    <w:rsid w:val="00A16535"/>
    <w:rsid w:val="00A16A49"/>
    <w:rsid w:val="00A20D23"/>
    <w:rsid w:val="00A30F78"/>
    <w:rsid w:val="00A65DD7"/>
    <w:rsid w:val="00AD3BC0"/>
    <w:rsid w:val="00B05110"/>
    <w:rsid w:val="00B1586A"/>
    <w:rsid w:val="00B61F1C"/>
    <w:rsid w:val="00B7027C"/>
    <w:rsid w:val="00B76EC0"/>
    <w:rsid w:val="00BA22E9"/>
    <w:rsid w:val="00BB704B"/>
    <w:rsid w:val="00BC2A4B"/>
    <w:rsid w:val="00BC2AD1"/>
    <w:rsid w:val="00BC5F75"/>
    <w:rsid w:val="00BE10F5"/>
    <w:rsid w:val="00C04B03"/>
    <w:rsid w:val="00C054C7"/>
    <w:rsid w:val="00C07F23"/>
    <w:rsid w:val="00C37516"/>
    <w:rsid w:val="00C94F9C"/>
    <w:rsid w:val="00CA6715"/>
    <w:rsid w:val="00CB0F2D"/>
    <w:rsid w:val="00CB2D28"/>
    <w:rsid w:val="00CE08E7"/>
    <w:rsid w:val="00CE3FA9"/>
    <w:rsid w:val="00CF291D"/>
    <w:rsid w:val="00D3724F"/>
    <w:rsid w:val="00D46A8E"/>
    <w:rsid w:val="00D61994"/>
    <w:rsid w:val="00D91879"/>
    <w:rsid w:val="00D95951"/>
    <w:rsid w:val="00DA457A"/>
    <w:rsid w:val="00DA5F5E"/>
    <w:rsid w:val="00DC2EE8"/>
    <w:rsid w:val="00DD06B5"/>
    <w:rsid w:val="00DE69B3"/>
    <w:rsid w:val="00DF1747"/>
    <w:rsid w:val="00E11855"/>
    <w:rsid w:val="00E239EE"/>
    <w:rsid w:val="00E23A6C"/>
    <w:rsid w:val="00E90539"/>
    <w:rsid w:val="00E93505"/>
    <w:rsid w:val="00EA0514"/>
    <w:rsid w:val="00EA054B"/>
    <w:rsid w:val="00EA2436"/>
    <w:rsid w:val="00ED34EF"/>
    <w:rsid w:val="00ED5C5A"/>
    <w:rsid w:val="00EE0B39"/>
    <w:rsid w:val="00EE7877"/>
    <w:rsid w:val="00F121BB"/>
    <w:rsid w:val="00F12A82"/>
    <w:rsid w:val="00F13A65"/>
    <w:rsid w:val="00F41953"/>
    <w:rsid w:val="00F41A64"/>
    <w:rsid w:val="00F5178C"/>
    <w:rsid w:val="00F53811"/>
    <w:rsid w:val="00F72274"/>
    <w:rsid w:val="00FB0B26"/>
    <w:rsid w:val="00FF47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DD3E3"/>
  <w15:chartTrackingRefBased/>
  <w15:docId w15:val="{BD2047A9-E0B8-47D0-9139-5C782296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6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DD7"/>
    <w:rPr>
      <w:rFonts w:eastAsiaTheme="majorEastAsia" w:cstheme="majorBidi"/>
      <w:color w:val="272727" w:themeColor="text1" w:themeTint="D8"/>
    </w:rPr>
  </w:style>
  <w:style w:type="paragraph" w:styleId="Title">
    <w:name w:val="Title"/>
    <w:basedOn w:val="Normal"/>
    <w:next w:val="Normal"/>
    <w:link w:val="TitleChar"/>
    <w:uiPriority w:val="10"/>
    <w:qFormat/>
    <w:rsid w:val="00A6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DD7"/>
    <w:pPr>
      <w:spacing w:before="160"/>
      <w:jc w:val="center"/>
    </w:pPr>
    <w:rPr>
      <w:i/>
      <w:iCs/>
      <w:color w:val="404040" w:themeColor="text1" w:themeTint="BF"/>
    </w:rPr>
  </w:style>
  <w:style w:type="character" w:customStyle="1" w:styleId="QuoteChar">
    <w:name w:val="Quote Char"/>
    <w:basedOn w:val="DefaultParagraphFont"/>
    <w:link w:val="Quote"/>
    <w:uiPriority w:val="29"/>
    <w:rsid w:val="00A65DD7"/>
    <w:rPr>
      <w:i/>
      <w:iCs/>
      <w:color w:val="404040" w:themeColor="text1" w:themeTint="BF"/>
    </w:rPr>
  </w:style>
  <w:style w:type="paragraph" w:styleId="ListParagraph">
    <w:name w:val="List Paragraph"/>
    <w:basedOn w:val="Normal"/>
    <w:uiPriority w:val="34"/>
    <w:qFormat/>
    <w:rsid w:val="00A65DD7"/>
    <w:pPr>
      <w:ind w:left="720"/>
      <w:contextualSpacing/>
    </w:pPr>
  </w:style>
  <w:style w:type="character" w:styleId="IntenseEmphasis">
    <w:name w:val="Intense Emphasis"/>
    <w:basedOn w:val="DefaultParagraphFont"/>
    <w:uiPriority w:val="21"/>
    <w:qFormat/>
    <w:rsid w:val="00A65DD7"/>
    <w:rPr>
      <w:i/>
      <w:iCs/>
      <w:color w:val="2F5496" w:themeColor="accent1" w:themeShade="BF"/>
    </w:rPr>
  </w:style>
  <w:style w:type="paragraph" w:styleId="IntenseQuote">
    <w:name w:val="Intense Quote"/>
    <w:basedOn w:val="Normal"/>
    <w:next w:val="Normal"/>
    <w:link w:val="IntenseQuoteChar"/>
    <w:uiPriority w:val="30"/>
    <w:qFormat/>
    <w:rsid w:val="00A6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DD7"/>
    <w:rPr>
      <w:i/>
      <w:iCs/>
      <w:color w:val="2F5496" w:themeColor="accent1" w:themeShade="BF"/>
    </w:rPr>
  </w:style>
  <w:style w:type="character" w:styleId="IntenseReference">
    <w:name w:val="Intense Reference"/>
    <w:basedOn w:val="DefaultParagraphFont"/>
    <w:uiPriority w:val="32"/>
    <w:qFormat/>
    <w:rsid w:val="00A65DD7"/>
    <w:rPr>
      <w:b/>
      <w:bCs/>
      <w:smallCaps/>
      <w:color w:val="2F5496" w:themeColor="accent1" w:themeShade="BF"/>
      <w:spacing w:val="5"/>
    </w:rPr>
  </w:style>
  <w:style w:type="paragraph" w:styleId="Header">
    <w:name w:val="header"/>
    <w:basedOn w:val="Normal"/>
    <w:link w:val="HeaderChar"/>
    <w:uiPriority w:val="99"/>
    <w:unhideWhenUsed/>
    <w:rsid w:val="001F1B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1B2A"/>
  </w:style>
  <w:style w:type="paragraph" w:styleId="Footer">
    <w:name w:val="footer"/>
    <w:basedOn w:val="Normal"/>
    <w:link w:val="FooterChar"/>
    <w:uiPriority w:val="99"/>
    <w:unhideWhenUsed/>
    <w:rsid w:val="001F1B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1B2A"/>
  </w:style>
  <w:style w:type="paragraph" w:styleId="NormalWeb">
    <w:name w:val="Normal (Web)"/>
    <w:basedOn w:val="Normal"/>
    <w:uiPriority w:val="99"/>
    <w:semiHidden/>
    <w:unhideWhenUsed/>
    <w:rsid w:val="007D1D26"/>
    <w:rPr>
      <w:rFonts w:ascii="Times New Roman" w:hAnsi="Times New Roman" w:cs="Times New Roman"/>
      <w:sz w:val="24"/>
      <w:szCs w:val="24"/>
    </w:rPr>
  </w:style>
  <w:style w:type="character" w:styleId="Hyperlink">
    <w:name w:val="Hyperlink"/>
    <w:basedOn w:val="DefaultParagraphFont"/>
    <w:uiPriority w:val="99"/>
    <w:unhideWhenUsed/>
    <w:rsid w:val="00EE0B39"/>
    <w:rPr>
      <w:color w:val="0563C1" w:themeColor="hyperlink"/>
      <w:u w:val="single"/>
    </w:rPr>
  </w:style>
  <w:style w:type="character" w:styleId="UnresolvedMention">
    <w:name w:val="Unresolved Mention"/>
    <w:basedOn w:val="DefaultParagraphFont"/>
    <w:uiPriority w:val="99"/>
    <w:semiHidden/>
    <w:unhideWhenUsed/>
    <w:rsid w:val="00EE0B39"/>
    <w:rPr>
      <w:color w:val="605E5C"/>
      <w:shd w:val="clear" w:color="auto" w:fill="E1DFDD"/>
    </w:rPr>
  </w:style>
  <w:style w:type="paragraph" w:styleId="FootnoteText">
    <w:name w:val="footnote text"/>
    <w:basedOn w:val="Normal"/>
    <w:link w:val="FootnoteTextChar"/>
    <w:uiPriority w:val="99"/>
    <w:unhideWhenUsed/>
    <w:rsid w:val="002519A8"/>
    <w:pPr>
      <w:spacing w:after="0" w:line="240" w:lineRule="auto"/>
    </w:pPr>
    <w:rPr>
      <w:sz w:val="20"/>
      <w:szCs w:val="20"/>
    </w:rPr>
  </w:style>
  <w:style w:type="character" w:customStyle="1" w:styleId="FootnoteTextChar">
    <w:name w:val="Footnote Text Char"/>
    <w:basedOn w:val="DefaultParagraphFont"/>
    <w:link w:val="FootnoteText"/>
    <w:uiPriority w:val="99"/>
    <w:rsid w:val="002519A8"/>
    <w:rPr>
      <w:sz w:val="20"/>
      <w:szCs w:val="20"/>
    </w:rPr>
  </w:style>
  <w:style w:type="character" w:styleId="FootnoteReference">
    <w:name w:val="footnote reference"/>
    <w:basedOn w:val="DefaultParagraphFont"/>
    <w:uiPriority w:val="99"/>
    <w:semiHidden/>
    <w:unhideWhenUsed/>
    <w:rsid w:val="00251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abeco.2019.03.007" TargetMode="External"/><Relationship Id="rId18" Type="http://schemas.openxmlformats.org/officeDocument/2006/relationships/hyperlink" Target="https://doi.org/10.1086/261420" TargetMode="External"/><Relationship Id="rId26" Type="http://schemas.openxmlformats.org/officeDocument/2006/relationships/hyperlink" Target="https://www.ibs.it/sindacati-inflazione-produttivita-libro-paolo-sylos-labini/e/9788842007900" TargetMode="External"/><Relationship Id="rId3" Type="http://schemas.openxmlformats.org/officeDocument/2006/relationships/styles" Target="styles.xml"/><Relationship Id="rId21" Type="http://schemas.openxmlformats.org/officeDocument/2006/relationships/hyperlink" Target="http://ijbmer.com/docs/volumes/vol16issue1/ijbmer202516010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257/aer.103.5.1553" TargetMode="External"/><Relationship Id="rId17" Type="http://schemas.openxmlformats.org/officeDocument/2006/relationships/hyperlink" Target="https://doi.org/10.1007/s40821-017-0100-x" TargetMode="External"/><Relationship Id="rId25" Type="http://schemas.openxmlformats.org/officeDocument/2006/relationships/hyperlink" Target="https://doi.org/10.13133/2037-3651/1249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wles.yale.edu/publications/cfp/cfp190" TargetMode="External"/><Relationship Id="rId20" Type="http://schemas.openxmlformats.org/officeDocument/2006/relationships/hyperlink" Target="https://ijbmer.com/vol14issue2.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6/w30074" TargetMode="External"/><Relationship Id="rId24" Type="http://schemas.openxmlformats.org/officeDocument/2006/relationships/hyperlink" Target="https://www.penguin.co.uk/books/111/1118800/a-world-without-work.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lcorriereblog.it/2025/11/08/dilemma-salari-in%20italia/" TargetMode="External"/><Relationship Id="rId23" Type="http://schemas.openxmlformats.org/officeDocument/2006/relationships/hyperlink" Target="https://doi.org/10.2307/1926047" TargetMode="External"/><Relationship Id="rId28" Type="http://schemas.openxmlformats.org/officeDocument/2006/relationships/header" Target="header2.xml"/><Relationship Id="rId10" Type="http://schemas.openxmlformats.org/officeDocument/2006/relationships/hyperlink" Target="https://doi.org/10.3386/w16082" TargetMode="External"/><Relationship Id="rId19" Type="http://schemas.openxmlformats.org/officeDocument/2006/relationships/hyperlink" Target="https://doi.org/10.1086/26172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186/s40173-018-0096-6" TargetMode="External"/><Relationship Id="rId22" Type="http://schemas.openxmlformats.org/officeDocument/2006/relationships/hyperlink" Target="https://doi.org/10.2307/188451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istat.it/en/statistical-themes/education-and-labour/labour-and-wages/" TargetMode="External"/><Relationship Id="rId1" Type="http://schemas.openxmlformats.org/officeDocument/2006/relationships/hyperlink" Target="https://ec.europa.eu/eurosta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9E11-CAD5-43FC-84B1-993EC830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4969</Words>
  <Characters>28328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Schilirò</dc:creator>
  <cp:keywords/>
  <dc:description/>
  <cp:lastModifiedBy>SDI 1180</cp:lastModifiedBy>
  <cp:revision>38</cp:revision>
  <cp:lastPrinted>2025-12-29T14:26:00Z</cp:lastPrinted>
  <dcterms:created xsi:type="dcterms:W3CDTF">2025-12-30T09:33:00Z</dcterms:created>
  <dcterms:modified xsi:type="dcterms:W3CDTF">2025-12-31T07:09:00Z</dcterms:modified>
</cp:coreProperties>
</file>