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EED4D2" w14:textId="71AD3CA7" w:rsidR="12FAEF7C" w:rsidRDefault="12FAEF7C" w:rsidP="7D48C45B">
      <w:pPr>
        <w:jc w:val="center"/>
      </w:pPr>
      <w:r w:rsidRPr="7D48C45B">
        <w:rPr>
          <w:rFonts w:ascii="Times New Roman" w:eastAsia="Times New Roman" w:hAnsi="Times New Roman" w:cs="Times New Roman"/>
          <w:b/>
          <w:bCs/>
          <w:sz w:val="32"/>
          <w:szCs w:val="32"/>
        </w:rPr>
        <w:t>Global Talent Mobility Barriers: The Plight of Indian IT Experts in International Markets</w:t>
      </w:r>
      <w:r w:rsidRPr="7D48C45B">
        <w:rPr>
          <w:rFonts w:ascii="Times New Roman" w:eastAsia="Times New Roman" w:hAnsi="Times New Roman" w:cs="Times New Roman"/>
          <w:sz w:val="32"/>
          <w:szCs w:val="32"/>
        </w:rPr>
        <w:t xml:space="preserve"> </w:t>
      </w:r>
    </w:p>
    <w:p w14:paraId="405E8714" w14:textId="3C2B23EA" w:rsidR="1AC934C2" w:rsidRDefault="1AC934C2" w:rsidP="1AC934C2">
      <w:pPr>
        <w:jc w:val="center"/>
        <w:rPr>
          <w:rFonts w:ascii="Times New Roman" w:eastAsia="Times New Roman" w:hAnsi="Times New Roman" w:cs="Times New Roman"/>
          <w:b/>
          <w:bCs/>
          <w:sz w:val="32"/>
          <w:szCs w:val="32"/>
        </w:rPr>
      </w:pPr>
    </w:p>
    <w:p w14:paraId="61E8E8B2" w14:textId="7973274E" w:rsidR="3CE65C0D" w:rsidRDefault="3CE65C0D" w:rsidP="107608BC">
      <w:pPr>
        <w:rPr>
          <w:rFonts w:ascii="Times New Roman" w:eastAsia="Times New Roman" w:hAnsi="Times New Roman" w:cs="Times New Roman"/>
          <w:b/>
          <w:bCs/>
          <w:sz w:val="28"/>
          <w:szCs w:val="28"/>
        </w:rPr>
      </w:pPr>
      <w:bookmarkStart w:id="0" w:name="_GoBack"/>
      <w:bookmarkEnd w:id="0"/>
      <w:r w:rsidRPr="67A47860">
        <w:rPr>
          <w:rFonts w:ascii="Times New Roman" w:eastAsia="Times New Roman" w:hAnsi="Times New Roman" w:cs="Times New Roman"/>
          <w:b/>
          <w:bCs/>
          <w:sz w:val="28"/>
          <w:szCs w:val="28"/>
        </w:rPr>
        <w:t xml:space="preserve">Abstract: </w:t>
      </w:r>
    </w:p>
    <w:p w14:paraId="69CEF5ED" w14:textId="32E28F9A" w:rsidR="13A0BBCA" w:rsidRDefault="759A493E" w:rsidP="67A47860">
      <w:pPr>
        <w:jc w:val="both"/>
        <w:rPr>
          <w:rFonts w:ascii="Times New Roman" w:eastAsia="Times New Roman" w:hAnsi="Times New Roman" w:cs="Times New Roman"/>
        </w:rPr>
      </w:pPr>
      <w:r w:rsidRPr="67A47860">
        <w:rPr>
          <w:rFonts w:ascii="Times New Roman" w:eastAsia="Times New Roman" w:hAnsi="Times New Roman" w:cs="Times New Roman"/>
        </w:rPr>
        <w:t>This research explores the impact of limitations on talent mobility on the career growth and employment stability of Indian IT professionals in international job markets</w:t>
      </w:r>
      <w:r w:rsidR="13A0BBCA" w:rsidRPr="67A47860">
        <w:rPr>
          <w:rFonts w:ascii="Times New Roman" w:eastAsia="Times New Roman" w:hAnsi="Times New Roman" w:cs="Times New Roman"/>
        </w:rPr>
        <w:t>. In recent years, changing immigration policies, stricter visa regulations, and geopolitical trade tensions have created new barriers for cross-border employment. Reports from NASSCOM and USCIS indicate a sharp rise in work visa rejections for Indian applicants, particularly in the United States, which traditionally employs the largest share of Indian tech workers. These mobility constraints not only delay onsite deployments but also limit skill exposure, salary growth, and global career advancement. At the organizational level, multinational IT firms face higher project costs, delayed deliveries, and increased dependence on remote or local hiring. While mobility restrictions pose significant challenges, they have also accelerated the adoption of hybrid work models and cross-border virtual collaboration. This study highlights the need for strategic HR responses to maintain workforce competitiveness amid evolving global regulations.</w:t>
      </w:r>
    </w:p>
    <w:p w14:paraId="526F5375" w14:textId="39F9AA62" w:rsidR="5841673C" w:rsidRDefault="5841673C" w:rsidP="107608BC">
      <w:pPr>
        <w:jc w:val="both"/>
        <w:rPr>
          <w:rFonts w:ascii="Times New Roman" w:eastAsia="Times New Roman" w:hAnsi="Times New Roman" w:cs="Times New Roman"/>
        </w:rPr>
      </w:pPr>
      <w:r w:rsidRPr="67A47860">
        <w:rPr>
          <w:rFonts w:ascii="Times New Roman" w:eastAsia="Times New Roman" w:hAnsi="Times New Roman" w:cs="Times New Roman"/>
          <w:b/>
          <w:bCs/>
        </w:rPr>
        <w:t xml:space="preserve">Keywords: </w:t>
      </w:r>
      <w:r w:rsidR="4ADBAEE8" w:rsidRPr="67A47860">
        <w:rPr>
          <w:rFonts w:ascii="Times New Roman" w:eastAsia="Times New Roman" w:hAnsi="Times New Roman" w:cs="Times New Roman"/>
        </w:rPr>
        <w:t>Talent Mobility, Visa Restrictions, Indian IT Professionals, Global Employment, Workforce Retention</w:t>
      </w:r>
    </w:p>
    <w:p w14:paraId="7A8AB5CA" w14:textId="2BAA15B8" w:rsidR="0DC08633" w:rsidRDefault="0DC08633" w:rsidP="0DC08633">
      <w:pPr>
        <w:jc w:val="both"/>
        <w:rPr>
          <w:rFonts w:ascii="Times New Roman" w:eastAsia="Times New Roman" w:hAnsi="Times New Roman" w:cs="Times New Roman"/>
          <w:b/>
          <w:bCs/>
          <w:sz w:val="28"/>
          <w:szCs w:val="28"/>
        </w:rPr>
      </w:pPr>
    </w:p>
    <w:p w14:paraId="1A42D4DC" w14:textId="6408B5D4" w:rsidR="1AC934C2" w:rsidRDefault="1AC934C2" w:rsidP="1AC934C2">
      <w:pPr>
        <w:jc w:val="both"/>
        <w:rPr>
          <w:rFonts w:ascii="Times New Roman" w:eastAsia="Times New Roman" w:hAnsi="Times New Roman" w:cs="Times New Roman"/>
          <w:b/>
          <w:bCs/>
          <w:sz w:val="28"/>
          <w:szCs w:val="28"/>
        </w:rPr>
      </w:pPr>
    </w:p>
    <w:p w14:paraId="1AB7E58D" w14:textId="09AB571E" w:rsidR="107608BC" w:rsidRDefault="107608BC" w:rsidP="107608BC">
      <w:pPr>
        <w:jc w:val="both"/>
        <w:rPr>
          <w:rFonts w:ascii="Times New Roman" w:eastAsia="Times New Roman" w:hAnsi="Times New Roman" w:cs="Times New Roman"/>
          <w:b/>
          <w:bCs/>
        </w:rPr>
      </w:pPr>
      <w:r w:rsidRPr="67A47860">
        <w:rPr>
          <w:rFonts w:ascii="Times New Roman" w:eastAsia="Times New Roman" w:hAnsi="Times New Roman" w:cs="Times New Roman"/>
          <w:b/>
          <w:bCs/>
          <w:sz w:val="28"/>
          <w:szCs w:val="28"/>
        </w:rPr>
        <w:t xml:space="preserve">1. </w:t>
      </w:r>
      <w:r w:rsidR="4ADBAEE8" w:rsidRPr="67A47860">
        <w:rPr>
          <w:rFonts w:ascii="Times New Roman" w:eastAsia="Times New Roman" w:hAnsi="Times New Roman" w:cs="Times New Roman"/>
          <w:b/>
          <w:bCs/>
          <w:sz w:val="28"/>
          <w:szCs w:val="28"/>
        </w:rPr>
        <w:t xml:space="preserve">Introduction: </w:t>
      </w:r>
    </w:p>
    <w:p w14:paraId="335128F6" w14:textId="4D557C97" w:rsidR="309E8173" w:rsidRDefault="309E8173" w:rsidP="107608BC">
      <w:pPr>
        <w:jc w:val="both"/>
        <w:rPr>
          <w:rFonts w:ascii="Times New Roman" w:eastAsia="Times New Roman" w:hAnsi="Times New Roman" w:cs="Times New Roman"/>
        </w:rPr>
      </w:pPr>
      <w:r w:rsidRPr="67A47860">
        <w:rPr>
          <w:rFonts w:ascii="Times New Roman" w:eastAsia="Times New Roman" w:hAnsi="Times New Roman" w:cs="Times New Roman"/>
        </w:rPr>
        <w:t xml:space="preserve">The global landscape of the Information Technology (IT) sector has been fundamentally </w:t>
      </w:r>
      <w:r w:rsidR="45337BFC" w:rsidRPr="67A47860">
        <w:rPr>
          <w:rFonts w:ascii="Times New Roman" w:eastAsia="Times New Roman" w:hAnsi="Times New Roman" w:cs="Times New Roman"/>
        </w:rPr>
        <w:t xml:space="preserve">     </w:t>
      </w:r>
      <w:r w:rsidRPr="67A47860">
        <w:rPr>
          <w:rFonts w:ascii="Times New Roman" w:eastAsia="Times New Roman" w:hAnsi="Times New Roman" w:cs="Times New Roman"/>
        </w:rPr>
        <w:t>shaped by the international flow of skilled human capital, with Indian IT professionals forming the cornerstone of this transnational workforce. For decades, the Indian IT industry's success has been intrinsically linked to an operating model that leverages cost-effective talent by placing highly skilled personnel at client locations across the United States, Europe, and other major markets. This model, often facilitated by temporary work visas such as the US H-1B and L-1 programs, has not only driven significant revenue for Indian IT giants but also played a crucial role in filling persistent skills gaps and fueling innovation in destination economies, notably Silicon Valley.</w:t>
      </w:r>
    </w:p>
    <w:p w14:paraId="116142A7" w14:textId="356DD820" w:rsidR="309E8173" w:rsidRDefault="309E8173" w:rsidP="107608BC">
      <w:pPr>
        <w:jc w:val="both"/>
        <w:rPr>
          <w:rFonts w:ascii="Times New Roman" w:eastAsia="Times New Roman" w:hAnsi="Times New Roman" w:cs="Times New Roman"/>
        </w:rPr>
      </w:pPr>
      <w:r w:rsidRPr="67A47860">
        <w:rPr>
          <w:rFonts w:ascii="Times New Roman" w:eastAsia="Times New Roman" w:hAnsi="Times New Roman" w:cs="Times New Roman"/>
        </w:rPr>
        <w:t xml:space="preserve">In recent years, however, this symbiotic relationship has encountered substantial friction due to a rise in geopolitical protectionism and the subsequent tightening of talent mobility restrictions in key host countries. New visa policies—characterized by significantly increased application fees, stringent eligibility criteria, heightened scrutiny of petitions, and prolonged processing times—are explicitly designed to prioritize domestic employment. This regulatory shift acts as a major </w:t>
      </w:r>
      <w:r w:rsidRPr="67A47860">
        <w:rPr>
          <w:rFonts w:ascii="Times New Roman" w:eastAsia="Times New Roman" w:hAnsi="Times New Roman" w:cs="Times New Roman"/>
        </w:rPr>
        <w:lastRenderedPageBreak/>
        <w:t>impediment to the essential on-site component of the Indian IT service delivery model, disrupting the career trajectories of thousands of professionals and increasing operational costs for multinational corporations. The challenge is no longer merely administrative but has become a critical strategic hurdle that redefines how global IT business is conducted.</w:t>
      </w:r>
    </w:p>
    <w:p w14:paraId="3D9DEFD3" w14:textId="24B0CAEB" w:rsidR="309E8173" w:rsidRDefault="309E8173" w:rsidP="107608BC">
      <w:pPr>
        <w:spacing w:before="240" w:after="240"/>
        <w:jc w:val="both"/>
        <w:rPr>
          <w:rFonts w:ascii="Times New Roman" w:eastAsia="Times New Roman" w:hAnsi="Times New Roman" w:cs="Times New Roman"/>
        </w:rPr>
      </w:pPr>
      <w:r w:rsidRPr="67A47860">
        <w:rPr>
          <w:rFonts w:ascii="Times New Roman" w:eastAsia="Times New Roman" w:hAnsi="Times New Roman" w:cs="Times New Roman"/>
        </w:rPr>
        <w:t>The escalating restrictions have profound implications that extend beyond immediate business concerns. On an individual level, Indian IT professionals face heightened uncertainty, career stagnation, and emotional strain due to family separation and the effective "golden handcuffs" of visa dependence. On an industry level, the constraints are accelerating a strategic pivot. Indian firms are compelled to shift more work offshore to their Global Capability Centers (GCCs) in India, invest more heavily in local hiring and reskilling programs in the host countries, and focus on delivering high-value work and product development rather than staff augmentation. This research, therefore, aims to analyze the direct and indirect impacts of these escalating talent mobility restrictions on the professional landscape of the Indian IT workforce and the future competitive model of the sector in the global arena.</w:t>
      </w:r>
    </w:p>
    <w:p w14:paraId="68AACF40" w14:textId="13DB666A" w:rsidR="7A55BCD4" w:rsidRDefault="7A55BCD4" w:rsidP="107608BC">
      <w:pPr>
        <w:spacing w:before="240" w:after="240"/>
        <w:jc w:val="both"/>
        <w:rPr>
          <w:rFonts w:ascii="Times New Roman" w:eastAsia="Times New Roman" w:hAnsi="Times New Roman" w:cs="Times New Roman"/>
          <w:b/>
          <w:bCs/>
          <w:sz w:val="28"/>
          <w:szCs w:val="28"/>
        </w:rPr>
      </w:pPr>
      <w:r w:rsidRPr="67A47860">
        <w:rPr>
          <w:rFonts w:ascii="Times New Roman" w:eastAsia="Times New Roman" w:hAnsi="Times New Roman" w:cs="Times New Roman"/>
          <w:b/>
          <w:bCs/>
          <w:sz w:val="28"/>
          <w:szCs w:val="28"/>
        </w:rPr>
        <w:t xml:space="preserve">1.1 </w:t>
      </w:r>
      <w:r w:rsidR="351C230A" w:rsidRPr="67A47860">
        <w:rPr>
          <w:rFonts w:ascii="Times New Roman" w:eastAsia="Times New Roman" w:hAnsi="Times New Roman" w:cs="Times New Roman"/>
          <w:b/>
          <w:bCs/>
          <w:sz w:val="28"/>
          <w:szCs w:val="28"/>
        </w:rPr>
        <w:t>Talent Mobility</w:t>
      </w:r>
    </w:p>
    <w:p w14:paraId="2F483AB6" w14:textId="44C1C611" w:rsidR="3391C7E9" w:rsidRDefault="3391C7E9" w:rsidP="67A47860">
      <w:pPr>
        <w:spacing w:before="240" w:after="240"/>
        <w:jc w:val="both"/>
        <w:rPr>
          <w:rFonts w:ascii="Times New Roman" w:eastAsia="Times New Roman" w:hAnsi="Times New Roman" w:cs="Times New Roman"/>
        </w:rPr>
      </w:pPr>
      <w:r w:rsidRPr="67A47860">
        <w:rPr>
          <w:rFonts w:ascii="Times New Roman" w:eastAsia="Times New Roman" w:hAnsi="Times New Roman" w:cs="Times New Roman"/>
        </w:rPr>
        <w:t xml:space="preserve">Talent mobility refers to the ease with which skilled employees can move across roles, organizations, or international borders to pursue professional growth and contribute to global business operations. </w:t>
      </w:r>
      <w:r w:rsidR="2097B070" w:rsidRPr="67A47860">
        <w:rPr>
          <w:rFonts w:ascii="Times New Roman" w:eastAsia="Times New Roman" w:hAnsi="Times New Roman" w:cs="Times New Roman"/>
        </w:rPr>
        <w:t>The movement of individuals across nations or regions serves as a key channel for the global exchange of knowledge, skills, and technological innovation</w:t>
      </w:r>
      <w:r w:rsidR="55492A28" w:rsidRPr="67A47860">
        <w:rPr>
          <w:rFonts w:ascii="Times New Roman" w:eastAsia="Times New Roman" w:hAnsi="Times New Roman" w:cs="Times New Roman"/>
        </w:rPr>
        <w:t xml:space="preserve"> </w:t>
      </w:r>
      <w:r w:rsidR="55492A28" w:rsidRPr="67A47860">
        <w:rPr>
          <w:rFonts w:ascii="Times New Roman" w:eastAsia="Times New Roman" w:hAnsi="Times New Roman" w:cs="Times New Roman"/>
          <w:b/>
          <w:bCs/>
        </w:rPr>
        <w:t>(Bao, Zhao, Li, &amp; Li, 2023)</w:t>
      </w:r>
      <w:r w:rsidR="45B979DF" w:rsidRPr="67A47860">
        <w:rPr>
          <w:rFonts w:ascii="Times New Roman" w:eastAsia="Times New Roman" w:hAnsi="Times New Roman" w:cs="Times New Roman"/>
        </w:rPr>
        <w:t>.</w:t>
      </w:r>
      <w:r w:rsidR="6CA1B4FF" w:rsidRPr="67A47860">
        <w:rPr>
          <w:rFonts w:ascii="Times New Roman" w:eastAsia="Times New Roman" w:hAnsi="Times New Roman" w:cs="Times New Roman"/>
        </w:rPr>
        <w:t xml:space="preserve"> According to the OECD (2023), around 5.1 million highly skilled professionals relocate each year to work in different countries, with Indian IT specialists forming a significant part of this mobile workforce. </w:t>
      </w:r>
      <w:r w:rsidR="11EEF4C4" w:rsidRPr="67A47860">
        <w:rPr>
          <w:rFonts w:ascii="Times New Roman" w:eastAsia="Times New Roman" w:hAnsi="Times New Roman" w:cs="Times New Roman"/>
        </w:rPr>
        <w:t>Global mobility is growing, in part because a globally mobile talent pool offers more functional flexibility, the chance to train employees, and the ability to share best practices across international business units</w:t>
      </w:r>
      <w:r w:rsidR="4E662D0B" w:rsidRPr="67A47860">
        <w:rPr>
          <w:rFonts w:ascii="Times New Roman" w:eastAsia="Times New Roman" w:hAnsi="Times New Roman" w:cs="Times New Roman"/>
          <w:b/>
          <w:bCs/>
        </w:rPr>
        <w:t xml:space="preserve"> (Tansley &amp; Kirk, 2018)</w:t>
      </w:r>
      <w:r w:rsidR="4E662D0B" w:rsidRPr="67A47860">
        <w:rPr>
          <w:rFonts w:ascii="Times New Roman" w:eastAsia="Times New Roman" w:hAnsi="Times New Roman" w:cs="Times New Roman"/>
        </w:rPr>
        <w:t xml:space="preserve">. </w:t>
      </w:r>
      <w:r w:rsidR="7A765120" w:rsidRPr="67A47860">
        <w:rPr>
          <w:rFonts w:ascii="Times New Roman" w:eastAsia="Times New Roman" w:hAnsi="Times New Roman" w:cs="Times New Roman"/>
        </w:rPr>
        <w:t xml:space="preserve">However, evolving immigration rules, geopolitical tensions, and economic uncertainties have started to restrict such movement, particularly in technology-driven industries. Despite these challenges, the rise of remote work and digital platforms has given new meaning to mobility, allowing professionals to collaborate globally without relocation. This shift highlights a transformation from traditional physical mobility to virtual talent mobility, which is reshaping how organizations access and manage talent across borders. </w:t>
      </w:r>
    </w:p>
    <w:p w14:paraId="5688BB14" w14:textId="03FDEC9E" w:rsidR="37E9055D" w:rsidRDefault="37E9055D" w:rsidP="107608BC">
      <w:pPr>
        <w:spacing w:before="240" w:after="240"/>
        <w:jc w:val="both"/>
        <w:rPr>
          <w:rFonts w:ascii="Times New Roman" w:eastAsia="Times New Roman" w:hAnsi="Times New Roman" w:cs="Times New Roman"/>
          <w:b/>
          <w:bCs/>
          <w:sz w:val="28"/>
          <w:szCs w:val="28"/>
        </w:rPr>
      </w:pPr>
      <w:r w:rsidRPr="67A47860">
        <w:rPr>
          <w:rFonts w:ascii="Times New Roman" w:eastAsia="Times New Roman" w:hAnsi="Times New Roman" w:cs="Times New Roman"/>
          <w:b/>
          <w:bCs/>
          <w:sz w:val="28"/>
          <w:szCs w:val="28"/>
        </w:rPr>
        <w:t xml:space="preserve">1.2 </w:t>
      </w:r>
      <w:r w:rsidR="67EB5DE6" w:rsidRPr="67A47860">
        <w:rPr>
          <w:rFonts w:ascii="Times New Roman" w:eastAsia="Times New Roman" w:hAnsi="Times New Roman" w:cs="Times New Roman"/>
          <w:b/>
          <w:bCs/>
          <w:sz w:val="28"/>
          <w:szCs w:val="28"/>
        </w:rPr>
        <w:t xml:space="preserve">Global Employment </w:t>
      </w:r>
    </w:p>
    <w:p w14:paraId="0A886946" w14:textId="43009A62" w:rsidR="67EB5DE6" w:rsidRDefault="67EB5DE6" w:rsidP="107608BC">
      <w:pPr>
        <w:jc w:val="both"/>
        <w:rPr>
          <w:rFonts w:ascii="Times New Roman" w:eastAsia="Times New Roman" w:hAnsi="Times New Roman" w:cs="Times New Roman"/>
          <w:b/>
          <w:bCs/>
        </w:rPr>
      </w:pPr>
      <w:r w:rsidRPr="67A47860">
        <w:rPr>
          <w:rFonts w:ascii="Times New Roman" w:eastAsia="Times New Roman" w:hAnsi="Times New Roman" w:cs="Times New Roman"/>
        </w:rPr>
        <w:t xml:space="preserve">Global employment is increasingly influenced by economic integration, technological advancement, and cross-border labor mobility. </w:t>
      </w:r>
      <w:r w:rsidR="663AF0A7" w:rsidRPr="67A47860">
        <w:rPr>
          <w:rFonts w:ascii="Times New Roman" w:eastAsia="Times New Roman" w:hAnsi="Times New Roman" w:cs="Times New Roman"/>
        </w:rPr>
        <w:t>International commerce has greatly contributed to employment stability, which is essential for maintaining social and economic stability. It is well known that traditional "cross border" trading has become increasingly difficult in recent years due to the slowdown in hyper globalization, which has created an increasingly complex environment</w:t>
      </w:r>
      <w:r w:rsidR="1BC29F81" w:rsidRPr="67A47860">
        <w:rPr>
          <w:rFonts w:ascii="Times New Roman" w:eastAsia="Times New Roman" w:hAnsi="Times New Roman" w:cs="Times New Roman"/>
        </w:rPr>
        <w:t xml:space="preserve"> </w:t>
      </w:r>
      <w:r w:rsidR="1BC29F81" w:rsidRPr="67A47860">
        <w:rPr>
          <w:rFonts w:ascii="Times New Roman" w:eastAsia="Times New Roman" w:hAnsi="Times New Roman" w:cs="Times New Roman"/>
          <w:b/>
          <w:bCs/>
        </w:rPr>
        <w:lastRenderedPageBreak/>
        <w:t xml:space="preserve">(Yue, Hou, Zhang, &amp; Ye, 2024). </w:t>
      </w:r>
      <w:r w:rsidR="03F2781D" w:rsidRPr="67A47860">
        <w:rPr>
          <w:rFonts w:ascii="Times New Roman" w:eastAsia="Times New Roman" w:hAnsi="Times New Roman" w:cs="Times New Roman"/>
        </w:rPr>
        <w:t xml:space="preserve">Global employment strategies contribute to knowledge transfer, leadership development, and the creation of a more adaptable workforce capable of responding to dynamic economic conditions. As a result, countries and companies that invest in developing talent mobility frameworks are better positioned to leverage the benefits of a globally connected labor market. </w:t>
      </w:r>
      <w:r w:rsidR="5C353F46" w:rsidRPr="67A47860">
        <w:rPr>
          <w:rFonts w:ascii="Times New Roman" w:eastAsia="Times New Roman" w:hAnsi="Times New Roman" w:cs="Times New Roman"/>
        </w:rPr>
        <w:t>The world has been more globalized over the past 20 years due to the removal of trade barriers, the quick advancement of technology, the decline in the cost of communication and transportation, and the rise in worldwide migration</w:t>
      </w:r>
      <w:r w:rsidR="3B93FB22" w:rsidRPr="67A47860">
        <w:rPr>
          <w:rFonts w:ascii="Times New Roman" w:eastAsia="Times New Roman" w:hAnsi="Times New Roman" w:cs="Times New Roman"/>
        </w:rPr>
        <w:t xml:space="preserve"> </w:t>
      </w:r>
      <w:r w:rsidR="3B93FB22" w:rsidRPr="67A47860">
        <w:rPr>
          <w:rFonts w:ascii="Times New Roman" w:eastAsia="Times New Roman" w:hAnsi="Times New Roman" w:cs="Times New Roman"/>
          <w:b/>
          <w:bCs/>
        </w:rPr>
        <w:t>(Mushtaq, Ahmed, Fahlevi, Aljuaid, &amp; Saniuk, 2022).</w:t>
      </w:r>
      <w:r w:rsidR="40DD7CA6" w:rsidRPr="67A47860">
        <w:rPr>
          <w:rFonts w:ascii="Times New Roman" w:eastAsia="Times New Roman" w:hAnsi="Times New Roman" w:cs="Times New Roman"/>
          <w:b/>
          <w:bCs/>
        </w:rPr>
        <w:t xml:space="preserve"> </w:t>
      </w:r>
      <w:r w:rsidR="40DD7CA6" w:rsidRPr="67A47860">
        <w:rPr>
          <w:rFonts w:ascii="Times New Roman" w:eastAsia="Times New Roman" w:hAnsi="Times New Roman" w:cs="Times New Roman"/>
        </w:rPr>
        <w:t xml:space="preserve">Simultaneously, globalization introduces challenges such as skill mismatches, regulatory complexities, and cultural adaptation issues for both employers and employees. Despite these challenges, global employment strategies contribute to knowledge transfer, leadership development, and the creation of a more adaptable workforce capable of responding to dynamic economic conditions. As a result, countries and companies that invest in developing talent mobility frameworks are better positioned to leverage the benefits of a globally connected labor market. </w:t>
      </w:r>
    </w:p>
    <w:p w14:paraId="3043C449" w14:textId="744876D1" w:rsidR="3E34A97B" w:rsidRDefault="3E34A97B" w:rsidP="107608BC">
      <w:pPr>
        <w:jc w:val="both"/>
        <w:rPr>
          <w:rFonts w:ascii="Times New Roman" w:eastAsia="Times New Roman" w:hAnsi="Times New Roman" w:cs="Times New Roman"/>
          <w:b/>
          <w:bCs/>
          <w:sz w:val="28"/>
          <w:szCs w:val="28"/>
        </w:rPr>
      </w:pPr>
      <w:r w:rsidRPr="67A47860">
        <w:rPr>
          <w:rFonts w:ascii="Times New Roman" w:eastAsia="Times New Roman" w:hAnsi="Times New Roman" w:cs="Times New Roman"/>
          <w:b/>
          <w:bCs/>
          <w:sz w:val="28"/>
          <w:szCs w:val="28"/>
        </w:rPr>
        <w:t xml:space="preserve">1.3 </w:t>
      </w:r>
      <w:r w:rsidR="2A5D0205" w:rsidRPr="67A47860">
        <w:rPr>
          <w:rFonts w:ascii="Times New Roman" w:eastAsia="Times New Roman" w:hAnsi="Times New Roman" w:cs="Times New Roman"/>
          <w:b/>
          <w:bCs/>
          <w:sz w:val="28"/>
          <w:szCs w:val="28"/>
        </w:rPr>
        <w:t xml:space="preserve">Workforce Retention </w:t>
      </w:r>
    </w:p>
    <w:p w14:paraId="094A3218" w14:textId="66183DE1" w:rsidR="7125A66C" w:rsidRDefault="5E001F66" w:rsidP="67A47860">
      <w:pPr>
        <w:jc w:val="both"/>
        <w:rPr>
          <w:rFonts w:ascii="Times New Roman" w:eastAsia="Times New Roman" w:hAnsi="Times New Roman" w:cs="Times New Roman"/>
          <w:b/>
          <w:bCs/>
        </w:rPr>
      </w:pPr>
      <w:r w:rsidRPr="67A47860">
        <w:rPr>
          <w:rFonts w:ascii="Times New Roman" w:eastAsia="Times New Roman" w:hAnsi="Times New Roman" w:cs="Times New Roman"/>
        </w:rPr>
        <w:t>Employee retention remains a vital priority for organizations aiming to sustain high productivity levels and minimize the expenses associated with staff turnover.</w:t>
      </w:r>
      <w:r w:rsidR="7125A66C" w:rsidRPr="67A47860">
        <w:rPr>
          <w:rFonts w:ascii="Times New Roman" w:eastAsia="Times New Roman" w:hAnsi="Times New Roman" w:cs="Times New Roman"/>
        </w:rPr>
        <w:t xml:space="preserve"> Retaining skilled employees not only ensures operational continuity but also fosters organizational knowledge and expertise. </w:t>
      </w:r>
      <w:r w:rsidR="4787AAEF" w:rsidRPr="67A47860">
        <w:rPr>
          <w:rFonts w:ascii="Times New Roman" w:eastAsia="Times New Roman" w:hAnsi="Times New Roman" w:cs="Times New Roman"/>
        </w:rPr>
        <w:t>Successful employee retention approaches typically involve offering attractive pay packages, providing avenues for career advancement, fostering employee involvement, and promoting a supportive organizational culture.</w:t>
      </w:r>
      <w:r w:rsidR="7125A66C" w:rsidRPr="67A47860">
        <w:rPr>
          <w:rFonts w:ascii="Times New Roman" w:eastAsia="Times New Roman" w:hAnsi="Times New Roman" w:cs="Times New Roman"/>
        </w:rPr>
        <w:t xml:space="preserve"> </w:t>
      </w:r>
      <w:r w:rsidR="55050F7E" w:rsidRPr="67A47860">
        <w:rPr>
          <w:rFonts w:ascii="Times New Roman" w:eastAsia="Times New Roman" w:hAnsi="Times New Roman" w:cs="Times New Roman"/>
        </w:rPr>
        <w:t>In addition, open communication, acknowledgment of employee achievements, and adaptable work policies have been found to improve job satisfaction and strengthen organizational commitment.</w:t>
      </w:r>
      <w:r w:rsidR="7125A66C" w:rsidRPr="67A47860">
        <w:rPr>
          <w:rFonts w:ascii="Times New Roman" w:eastAsia="Times New Roman" w:hAnsi="Times New Roman" w:cs="Times New Roman"/>
          <w:sz w:val="28"/>
          <w:szCs w:val="28"/>
        </w:rPr>
        <w:t xml:space="preserve"> </w:t>
      </w:r>
      <w:r w:rsidR="6B3D3EE9" w:rsidRPr="67A47860">
        <w:rPr>
          <w:rFonts w:ascii="Times New Roman" w:eastAsia="Times New Roman" w:hAnsi="Times New Roman" w:cs="Times New Roman"/>
        </w:rPr>
        <w:t xml:space="preserve">Employers must concentrate on talent management techniques </w:t>
      </w:r>
      <w:bookmarkStart w:id="1" w:name="_Int_Ouv7Y5BZ"/>
      <w:r w:rsidR="6B3D3EE9" w:rsidRPr="67A47860">
        <w:rPr>
          <w:rFonts w:ascii="Times New Roman" w:eastAsia="Times New Roman" w:hAnsi="Times New Roman" w:cs="Times New Roman"/>
        </w:rPr>
        <w:t>in order to</w:t>
      </w:r>
      <w:bookmarkEnd w:id="1"/>
      <w:r w:rsidR="6B3D3EE9" w:rsidRPr="67A47860">
        <w:rPr>
          <w:rFonts w:ascii="Times New Roman" w:eastAsia="Times New Roman" w:hAnsi="Times New Roman" w:cs="Times New Roman"/>
        </w:rPr>
        <w:t xml:space="preserve"> keep their best workers. Retaining personnel allows a firm to save money on hiring, as well as time and energy that may be utilized for other critical tasks </w:t>
      </w:r>
      <w:r w:rsidR="491AB7CC" w:rsidRPr="67A47860">
        <w:rPr>
          <w:rFonts w:ascii="Times New Roman" w:eastAsia="Times New Roman" w:hAnsi="Times New Roman" w:cs="Times New Roman"/>
          <w:b/>
          <w:bCs/>
        </w:rPr>
        <w:t>(Kumar, 2021)</w:t>
      </w:r>
      <w:r w:rsidR="6B3D3EE9" w:rsidRPr="67A47860">
        <w:rPr>
          <w:rFonts w:ascii="Times New Roman" w:eastAsia="Times New Roman" w:hAnsi="Times New Roman" w:cs="Times New Roman"/>
          <w:b/>
          <w:bCs/>
        </w:rPr>
        <w:t>.</w:t>
      </w:r>
      <w:r w:rsidR="42814556" w:rsidRPr="67A47860">
        <w:rPr>
          <w:rFonts w:ascii="Times New Roman" w:eastAsia="Times New Roman" w:hAnsi="Times New Roman" w:cs="Times New Roman"/>
          <w:b/>
          <w:bCs/>
        </w:rPr>
        <w:t xml:space="preserve"> </w:t>
      </w:r>
      <w:r w:rsidR="42814556" w:rsidRPr="67A47860">
        <w:rPr>
          <w:rFonts w:ascii="Times New Roman" w:eastAsia="Times New Roman" w:hAnsi="Times New Roman" w:cs="Times New Roman"/>
        </w:rPr>
        <w:t xml:space="preserve">Leadership support and mentoring programs also play a key role in retaining talent by providing guidance, growth opportunities, and a sense of belonging. Additionally, organizations that invest in employee well-being, mental health support, and a fair performance management system tend to see higher retention rates. By focusing on these aspects, companies can build a loyal workforce, reduce recruitment costs, and achieve long-term strategic objectives. </w:t>
      </w:r>
      <w:r w:rsidR="45731BB2" w:rsidRPr="67A47860">
        <w:rPr>
          <w:rFonts w:ascii="Times New Roman" w:eastAsia="Times New Roman" w:hAnsi="Times New Roman" w:cs="Times New Roman"/>
        </w:rPr>
        <w:t xml:space="preserve">Retaining employees is crucial for organizational success, along with reducing costs and improving motivation and capabilities. </w:t>
      </w:r>
      <w:r w:rsidR="33FFEC92" w:rsidRPr="67A47860">
        <w:rPr>
          <w:rFonts w:ascii="Times New Roman" w:eastAsia="Times New Roman" w:hAnsi="Times New Roman" w:cs="Times New Roman"/>
        </w:rPr>
        <w:t>Employee retention has emerged as a significant challenge for the hospitality sector in the 21st century.</w:t>
      </w:r>
      <w:r w:rsidR="45731BB2" w:rsidRPr="67A47860">
        <w:rPr>
          <w:rFonts w:ascii="Times New Roman" w:eastAsia="Times New Roman" w:hAnsi="Times New Roman" w:cs="Times New Roman"/>
        </w:rPr>
        <w:t xml:space="preserve"> Retaining talented employees in the hospitality business is a constant challenge due to workforce shifts</w:t>
      </w:r>
      <w:r w:rsidR="09812EBF" w:rsidRPr="67A47860">
        <w:rPr>
          <w:rFonts w:ascii="Times New Roman" w:eastAsia="Times New Roman" w:hAnsi="Times New Roman" w:cs="Times New Roman"/>
        </w:rPr>
        <w:t xml:space="preserve"> </w:t>
      </w:r>
      <w:r w:rsidR="09812EBF" w:rsidRPr="67A47860">
        <w:rPr>
          <w:rFonts w:ascii="Times New Roman" w:eastAsia="Times New Roman" w:hAnsi="Times New Roman" w:cs="Times New Roman"/>
          <w:b/>
          <w:bCs/>
        </w:rPr>
        <w:t>(Ghani et al., 2022)</w:t>
      </w:r>
      <w:r w:rsidR="45731BB2" w:rsidRPr="67A47860">
        <w:rPr>
          <w:rFonts w:ascii="Times New Roman" w:eastAsia="Times New Roman" w:hAnsi="Times New Roman" w:cs="Times New Roman"/>
          <w:b/>
          <w:bCs/>
        </w:rPr>
        <w:t>.</w:t>
      </w:r>
      <w:r w:rsidR="45731BB2" w:rsidRPr="67A47860">
        <w:rPr>
          <w:rFonts w:ascii="Times New Roman" w:eastAsia="Times New Roman" w:hAnsi="Times New Roman" w:cs="Times New Roman"/>
        </w:rPr>
        <w:t xml:space="preserve"> </w:t>
      </w:r>
      <w:r w:rsidR="5E0C163D" w:rsidRPr="67A47860">
        <w:rPr>
          <w:rFonts w:ascii="Times New Roman" w:eastAsia="Times New Roman" w:hAnsi="Times New Roman" w:cs="Times New Roman"/>
        </w:rPr>
        <w:t xml:space="preserve"> </w:t>
      </w:r>
      <w:r w:rsidR="01919702" w:rsidRPr="67A47860">
        <w:rPr>
          <w:rFonts w:ascii="Times New Roman" w:eastAsia="Times New Roman" w:hAnsi="Times New Roman" w:cs="Times New Roman"/>
        </w:rPr>
        <w:t>Employees may exit an organization for multiple reasons, such as seeking higher-paying opportunities elsewhere, experiencing poor relationships with supervisors, pursuing further education or vocational training, relocating due to family circumstances, or facing termination from their current role</w:t>
      </w:r>
      <w:r w:rsidR="61AE1F98" w:rsidRPr="67A47860">
        <w:rPr>
          <w:rFonts w:ascii="Times New Roman" w:eastAsia="Times New Roman" w:hAnsi="Times New Roman" w:cs="Times New Roman"/>
        </w:rPr>
        <w:t xml:space="preserve"> </w:t>
      </w:r>
      <w:r w:rsidR="4327A797" w:rsidRPr="67A47860">
        <w:rPr>
          <w:rFonts w:ascii="Times New Roman" w:eastAsia="Times New Roman" w:hAnsi="Times New Roman" w:cs="Times New Roman"/>
          <w:b/>
          <w:bCs/>
        </w:rPr>
        <w:t>(Singh, 2019)</w:t>
      </w:r>
      <w:r w:rsidR="61AE1F98" w:rsidRPr="67A47860">
        <w:rPr>
          <w:rFonts w:ascii="Times New Roman" w:eastAsia="Times New Roman" w:hAnsi="Times New Roman" w:cs="Times New Roman"/>
          <w:b/>
          <w:bCs/>
        </w:rPr>
        <w:t>.</w:t>
      </w:r>
      <w:r w:rsidR="69185BCE" w:rsidRPr="67A47860">
        <w:rPr>
          <w:rFonts w:ascii="Times New Roman" w:eastAsia="Times New Roman" w:hAnsi="Times New Roman" w:cs="Times New Roman"/>
          <w:b/>
          <w:bCs/>
        </w:rPr>
        <w:t xml:space="preserve"> </w:t>
      </w:r>
    </w:p>
    <w:p w14:paraId="4E5A290A" w14:textId="12C15C51" w:rsidR="1FC2F97F" w:rsidRDefault="1FC2F97F" w:rsidP="107608BC">
      <w:pPr>
        <w:jc w:val="both"/>
        <w:rPr>
          <w:rFonts w:ascii="Times New Roman" w:eastAsia="Times New Roman" w:hAnsi="Times New Roman" w:cs="Times New Roman"/>
          <w:b/>
          <w:bCs/>
        </w:rPr>
      </w:pPr>
      <w:r w:rsidRPr="67A47860">
        <w:rPr>
          <w:rFonts w:ascii="Times New Roman" w:eastAsia="Times New Roman" w:hAnsi="Times New Roman" w:cs="Times New Roman"/>
          <w:b/>
          <w:bCs/>
        </w:rPr>
        <w:t xml:space="preserve">Barriers to Sustaining a Committed Workforce: </w:t>
      </w:r>
    </w:p>
    <w:p w14:paraId="209BDFB1" w14:textId="6657502B" w:rsidR="42FA4CB5" w:rsidRDefault="76AC94A2" w:rsidP="0DC08633">
      <w:pPr>
        <w:pStyle w:val="ListParagraph"/>
        <w:numPr>
          <w:ilvl w:val="0"/>
          <w:numId w:val="8"/>
        </w:numPr>
        <w:jc w:val="both"/>
        <w:rPr>
          <w:rFonts w:ascii="Times New Roman" w:eastAsia="Times New Roman" w:hAnsi="Times New Roman" w:cs="Times New Roman"/>
        </w:rPr>
      </w:pPr>
      <w:r w:rsidRPr="67A47860">
        <w:rPr>
          <w:rFonts w:ascii="Times New Roman" w:eastAsia="Times New Roman" w:hAnsi="Times New Roman" w:cs="Times New Roman"/>
        </w:rPr>
        <w:lastRenderedPageBreak/>
        <w:t>Work-life balance has gained growing significance among employees and often impacts their decision to remain with an organization. In the modern workplace, individuals increasingly seek flexible work options that enable them to effectively manage both personal and professional responsibilities</w:t>
      </w:r>
      <w:r w:rsidR="289CF72A" w:rsidRPr="67A47860">
        <w:rPr>
          <w:rFonts w:ascii="Times New Roman" w:eastAsia="Times New Roman" w:hAnsi="Times New Roman" w:cs="Times New Roman"/>
        </w:rPr>
        <w:t xml:space="preserve"> </w:t>
      </w:r>
      <w:r w:rsidR="289CF72A" w:rsidRPr="67A47860">
        <w:rPr>
          <w:rFonts w:ascii="Times New Roman" w:eastAsia="Times New Roman" w:hAnsi="Times New Roman" w:cs="Times New Roman"/>
          <w:b/>
          <w:bCs/>
        </w:rPr>
        <w:t>(Kossivi, Xu, &amp; Kalgora, 2016).</w:t>
      </w:r>
    </w:p>
    <w:p w14:paraId="3B5332C9" w14:textId="4A80D0CD" w:rsidR="6698C97F" w:rsidRDefault="0EADF6FA" w:rsidP="0DC08633">
      <w:pPr>
        <w:pStyle w:val="ListParagraph"/>
        <w:numPr>
          <w:ilvl w:val="0"/>
          <w:numId w:val="8"/>
        </w:numPr>
        <w:jc w:val="both"/>
        <w:rPr>
          <w:rFonts w:ascii="Times New Roman" w:eastAsia="Times New Roman" w:hAnsi="Times New Roman" w:cs="Times New Roman"/>
        </w:rPr>
      </w:pPr>
      <w:r w:rsidRPr="67A47860">
        <w:rPr>
          <w:rFonts w:ascii="Times New Roman" w:eastAsia="Times New Roman" w:hAnsi="Times New Roman" w:cs="Times New Roman"/>
        </w:rPr>
        <w:t>Career growth encompasses the progression of an employee’s professional journey, involving their roles, responsibilities, and learning experiences gained through formal and informal means. It includes elements such as professional development, promotions, career aspirations, and remuneration. Implementing a well-defined career development plan serves as an effective strategy for retaining skilled employees and sustaining their motivation</w:t>
      </w:r>
      <w:r w:rsidR="0E9ABD22" w:rsidRPr="67A47860">
        <w:rPr>
          <w:rFonts w:ascii="Times New Roman" w:eastAsia="Times New Roman" w:hAnsi="Times New Roman" w:cs="Times New Roman"/>
        </w:rPr>
        <w:t xml:space="preserve"> </w:t>
      </w:r>
      <w:r w:rsidR="0E9ABD22" w:rsidRPr="67A47860">
        <w:rPr>
          <w:rFonts w:ascii="Times New Roman" w:eastAsia="Times New Roman" w:hAnsi="Times New Roman" w:cs="Times New Roman"/>
          <w:b/>
          <w:bCs/>
        </w:rPr>
        <w:t>(Mazlan &amp; Jambulingam, 2023)</w:t>
      </w:r>
      <w:r w:rsidR="6698C97F" w:rsidRPr="67A47860">
        <w:rPr>
          <w:rFonts w:ascii="Times New Roman" w:eastAsia="Times New Roman" w:hAnsi="Times New Roman" w:cs="Times New Roman"/>
          <w:b/>
          <w:bCs/>
        </w:rPr>
        <w:t>.</w:t>
      </w:r>
    </w:p>
    <w:p w14:paraId="1DC9ADE4" w14:textId="761D4A63" w:rsidR="6225C894" w:rsidRDefault="6225C894" w:rsidP="107608BC">
      <w:pPr>
        <w:pStyle w:val="ListParagraph"/>
        <w:numPr>
          <w:ilvl w:val="0"/>
          <w:numId w:val="8"/>
        </w:numPr>
        <w:jc w:val="both"/>
        <w:rPr>
          <w:rFonts w:ascii="Times New Roman" w:eastAsia="Times New Roman" w:hAnsi="Times New Roman" w:cs="Times New Roman"/>
          <w:b/>
          <w:bCs/>
        </w:rPr>
      </w:pPr>
      <w:r w:rsidRPr="67A47860">
        <w:rPr>
          <w:rFonts w:ascii="Times New Roman" w:eastAsia="Times New Roman" w:hAnsi="Times New Roman" w:cs="Times New Roman"/>
        </w:rPr>
        <w:t xml:space="preserve">Compensation is important for employee retention because it motivates and encourages employees to perform well within the organization. Organizations should offer monetary incentives, such as raises and bonuses, for employees who leave for financial reasons, and non-monetary incentives, such as awards and benefits </w:t>
      </w:r>
      <w:r w:rsidR="4E6E07E5" w:rsidRPr="67A47860">
        <w:rPr>
          <w:rFonts w:ascii="Times New Roman" w:eastAsia="Times New Roman" w:hAnsi="Times New Roman" w:cs="Times New Roman"/>
          <w:b/>
          <w:bCs/>
        </w:rPr>
        <w:t>(Mahadi, Woo, Baskaran, &amp; Yaakop, 2020)</w:t>
      </w:r>
      <w:r w:rsidRPr="67A47860">
        <w:rPr>
          <w:rFonts w:ascii="Times New Roman" w:eastAsia="Times New Roman" w:hAnsi="Times New Roman" w:cs="Times New Roman"/>
          <w:b/>
          <w:bCs/>
        </w:rPr>
        <w:t>.</w:t>
      </w:r>
    </w:p>
    <w:p w14:paraId="54FC0995" w14:textId="22B65C7B" w:rsidR="6491EED8" w:rsidRDefault="6491EED8" w:rsidP="0DC08633">
      <w:pPr>
        <w:pStyle w:val="ListParagraph"/>
        <w:numPr>
          <w:ilvl w:val="0"/>
          <w:numId w:val="8"/>
        </w:numPr>
        <w:jc w:val="both"/>
        <w:rPr>
          <w:rFonts w:ascii="Times New Roman" w:eastAsia="Times New Roman" w:hAnsi="Times New Roman" w:cs="Times New Roman"/>
        </w:rPr>
      </w:pPr>
      <w:r w:rsidRPr="67A47860">
        <w:rPr>
          <w:rFonts w:ascii="Times New Roman" w:eastAsia="Times New Roman" w:hAnsi="Times New Roman" w:cs="Times New Roman"/>
        </w:rPr>
        <w:t xml:space="preserve">Organization should work to enhance their strategies, such as eliminating favoritism and nepotism and appreciating employees as valuable assets of the business. Their dedication and loyalty to the company improve with the amount of recognition they receive </w:t>
      </w:r>
      <w:r w:rsidR="02B1AFB5" w:rsidRPr="67A47860">
        <w:rPr>
          <w:rFonts w:ascii="Times New Roman" w:eastAsia="Times New Roman" w:hAnsi="Times New Roman" w:cs="Times New Roman"/>
          <w:b/>
          <w:bCs/>
        </w:rPr>
        <w:t>(Ramachandran &amp; Prasad, 2022)</w:t>
      </w:r>
      <w:r w:rsidRPr="67A47860">
        <w:rPr>
          <w:rFonts w:ascii="Times New Roman" w:eastAsia="Times New Roman" w:hAnsi="Times New Roman" w:cs="Times New Roman"/>
          <w:b/>
          <w:bCs/>
        </w:rPr>
        <w:t>.</w:t>
      </w:r>
    </w:p>
    <w:p w14:paraId="30F974DA" w14:textId="3A4FF8AD" w:rsidR="37679B67" w:rsidRDefault="37679B67" w:rsidP="107608BC">
      <w:pPr>
        <w:pStyle w:val="ListParagraph"/>
        <w:numPr>
          <w:ilvl w:val="0"/>
          <w:numId w:val="8"/>
        </w:numPr>
        <w:jc w:val="both"/>
        <w:rPr>
          <w:rFonts w:ascii="Times New Roman" w:eastAsia="Times New Roman" w:hAnsi="Times New Roman" w:cs="Times New Roman"/>
          <w:b/>
          <w:bCs/>
          <w:vertAlign w:val="superscript"/>
        </w:rPr>
      </w:pPr>
      <w:r w:rsidRPr="67A47860">
        <w:rPr>
          <w:rFonts w:ascii="Times New Roman" w:eastAsia="Times New Roman" w:hAnsi="Times New Roman" w:cs="Times New Roman"/>
        </w:rPr>
        <w:t xml:space="preserve">Employees may look for job security elsewhere if they are afraid that automation will replace their current position. </w:t>
      </w:r>
      <w:bookmarkStart w:id="2" w:name="_Int_u1rPHadL"/>
      <w:r w:rsidRPr="67A47860">
        <w:rPr>
          <w:rFonts w:ascii="Times New Roman" w:eastAsia="Times New Roman" w:hAnsi="Times New Roman" w:cs="Times New Roman"/>
        </w:rPr>
        <w:t>In light of</w:t>
      </w:r>
      <w:bookmarkEnd w:id="2"/>
      <w:r w:rsidRPr="67A47860">
        <w:rPr>
          <w:rFonts w:ascii="Times New Roman" w:eastAsia="Times New Roman" w:hAnsi="Times New Roman" w:cs="Times New Roman"/>
        </w:rPr>
        <w:t xml:space="preserve"> automation, businesses </w:t>
      </w:r>
      <w:r w:rsidR="1EC2548A" w:rsidRPr="67A47860">
        <w:rPr>
          <w:rFonts w:ascii="Times New Roman" w:eastAsia="Times New Roman" w:hAnsi="Times New Roman" w:cs="Times New Roman"/>
        </w:rPr>
        <w:t>must</w:t>
      </w:r>
      <w:r w:rsidRPr="67A47860">
        <w:rPr>
          <w:rFonts w:ascii="Times New Roman" w:eastAsia="Times New Roman" w:hAnsi="Times New Roman" w:cs="Times New Roman"/>
        </w:rPr>
        <w:t xml:space="preserve"> offer training and stress the importance of human</w:t>
      </w:r>
      <w:r w:rsidR="1F3ACF19" w:rsidRPr="67A47860">
        <w:rPr>
          <w:rFonts w:ascii="Times New Roman" w:eastAsia="Times New Roman" w:hAnsi="Times New Roman" w:cs="Times New Roman"/>
        </w:rPr>
        <w:t xml:space="preserve"> </w:t>
      </w:r>
      <w:r w:rsidRPr="67A47860">
        <w:rPr>
          <w:rFonts w:ascii="Times New Roman" w:eastAsia="Times New Roman" w:hAnsi="Times New Roman" w:cs="Times New Roman"/>
        </w:rPr>
        <w:t>abilities</w:t>
      </w:r>
      <w:r w:rsidR="5EE2748E" w:rsidRPr="67A47860">
        <w:rPr>
          <w:rFonts w:ascii="Times New Roman" w:eastAsia="Times New Roman" w:hAnsi="Times New Roman" w:cs="Times New Roman"/>
        </w:rPr>
        <w:t xml:space="preserve"> </w:t>
      </w:r>
      <w:r w:rsidR="5EE2748E" w:rsidRPr="67A47860">
        <w:rPr>
          <w:rFonts w:ascii="Times New Roman" w:eastAsia="Times New Roman" w:hAnsi="Times New Roman" w:cs="Times New Roman"/>
          <w:b/>
          <w:bCs/>
        </w:rPr>
        <w:t>(</w:t>
      </w:r>
      <w:r w:rsidR="5EE2748E" w:rsidRPr="67A47860">
        <w:rPr>
          <w:rFonts w:ascii="Times New Roman" w:eastAsia="Times New Roman" w:hAnsi="Times New Roman" w:cs="Times New Roman"/>
          <w:b/>
          <w:bCs/>
          <w:i/>
          <w:iCs/>
        </w:rPr>
        <w:t>CultureMonkey</w:t>
      </w:r>
      <w:r w:rsidR="5EE2748E" w:rsidRPr="67A47860">
        <w:rPr>
          <w:rFonts w:ascii="Times New Roman" w:eastAsia="Times New Roman" w:hAnsi="Times New Roman" w:cs="Times New Roman"/>
          <w:b/>
          <w:bCs/>
        </w:rPr>
        <w:t>, 2024)</w:t>
      </w:r>
      <w:r w:rsidR="6E2C7F14" w:rsidRPr="67A47860">
        <w:rPr>
          <w:rFonts w:ascii="Times New Roman" w:eastAsia="Times New Roman" w:hAnsi="Times New Roman" w:cs="Times New Roman"/>
          <w:b/>
          <w:bCs/>
        </w:rPr>
        <w:t>.</w:t>
      </w:r>
    </w:p>
    <w:p w14:paraId="18601129" w14:textId="1A94045F" w:rsidR="113E31C4" w:rsidRDefault="113E31C4" w:rsidP="107608BC">
      <w:pPr>
        <w:pStyle w:val="ListParagraph"/>
        <w:numPr>
          <w:ilvl w:val="0"/>
          <w:numId w:val="8"/>
        </w:numPr>
        <w:jc w:val="both"/>
        <w:rPr>
          <w:rFonts w:ascii="Times New Roman" w:eastAsia="Times New Roman" w:hAnsi="Times New Roman" w:cs="Times New Roman"/>
          <w:b/>
          <w:bCs/>
        </w:rPr>
      </w:pPr>
      <w:r w:rsidRPr="67A47860">
        <w:rPr>
          <w:rFonts w:ascii="Times New Roman" w:eastAsia="Times New Roman" w:hAnsi="Times New Roman" w:cs="Times New Roman"/>
        </w:rPr>
        <w:t>An unpleasant workplace culture can seriously impair employee retention because it frequently fosters an atmosphere in which rivalry becomes unhealthy, communication is poor, and appreciation is limited. Assess the culture of your company on a regular basis to find areas for improvement</w:t>
      </w:r>
      <w:r w:rsidR="7C7B49F4" w:rsidRPr="67A47860">
        <w:rPr>
          <w:rFonts w:ascii="Times New Roman" w:eastAsia="Times New Roman" w:hAnsi="Times New Roman" w:cs="Times New Roman"/>
        </w:rPr>
        <w:t xml:space="preserve"> </w:t>
      </w:r>
      <w:r w:rsidRPr="67A47860">
        <w:rPr>
          <w:rFonts w:ascii="Times New Roman" w:eastAsia="Times New Roman" w:hAnsi="Times New Roman" w:cs="Times New Roman"/>
        </w:rPr>
        <w:t>and misalignments</w:t>
      </w:r>
      <w:r w:rsidR="49D88460" w:rsidRPr="67A47860">
        <w:rPr>
          <w:rFonts w:ascii="Times New Roman" w:eastAsia="Times New Roman" w:hAnsi="Times New Roman" w:cs="Times New Roman"/>
        </w:rPr>
        <w:t xml:space="preserve"> </w:t>
      </w:r>
      <w:r w:rsidR="49D88460" w:rsidRPr="67A47860">
        <w:rPr>
          <w:rFonts w:ascii="Times New Roman" w:eastAsia="Times New Roman" w:hAnsi="Times New Roman" w:cs="Times New Roman"/>
          <w:b/>
          <w:bCs/>
        </w:rPr>
        <w:t>(</w:t>
      </w:r>
      <w:r w:rsidR="49D88460" w:rsidRPr="67A47860">
        <w:rPr>
          <w:rFonts w:ascii="Times New Roman" w:eastAsia="Times New Roman" w:hAnsi="Times New Roman" w:cs="Times New Roman"/>
          <w:b/>
          <w:bCs/>
          <w:i/>
          <w:iCs/>
        </w:rPr>
        <w:t>SmallBizTrends</w:t>
      </w:r>
      <w:r w:rsidR="49D88460" w:rsidRPr="67A47860">
        <w:rPr>
          <w:rFonts w:ascii="Times New Roman" w:eastAsia="Times New Roman" w:hAnsi="Times New Roman" w:cs="Times New Roman"/>
          <w:b/>
          <w:bCs/>
        </w:rPr>
        <w:t>, 2024)</w:t>
      </w:r>
      <w:r w:rsidRPr="67A47860">
        <w:rPr>
          <w:rFonts w:ascii="Times New Roman" w:eastAsia="Times New Roman" w:hAnsi="Times New Roman" w:cs="Times New Roman"/>
          <w:b/>
          <w:bCs/>
        </w:rPr>
        <w:t>.</w:t>
      </w:r>
    </w:p>
    <w:p w14:paraId="3DC6D1D6" w14:textId="62DC6547" w:rsidR="107608BC" w:rsidRDefault="107608BC" w:rsidP="107608BC">
      <w:pPr>
        <w:pStyle w:val="ListParagraph"/>
        <w:jc w:val="both"/>
        <w:rPr>
          <w:rFonts w:ascii="Times New Roman" w:eastAsia="Times New Roman" w:hAnsi="Times New Roman" w:cs="Times New Roman"/>
          <w:b/>
          <w:bCs/>
        </w:rPr>
      </w:pPr>
    </w:p>
    <w:p w14:paraId="37F517AC" w14:textId="0DB5C8C1" w:rsidR="71D2AA6A" w:rsidRDefault="71D2AA6A" w:rsidP="107608BC">
      <w:pPr>
        <w:jc w:val="both"/>
        <w:rPr>
          <w:rFonts w:ascii="Times New Roman" w:eastAsia="Times New Roman" w:hAnsi="Times New Roman" w:cs="Times New Roman"/>
          <w:b/>
          <w:bCs/>
          <w:sz w:val="28"/>
          <w:szCs w:val="28"/>
        </w:rPr>
      </w:pPr>
      <w:r w:rsidRPr="67A47860">
        <w:rPr>
          <w:rFonts w:ascii="Times New Roman" w:eastAsia="Times New Roman" w:hAnsi="Times New Roman" w:cs="Times New Roman"/>
          <w:b/>
          <w:bCs/>
          <w:sz w:val="28"/>
          <w:szCs w:val="28"/>
        </w:rPr>
        <w:t>1.4 Visa Restrictions and Their Impact on Talent Mobility</w:t>
      </w:r>
    </w:p>
    <w:p w14:paraId="40DFF939" w14:textId="08158DCD" w:rsidR="7FB4FB7B" w:rsidRDefault="7FB4FB7B" w:rsidP="67A47860">
      <w:pPr>
        <w:jc w:val="both"/>
        <w:rPr>
          <w:rFonts w:ascii="Times New Roman" w:eastAsia="Times New Roman" w:hAnsi="Times New Roman" w:cs="Times New Roman"/>
          <w:b/>
          <w:bCs/>
        </w:rPr>
      </w:pPr>
      <w:r w:rsidRPr="67A47860">
        <w:rPr>
          <w:rFonts w:ascii="Times New Roman" w:eastAsia="Times New Roman" w:hAnsi="Times New Roman" w:cs="Times New Roman"/>
        </w:rPr>
        <w:t xml:space="preserve">Visa restrictions have emerged as a significant barrier to global talent mobility, particularly affecting multinational organizations that rely on cross-border workforce movement. Tightened immigration policies, increased visa fees, and complex regulatory procedures often limit the ability of companies to transfer skilled employees across international locations. However, there is a misperception that professionals and skilled workers find it simpler to obtain positions abroad and have their visas processed than other groups. Notwithstanding valid reasons, incumbents from the Global South encounter disproportionate obstacles while trying to secure visa permits, irrespective of their skill level and in spite of widespread dissent </w:t>
      </w:r>
      <w:r w:rsidR="2D609CD1" w:rsidRPr="67A47860">
        <w:rPr>
          <w:rFonts w:ascii="Times New Roman" w:eastAsia="Times New Roman" w:hAnsi="Times New Roman" w:cs="Times New Roman"/>
          <w:b/>
          <w:bCs/>
        </w:rPr>
        <w:t>(Ullah, Chattoraj, &amp; Kathy, 2024)</w:t>
      </w:r>
      <w:r w:rsidRPr="67A47860">
        <w:rPr>
          <w:rFonts w:ascii="Times New Roman" w:eastAsia="Times New Roman" w:hAnsi="Times New Roman" w:cs="Times New Roman"/>
          <w:b/>
          <w:bCs/>
        </w:rPr>
        <w:t>.</w:t>
      </w:r>
      <w:r w:rsidR="1EDF8822" w:rsidRPr="67A47860">
        <w:rPr>
          <w:rFonts w:ascii="Times New Roman" w:eastAsia="Times New Roman" w:hAnsi="Times New Roman" w:cs="Times New Roman"/>
          <w:b/>
          <w:bCs/>
        </w:rPr>
        <w:t xml:space="preserve"> </w:t>
      </w:r>
      <w:r w:rsidR="7A1E7AB2" w:rsidRPr="67A47860">
        <w:rPr>
          <w:rFonts w:ascii="Times New Roman" w:eastAsia="Times New Roman" w:hAnsi="Times New Roman" w:cs="Times New Roman"/>
        </w:rPr>
        <w:t xml:space="preserve">Visa policies primarily restrict and govern cross-border mobility. </w:t>
      </w:r>
      <w:r w:rsidR="1537FE50" w:rsidRPr="67A47860">
        <w:rPr>
          <w:rFonts w:ascii="Times New Roman" w:eastAsia="Times New Roman" w:hAnsi="Times New Roman" w:cs="Times New Roman"/>
        </w:rPr>
        <w:t>Nevertheless, visa limitations impose significant costs owing to administrative procedures and staffing requirements.</w:t>
      </w:r>
      <w:r w:rsidR="7A1E7AB2" w:rsidRPr="67A47860">
        <w:rPr>
          <w:rFonts w:ascii="Times New Roman" w:eastAsia="Times New Roman" w:hAnsi="Times New Roman" w:cs="Times New Roman"/>
        </w:rPr>
        <w:t xml:space="preserve"> Furthermore, they may impede and dissuade the type of mobility that governments need for economic purposes </w:t>
      </w:r>
      <w:r w:rsidR="4262F242" w:rsidRPr="67A47860">
        <w:rPr>
          <w:rFonts w:ascii="Times New Roman" w:eastAsia="Times New Roman" w:hAnsi="Times New Roman" w:cs="Times New Roman"/>
          <w:b/>
          <w:bCs/>
        </w:rPr>
        <w:t xml:space="preserve">(Mau, </w:t>
      </w:r>
      <w:r w:rsidR="4262F242" w:rsidRPr="67A47860">
        <w:rPr>
          <w:rFonts w:ascii="Times New Roman" w:eastAsia="Times New Roman" w:hAnsi="Times New Roman" w:cs="Times New Roman"/>
          <w:b/>
          <w:bCs/>
        </w:rPr>
        <w:lastRenderedPageBreak/>
        <w:t>Gülzau, Laube, &amp; Zaun, 2015)</w:t>
      </w:r>
      <w:r w:rsidR="7A1E7AB2" w:rsidRPr="67A47860">
        <w:rPr>
          <w:rFonts w:ascii="Times New Roman" w:eastAsia="Times New Roman" w:hAnsi="Times New Roman" w:cs="Times New Roman"/>
          <w:b/>
          <w:bCs/>
        </w:rPr>
        <w:t xml:space="preserve">. </w:t>
      </w:r>
      <w:r w:rsidR="720AB050" w:rsidRPr="67A47860">
        <w:rPr>
          <w:rFonts w:ascii="Times New Roman" w:eastAsia="Times New Roman" w:hAnsi="Times New Roman" w:cs="Times New Roman"/>
        </w:rPr>
        <w:t>Strict quotas, long processing times, and difficult application procedures might discourage skilled individuals from seeking jobs abroad, leaving firms unable to locate the talent they require</w:t>
      </w:r>
      <w:r w:rsidR="437F92E7" w:rsidRPr="67A47860">
        <w:rPr>
          <w:rFonts w:ascii="Times New Roman" w:eastAsia="Times New Roman" w:hAnsi="Times New Roman" w:cs="Times New Roman"/>
          <w:color w:val="000000" w:themeColor="text1"/>
          <w:sz w:val="25"/>
          <w:szCs w:val="25"/>
        </w:rPr>
        <w:t xml:space="preserve"> </w:t>
      </w:r>
      <w:r w:rsidR="437F92E7" w:rsidRPr="67A47860">
        <w:rPr>
          <w:rFonts w:ascii="Times New Roman" w:eastAsia="Times New Roman" w:hAnsi="Times New Roman" w:cs="Times New Roman"/>
          <w:b/>
          <w:bCs/>
        </w:rPr>
        <w:t>(</w:t>
      </w:r>
      <w:r w:rsidR="437F92E7" w:rsidRPr="67A47860">
        <w:rPr>
          <w:rFonts w:ascii="Times New Roman" w:eastAsia="Times New Roman" w:hAnsi="Times New Roman" w:cs="Times New Roman"/>
          <w:b/>
          <w:bCs/>
          <w:i/>
          <w:iCs/>
        </w:rPr>
        <w:t>Star Mountain Resources</w:t>
      </w:r>
      <w:r w:rsidR="437F92E7" w:rsidRPr="67A47860">
        <w:rPr>
          <w:rFonts w:ascii="Times New Roman" w:eastAsia="Times New Roman" w:hAnsi="Times New Roman" w:cs="Times New Roman"/>
          <w:b/>
          <w:bCs/>
        </w:rPr>
        <w:t xml:space="preserve">, n.d.). </w:t>
      </w:r>
      <w:r w:rsidR="7BC22422" w:rsidRPr="67A47860">
        <w:rPr>
          <w:rFonts w:ascii="Times New Roman" w:eastAsia="Times New Roman" w:hAnsi="Times New Roman" w:cs="Times New Roman"/>
        </w:rPr>
        <w:t>Immigration is more than just movement; it is also about money. Global talent mobility boosts economies, drives innovation, and closes gaps in critical industries. Restrictive rules can stifle growth, whereas flexible systems unleash potential</w:t>
      </w:r>
      <w:r w:rsidR="7BC22422" w:rsidRPr="67A47860">
        <w:rPr>
          <w:rFonts w:ascii="Times New Roman" w:eastAsia="Times New Roman" w:hAnsi="Times New Roman" w:cs="Times New Roman"/>
          <w:b/>
          <w:bCs/>
        </w:rPr>
        <w:t xml:space="preserve"> </w:t>
      </w:r>
      <w:r w:rsidR="08B55AB7" w:rsidRPr="67A47860">
        <w:rPr>
          <w:rFonts w:ascii="Times New Roman" w:eastAsia="Times New Roman" w:hAnsi="Times New Roman" w:cs="Times New Roman"/>
          <w:b/>
          <w:bCs/>
        </w:rPr>
        <w:t>(</w:t>
      </w:r>
      <w:r w:rsidR="08B55AB7" w:rsidRPr="67A47860">
        <w:rPr>
          <w:rFonts w:ascii="Times New Roman" w:eastAsia="Times New Roman" w:hAnsi="Times New Roman" w:cs="Times New Roman"/>
          <w:b/>
          <w:bCs/>
          <w:i/>
          <w:iCs/>
        </w:rPr>
        <w:t>Jade Times</w:t>
      </w:r>
      <w:r w:rsidR="08B55AB7" w:rsidRPr="67A47860">
        <w:rPr>
          <w:rFonts w:ascii="Times New Roman" w:eastAsia="Times New Roman" w:hAnsi="Times New Roman" w:cs="Times New Roman"/>
          <w:b/>
          <w:bCs/>
        </w:rPr>
        <w:t xml:space="preserve">, 2023). </w:t>
      </w:r>
      <w:r w:rsidR="294D2DB5" w:rsidRPr="67A47860">
        <w:rPr>
          <w:rFonts w:ascii="Times New Roman" w:eastAsia="Times New Roman" w:hAnsi="Times New Roman" w:cs="Times New Roman"/>
          <w:b/>
          <w:bCs/>
        </w:rPr>
        <w:t xml:space="preserve"> </w:t>
      </w:r>
    </w:p>
    <w:p w14:paraId="08F372D4" w14:textId="227A058F" w:rsidR="2603FFE4" w:rsidRDefault="2603FFE4" w:rsidP="0DC08633">
      <w:pPr>
        <w:spacing w:before="240" w:after="240"/>
        <w:jc w:val="both"/>
        <w:rPr>
          <w:rFonts w:ascii="Times New Roman" w:eastAsia="Times New Roman" w:hAnsi="Times New Roman" w:cs="Times New Roman"/>
          <w:b/>
          <w:bCs/>
          <w:sz w:val="28"/>
          <w:szCs w:val="28"/>
        </w:rPr>
      </w:pPr>
      <w:r w:rsidRPr="67A47860">
        <w:rPr>
          <w:rFonts w:ascii="Times New Roman" w:eastAsia="Times New Roman" w:hAnsi="Times New Roman" w:cs="Times New Roman"/>
          <w:b/>
          <w:bCs/>
          <w:sz w:val="28"/>
          <w:szCs w:val="28"/>
        </w:rPr>
        <w:t xml:space="preserve">2. </w:t>
      </w:r>
      <w:r w:rsidR="787C816A" w:rsidRPr="67A47860">
        <w:rPr>
          <w:rFonts w:ascii="Times New Roman" w:eastAsia="Times New Roman" w:hAnsi="Times New Roman" w:cs="Times New Roman"/>
          <w:b/>
          <w:bCs/>
          <w:sz w:val="28"/>
          <w:szCs w:val="28"/>
        </w:rPr>
        <w:t xml:space="preserve">Literature Review </w:t>
      </w:r>
    </w:p>
    <w:p w14:paraId="11F8352E" w14:textId="54158632" w:rsidR="787C816A" w:rsidRDefault="0C933840" w:rsidP="107608BC">
      <w:pPr>
        <w:pStyle w:val="ListParagraph"/>
        <w:numPr>
          <w:ilvl w:val="0"/>
          <w:numId w:val="9"/>
        </w:numPr>
        <w:spacing w:before="240" w:after="240"/>
        <w:jc w:val="both"/>
        <w:rPr>
          <w:rFonts w:ascii="Times New Roman" w:eastAsia="Times New Roman" w:hAnsi="Times New Roman" w:cs="Times New Roman"/>
        </w:rPr>
      </w:pPr>
      <w:r w:rsidRPr="67A47860">
        <w:rPr>
          <w:rFonts w:ascii="Times New Roman" w:eastAsia="Times New Roman" w:hAnsi="Times New Roman" w:cs="Times New Roman"/>
          <w:b/>
          <w:bCs/>
        </w:rPr>
        <w:t>C. Bao, X. Zhao, Y. Li, and Z. Li</w:t>
      </w:r>
      <w:r w:rsidR="787C816A" w:rsidRPr="67A47860">
        <w:rPr>
          <w:rFonts w:ascii="Times New Roman" w:eastAsia="Times New Roman" w:hAnsi="Times New Roman" w:cs="Times New Roman"/>
          <w:b/>
          <w:bCs/>
        </w:rPr>
        <w:t xml:space="preserve"> (2023): </w:t>
      </w:r>
      <w:r w:rsidR="6A4B8E87" w:rsidRPr="67A47860">
        <w:rPr>
          <w:rFonts w:ascii="Times New Roman" w:eastAsia="Times New Roman" w:hAnsi="Times New Roman" w:cs="Times New Roman"/>
        </w:rPr>
        <w:t>This study highlighted that talent mobility significantly enhances sustainable research productivity by promoting knowledge exchange and innovation. The study found that institutions encouraging cross-border collaboration and flexible work environments achieve higher research performance. Conversely, restrictive mobility policies hinder creativity and long-term competitiveness, emphasizing the need for sustainable HR frameworks that support global talent flow.</w:t>
      </w:r>
    </w:p>
    <w:p w14:paraId="4D81822A" w14:textId="1C8F4AE8" w:rsidR="34529EF1" w:rsidRDefault="34529EF1" w:rsidP="107608BC">
      <w:pPr>
        <w:pStyle w:val="ListParagraph"/>
        <w:numPr>
          <w:ilvl w:val="0"/>
          <w:numId w:val="9"/>
        </w:numPr>
        <w:spacing w:before="240" w:after="240"/>
        <w:jc w:val="both"/>
        <w:rPr>
          <w:rFonts w:ascii="Times New Roman" w:eastAsia="Times New Roman" w:hAnsi="Times New Roman" w:cs="Times New Roman"/>
        </w:rPr>
      </w:pPr>
      <w:r w:rsidRPr="67A47860">
        <w:rPr>
          <w:rFonts w:ascii="Times New Roman" w:eastAsia="Times New Roman" w:hAnsi="Times New Roman" w:cs="Times New Roman"/>
          <w:b/>
          <w:bCs/>
          <w:color w:val="18181B"/>
        </w:rPr>
        <w:t xml:space="preserve">Tansley, C., &amp; Kirk, S. (2018): </w:t>
      </w:r>
      <w:r w:rsidRPr="67A47860">
        <w:rPr>
          <w:rFonts w:ascii="Times New Roman" w:eastAsia="Times New Roman" w:hAnsi="Times New Roman" w:cs="Times New Roman"/>
          <w:color w:val="18181B"/>
        </w:rPr>
        <w:t>This study</w:t>
      </w:r>
      <w:r w:rsidRPr="67A47860">
        <w:rPr>
          <w:rFonts w:ascii="Times New Roman" w:eastAsia="Times New Roman" w:hAnsi="Times New Roman" w:cs="Times New Roman"/>
          <w:b/>
          <w:bCs/>
          <w:color w:val="18181B"/>
        </w:rPr>
        <w:t xml:space="preserve"> </w:t>
      </w:r>
      <w:r w:rsidRPr="67A47860">
        <w:rPr>
          <w:rFonts w:ascii="Times New Roman" w:eastAsia="Times New Roman" w:hAnsi="Times New Roman" w:cs="Times New Roman"/>
        </w:rPr>
        <w:t>explored how talent mobility is conceptualized and managed within emerging markets. Their study revealed that framing mobility as both a strategic and developmental tool enables organizations to better utilize global talent pools. The authors emphasized that effective mobility programs foster leadership growth, cross-cultural learning, and organizational adaptability in competitive international environments.</w:t>
      </w:r>
    </w:p>
    <w:p w14:paraId="4ED47712" w14:textId="010BE3A3" w:rsidR="69B30201" w:rsidRDefault="4E3A2281" w:rsidP="0DC08633">
      <w:pPr>
        <w:pStyle w:val="ListParagraph"/>
        <w:numPr>
          <w:ilvl w:val="0"/>
          <w:numId w:val="9"/>
        </w:numPr>
        <w:spacing w:before="240" w:after="240"/>
        <w:jc w:val="both"/>
        <w:rPr>
          <w:rFonts w:ascii="Times New Roman" w:eastAsia="Times New Roman" w:hAnsi="Times New Roman" w:cs="Times New Roman"/>
        </w:rPr>
      </w:pPr>
      <w:r w:rsidRPr="67A47860">
        <w:rPr>
          <w:rFonts w:ascii="Times New Roman" w:eastAsia="Times New Roman" w:hAnsi="Times New Roman" w:cs="Times New Roman"/>
          <w:b/>
          <w:bCs/>
        </w:rPr>
        <w:t>Y. Yue, J. Hou, M. Zhang, and J. Ye (2024):</w:t>
      </w:r>
      <w:r w:rsidR="69B30201" w:rsidRPr="67A47860">
        <w:rPr>
          <w:rFonts w:ascii="Times New Roman" w:eastAsia="Times New Roman" w:hAnsi="Times New Roman" w:cs="Times New Roman"/>
          <w:b/>
          <w:bCs/>
          <w:color w:val="18181B"/>
        </w:rPr>
        <w:t xml:space="preserve"> </w:t>
      </w:r>
      <w:r w:rsidR="3B13D7AA" w:rsidRPr="67A47860">
        <w:rPr>
          <w:rFonts w:ascii="Times New Roman" w:eastAsia="Times New Roman" w:hAnsi="Times New Roman" w:cs="Times New Roman"/>
          <w:color w:val="18181B"/>
        </w:rPr>
        <w:t xml:space="preserve">This study </w:t>
      </w:r>
      <w:r w:rsidR="184E6336" w:rsidRPr="67A47860">
        <w:rPr>
          <w:rFonts w:ascii="Times New Roman" w:eastAsia="Times New Roman" w:hAnsi="Times New Roman" w:cs="Times New Roman"/>
        </w:rPr>
        <w:t>examines</w:t>
      </w:r>
      <w:r w:rsidR="3B13D7AA" w:rsidRPr="67A47860">
        <w:rPr>
          <w:rFonts w:ascii="Times New Roman" w:eastAsia="Times New Roman" w:hAnsi="Times New Roman" w:cs="Times New Roman"/>
        </w:rPr>
        <w:t xml:space="preserve"> how stable relationships within global value chains influence employment in China. Their study finds that firms embedded in long-term supply chain networks are better able to maintain workforce stability, even during economic fluctuations. This research highlights the role of interconnected global production networks in mitigating job volatility and supporting labor market resilience.</w:t>
      </w:r>
    </w:p>
    <w:p w14:paraId="74FF3BDB" w14:textId="1C79B55D" w:rsidR="4398FD01" w:rsidRDefault="4219BD92" w:rsidP="107608BC">
      <w:pPr>
        <w:pStyle w:val="ListParagraph"/>
        <w:numPr>
          <w:ilvl w:val="0"/>
          <w:numId w:val="9"/>
        </w:numPr>
        <w:spacing w:before="240" w:after="240"/>
        <w:jc w:val="both"/>
        <w:rPr>
          <w:rFonts w:ascii="Times New Roman" w:eastAsia="Times New Roman" w:hAnsi="Times New Roman" w:cs="Times New Roman"/>
        </w:rPr>
      </w:pPr>
      <w:r w:rsidRPr="67A47860">
        <w:rPr>
          <w:rFonts w:ascii="Times New Roman" w:eastAsia="Times New Roman" w:hAnsi="Times New Roman" w:cs="Times New Roman"/>
          <w:b/>
          <w:bCs/>
        </w:rPr>
        <w:t>M. Mushtaq, S. Ahmed, M. Fahlevi, M. Aljuaid, and S. Saniuk (2022):</w:t>
      </w:r>
      <w:r w:rsidR="4398FD01" w:rsidRPr="67A47860">
        <w:rPr>
          <w:rFonts w:ascii="Times New Roman" w:eastAsia="Times New Roman" w:hAnsi="Times New Roman" w:cs="Times New Roman"/>
          <w:color w:val="18181B"/>
        </w:rPr>
        <w:t xml:space="preserve"> </w:t>
      </w:r>
      <w:r w:rsidR="69750BAE" w:rsidRPr="67A47860">
        <w:rPr>
          <w:rFonts w:ascii="Times New Roman" w:eastAsia="Times New Roman" w:hAnsi="Times New Roman" w:cs="Times New Roman"/>
        </w:rPr>
        <w:t>This research explores how globalization influences employment, emphasizing the essential contribution of human capital in this relationship.</w:t>
      </w:r>
      <w:r w:rsidR="49060732" w:rsidRPr="67A47860">
        <w:rPr>
          <w:rFonts w:ascii="Times New Roman" w:eastAsia="Times New Roman" w:hAnsi="Times New Roman" w:cs="Times New Roman"/>
        </w:rPr>
        <w:t xml:space="preserve"> Their study indicates that countries with higher levels of skilled labor experience stronger positive effects of globalization on job creation. The findings suggest that investment in human capital can enhance the benefits of global economic integration while mitigating potential employment vulnerabilities.</w:t>
      </w:r>
    </w:p>
    <w:p w14:paraId="7C88F174" w14:textId="08A42706" w:rsidR="2C3B514D" w:rsidRDefault="2C3B514D" w:rsidP="0DC08633">
      <w:pPr>
        <w:pStyle w:val="ListParagraph"/>
        <w:numPr>
          <w:ilvl w:val="0"/>
          <w:numId w:val="9"/>
        </w:numPr>
        <w:spacing w:before="240" w:after="240"/>
        <w:jc w:val="both"/>
        <w:rPr>
          <w:rFonts w:ascii="Times New Roman" w:eastAsia="Times New Roman" w:hAnsi="Times New Roman" w:cs="Times New Roman"/>
        </w:rPr>
      </w:pPr>
      <w:r w:rsidRPr="67A47860">
        <w:rPr>
          <w:rFonts w:ascii="Times New Roman" w:eastAsia="Times New Roman" w:hAnsi="Times New Roman" w:cs="Times New Roman"/>
          <w:b/>
          <w:bCs/>
          <w:color w:val="18181B"/>
        </w:rPr>
        <w:t xml:space="preserve">Kumar, S. (2021): </w:t>
      </w:r>
      <w:r w:rsidR="285DA5B0" w:rsidRPr="67A47860">
        <w:rPr>
          <w:rFonts w:ascii="Times New Roman" w:eastAsia="Times New Roman" w:hAnsi="Times New Roman" w:cs="Times New Roman"/>
        </w:rPr>
        <w:t>This research analyzes the impact of talent management initiatives on employee retention and turnover intentions. The findings suggest that companies adopting well-organized talent management frameworks—encompassing career advancement opportunities, performance evaluations, and training initiatives—tend to experience reduced employee turnover</w:t>
      </w:r>
      <w:r w:rsidRPr="67A47860">
        <w:rPr>
          <w:rFonts w:ascii="Times New Roman" w:eastAsia="Times New Roman" w:hAnsi="Times New Roman" w:cs="Times New Roman"/>
        </w:rPr>
        <w:t>. Effective talent management not only enhances employee commitment but also strengthens organizational stability and performance. The research highlights that proactive investment in human capital is key to retaining skilled employees in competitive business environments.</w:t>
      </w:r>
    </w:p>
    <w:p w14:paraId="7AAB20C9" w14:textId="0B5C86A6" w:rsidR="15199CC4" w:rsidRDefault="5E0CE659" w:rsidP="0DC08633">
      <w:pPr>
        <w:pStyle w:val="ListParagraph"/>
        <w:numPr>
          <w:ilvl w:val="0"/>
          <w:numId w:val="9"/>
        </w:numPr>
        <w:spacing w:before="240" w:after="240"/>
        <w:jc w:val="both"/>
        <w:rPr>
          <w:rFonts w:ascii="Times New Roman" w:eastAsia="Times New Roman" w:hAnsi="Times New Roman" w:cs="Times New Roman"/>
        </w:rPr>
      </w:pPr>
      <w:r w:rsidRPr="67A47860">
        <w:rPr>
          <w:rFonts w:ascii="Times New Roman" w:eastAsia="Times New Roman" w:hAnsi="Times New Roman" w:cs="Times New Roman"/>
          <w:b/>
          <w:bCs/>
        </w:rPr>
        <w:lastRenderedPageBreak/>
        <w:t xml:space="preserve">B. Ghani, M. Zada, K. Memon, R. Ullah, A. Khattak, H. Han, A. Ariza-Montes, and L. Araya-Castillo (2022): </w:t>
      </w:r>
      <w:r w:rsidRPr="67A47860">
        <w:rPr>
          <w:rFonts w:ascii="Times New Roman" w:eastAsia="Times New Roman" w:hAnsi="Times New Roman" w:cs="Times New Roman"/>
        </w:rPr>
        <w:t>This study</w:t>
      </w:r>
      <w:r w:rsidRPr="67A47860">
        <w:rPr>
          <w:rFonts w:ascii="Times New Roman" w:eastAsia="Times New Roman" w:hAnsi="Times New Roman" w:cs="Times New Roman"/>
          <w:b/>
          <w:bCs/>
        </w:rPr>
        <w:t xml:space="preserve"> </w:t>
      </w:r>
      <w:r w:rsidRPr="67A47860">
        <w:rPr>
          <w:rFonts w:ascii="Times New Roman" w:eastAsia="Times New Roman" w:hAnsi="Times New Roman" w:cs="Times New Roman"/>
        </w:rPr>
        <w:t>conducted research examining the key difficulties and effective approaches related to employee retention within the hospitality sector</w:t>
      </w:r>
      <w:r w:rsidR="2C74448D" w:rsidRPr="67A47860">
        <w:rPr>
          <w:rFonts w:ascii="Times New Roman" w:eastAsia="Times New Roman" w:hAnsi="Times New Roman" w:cs="Times New Roman"/>
        </w:rPr>
        <w:t xml:space="preserve">. Their review identifies high turnover rates, job stress, and limited career growth as major retention challenges. </w:t>
      </w:r>
      <w:r w:rsidR="3B25B5C8" w:rsidRPr="67A47860">
        <w:rPr>
          <w:rFonts w:ascii="Times New Roman" w:eastAsia="Times New Roman" w:hAnsi="Times New Roman" w:cs="Times New Roman"/>
        </w:rPr>
        <w:t>The research emphasizes that offering attractive pay structures, opportunities for career growth, and a positive organizational climate can greatly enhance employee commitment and retention.</w:t>
      </w:r>
      <w:r w:rsidR="2C74448D" w:rsidRPr="67A47860">
        <w:rPr>
          <w:rFonts w:ascii="Times New Roman" w:eastAsia="Times New Roman" w:hAnsi="Times New Roman" w:cs="Times New Roman"/>
        </w:rPr>
        <w:t xml:space="preserve"> These strategies are essential for enhancing workforce stability and sustaining organizational performance in a highly competitive sector. </w:t>
      </w:r>
      <w:r w:rsidR="18E699BA" w:rsidRPr="67A47860">
        <w:rPr>
          <w:rFonts w:ascii="Times New Roman" w:eastAsia="Times New Roman" w:hAnsi="Times New Roman" w:cs="Times New Roman"/>
        </w:rPr>
        <w:t xml:space="preserve"> </w:t>
      </w:r>
    </w:p>
    <w:p w14:paraId="4C7D3254" w14:textId="569D7271" w:rsidR="16B7A995" w:rsidRDefault="16B7A995" w:rsidP="0DC08633">
      <w:pPr>
        <w:pStyle w:val="ListParagraph"/>
        <w:numPr>
          <w:ilvl w:val="0"/>
          <w:numId w:val="9"/>
        </w:numPr>
        <w:spacing w:before="240" w:after="240"/>
        <w:jc w:val="both"/>
        <w:rPr>
          <w:rFonts w:ascii="Times New Roman" w:eastAsia="Times New Roman" w:hAnsi="Times New Roman" w:cs="Times New Roman"/>
        </w:rPr>
      </w:pPr>
      <w:r w:rsidRPr="67A47860">
        <w:rPr>
          <w:rFonts w:ascii="Times New Roman" w:eastAsia="Times New Roman" w:hAnsi="Times New Roman" w:cs="Times New Roman"/>
          <w:b/>
          <w:bCs/>
          <w:color w:val="18181B"/>
        </w:rPr>
        <w:t>Singh, D. (2019):</w:t>
      </w:r>
      <w:r w:rsidRPr="67A47860">
        <w:rPr>
          <w:rFonts w:ascii="Times New Roman" w:eastAsia="Times New Roman" w:hAnsi="Times New Roman" w:cs="Times New Roman"/>
          <w:color w:val="18181B"/>
        </w:rPr>
        <w:t xml:space="preserve"> </w:t>
      </w:r>
      <w:r w:rsidR="56CE04E8" w:rsidRPr="67A47860">
        <w:rPr>
          <w:rFonts w:ascii="Times New Roman" w:eastAsia="Times New Roman" w:hAnsi="Times New Roman" w:cs="Times New Roman"/>
          <w:color w:val="18181B"/>
        </w:rPr>
        <w:t xml:space="preserve">This study </w:t>
      </w:r>
      <w:r w:rsidRPr="67A47860">
        <w:rPr>
          <w:rFonts w:ascii="Times New Roman" w:eastAsia="Times New Roman" w:hAnsi="Times New Roman" w:cs="Times New Roman"/>
        </w:rPr>
        <w:t>reviews recent trends in employee retention, emphasizing the growing importance of organizational culture, career development, and recognition programs. The study highlights that companies adopting proactive retention strategies experience higher employee satisfaction and lower turnover rates. Furthermore, Singh notes that understanding employee needs and aligning them with organizational goals is critical for sustaining a committed and productive workforce.</w:t>
      </w:r>
    </w:p>
    <w:p w14:paraId="5CFF2FBD" w14:textId="70B30419" w:rsidR="474DC37C" w:rsidRDefault="10EF4768" w:rsidP="107608BC">
      <w:pPr>
        <w:pStyle w:val="ListParagraph"/>
        <w:numPr>
          <w:ilvl w:val="0"/>
          <w:numId w:val="9"/>
        </w:numPr>
        <w:spacing w:before="240" w:after="240"/>
        <w:jc w:val="both"/>
        <w:rPr>
          <w:rFonts w:ascii="Times New Roman" w:eastAsia="Times New Roman" w:hAnsi="Times New Roman" w:cs="Times New Roman"/>
        </w:rPr>
      </w:pPr>
      <w:r w:rsidRPr="67A47860">
        <w:rPr>
          <w:rFonts w:ascii="Times New Roman" w:eastAsia="Times New Roman" w:hAnsi="Times New Roman" w:cs="Times New Roman"/>
          <w:b/>
          <w:bCs/>
        </w:rPr>
        <w:t>B. Kossivi, M. Xu, and B. Kalgora (2016):</w:t>
      </w:r>
      <w:r w:rsidRPr="67A47860">
        <w:rPr>
          <w:rFonts w:ascii="Times New Roman" w:eastAsia="Times New Roman" w:hAnsi="Times New Roman" w:cs="Times New Roman"/>
        </w:rPr>
        <w:t xml:space="preserve"> This study examines the primary determinants of employee retention, with a particular focus on the roles of job satisfaction, workplace conditions, and organizational culture.</w:t>
      </w:r>
      <w:r w:rsidR="474DC37C" w:rsidRPr="67A47860">
        <w:rPr>
          <w:rFonts w:ascii="Times New Roman" w:eastAsia="Times New Roman" w:hAnsi="Times New Roman" w:cs="Times New Roman"/>
        </w:rPr>
        <w:t xml:space="preserve"> The study finds that supportive management, competitive compensation, and career development opportunities are critical in retaining employees. Additionally, the research highlights that understanding employee needs and aligning them with organizational goals significantly reduces turnover and strengthens workforce stability.</w:t>
      </w:r>
    </w:p>
    <w:p w14:paraId="736DE908" w14:textId="574000EC" w:rsidR="0F991779" w:rsidRDefault="0F991779" w:rsidP="107608BC">
      <w:pPr>
        <w:pStyle w:val="ListParagraph"/>
        <w:numPr>
          <w:ilvl w:val="0"/>
          <w:numId w:val="9"/>
        </w:numPr>
        <w:spacing w:before="240" w:after="240"/>
        <w:jc w:val="both"/>
        <w:rPr>
          <w:rFonts w:ascii="Times New Roman" w:eastAsia="Times New Roman" w:hAnsi="Times New Roman" w:cs="Times New Roman"/>
        </w:rPr>
      </w:pPr>
      <w:r w:rsidRPr="67A47860">
        <w:rPr>
          <w:rFonts w:ascii="Times New Roman" w:eastAsia="Times New Roman" w:hAnsi="Times New Roman" w:cs="Times New Roman"/>
          <w:b/>
          <w:bCs/>
          <w:color w:val="18181B"/>
        </w:rPr>
        <w:t xml:space="preserve">Mazlan, M., &amp; Jambulingam, M. (2023): </w:t>
      </w:r>
      <w:r w:rsidR="39C94E8A" w:rsidRPr="67A47860">
        <w:rPr>
          <w:rFonts w:ascii="Times New Roman" w:eastAsia="Times New Roman" w:hAnsi="Times New Roman" w:cs="Times New Roman"/>
        </w:rPr>
        <w:t>This research analyzes the major obstacles to retaining talent, emphasizing issues like elevated turnover levels, limited skill availability, and evolving employee expectations.</w:t>
      </w:r>
      <w:r w:rsidR="228D45E9" w:rsidRPr="67A47860">
        <w:rPr>
          <w:rFonts w:ascii="Times New Roman" w:eastAsia="Times New Roman" w:hAnsi="Times New Roman" w:cs="Times New Roman"/>
        </w:rPr>
        <w:t xml:space="preserve"> The study emphasizes that inadequate career growth, lack of recognition, and uncompetitive compensation are major contributors to workforce attrition. Furthermore, the authors note that organizations must adopt strategic retention initiatives, including employee engagement programs, professional development, and supportive leadership, to sustain a committed and productive workforce. </w:t>
      </w:r>
    </w:p>
    <w:p w14:paraId="404191F4" w14:textId="7509E2E7" w:rsidR="3333DA49" w:rsidRDefault="32C738C1" w:rsidP="67A47860">
      <w:pPr>
        <w:pStyle w:val="ListParagraph"/>
        <w:numPr>
          <w:ilvl w:val="0"/>
          <w:numId w:val="9"/>
        </w:numPr>
        <w:spacing w:before="240" w:after="240"/>
        <w:jc w:val="both"/>
        <w:rPr>
          <w:rFonts w:ascii="Times New Roman" w:eastAsia="Times New Roman" w:hAnsi="Times New Roman" w:cs="Times New Roman"/>
        </w:rPr>
      </w:pPr>
      <w:r w:rsidRPr="67A47860">
        <w:rPr>
          <w:rFonts w:ascii="Times New Roman" w:eastAsia="Times New Roman" w:hAnsi="Times New Roman" w:cs="Times New Roman"/>
          <w:b/>
          <w:bCs/>
        </w:rPr>
        <w:t>N. Mahadi, N. Woo, S. Baskaran, and A. Yaakop (2020):</w:t>
      </w:r>
      <w:r w:rsidRPr="67A47860">
        <w:rPr>
          <w:rFonts w:ascii="Times New Roman" w:eastAsia="Times New Roman" w:hAnsi="Times New Roman" w:cs="Times New Roman"/>
        </w:rPr>
        <w:t xml:space="preserve"> This study identifies the main factors affecting employee retention, emphasizing the significance of job satisfaction, organizational loyalty, and a supportive workplace atmosphere.</w:t>
      </w:r>
      <w:r w:rsidR="7B617141" w:rsidRPr="67A47860">
        <w:rPr>
          <w:rFonts w:ascii="Times New Roman" w:eastAsia="Times New Roman" w:hAnsi="Times New Roman" w:cs="Times New Roman"/>
        </w:rPr>
        <w:t xml:space="preserve"> Their study finds that competitive compensation, career development opportunities, and positive management-employee relationships significantly affect employees’ decisions to stay. </w:t>
      </w:r>
      <w:r w:rsidR="2DE8CF9A" w:rsidRPr="67A47860">
        <w:rPr>
          <w:rFonts w:ascii="Times New Roman" w:eastAsia="Times New Roman" w:hAnsi="Times New Roman" w:cs="Times New Roman"/>
        </w:rPr>
        <w:t>The study emphasizes that recognizing these elements enables organizations to design effective retention initiatives, minimize employee turnover, and sustain a consistent and efficient workforce.</w:t>
      </w:r>
    </w:p>
    <w:p w14:paraId="24F50821" w14:textId="4FE6B66F" w:rsidR="5DF4C42C" w:rsidRDefault="5DF4C42C" w:rsidP="0DC08633">
      <w:pPr>
        <w:pStyle w:val="ListParagraph"/>
        <w:numPr>
          <w:ilvl w:val="0"/>
          <w:numId w:val="9"/>
        </w:numPr>
        <w:spacing w:before="240" w:after="240"/>
        <w:jc w:val="both"/>
        <w:rPr>
          <w:rFonts w:ascii="Times New Roman" w:eastAsia="Times New Roman" w:hAnsi="Times New Roman" w:cs="Times New Roman"/>
          <w:color w:val="18181B"/>
        </w:rPr>
      </w:pPr>
      <w:r w:rsidRPr="67A47860">
        <w:rPr>
          <w:rFonts w:ascii="Times New Roman" w:eastAsia="Times New Roman" w:hAnsi="Times New Roman" w:cs="Times New Roman"/>
          <w:b/>
          <w:bCs/>
          <w:color w:val="18181B"/>
        </w:rPr>
        <w:t>Ramachandran, A., &amp; Prasad, C. (2022):</w:t>
      </w:r>
      <w:r w:rsidRPr="67A47860">
        <w:rPr>
          <w:rFonts w:ascii="Times New Roman" w:eastAsia="Times New Roman" w:hAnsi="Times New Roman" w:cs="Times New Roman"/>
          <w:color w:val="18181B"/>
        </w:rPr>
        <w:t xml:space="preserve"> </w:t>
      </w:r>
      <w:r w:rsidR="6C897928" w:rsidRPr="67A47860">
        <w:rPr>
          <w:rFonts w:ascii="Times New Roman" w:eastAsia="Times New Roman" w:hAnsi="Times New Roman" w:cs="Times New Roman"/>
        </w:rPr>
        <w:t xml:space="preserve">This research investigates the determinants of employee retention, stressing the crucial roles of job satisfaction, organizational culture, and supportive leadership. </w:t>
      </w:r>
      <w:r w:rsidR="3B35A27B" w:rsidRPr="67A47860">
        <w:rPr>
          <w:rFonts w:ascii="Times New Roman" w:eastAsia="Times New Roman" w:hAnsi="Times New Roman" w:cs="Times New Roman"/>
        </w:rPr>
        <w:t xml:space="preserve">The findings indicate that employees tend to stay longer with </w:t>
      </w:r>
      <w:r w:rsidR="3B35A27B" w:rsidRPr="67A47860">
        <w:rPr>
          <w:rFonts w:ascii="Times New Roman" w:eastAsia="Times New Roman" w:hAnsi="Times New Roman" w:cs="Times New Roman"/>
        </w:rPr>
        <w:lastRenderedPageBreak/>
        <w:t>organizations that offer career advancement prospects, acknowledge their contributions, and foster a constructive workplace atmosphere.</w:t>
      </w:r>
      <w:r w:rsidR="4C85F417" w:rsidRPr="67A47860">
        <w:rPr>
          <w:rFonts w:ascii="Times New Roman" w:eastAsia="Times New Roman" w:hAnsi="Times New Roman" w:cs="Times New Roman"/>
        </w:rPr>
        <w:t xml:space="preserve"> The authors conclude that a strategic focus on employee engagement and well-being is essential for reducing turnover and enhancing organizational performance.</w:t>
      </w:r>
      <w:r w:rsidR="515C14CF" w:rsidRPr="67A47860">
        <w:rPr>
          <w:rFonts w:ascii="Times New Roman" w:eastAsia="Times New Roman" w:hAnsi="Times New Roman" w:cs="Times New Roman"/>
        </w:rPr>
        <w:t xml:space="preserve"> </w:t>
      </w:r>
    </w:p>
    <w:p w14:paraId="7FDE4725" w14:textId="71C1FABF" w:rsidR="42517ECA" w:rsidRDefault="42517ECA" w:rsidP="107608BC">
      <w:pPr>
        <w:pStyle w:val="ListParagraph"/>
        <w:numPr>
          <w:ilvl w:val="0"/>
          <w:numId w:val="9"/>
        </w:numPr>
        <w:spacing w:before="240" w:after="240"/>
        <w:jc w:val="both"/>
        <w:rPr>
          <w:rFonts w:ascii="Times New Roman" w:eastAsia="Times New Roman" w:hAnsi="Times New Roman" w:cs="Times New Roman"/>
        </w:rPr>
      </w:pPr>
      <w:r w:rsidRPr="67A47860">
        <w:rPr>
          <w:rFonts w:ascii="Times New Roman" w:eastAsia="Times New Roman" w:hAnsi="Times New Roman" w:cs="Times New Roman"/>
          <w:b/>
          <w:bCs/>
          <w:color w:val="18181B"/>
        </w:rPr>
        <w:t xml:space="preserve">Ullah, A., Chattoraj, D., &amp; Kathy, A. (2024): </w:t>
      </w:r>
      <w:r w:rsidR="5C2E174F" w:rsidRPr="67A47860">
        <w:rPr>
          <w:rFonts w:ascii="Times New Roman" w:eastAsia="Times New Roman" w:hAnsi="Times New Roman" w:cs="Times New Roman"/>
          <w:color w:val="18181B"/>
        </w:rPr>
        <w:t>This study</w:t>
      </w:r>
      <w:r w:rsidR="5C2E174F" w:rsidRPr="67A47860">
        <w:rPr>
          <w:rFonts w:ascii="Times New Roman" w:eastAsia="Times New Roman" w:hAnsi="Times New Roman" w:cs="Times New Roman"/>
          <w:b/>
          <w:bCs/>
          <w:color w:val="18181B"/>
        </w:rPr>
        <w:t xml:space="preserve"> </w:t>
      </w:r>
      <w:r w:rsidR="5C2E174F" w:rsidRPr="67A47860">
        <w:rPr>
          <w:rFonts w:ascii="Times New Roman" w:eastAsia="Times New Roman" w:hAnsi="Times New Roman" w:cs="Times New Roman"/>
        </w:rPr>
        <w:t>explore how global mobility is shaped by the regulatory frameworks surrounding passports and visas. Their study emphasizes that visa policies act as instruments of control, influencing who can move, where, and under what conditions. The authors argue that restrictive visa regimes often create inequalities in mobility, favoring individuals from economically stronger nations while limiting opportunities for those from developing countries. This perspective highlights the complex relationship between state sovereignty, globalization, and the free movement of skilled labor, offering valuable insights for understanding barriers to international talent mobility.</w:t>
      </w:r>
    </w:p>
    <w:p w14:paraId="2D4240E7" w14:textId="5B3D635D" w:rsidR="310327F0" w:rsidRDefault="7388554E" w:rsidP="0DC08633">
      <w:pPr>
        <w:pStyle w:val="ListParagraph"/>
        <w:numPr>
          <w:ilvl w:val="0"/>
          <w:numId w:val="9"/>
        </w:numPr>
        <w:spacing w:before="240" w:after="240"/>
        <w:jc w:val="both"/>
        <w:rPr>
          <w:rFonts w:ascii="Times New Roman" w:eastAsia="Times New Roman" w:hAnsi="Times New Roman" w:cs="Times New Roman"/>
          <w:color w:val="18181B"/>
          <w:lang w:val="de-DE"/>
        </w:rPr>
      </w:pPr>
      <w:r w:rsidRPr="67A47860">
        <w:rPr>
          <w:rFonts w:ascii="Times New Roman" w:eastAsia="Times New Roman" w:hAnsi="Times New Roman" w:cs="Times New Roman"/>
          <w:b/>
          <w:bCs/>
        </w:rPr>
        <w:t>S. Mau, F. Gülzau, L. Laube, and N. Zaun (2015):</w:t>
      </w:r>
      <w:r w:rsidR="310327F0" w:rsidRPr="67A47860">
        <w:rPr>
          <w:rFonts w:ascii="Times New Roman" w:eastAsia="Times New Roman" w:hAnsi="Times New Roman" w:cs="Times New Roman"/>
          <w:color w:val="18181B"/>
        </w:rPr>
        <w:t xml:space="preserve"> This study </w:t>
      </w:r>
      <w:r w:rsidR="4CAAE7ED" w:rsidRPr="67A47860">
        <w:rPr>
          <w:rFonts w:ascii="Times New Roman" w:eastAsia="Times New Roman" w:hAnsi="Times New Roman" w:cs="Times New Roman"/>
        </w:rPr>
        <w:t>analyzes</w:t>
      </w:r>
      <w:r w:rsidR="310327F0" w:rsidRPr="67A47860">
        <w:rPr>
          <w:rFonts w:ascii="Times New Roman" w:eastAsia="Times New Roman" w:hAnsi="Times New Roman" w:cs="Times New Roman"/>
        </w:rPr>
        <w:t xml:space="preserve"> the evolution of visa policies to reveal a persistent global mobility divide shaped by political and economic inequalities. Their study demonstrates that visa regulations increasingly favor citizens of wealthier nations, granting them broader travel freedom, while individuals from developing countries face growing restrictions. This imbalance highlights how state policies institutionalize inequality in cross-border mobility, reinforcing existing global hierarchies and limiting equitable access to international opportunities. </w:t>
      </w:r>
    </w:p>
    <w:p w14:paraId="4960FAB0" w14:textId="5D09F2EB" w:rsidR="7D3A5DC3" w:rsidRDefault="7D3A5DC3" w:rsidP="0DC08633">
      <w:pPr>
        <w:spacing w:before="240" w:after="240"/>
        <w:jc w:val="both"/>
        <w:rPr>
          <w:rFonts w:ascii="Times New Roman" w:eastAsia="Times New Roman" w:hAnsi="Times New Roman" w:cs="Times New Roman"/>
          <w:b/>
          <w:bCs/>
          <w:color w:val="18181B"/>
          <w:sz w:val="28"/>
          <w:szCs w:val="28"/>
        </w:rPr>
      </w:pPr>
      <w:r w:rsidRPr="67A47860">
        <w:rPr>
          <w:rFonts w:ascii="Times New Roman" w:eastAsia="Times New Roman" w:hAnsi="Times New Roman" w:cs="Times New Roman"/>
          <w:b/>
          <w:bCs/>
          <w:color w:val="18181B"/>
          <w:sz w:val="28"/>
          <w:szCs w:val="28"/>
        </w:rPr>
        <w:t xml:space="preserve">2.1 </w:t>
      </w:r>
      <w:r w:rsidR="46724281" w:rsidRPr="67A47860">
        <w:rPr>
          <w:rFonts w:ascii="Times New Roman" w:eastAsia="Times New Roman" w:hAnsi="Times New Roman" w:cs="Times New Roman"/>
          <w:b/>
          <w:bCs/>
          <w:color w:val="18181B"/>
          <w:sz w:val="28"/>
          <w:szCs w:val="28"/>
        </w:rPr>
        <w:t>Research Gap</w:t>
      </w:r>
    </w:p>
    <w:p w14:paraId="50FA6788" w14:textId="0B76C2C9" w:rsidR="64109AE4" w:rsidRDefault="53D5341B" w:rsidP="67A47860">
      <w:pPr>
        <w:spacing w:before="240" w:after="240"/>
        <w:jc w:val="both"/>
        <w:rPr>
          <w:rFonts w:ascii="Times New Roman" w:eastAsia="Times New Roman" w:hAnsi="Times New Roman" w:cs="Times New Roman"/>
        </w:rPr>
      </w:pPr>
      <w:r w:rsidRPr="67A47860">
        <w:rPr>
          <w:rFonts w:ascii="Times New Roman" w:eastAsia="Times New Roman" w:hAnsi="Times New Roman" w:cs="Times New Roman"/>
        </w:rPr>
        <w:t>This research employs a mixed-methods design, integrating both quantitative and qualitative techniques to achieve a comprehensive understanding of talent mobility.</w:t>
      </w:r>
      <w:r w:rsidR="64109AE4" w:rsidRPr="67A47860">
        <w:rPr>
          <w:rFonts w:ascii="Times New Roman" w:eastAsia="Times New Roman" w:hAnsi="Times New Roman" w:cs="Times New Roman"/>
        </w:rPr>
        <w:t xml:space="preserve"> While data confirms a significant upskilling of Indian graduates, particularly in B.E/B.Tech and MBA domains, the current literature fails to explore if this enhanced local talent pool effectively </w:t>
      </w:r>
      <w:r w:rsidR="64109AE4" w:rsidRPr="67A47860">
        <w:rPr>
          <w:rFonts w:ascii="Times New Roman" w:eastAsia="Times New Roman" w:hAnsi="Times New Roman" w:cs="Times New Roman"/>
          <w:b/>
          <w:bCs/>
        </w:rPr>
        <w:t>mitigates the disruption</w:t>
      </w:r>
      <w:r w:rsidR="64109AE4" w:rsidRPr="67A47860">
        <w:rPr>
          <w:rFonts w:ascii="Times New Roman" w:eastAsia="Times New Roman" w:hAnsi="Times New Roman" w:cs="Times New Roman"/>
        </w:rPr>
        <w:t xml:space="preserve"> to the on-site service delivery model caused by stricter work visa policies in host countries like the United States. Furthermore, as the overall willingness for international relocation declines and visa uncertainty increases for Indian IT professionals, there is a distinct need for research into the </w:t>
      </w:r>
      <w:r w:rsidR="64109AE4" w:rsidRPr="67A47860">
        <w:rPr>
          <w:rFonts w:ascii="Times New Roman" w:eastAsia="Times New Roman" w:hAnsi="Times New Roman" w:cs="Times New Roman"/>
          <w:b/>
          <w:bCs/>
        </w:rPr>
        <w:t>effectiveness of retention strategies</w:t>
      </w:r>
      <w:r w:rsidR="64109AE4" w:rsidRPr="67A47860">
        <w:rPr>
          <w:rFonts w:ascii="Times New Roman" w:eastAsia="Times New Roman" w:hAnsi="Times New Roman" w:cs="Times New Roman"/>
        </w:rPr>
        <w:t xml:space="preserve">. Current studies only offer general retention advice, missing an analysis of how multinational firms can successfully integrate </w:t>
      </w:r>
      <w:r w:rsidR="64109AE4" w:rsidRPr="67A47860">
        <w:rPr>
          <w:rFonts w:ascii="Times New Roman" w:eastAsia="Times New Roman" w:hAnsi="Times New Roman" w:cs="Times New Roman"/>
          <w:b/>
          <w:bCs/>
        </w:rPr>
        <w:t>new virtual collaboration and hybrid work models</w:t>
      </w:r>
      <w:r w:rsidR="64109AE4" w:rsidRPr="67A47860">
        <w:rPr>
          <w:rFonts w:ascii="Times New Roman" w:eastAsia="Times New Roman" w:hAnsi="Times New Roman" w:cs="Times New Roman"/>
        </w:rPr>
        <w:t xml:space="preserve"> into their HR frameworks to foster career growth and engagement for skilled workers who are now restricted from traditional global assignment pathways. </w:t>
      </w:r>
    </w:p>
    <w:p w14:paraId="12C25D23" w14:textId="529D970F" w:rsidR="4CE51AF8" w:rsidRDefault="4CE51AF8" w:rsidP="107608BC">
      <w:pPr>
        <w:spacing w:before="240" w:after="240"/>
        <w:jc w:val="both"/>
        <w:rPr>
          <w:rFonts w:ascii="Times New Roman" w:eastAsia="Times New Roman" w:hAnsi="Times New Roman" w:cs="Times New Roman"/>
          <w:b/>
          <w:bCs/>
          <w:sz w:val="28"/>
          <w:szCs w:val="28"/>
        </w:rPr>
      </w:pPr>
      <w:r w:rsidRPr="67A47860">
        <w:rPr>
          <w:rFonts w:ascii="Times New Roman" w:eastAsia="Times New Roman" w:hAnsi="Times New Roman" w:cs="Times New Roman"/>
          <w:b/>
          <w:bCs/>
          <w:sz w:val="28"/>
          <w:szCs w:val="28"/>
        </w:rPr>
        <w:t xml:space="preserve">2.2 </w:t>
      </w:r>
      <w:r w:rsidR="64109AE4" w:rsidRPr="67A47860">
        <w:rPr>
          <w:rFonts w:ascii="Times New Roman" w:eastAsia="Times New Roman" w:hAnsi="Times New Roman" w:cs="Times New Roman"/>
          <w:b/>
          <w:bCs/>
          <w:sz w:val="28"/>
          <w:szCs w:val="28"/>
        </w:rPr>
        <w:t>Research Objective</w:t>
      </w:r>
    </w:p>
    <w:p w14:paraId="1B63BCC3" w14:textId="24379F96" w:rsidR="1A31451B" w:rsidRDefault="1A31451B" w:rsidP="107608BC">
      <w:pPr>
        <w:pStyle w:val="ListParagraph"/>
        <w:numPr>
          <w:ilvl w:val="0"/>
          <w:numId w:val="7"/>
        </w:numPr>
        <w:spacing w:before="240" w:after="240"/>
        <w:jc w:val="both"/>
        <w:rPr>
          <w:rFonts w:ascii="Times New Roman" w:eastAsia="Times New Roman" w:hAnsi="Times New Roman" w:cs="Times New Roman"/>
        </w:rPr>
      </w:pPr>
      <w:r w:rsidRPr="67A47860">
        <w:rPr>
          <w:rFonts w:ascii="Times New Roman" w:eastAsia="Times New Roman" w:hAnsi="Times New Roman" w:cs="Times New Roman"/>
        </w:rPr>
        <w:t>To evaluate the direct financial and operational impact of new visa restrictions.</w:t>
      </w:r>
    </w:p>
    <w:p w14:paraId="2922908A" w14:textId="5A8C893C" w:rsidR="1A31451B" w:rsidRDefault="1A31451B" w:rsidP="107608BC">
      <w:pPr>
        <w:pStyle w:val="ListParagraph"/>
        <w:numPr>
          <w:ilvl w:val="0"/>
          <w:numId w:val="7"/>
        </w:numPr>
        <w:spacing w:before="240" w:after="240"/>
        <w:jc w:val="both"/>
        <w:rPr>
          <w:rFonts w:ascii="Times New Roman" w:eastAsia="Times New Roman" w:hAnsi="Times New Roman" w:cs="Times New Roman"/>
        </w:rPr>
      </w:pPr>
      <w:r w:rsidRPr="67A47860">
        <w:rPr>
          <w:rFonts w:ascii="Times New Roman" w:eastAsia="Times New Roman" w:hAnsi="Times New Roman" w:cs="Times New Roman"/>
        </w:rPr>
        <w:t>To determine how the strategic adoption of hybrid and virtual work models influences career satisfaction and retention.</w:t>
      </w:r>
    </w:p>
    <w:p w14:paraId="0CD3A4CB" w14:textId="175D8053" w:rsidR="107608BC" w:rsidRDefault="107608BC" w:rsidP="107608BC">
      <w:pPr>
        <w:spacing w:before="240" w:after="240"/>
        <w:jc w:val="both"/>
        <w:rPr>
          <w:rFonts w:ascii="Times New Roman" w:eastAsia="Times New Roman" w:hAnsi="Times New Roman" w:cs="Times New Roman"/>
          <w:b/>
          <w:bCs/>
        </w:rPr>
      </w:pPr>
      <w:r w:rsidRPr="67A47860">
        <w:rPr>
          <w:rFonts w:ascii="Times New Roman" w:eastAsia="Times New Roman" w:hAnsi="Times New Roman" w:cs="Times New Roman"/>
          <w:b/>
          <w:bCs/>
          <w:sz w:val="28"/>
          <w:szCs w:val="28"/>
        </w:rPr>
        <w:lastRenderedPageBreak/>
        <w:t xml:space="preserve">3. </w:t>
      </w:r>
      <w:r w:rsidR="1A31451B" w:rsidRPr="67A47860">
        <w:rPr>
          <w:rFonts w:ascii="Times New Roman" w:eastAsia="Times New Roman" w:hAnsi="Times New Roman" w:cs="Times New Roman"/>
          <w:b/>
          <w:bCs/>
          <w:sz w:val="28"/>
          <w:szCs w:val="28"/>
        </w:rPr>
        <w:t>Research Methodology</w:t>
      </w:r>
    </w:p>
    <w:p w14:paraId="52C5022F" w14:textId="14B8D058" w:rsidR="50404BC8" w:rsidRDefault="50404BC8" w:rsidP="67A47860">
      <w:pPr>
        <w:spacing w:before="240" w:after="240"/>
        <w:jc w:val="both"/>
        <w:rPr>
          <w:rFonts w:ascii="Times New Roman" w:eastAsia="Times New Roman" w:hAnsi="Times New Roman" w:cs="Times New Roman"/>
        </w:rPr>
      </w:pPr>
      <w:r w:rsidRPr="67A47860">
        <w:rPr>
          <w:rFonts w:ascii="Times New Roman" w:eastAsia="Times New Roman" w:hAnsi="Times New Roman" w:cs="Times New Roman"/>
        </w:rPr>
        <w:t xml:space="preserve">This study adopts a mixed-methods approach, combining quantitative and qualitative research to gain a thorough understanding of talent mobility. The quantitative analysis examines factors such as employee turnover rates, internal transfers, and workforce demographics, using secondary data from organizational reports, government publications, and industry surveys. Qualitative insights were drawn from academic journals, books, and periodicals to explore practices, challenges, and strategies related to talent mobility, including financial impacts on IT companies due to higher visa fees and the relationship between employee satisfaction and emerging remote work models. </w:t>
      </w:r>
      <w:r w:rsidRPr="67A47860">
        <w:rPr>
          <w:rFonts w:ascii="Times New Roman" w:eastAsia="Times New Roman" w:hAnsi="Times New Roman" w:cs="Times New Roman"/>
          <w:b/>
          <w:bCs/>
        </w:rPr>
        <w:t xml:space="preserve">Purposive sampling was employed to select relevant sources, ensuring that only credible and pertinent data were included for analysis. </w:t>
      </w:r>
      <w:r w:rsidR="544B2128" w:rsidRPr="67A47860">
        <w:rPr>
          <w:rFonts w:ascii="Times New Roman" w:eastAsia="Times New Roman" w:hAnsi="Times New Roman" w:cs="Times New Roman"/>
          <w:b/>
          <w:bCs/>
        </w:rPr>
        <w:t>This approach allowed the researcher to concentrate on sources most relevant for generating valuable insights related to the study’s research questions.</w:t>
      </w:r>
      <w:r w:rsidRPr="67A47860">
        <w:rPr>
          <w:rFonts w:ascii="Times New Roman" w:eastAsia="Times New Roman" w:hAnsi="Times New Roman" w:cs="Times New Roman"/>
        </w:rPr>
        <w:t xml:space="preserve"> Integrating both data types allows for a comprehensive assessment of patterns, trends, and underlying factors influencing employee movement. All data sources were carefully selected for credibility, relevance, and validity to ensure robust and reliable analysis.</w:t>
      </w:r>
      <w:r w:rsidR="35757D56" w:rsidRPr="67A47860">
        <w:rPr>
          <w:rFonts w:ascii="Times New Roman" w:eastAsia="Times New Roman" w:hAnsi="Times New Roman" w:cs="Times New Roman"/>
        </w:rPr>
        <w:t xml:space="preserve"> </w:t>
      </w:r>
    </w:p>
    <w:p w14:paraId="672A89DE" w14:textId="24D60139" w:rsidR="2B18154A" w:rsidRDefault="2B18154A" w:rsidP="107608BC">
      <w:pPr>
        <w:spacing w:before="240" w:after="240"/>
        <w:jc w:val="both"/>
        <w:rPr>
          <w:rFonts w:ascii="Times New Roman" w:eastAsia="Times New Roman" w:hAnsi="Times New Roman" w:cs="Times New Roman"/>
          <w:b/>
          <w:bCs/>
          <w:sz w:val="28"/>
          <w:szCs w:val="28"/>
        </w:rPr>
      </w:pPr>
      <w:r w:rsidRPr="67A47860">
        <w:rPr>
          <w:rFonts w:ascii="Times New Roman" w:eastAsia="Times New Roman" w:hAnsi="Times New Roman" w:cs="Times New Roman"/>
          <w:b/>
          <w:bCs/>
          <w:sz w:val="28"/>
          <w:szCs w:val="28"/>
        </w:rPr>
        <w:t xml:space="preserve">3.1 Data Analysis </w:t>
      </w:r>
    </w:p>
    <w:p w14:paraId="08F4905D" w14:textId="0396A664" w:rsidR="24EA72C8" w:rsidRDefault="24EA72C8" w:rsidP="107608BC">
      <w:pPr>
        <w:jc w:val="both"/>
        <w:rPr>
          <w:rFonts w:ascii="Times New Roman" w:eastAsia="Times New Roman" w:hAnsi="Times New Roman" w:cs="Times New Roman"/>
          <w:b/>
          <w:bCs/>
        </w:rPr>
      </w:pPr>
      <w:r w:rsidRPr="67A47860">
        <w:rPr>
          <w:rFonts w:ascii="Times New Roman" w:eastAsia="Times New Roman" w:hAnsi="Times New Roman" w:cs="Times New Roman"/>
          <w:b/>
          <w:bCs/>
        </w:rPr>
        <w:t>Figure 1: Employability Rate (2019–2025)</w:t>
      </w:r>
    </w:p>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2840"/>
        <w:gridCol w:w="3060"/>
      </w:tblGrid>
      <w:tr w:rsidR="107608BC" w14:paraId="29931E42" w14:textId="77777777" w:rsidTr="67A47860">
        <w:trPr>
          <w:trHeight w:val="291"/>
        </w:trPr>
        <w:tc>
          <w:tcPr>
            <w:tcW w:w="2840" w:type="dxa"/>
            <w:tcMar>
              <w:top w:w="30" w:type="dxa"/>
              <w:left w:w="45" w:type="dxa"/>
              <w:bottom w:w="30" w:type="dxa"/>
              <w:right w:w="45" w:type="dxa"/>
            </w:tcMar>
            <w:vAlign w:val="center"/>
          </w:tcPr>
          <w:p w14:paraId="045AA21C" w14:textId="0566273E" w:rsidR="107608BC" w:rsidRDefault="107608BC" w:rsidP="107608BC">
            <w:pPr>
              <w:jc w:val="center"/>
              <w:rPr>
                <w:rFonts w:ascii="Times New Roman" w:eastAsia="Times New Roman" w:hAnsi="Times New Roman" w:cs="Times New Roman"/>
                <w:b/>
                <w:bCs/>
              </w:rPr>
            </w:pPr>
            <w:r w:rsidRPr="67A47860">
              <w:rPr>
                <w:rFonts w:ascii="Times New Roman" w:eastAsia="Times New Roman" w:hAnsi="Times New Roman" w:cs="Times New Roman"/>
                <w:b/>
                <w:bCs/>
              </w:rPr>
              <w:t>Year</w:t>
            </w:r>
          </w:p>
        </w:tc>
        <w:tc>
          <w:tcPr>
            <w:tcW w:w="3060" w:type="dxa"/>
            <w:tcMar>
              <w:top w:w="30" w:type="dxa"/>
              <w:left w:w="45" w:type="dxa"/>
              <w:bottom w:w="30" w:type="dxa"/>
              <w:right w:w="45" w:type="dxa"/>
            </w:tcMar>
            <w:vAlign w:val="center"/>
          </w:tcPr>
          <w:p w14:paraId="382DEF2A" w14:textId="7056CF7F" w:rsidR="107608BC" w:rsidRDefault="107608BC" w:rsidP="107608BC">
            <w:pPr>
              <w:jc w:val="center"/>
              <w:rPr>
                <w:rFonts w:ascii="Times New Roman" w:eastAsia="Times New Roman" w:hAnsi="Times New Roman" w:cs="Times New Roman"/>
                <w:b/>
                <w:bCs/>
              </w:rPr>
            </w:pPr>
            <w:r w:rsidRPr="67A47860">
              <w:rPr>
                <w:rFonts w:ascii="Times New Roman" w:eastAsia="Times New Roman" w:hAnsi="Times New Roman" w:cs="Times New Roman"/>
                <w:b/>
                <w:bCs/>
              </w:rPr>
              <w:t>Employability (%)</w:t>
            </w:r>
          </w:p>
        </w:tc>
      </w:tr>
      <w:tr w:rsidR="107608BC" w14:paraId="606F85BD" w14:textId="77777777" w:rsidTr="67A47860">
        <w:trPr>
          <w:trHeight w:val="291"/>
        </w:trPr>
        <w:tc>
          <w:tcPr>
            <w:tcW w:w="2840" w:type="dxa"/>
            <w:tcMar>
              <w:top w:w="30" w:type="dxa"/>
              <w:left w:w="45" w:type="dxa"/>
              <w:bottom w:w="30" w:type="dxa"/>
              <w:right w:w="45" w:type="dxa"/>
            </w:tcMar>
            <w:vAlign w:val="center"/>
          </w:tcPr>
          <w:p w14:paraId="10151457" w14:textId="788C2546"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2019</w:t>
            </w:r>
          </w:p>
        </w:tc>
        <w:tc>
          <w:tcPr>
            <w:tcW w:w="3060" w:type="dxa"/>
            <w:tcMar>
              <w:top w:w="30" w:type="dxa"/>
              <w:left w:w="45" w:type="dxa"/>
              <w:bottom w:w="30" w:type="dxa"/>
              <w:right w:w="45" w:type="dxa"/>
            </w:tcMar>
            <w:vAlign w:val="center"/>
          </w:tcPr>
          <w:p w14:paraId="69C29998" w14:textId="3846982A"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47.28</w:t>
            </w:r>
          </w:p>
        </w:tc>
      </w:tr>
      <w:tr w:rsidR="107608BC" w14:paraId="16DA79F5" w14:textId="77777777" w:rsidTr="67A47860">
        <w:trPr>
          <w:trHeight w:val="291"/>
        </w:trPr>
        <w:tc>
          <w:tcPr>
            <w:tcW w:w="2840" w:type="dxa"/>
            <w:tcMar>
              <w:top w:w="30" w:type="dxa"/>
              <w:left w:w="45" w:type="dxa"/>
              <w:bottom w:w="30" w:type="dxa"/>
              <w:right w:w="45" w:type="dxa"/>
            </w:tcMar>
            <w:vAlign w:val="center"/>
          </w:tcPr>
          <w:p w14:paraId="48E5B5B3" w14:textId="4A9F7B5B"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2020</w:t>
            </w:r>
          </w:p>
        </w:tc>
        <w:tc>
          <w:tcPr>
            <w:tcW w:w="3060" w:type="dxa"/>
            <w:tcMar>
              <w:top w:w="30" w:type="dxa"/>
              <w:left w:w="45" w:type="dxa"/>
              <w:bottom w:w="30" w:type="dxa"/>
              <w:right w:w="45" w:type="dxa"/>
            </w:tcMar>
            <w:vAlign w:val="center"/>
          </w:tcPr>
          <w:p w14:paraId="7F3D3294" w14:textId="77E291CC"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46.21</w:t>
            </w:r>
          </w:p>
        </w:tc>
      </w:tr>
      <w:tr w:rsidR="107608BC" w14:paraId="602034AD" w14:textId="77777777" w:rsidTr="67A47860">
        <w:trPr>
          <w:trHeight w:val="291"/>
        </w:trPr>
        <w:tc>
          <w:tcPr>
            <w:tcW w:w="2840" w:type="dxa"/>
            <w:tcMar>
              <w:top w:w="30" w:type="dxa"/>
              <w:left w:w="45" w:type="dxa"/>
              <w:bottom w:w="30" w:type="dxa"/>
              <w:right w:w="45" w:type="dxa"/>
            </w:tcMar>
            <w:vAlign w:val="center"/>
          </w:tcPr>
          <w:p w14:paraId="079C52CA" w14:textId="56D191E7"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2021</w:t>
            </w:r>
          </w:p>
        </w:tc>
        <w:tc>
          <w:tcPr>
            <w:tcW w:w="3060" w:type="dxa"/>
            <w:tcMar>
              <w:top w:w="30" w:type="dxa"/>
              <w:left w:w="45" w:type="dxa"/>
              <w:bottom w:w="30" w:type="dxa"/>
              <w:right w:w="45" w:type="dxa"/>
            </w:tcMar>
            <w:vAlign w:val="center"/>
          </w:tcPr>
          <w:p w14:paraId="11FB07FF" w14:textId="64B06EB5"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45.9</w:t>
            </w:r>
          </w:p>
        </w:tc>
      </w:tr>
      <w:tr w:rsidR="107608BC" w14:paraId="3AAADDC5" w14:textId="77777777" w:rsidTr="67A47860">
        <w:trPr>
          <w:trHeight w:val="291"/>
        </w:trPr>
        <w:tc>
          <w:tcPr>
            <w:tcW w:w="2840" w:type="dxa"/>
            <w:tcMar>
              <w:top w:w="30" w:type="dxa"/>
              <w:left w:w="45" w:type="dxa"/>
              <w:bottom w:w="30" w:type="dxa"/>
              <w:right w:w="45" w:type="dxa"/>
            </w:tcMar>
            <w:vAlign w:val="center"/>
          </w:tcPr>
          <w:p w14:paraId="0C14B065" w14:textId="1EDD834C"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2022</w:t>
            </w:r>
          </w:p>
        </w:tc>
        <w:tc>
          <w:tcPr>
            <w:tcW w:w="3060" w:type="dxa"/>
            <w:tcMar>
              <w:top w:w="30" w:type="dxa"/>
              <w:left w:w="45" w:type="dxa"/>
              <w:bottom w:w="30" w:type="dxa"/>
              <w:right w:w="45" w:type="dxa"/>
            </w:tcMar>
            <w:vAlign w:val="center"/>
          </w:tcPr>
          <w:p w14:paraId="7CA85240" w14:textId="31665295"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46.2</w:t>
            </w:r>
          </w:p>
        </w:tc>
      </w:tr>
      <w:tr w:rsidR="107608BC" w14:paraId="17C8E444" w14:textId="77777777" w:rsidTr="67A47860">
        <w:trPr>
          <w:trHeight w:val="291"/>
        </w:trPr>
        <w:tc>
          <w:tcPr>
            <w:tcW w:w="2840" w:type="dxa"/>
            <w:tcMar>
              <w:top w:w="30" w:type="dxa"/>
              <w:left w:w="45" w:type="dxa"/>
              <w:bottom w:w="30" w:type="dxa"/>
              <w:right w:w="45" w:type="dxa"/>
            </w:tcMar>
            <w:vAlign w:val="center"/>
          </w:tcPr>
          <w:p w14:paraId="2AD768A0" w14:textId="3171680E"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2023</w:t>
            </w:r>
          </w:p>
        </w:tc>
        <w:tc>
          <w:tcPr>
            <w:tcW w:w="3060" w:type="dxa"/>
            <w:tcMar>
              <w:top w:w="30" w:type="dxa"/>
              <w:left w:w="45" w:type="dxa"/>
              <w:bottom w:w="30" w:type="dxa"/>
              <w:right w:w="45" w:type="dxa"/>
            </w:tcMar>
            <w:vAlign w:val="center"/>
          </w:tcPr>
          <w:p w14:paraId="1F87C97F" w14:textId="24777F36"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50.3</w:t>
            </w:r>
          </w:p>
        </w:tc>
      </w:tr>
      <w:tr w:rsidR="107608BC" w14:paraId="20BB8FEC" w14:textId="77777777" w:rsidTr="67A47860">
        <w:trPr>
          <w:trHeight w:val="291"/>
        </w:trPr>
        <w:tc>
          <w:tcPr>
            <w:tcW w:w="2840" w:type="dxa"/>
            <w:tcMar>
              <w:top w:w="30" w:type="dxa"/>
              <w:left w:w="45" w:type="dxa"/>
              <w:bottom w:w="30" w:type="dxa"/>
              <w:right w:w="45" w:type="dxa"/>
            </w:tcMar>
            <w:vAlign w:val="center"/>
          </w:tcPr>
          <w:p w14:paraId="76C81E6F" w14:textId="24F89141"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2024</w:t>
            </w:r>
          </w:p>
        </w:tc>
        <w:tc>
          <w:tcPr>
            <w:tcW w:w="3060" w:type="dxa"/>
            <w:tcMar>
              <w:top w:w="30" w:type="dxa"/>
              <w:left w:w="45" w:type="dxa"/>
              <w:bottom w:w="30" w:type="dxa"/>
              <w:right w:w="45" w:type="dxa"/>
            </w:tcMar>
            <w:vAlign w:val="center"/>
          </w:tcPr>
          <w:p w14:paraId="6933957F" w14:textId="3214E96A"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51.25</w:t>
            </w:r>
          </w:p>
        </w:tc>
      </w:tr>
      <w:tr w:rsidR="107608BC" w14:paraId="5CF69925" w14:textId="77777777" w:rsidTr="67A47860">
        <w:trPr>
          <w:trHeight w:val="291"/>
        </w:trPr>
        <w:tc>
          <w:tcPr>
            <w:tcW w:w="2840" w:type="dxa"/>
            <w:tcMar>
              <w:top w:w="30" w:type="dxa"/>
              <w:left w:w="45" w:type="dxa"/>
              <w:bottom w:w="30" w:type="dxa"/>
              <w:right w:w="45" w:type="dxa"/>
            </w:tcMar>
            <w:vAlign w:val="center"/>
          </w:tcPr>
          <w:p w14:paraId="430872DC" w14:textId="115DC45F"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2025</w:t>
            </w:r>
          </w:p>
        </w:tc>
        <w:tc>
          <w:tcPr>
            <w:tcW w:w="3060" w:type="dxa"/>
            <w:tcMar>
              <w:top w:w="30" w:type="dxa"/>
              <w:left w:w="45" w:type="dxa"/>
              <w:bottom w:w="30" w:type="dxa"/>
              <w:right w:w="45" w:type="dxa"/>
            </w:tcMar>
            <w:vAlign w:val="center"/>
          </w:tcPr>
          <w:p w14:paraId="6493843A" w14:textId="46B8D052"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54.81</w:t>
            </w:r>
          </w:p>
        </w:tc>
      </w:tr>
    </w:tbl>
    <w:p w14:paraId="6090203A" w14:textId="2CCCD231" w:rsidR="3FDA4946" w:rsidRDefault="3FDA4946" w:rsidP="3FDA4946">
      <w:pPr>
        <w:jc w:val="both"/>
        <w:rPr>
          <w:rFonts w:ascii="Times New Roman" w:eastAsia="Times New Roman" w:hAnsi="Times New Roman" w:cs="Times New Roman"/>
        </w:rPr>
      </w:pPr>
    </w:p>
    <w:p w14:paraId="368AAFD8" w14:textId="425628FC" w:rsidR="447CF67D" w:rsidRDefault="447CF67D" w:rsidP="3FDA4946">
      <w:pPr>
        <w:jc w:val="both"/>
        <w:rPr>
          <w:rFonts w:ascii="Times New Roman" w:eastAsia="Times New Roman" w:hAnsi="Times New Roman" w:cs="Times New Roman"/>
          <w:b/>
          <w:bCs/>
        </w:rPr>
      </w:pPr>
      <w:r w:rsidRPr="67A47860">
        <w:rPr>
          <w:rFonts w:ascii="Times New Roman" w:eastAsia="Times New Roman" w:hAnsi="Times New Roman" w:cs="Times New Roman"/>
          <w:b/>
          <w:bCs/>
        </w:rPr>
        <w:t>Source:</w:t>
      </w:r>
      <w:hyperlink r:id="rId7">
        <w:r w:rsidRPr="67A47860">
          <w:rPr>
            <w:rStyle w:val="Hyperlink"/>
            <w:rFonts w:ascii="Times New Roman" w:eastAsia="Times New Roman" w:hAnsi="Times New Roman" w:cs="Times New Roman"/>
            <w:b/>
            <w:bCs/>
          </w:rPr>
          <w:t>https://wheebox.com/blog/India-Skills-Report-2025-Enabling-Global-Talent-Mobility.htm</w:t>
        </w:r>
      </w:hyperlink>
    </w:p>
    <w:p w14:paraId="40CDD094" w14:textId="0B625433" w:rsidR="3FDA4946" w:rsidRDefault="3FDA4946" w:rsidP="3FDA4946">
      <w:pPr>
        <w:jc w:val="both"/>
        <w:rPr>
          <w:rFonts w:ascii="Times New Roman" w:eastAsia="Times New Roman" w:hAnsi="Times New Roman" w:cs="Times New Roman"/>
        </w:rPr>
      </w:pPr>
    </w:p>
    <w:p w14:paraId="5FCFA4BF" w14:textId="514CD2A0" w:rsidR="24EA72C8" w:rsidRDefault="24EA72C8" w:rsidP="0DC08633">
      <w:pPr>
        <w:jc w:val="both"/>
        <w:rPr>
          <w:rFonts w:ascii="Times New Roman" w:eastAsia="Times New Roman" w:hAnsi="Times New Roman" w:cs="Times New Roman"/>
        </w:rPr>
      </w:pPr>
      <w:r>
        <w:rPr>
          <w:noProof/>
        </w:rPr>
        <w:lastRenderedPageBreak/>
        <w:drawing>
          <wp:inline distT="0" distB="0" distL="0" distR="0" wp14:anchorId="6DCDEF26" wp14:editId="1E5504C5">
            <wp:extent cx="5863590" cy="2651760"/>
            <wp:effectExtent l="19050" t="19050" r="22860" b="15240"/>
            <wp:docPr id="39507807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2834474" name=""/>
                    <pic:cNvPicPr/>
                  </pic:nvPicPr>
                  <pic:blipFill>
                    <a:blip r:embed="rId8">
                      <a:extLst>
                        <a:ext uri="{28A0092B-C50C-407E-A947-70E740481C1C}">
                          <a14:useLocalDpi xmlns:a14="http://schemas.microsoft.com/office/drawing/2010/main"/>
                        </a:ext>
                      </a:extLst>
                    </a:blip>
                    <a:stretch>
                      <a:fillRect/>
                    </a:stretch>
                  </pic:blipFill>
                  <pic:spPr>
                    <a:xfrm>
                      <a:off x="0" y="0"/>
                      <a:ext cx="5897724" cy="2667197"/>
                    </a:xfrm>
                    <a:prstGeom prst="rect">
                      <a:avLst/>
                    </a:prstGeom>
                    <a:ln w="9525">
                      <a:solidFill>
                        <a:schemeClr val="tx1"/>
                      </a:solidFill>
                      <a:prstDash val="solid"/>
                    </a:ln>
                  </pic:spPr>
                </pic:pic>
              </a:graphicData>
            </a:graphic>
          </wp:inline>
        </w:drawing>
      </w:r>
    </w:p>
    <w:p w14:paraId="0231641D" w14:textId="2B60406F" w:rsidR="24EA72C8" w:rsidRDefault="24EA72C8" w:rsidP="67A47860">
      <w:pPr>
        <w:jc w:val="both"/>
        <w:rPr>
          <w:rFonts w:ascii="Times New Roman" w:eastAsia="Times New Roman" w:hAnsi="Times New Roman" w:cs="Times New Roman"/>
          <w:b/>
          <w:bCs/>
        </w:rPr>
      </w:pPr>
      <w:r w:rsidRPr="67A47860">
        <w:rPr>
          <w:rFonts w:ascii="Times New Roman" w:eastAsia="Times New Roman" w:hAnsi="Times New Roman" w:cs="Times New Roman"/>
          <w:b/>
          <w:bCs/>
        </w:rPr>
        <w:t>Source</w:t>
      </w:r>
      <w:r w:rsidR="03A82FD5" w:rsidRPr="67A47860">
        <w:rPr>
          <w:rFonts w:ascii="Times New Roman" w:eastAsia="Times New Roman" w:hAnsi="Times New Roman" w:cs="Times New Roman"/>
          <w:b/>
          <w:bCs/>
        </w:rPr>
        <w:t xml:space="preserve">: </w:t>
      </w:r>
      <w:r w:rsidR="2482C324" w:rsidRPr="67A47860">
        <w:rPr>
          <w:rFonts w:ascii="Times New Roman" w:eastAsia="Times New Roman" w:hAnsi="Times New Roman" w:cs="Times New Roman"/>
          <w:b/>
          <w:bCs/>
        </w:rPr>
        <w:t xml:space="preserve"> </w:t>
      </w:r>
      <w:r w:rsidR="075A51D2" w:rsidRPr="67A47860">
        <w:rPr>
          <w:rFonts w:ascii="Times New Roman" w:eastAsia="Times New Roman" w:hAnsi="Times New Roman" w:cs="Times New Roman"/>
          <w:b/>
          <w:bCs/>
        </w:rPr>
        <w:t>C</w:t>
      </w:r>
      <w:r w:rsidR="62FAE849" w:rsidRPr="67A47860">
        <w:rPr>
          <w:rFonts w:ascii="Times New Roman" w:eastAsia="Times New Roman" w:hAnsi="Times New Roman" w:cs="Times New Roman"/>
          <w:b/>
          <w:bCs/>
        </w:rPr>
        <w:t xml:space="preserve">ompiled by the </w:t>
      </w:r>
      <w:r w:rsidR="0AB1B56E" w:rsidRPr="67A47860">
        <w:rPr>
          <w:rFonts w:ascii="Times New Roman" w:eastAsia="Times New Roman" w:hAnsi="Times New Roman" w:cs="Times New Roman"/>
          <w:b/>
          <w:bCs/>
        </w:rPr>
        <w:t>researcher</w:t>
      </w:r>
      <w:r w:rsidR="62FAE849" w:rsidRPr="67A47860">
        <w:rPr>
          <w:rFonts w:ascii="Times New Roman" w:eastAsia="Times New Roman" w:hAnsi="Times New Roman" w:cs="Times New Roman"/>
          <w:b/>
          <w:bCs/>
        </w:rPr>
        <w:t xml:space="preserve"> </w:t>
      </w:r>
    </w:p>
    <w:p w14:paraId="2DB20573" w14:textId="49695D9E" w:rsidR="3FDA4946" w:rsidRDefault="3FDA4946" w:rsidP="67A47860">
      <w:pPr>
        <w:jc w:val="both"/>
        <w:rPr>
          <w:rFonts w:ascii="Times New Roman" w:eastAsia="Times New Roman" w:hAnsi="Times New Roman" w:cs="Times New Roman"/>
          <w:b/>
          <w:bCs/>
        </w:rPr>
      </w:pPr>
    </w:p>
    <w:p w14:paraId="573A7C10" w14:textId="3A5DB26C" w:rsidR="24EA72C8" w:rsidRPr="00526C46" w:rsidRDefault="24EA72C8" w:rsidP="107608BC">
      <w:pPr>
        <w:jc w:val="both"/>
        <w:rPr>
          <w:rFonts w:ascii="Times New Roman" w:eastAsia="Times New Roman" w:hAnsi="Times New Roman" w:cs="Times New Roman"/>
        </w:rPr>
      </w:pPr>
      <w:r w:rsidRPr="67A47860">
        <w:rPr>
          <w:rFonts w:ascii="Times New Roman" w:eastAsia="Times New Roman" w:hAnsi="Times New Roman" w:cs="Times New Roman"/>
          <w:b/>
          <w:bCs/>
        </w:rPr>
        <w:t>Figure 2: Employability by Domain (2019–2025)</w:t>
      </w:r>
    </w:p>
    <w:tbl>
      <w:tblPr>
        <w:tblStyle w:val="TableGrid"/>
        <w:tblW w:w="970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1997"/>
        <w:gridCol w:w="1259"/>
        <w:gridCol w:w="1259"/>
        <w:gridCol w:w="1220"/>
        <w:gridCol w:w="1213"/>
        <w:gridCol w:w="1090"/>
        <w:gridCol w:w="879"/>
        <w:gridCol w:w="790"/>
      </w:tblGrid>
      <w:tr w:rsidR="107608BC" w14:paraId="69ECB300" w14:textId="77777777" w:rsidTr="67A47860">
        <w:trPr>
          <w:trHeight w:val="353"/>
        </w:trPr>
        <w:tc>
          <w:tcPr>
            <w:tcW w:w="1997" w:type="dxa"/>
            <w:vAlign w:val="center"/>
          </w:tcPr>
          <w:p w14:paraId="2E5C0F9F" w14:textId="14C08765" w:rsidR="107608BC" w:rsidRDefault="107608BC" w:rsidP="107608BC">
            <w:pPr>
              <w:jc w:val="center"/>
              <w:rPr>
                <w:rFonts w:ascii="Times New Roman" w:eastAsia="Times New Roman" w:hAnsi="Times New Roman" w:cs="Times New Roman"/>
                <w:b/>
                <w:bCs/>
              </w:rPr>
            </w:pPr>
            <w:r w:rsidRPr="67A47860">
              <w:rPr>
                <w:rFonts w:ascii="Times New Roman" w:eastAsia="Times New Roman" w:hAnsi="Times New Roman" w:cs="Times New Roman"/>
                <w:b/>
                <w:bCs/>
              </w:rPr>
              <w:t>Domain</w:t>
            </w:r>
          </w:p>
        </w:tc>
        <w:tc>
          <w:tcPr>
            <w:tcW w:w="1259" w:type="dxa"/>
            <w:vAlign w:val="center"/>
          </w:tcPr>
          <w:p w14:paraId="66E81288" w14:textId="65BC96DE" w:rsidR="107608BC" w:rsidRDefault="107608BC" w:rsidP="107608BC">
            <w:pPr>
              <w:jc w:val="center"/>
              <w:rPr>
                <w:rFonts w:ascii="Times New Roman" w:eastAsia="Times New Roman" w:hAnsi="Times New Roman" w:cs="Times New Roman"/>
                <w:b/>
                <w:bCs/>
              </w:rPr>
            </w:pPr>
            <w:r w:rsidRPr="67A47860">
              <w:rPr>
                <w:rFonts w:ascii="Times New Roman" w:eastAsia="Times New Roman" w:hAnsi="Times New Roman" w:cs="Times New Roman"/>
                <w:b/>
                <w:bCs/>
              </w:rPr>
              <w:t>2019</w:t>
            </w:r>
          </w:p>
        </w:tc>
        <w:tc>
          <w:tcPr>
            <w:tcW w:w="1259" w:type="dxa"/>
            <w:vAlign w:val="center"/>
          </w:tcPr>
          <w:p w14:paraId="7AA727BA" w14:textId="28CAF3C8" w:rsidR="107608BC" w:rsidRDefault="107608BC" w:rsidP="107608BC">
            <w:pPr>
              <w:jc w:val="center"/>
              <w:rPr>
                <w:rFonts w:ascii="Times New Roman" w:eastAsia="Times New Roman" w:hAnsi="Times New Roman" w:cs="Times New Roman"/>
                <w:b/>
                <w:bCs/>
              </w:rPr>
            </w:pPr>
            <w:r w:rsidRPr="67A47860">
              <w:rPr>
                <w:rFonts w:ascii="Times New Roman" w:eastAsia="Times New Roman" w:hAnsi="Times New Roman" w:cs="Times New Roman"/>
                <w:b/>
                <w:bCs/>
              </w:rPr>
              <w:t>2020</w:t>
            </w:r>
          </w:p>
        </w:tc>
        <w:tc>
          <w:tcPr>
            <w:tcW w:w="1220" w:type="dxa"/>
            <w:vAlign w:val="center"/>
          </w:tcPr>
          <w:p w14:paraId="2258093F" w14:textId="7FEC54E4" w:rsidR="107608BC" w:rsidRDefault="107608BC" w:rsidP="107608BC">
            <w:pPr>
              <w:jc w:val="center"/>
              <w:rPr>
                <w:rFonts w:ascii="Times New Roman" w:eastAsia="Times New Roman" w:hAnsi="Times New Roman" w:cs="Times New Roman"/>
                <w:b/>
                <w:bCs/>
              </w:rPr>
            </w:pPr>
            <w:r w:rsidRPr="67A47860">
              <w:rPr>
                <w:rFonts w:ascii="Times New Roman" w:eastAsia="Times New Roman" w:hAnsi="Times New Roman" w:cs="Times New Roman"/>
                <w:b/>
                <w:bCs/>
              </w:rPr>
              <w:t>2021</w:t>
            </w:r>
          </w:p>
        </w:tc>
        <w:tc>
          <w:tcPr>
            <w:tcW w:w="1213" w:type="dxa"/>
            <w:vAlign w:val="center"/>
          </w:tcPr>
          <w:p w14:paraId="6DADC2AE" w14:textId="6430D7DF" w:rsidR="107608BC" w:rsidRDefault="107608BC" w:rsidP="107608BC">
            <w:pPr>
              <w:jc w:val="center"/>
              <w:rPr>
                <w:rFonts w:ascii="Times New Roman" w:eastAsia="Times New Roman" w:hAnsi="Times New Roman" w:cs="Times New Roman"/>
                <w:b/>
                <w:bCs/>
              </w:rPr>
            </w:pPr>
            <w:r w:rsidRPr="67A47860">
              <w:rPr>
                <w:rFonts w:ascii="Times New Roman" w:eastAsia="Times New Roman" w:hAnsi="Times New Roman" w:cs="Times New Roman"/>
                <w:b/>
                <w:bCs/>
              </w:rPr>
              <w:t>2022</w:t>
            </w:r>
          </w:p>
        </w:tc>
        <w:tc>
          <w:tcPr>
            <w:tcW w:w="1090" w:type="dxa"/>
            <w:vAlign w:val="center"/>
          </w:tcPr>
          <w:p w14:paraId="21057642" w14:textId="58274AE9" w:rsidR="107608BC" w:rsidRDefault="107608BC" w:rsidP="107608BC">
            <w:pPr>
              <w:jc w:val="center"/>
              <w:rPr>
                <w:rFonts w:ascii="Times New Roman" w:eastAsia="Times New Roman" w:hAnsi="Times New Roman" w:cs="Times New Roman"/>
                <w:b/>
                <w:bCs/>
              </w:rPr>
            </w:pPr>
            <w:r w:rsidRPr="67A47860">
              <w:rPr>
                <w:rFonts w:ascii="Times New Roman" w:eastAsia="Times New Roman" w:hAnsi="Times New Roman" w:cs="Times New Roman"/>
                <w:b/>
                <w:bCs/>
              </w:rPr>
              <w:t>2023</w:t>
            </w:r>
          </w:p>
        </w:tc>
        <w:tc>
          <w:tcPr>
            <w:tcW w:w="879" w:type="dxa"/>
            <w:vAlign w:val="center"/>
          </w:tcPr>
          <w:p w14:paraId="335AF87C" w14:textId="1451B813" w:rsidR="107608BC" w:rsidRDefault="107608BC" w:rsidP="107608BC">
            <w:pPr>
              <w:jc w:val="center"/>
              <w:rPr>
                <w:rFonts w:ascii="Times New Roman" w:eastAsia="Times New Roman" w:hAnsi="Times New Roman" w:cs="Times New Roman"/>
                <w:b/>
                <w:bCs/>
              </w:rPr>
            </w:pPr>
            <w:r w:rsidRPr="67A47860">
              <w:rPr>
                <w:rFonts w:ascii="Times New Roman" w:eastAsia="Times New Roman" w:hAnsi="Times New Roman" w:cs="Times New Roman"/>
                <w:b/>
                <w:bCs/>
              </w:rPr>
              <w:t>2024</w:t>
            </w:r>
          </w:p>
        </w:tc>
        <w:tc>
          <w:tcPr>
            <w:tcW w:w="790" w:type="dxa"/>
            <w:vAlign w:val="center"/>
          </w:tcPr>
          <w:p w14:paraId="205A166C" w14:textId="27E92A4A" w:rsidR="107608BC" w:rsidRDefault="107608BC" w:rsidP="107608BC">
            <w:pPr>
              <w:jc w:val="center"/>
              <w:rPr>
                <w:rFonts w:ascii="Times New Roman" w:eastAsia="Times New Roman" w:hAnsi="Times New Roman" w:cs="Times New Roman"/>
                <w:b/>
                <w:bCs/>
              </w:rPr>
            </w:pPr>
            <w:r w:rsidRPr="67A47860">
              <w:rPr>
                <w:rFonts w:ascii="Times New Roman" w:eastAsia="Times New Roman" w:hAnsi="Times New Roman" w:cs="Times New Roman"/>
                <w:b/>
                <w:bCs/>
              </w:rPr>
              <w:t>2025</w:t>
            </w:r>
          </w:p>
        </w:tc>
      </w:tr>
      <w:tr w:rsidR="107608BC" w14:paraId="588C74E4" w14:textId="77777777" w:rsidTr="67A47860">
        <w:trPr>
          <w:trHeight w:val="353"/>
        </w:trPr>
        <w:tc>
          <w:tcPr>
            <w:tcW w:w="1997" w:type="dxa"/>
            <w:vAlign w:val="center"/>
          </w:tcPr>
          <w:p w14:paraId="1CCF08A1" w14:textId="43B13D52"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B.E/B.Tech</w:t>
            </w:r>
          </w:p>
        </w:tc>
        <w:tc>
          <w:tcPr>
            <w:tcW w:w="1259" w:type="dxa"/>
            <w:vAlign w:val="center"/>
          </w:tcPr>
          <w:p w14:paraId="3C8E639C" w14:textId="2B9D007A"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57.09</w:t>
            </w:r>
          </w:p>
        </w:tc>
        <w:tc>
          <w:tcPr>
            <w:tcW w:w="1259" w:type="dxa"/>
            <w:vAlign w:val="center"/>
          </w:tcPr>
          <w:p w14:paraId="55252E94" w14:textId="41ACE570"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49</w:t>
            </w:r>
          </w:p>
        </w:tc>
        <w:tc>
          <w:tcPr>
            <w:tcW w:w="1220" w:type="dxa"/>
            <w:vAlign w:val="center"/>
          </w:tcPr>
          <w:p w14:paraId="69FC39A8" w14:textId="1C2B43B4"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46.82</w:t>
            </w:r>
          </w:p>
        </w:tc>
        <w:tc>
          <w:tcPr>
            <w:tcW w:w="1213" w:type="dxa"/>
            <w:vAlign w:val="center"/>
          </w:tcPr>
          <w:p w14:paraId="6C210087" w14:textId="23330D77"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55.15</w:t>
            </w:r>
          </w:p>
        </w:tc>
        <w:tc>
          <w:tcPr>
            <w:tcW w:w="1090" w:type="dxa"/>
            <w:vAlign w:val="center"/>
          </w:tcPr>
          <w:p w14:paraId="6AB1B237" w14:textId="49EDEE66"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57.44</w:t>
            </w:r>
          </w:p>
        </w:tc>
        <w:tc>
          <w:tcPr>
            <w:tcW w:w="879" w:type="dxa"/>
            <w:vAlign w:val="center"/>
          </w:tcPr>
          <w:p w14:paraId="7861D8B6" w14:textId="7CA4211B"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64.67</w:t>
            </w:r>
          </w:p>
        </w:tc>
        <w:tc>
          <w:tcPr>
            <w:tcW w:w="790" w:type="dxa"/>
            <w:vAlign w:val="center"/>
          </w:tcPr>
          <w:p w14:paraId="5C9821EC" w14:textId="737A9BF9"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71.5</w:t>
            </w:r>
          </w:p>
        </w:tc>
      </w:tr>
      <w:tr w:rsidR="107608BC" w14:paraId="72CF90F6" w14:textId="77777777" w:rsidTr="67A47860">
        <w:trPr>
          <w:trHeight w:val="353"/>
        </w:trPr>
        <w:tc>
          <w:tcPr>
            <w:tcW w:w="1997" w:type="dxa"/>
            <w:vAlign w:val="center"/>
          </w:tcPr>
          <w:p w14:paraId="140A54CD" w14:textId="3B041AEE"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MBA</w:t>
            </w:r>
          </w:p>
        </w:tc>
        <w:tc>
          <w:tcPr>
            <w:tcW w:w="1259" w:type="dxa"/>
            <w:vAlign w:val="center"/>
          </w:tcPr>
          <w:p w14:paraId="78BD56DD" w14:textId="39140352"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36.44</w:t>
            </w:r>
          </w:p>
        </w:tc>
        <w:tc>
          <w:tcPr>
            <w:tcW w:w="1259" w:type="dxa"/>
            <w:vAlign w:val="center"/>
          </w:tcPr>
          <w:p w14:paraId="0200B7F8" w14:textId="6AE51BF9"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54</w:t>
            </w:r>
          </w:p>
        </w:tc>
        <w:tc>
          <w:tcPr>
            <w:tcW w:w="1220" w:type="dxa"/>
            <w:vAlign w:val="center"/>
          </w:tcPr>
          <w:p w14:paraId="0B5E8B65" w14:textId="28950ACE"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46.59</w:t>
            </w:r>
          </w:p>
        </w:tc>
        <w:tc>
          <w:tcPr>
            <w:tcW w:w="1213" w:type="dxa"/>
            <w:vAlign w:val="center"/>
          </w:tcPr>
          <w:p w14:paraId="1F6F33CC" w14:textId="3BD944E5"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55.09</w:t>
            </w:r>
          </w:p>
        </w:tc>
        <w:tc>
          <w:tcPr>
            <w:tcW w:w="1090" w:type="dxa"/>
            <w:vAlign w:val="center"/>
          </w:tcPr>
          <w:p w14:paraId="351479C9" w14:textId="42B775E4"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60.1</w:t>
            </w:r>
          </w:p>
        </w:tc>
        <w:tc>
          <w:tcPr>
            <w:tcW w:w="879" w:type="dxa"/>
            <w:vAlign w:val="center"/>
          </w:tcPr>
          <w:p w14:paraId="64D4A524" w14:textId="3797B5B7"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71.16</w:t>
            </w:r>
          </w:p>
        </w:tc>
        <w:tc>
          <w:tcPr>
            <w:tcW w:w="790" w:type="dxa"/>
            <w:vAlign w:val="center"/>
          </w:tcPr>
          <w:p w14:paraId="30D0ED74" w14:textId="522A155B"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78</w:t>
            </w:r>
          </w:p>
        </w:tc>
      </w:tr>
      <w:tr w:rsidR="107608BC" w14:paraId="3ABE2516" w14:textId="77777777" w:rsidTr="67A47860">
        <w:trPr>
          <w:trHeight w:val="353"/>
        </w:trPr>
        <w:tc>
          <w:tcPr>
            <w:tcW w:w="1997" w:type="dxa"/>
            <w:vAlign w:val="center"/>
          </w:tcPr>
          <w:p w14:paraId="2F18C12D" w14:textId="7F2E8F12" w:rsidR="107608BC" w:rsidRDefault="107608BC" w:rsidP="107608BC">
            <w:pPr>
              <w:jc w:val="center"/>
              <w:rPr>
                <w:rFonts w:ascii="Times New Roman" w:eastAsia="Times New Roman" w:hAnsi="Times New Roman" w:cs="Times New Roman"/>
              </w:rPr>
            </w:pPr>
            <w:proofErr w:type="gramStart"/>
            <w:r w:rsidRPr="67A47860">
              <w:rPr>
                <w:rFonts w:ascii="Times New Roman" w:eastAsia="Times New Roman" w:hAnsi="Times New Roman" w:cs="Times New Roman"/>
              </w:rPr>
              <w:t>B.Arts</w:t>
            </w:r>
            <w:proofErr w:type="gramEnd"/>
          </w:p>
        </w:tc>
        <w:tc>
          <w:tcPr>
            <w:tcW w:w="1259" w:type="dxa"/>
            <w:vAlign w:val="center"/>
          </w:tcPr>
          <w:p w14:paraId="54117370" w14:textId="13020D9F"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29.3</w:t>
            </w:r>
          </w:p>
        </w:tc>
        <w:tc>
          <w:tcPr>
            <w:tcW w:w="1259" w:type="dxa"/>
            <w:vAlign w:val="center"/>
          </w:tcPr>
          <w:p w14:paraId="359837A9" w14:textId="527F4299"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48</w:t>
            </w:r>
          </w:p>
        </w:tc>
        <w:tc>
          <w:tcPr>
            <w:tcW w:w="1220" w:type="dxa"/>
            <w:vAlign w:val="center"/>
          </w:tcPr>
          <w:p w14:paraId="0CE874F4" w14:textId="3DB0EADA"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42.72</w:t>
            </w:r>
          </w:p>
        </w:tc>
        <w:tc>
          <w:tcPr>
            <w:tcW w:w="1213" w:type="dxa"/>
            <w:vAlign w:val="center"/>
          </w:tcPr>
          <w:p w14:paraId="6A0D8C27" w14:textId="04D5A27D"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44.2</w:t>
            </w:r>
          </w:p>
        </w:tc>
        <w:tc>
          <w:tcPr>
            <w:tcW w:w="1090" w:type="dxa"/>
            <w:vAlign w:val="center"/>
          </w:tcPr>
          <w:p w14:paraId="7A336D63" w14:textId="3AAC0EC1"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49.2</w:t>
            </w:r>
          </w:p>
        </w:tc>
        <w:tc>
          <w:tcPr>
            <w:tcW w:w="879" w:type="dxa"/>
            <w:vAlign w:val="center"/>
          </w:tcPr>
          <w:p w14:paraId="62421EFC" w14:textId="26193BE9"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47.11</w:t>
            </w:r>
          </w:p>
        </w:tc>
        <w:tc>
          <w:tcPr>
            <w:tcW w:w="790" w:type="dxa"/>
            <w:vAlign w:val="center"/>
          </w:tcPr>
          <w:p w14:paraId="66DECE59" w14:textId="1750D6FF"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54</w:t>
            </w:r>
          </w:p>
        </w:tc>
      </w:tr>
      <w:tr w:rsidR="107608BC" w14:paraId="65CB0E22" w14:textId="77777777" w:rsidTr="67A47860">
        <w:trPr>
          <w:trHeight w:val="353"/>
        </w:trPr>
        <w:tc>
          <w:tcPr>
            <w:tcW w:w="1997" w:type="dxa"/>
            <w:vAlign w:val="center"/>
          </w:tcPr>
          <w:p w14:paraId="275F17E7" w14:textId="5959770D" w:rsidR="107608BC" w:rsidRDefault="00DB7ED2" w:rsidP="107608BC">
            <w:pPr>
              <w:jc w:val="center"/>
              <w:rPr>
                <w:rFonts w:ascii="Times New Roman" w:eastAsia="Times New Roman" w:hAnsi="Times New Roman" w:cs="Times New Roman"/>
              </w:rPr>
            </w:pPr>
            <w:hyperlink r:id="rId9">
              <w:proofErr w:type="gramStart"/>
              <w:r w:rsidR="107608BC" w:rsidRPr="67A47860">
                <w:rPr>
                  <w:rStyle w:val="Hyperlink"/>
                  <w:rFonts w:ascii="Times New Roman" w:eastAsia="Times New Roman" w:hAnsi="Times New Roman" w:cs="Times New Roman"/>
                  <w:color w:val="auto"/>
                </w:rPr>
                <w:t>B.Com</w:t>
              </w:r>
              <w:proofErr w:type="gramEnd"/>
            </w:hyperlink>
          </w:p>
        </w:tc>
        <w:tc>
          <w:tcPr>
            <w:tcW w:w="1259" w:type="dxa"/>
            <w:vAlign w:val="center"/>
          </w:tcPr>
          <w:p w14:paraId="431AB710" w14:textId="22C33439"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30.06</w:t>
            </w:r>
          </w:p>
        </w:tc>
        <w:tc>
          <w:tcPr>
            <w:tcW w:w="1259" w:type="dxa"/>
            <w:vAlign w:val="center"/>
          </w:tcPr>
          <w:p w14:paraId="5BABDE59" w14:textId="7EB96FA9"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47</w:t>
            </w:r>
          </w:p>
        </w:tc>
        <w:tc>
          <w:tcPr>
            <w:tcW w:w="1220" w:type="dxa"/>
            <w:vAlign w:val="center"/>
          </w:tcPr>
          <w:p w14:paraId="6B473CC1" w14:textId="4D855989"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40.3</w:t>
            </w:r>
          </w:p>
        </w:tc>
        <w:tc>
          <w:tcPr>
            <w:tcW w:w="1213" w:type="dxa"/>
            <w:vAlign w:val="center"/>
          </w:tcPr>
          <w:p w14:paraId="34787963" w14:textId="6DC071F3"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42.62</w:t>
            </w:r>
          </w:p>
        </w:tc>
        <w:tc>
          <w:tcPr>
            <w:tcW w:w="1090" w:type="dxa"/>
            <w:vAlign w:val="center"/>
          </w:tcPr>
          <w:p w14:paraId="340919E2" w14:textId="15B4B987"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60.62</w:t>
            </w:r>
          </w:p>
        </w:tc>
        <w:tc>
          <w:tcPr>
            <w:tcW w:w="879" w:type="dxa"/>
            <w:vAlign w:val="center"/>
          </w:tcPr>
          <w:p w14:paraId="6199F09F" w14:textId="118C047D"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48.12</w:t>
            </w:r>
          </w:p>
        </w:tc>
        <w:tc>
          <w:tcPr>
            <w:tcW w:w="790" w:type="dxa"/>
            <w:vAlign w:val="center"/>
          </w:tcPr>
          <w:p w14:paraId="43810DF4" w14:textId="494ECD71"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55</w:t>
            </w:r>
          </w:p>
        </w:tc>
      </w:tr>
      <w:tr w:rsidR="107608BC" w14:paraId="0B6C1F47" w14:textId="77777777" w:rsidTr="67A47860">
        <w:trPr>
          <w:trHeight w:val="353"/>
        </w:trPr>
        <w:tc>
          <w:tcPr>
            <w:tcW w:w="1997" w:type="dxa"/>
            <w:vAlign w:val="center"/>
          </w:tcPr>
          <w:p w14:paraId="69C3AEB3" w14:textId="6E299D56" w:rsidR="107608BC" w:rsidRDefault="00DB7ED2" w:rsidP="107608BC">
            <w:pPr>
              <w:jc w:val="center"/>
              <w:rPr>
                <w:rFonts w:ascii="Times New Roman" w:eastAsia="Times New Roman" w:hAnsi="Times New Roman" w:cs="Times New Roman"/>
              </w:rPr>
            </w:pPr>
            <w:hyperlink r:id="rId10">
              <w:proofErr w:type="gramStart"/>
              <w:r w:rsidR="107608BC" w:rsidRPr="67A47860">
                <w:rPr>
                  <w:rStyle w:val="Hyperlink"/>
                  <w:rFonts w:ascii="Times New Roman" w:eastAsia="Times New Roman" w:hAnsi="Times New Roman" w:cs="Times New Roman"/>
                  <w:color w:val="auto"/>
                </w:rPr>
                <w:t>B.Sc</w:t>
              </w:r>
              <w:proofErr w:type="gramEnd"/>
            </w:hyperlink>
          </w:p>
        </w:tc>
        <w:tc>
          <w:tcPr>
            <w:tcW w:w="1259" w:type="dxa"/>
            <w:vAlign w:val="center"/>
          </w:tcPr>
          <w:p w14:paraId="060607F7" w14:textId="4DC2B38A"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47.37</w:t>
            </w:r>
          </w:p>
        </w:tc>
        <w:tc>
          <w:tcPr>
            <w:tcW w:w="1259" w:type="dxa"/>
            <w:vAlign w:val="center"/>
          </w:tcPr>
          <w:p w14:paraId="4F046BA9" w14:textId="39BD0E54"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34</w:t>
            </w:r>
          </w:p>
        </w:tc>
        <w:tc>
          <w:tcPr>
            <w:tcW w:w="1220" w:type="dxa"/>
            <w:vAlign w:val="center"/>
          </w:tcPr>
          <w:p w14:paraId="4E421DCC" w14:textId="250EF052"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30.34</w:t>
            </w:r>
          </w:p>
        </w:tc>
        <w:tc>
          <w:tcPr>
            <w:tcW w:w="1213" w:type="dxa"/>
            <w:vAlign w:val="center"/>
          </w:tcPr>
          <w:p w14:paraId="25A579FD" w14:textId="2D675D42"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38.06</w:t>
            </w:r>
          </w:p>
        </w:tc>
        <w:tc>
          <w:tcPr>
            <w:tcW w:w="1090" w:type="dxa"/>
            <w:vAlign w:val="center"/>
          </w:tcPr>
          <w:p w14:paraId="50035421" w14:textId="0AF62C20"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37.69</w:t>
            </w:r>
          </w:p>
        </w:tc>
        <w:tc>
          <w:tcPr>
            <w:tcW w:w="879" w:type="dxa"/>
            <w:vAlign w:val="center"/>
          </w:tcPr>
          <w:p w14:paraId="0926BD09" w14:textId="60AF302D"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51.27</w:t>
            </w:r>
          </w:p>
        </w:tc>
        <w:tc>
          <w:tcPr>
            <w:tcW w:w="790" w:type="dxa"/>
            <w:vAlign w:val="center"/>
          </w:tcPr>
          <w:p w14:paraId="0E86251E" w14:textId="337AD4B0"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58</w:t>
            </w:r>
          </w:p>
        </w:tc>
      </w:tr>
      <w:tr w:rsidR="107608BC" w14:paraId="00E1976E" w14:textId="77777777" w:rsidTr="67A47860">
        <w:trPr>
          <w:trHeight w:val="353"/>
        </w:trPr>
        <w:tc>
          <w:tcPr>
            <w:tcW w:w="1997" w:type="dxa"/>
            <w:vAlign w:val="center"/>
          </w:tcPr>
          <w:p w14:paraId="45F0B6A8" w14:textId="6B8815F5"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MCA</w:t>
            </w:r>
          </w:p>
        </w:tc>
        <w:tc>
          <w:tcPr>
            <w:tcW w:w="1259" w:type="dxa"/>
            <w:vAlign w:val="center"/>
          </w:tcPr>
          <w:p w14:paraId="7F04CCB9" w14:textId="07ECD534"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43.1</w:t>
            </w:r>
          </w:p>
        </w:tc>
        <w:tc>
          <w:tcPr>
            <w:tcW w:w="1259" w:type="dxa"/>
            <w:vAlign w:val="center"/>
          </w:tcPr>
          <w:p w14:paraId="150EE546" w14:textId="5F58CCB6"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25</w:t>
            </w:r>
          </w:p>
        </w:tc>
        <w:tc>
          <w:tcPr>
            <w:tcW w:w="1220" w:type="dxa"/>
            <w:vAlign w:val="center"/>
          </w:tcPr>
          <w:p w14:paraId="50565D08" w14:textId="3938FAB8"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22.42</w:t>
            </w:r>
          </w:p>
        </w:tc>
        <w:tc>
          <w:tcPr>
            <w:tcW w:w="1213" w:type="dxa"/>
            <w:vAlign w:val="center"/>
          </w:tcPr>
          <w:p w14:paraId="7FDD2382" w14:textId="27826777"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29.3</w:t>
            </w:r>
          </w:p>
        </w:tc>
        <w:tc>
          <w:tcPr>
            <w:tcW w:w="1090" w:type="dxa"/>
            <w:vAlign w:val="center"/>
          </w:tcPr>
          <w:p w14:paraId="333D9884" w14:textId="53153A08"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30.64</w:t>
            </w:r>
          </w:p>
        </w:tc>
        <w:tc>
          <w:tcPr>
            <w:tcW w:w="879" w:type="dxa"/>
            <w:vAlign w:val="center"/>
          </w:tcPr>
          <w:p w14:paraId="1A6FD56F" w14:textId="61D2B2D2"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64.63</w:t>
            </w:r>
          </w:p>
        </w:tc>
        <w:tc>
          <w:tcPr>
            <w:tcW w:w="790" w:type="dxa"/>
            <w:vAlign w:val="center"/>
          </w:tcPr>
          <w:p w14:paraId="10CC784F" w14:textId="224C0E98"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71</w:t>
            </w:r>
          </w:p>
        </w:tc>
      </w:tr>
      <w:tr w:rsidR="107608BC" w14:paraId="45D9E7F5" w14:textId="77777777" w:rsidTr="67A47860">
        <w:trPr>
          <w:trHeight w:val="353"/>
        </w:trPr>
        <w:tc>
          <w:tcPr>
            <w:tcW w:w="1997" w:type="dxa"/>
            <w:vAlign w:val="center"/>
          </w:tcPr>
          <w:p w14:paraId="38B802A9" w14:textId="724A8C81"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ITI</w:t>
            </w:r>
          </w:p>
        </w:tc>
        <w:tc>
          <w:tcPr>
            <w:tcW w:w="1259" w:type="dxa"/>
            <w:vAlign w:val="center"/>
          </w:tcPr>
          <w:p w14:paraId="7374E1E0" w14:textId="5D66582B"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NA</w:t>
            </w:r>
          </w:p>
        </w:tc>
        <w:tc>
          <w:tcPr>
            <w:tcW w:w="1259" w:type="dxa"/>
            <w:vAlign w:val="center"/>
          </w:tcPr>
          <w:p w14:paraId="401CC8F1" w14:textId="06EA74C5"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NA</w:t>
            </w:r>
          </w:p>
        </w:tc>
        <w:tc>
          <w:tcPr>
            <w:tcW w:w="1220" w:type="dxa"/>
            <w:vAlign w:val="center"/>
          </w:tcPr>
          <w:p w14:paraId="58C59326" w14:textId="505D2042"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NA</w:t>
            </w:r>
          </w:p>
        </w:tc>
        <w:tc>
          <w:tcPr>
            <w:tcW w:w="1213" w:type="dxa"/>
            <w:vAlign w:val="center"/>
          </w:tcPr>
          <w:p w14:paraId="276D3676" w14:textId="6EC17406"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31.3</w:t>
            </w:r>
          </w:p>
        </w:tc>
        <w:tc>
          <w:tcPr>
            <w:tcW w:w="1090" w:type="dxa"/>
            <w:vAlign w:val="center"/>
          </w:tcPr>
          <w:p w14:paraId="761232EC" w14:textId="6E27565F"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34.2</w:t>
            </w:r>
          </w:p>
        </w:tc>
        <w:tc>
          <w:tcPr>
            <w:tcW w:w="879" w:type="dxa"/>
            <w:vAlign w:val="center"/>
          </w:tcPr>
          <w:p w14:paraId="34103F05" w14:textId="0B61283C"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40</w:t>
            </w:r>
          </w:p>
        </w:tc>
        <w:tc>
          <w:tcPr>
            <w:tcW w:w="790" w:type="dxa"/>
            <w:vAlign w:val="center"/>
          </w:tcPr>
          <w:p w14:paraId="6255733D" w14:textId="6DCB45C1"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41</w:t>
            </w:r>
          </w:p>
        </w:tc>
      </w:tr>
      <w:tr w:rsidR="107608BC" w14:paraId="01503BE1" w14:textId="77777777" w:rsidTr="67A47860">
        <w:trPr>
          <w:trHeight w:val="353"/>
        </w:trPr>
        <w:tc>
          <w:tcPr>
            <w:tcW w:w="1997" w:type="dxa"/>
            <w:vAlign w:val="center"/>
          </w:tcPr>
          <w:p w14:paraId="538A2888" w14:textId="6BCC18F4"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Polytechnic</w:t>
            </w:r>
          </w:p>
        </w:tc>
        <w:tc>
          <w:tcPr>
            <w:tcW w:w="1259" w:type="dxa"/>
            <w:vAlign w:val="center"/>
          </w:tcPr>
          <w:p w14:paraId="2C501088" w14:textId="300B062D"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18.05</w:t>
            </w:r>
          </w:p>
        </w:tc>
        <w:tc>
          <w:tcPr>
            <w:tcW w:w="1259" w:type="dxa"/>
            <w:vAlign w:val="center"/>
          </w:tcPr>
          <w:p w14:paraId="4BE205CF" w14:textId="118F9944"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32</w:t>
            </w:r>
          </w:p>
        </w:tc>
        <w:tc>
          <w:tcPr>
            <w:tcW w:w="1220" w:type="dxa"/>
            <w:vAlign w:val="center"/>
          </w:tcPr>
          <w:p w14:paraId="1D6664E5" w14:textId="03738405"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25</w:t>
            </w:r>
          </w:p>
        </w:tc>
        <w:tc>
          <w:tcPr>
            <w:tcW w:w="1213" w:type="dxa"/>
            <w:vAlign w:val="center"/>
          </w:tcPr>
          <w:p w14:paraId="57FA29BD" w14:textId="4C5855C8"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21.42</w:t>
            </w:r>
          </w:p>
        </w:tc>
        <w:tc>
          <w:tcPr>
            <w:tcW w:w="1090" w:type="dxa"/>
            <w:vAlign w:val="center"/>
          </w:tcPr>
          <w:p w14:paraId="3CFD8566" w14:textId="2B6A5302"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27.61</w:t>
            </w:r>
          </w:p>
        </w:tc>
        <w:tc>
          <w:tcPr>
            <w:tcW w:w="879" w:type="dxa"/>
            <w:vAlign w:val="center"/>
          </w:tcPr>
          <w:p w14:paraId="2DFF3E09" w14:textId="22806350"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22.37</w:t>
            </w:r>
          </w:p>
        </w:tc>
        <w:tc>
          <w:tcPr>
            <w:tcW w:w="790" w:type="dxa"/>
            <w:vAlign w:val="center"/>
          </w:tcPr>
          <w:p w14:paraId="4047BF8C" w14:textId="3BF9A773"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29</w:t>
            </w:r>
          </w:p>
        </w:tc>
      </w:tr>
      <w:tr w:rsidR="107608BC" w14:paraId="56387382" w14:textId="77777777" w:rsidTr="67A47860">
        <w:trPr>
          <w:trHeight w:val="353"/>
        </w:trPr>
        <w:tc>
          <w:tcPr>
            <w:tcW w:w="1997" w:type="dxa"/>
            <w:vAlign w:val="center"/>
          </w:tcPr>
          <w:p w14:paraId="225E8760" w14:textId="43B11B5E" w:rsidR="107608BC" w:rsidRDefault="107608BC" w:rsidP="107608BC">
            <w:pPr>
              <w:jc w:val="center"/>
              <w:rPr>
                <w:rFonts w:ascii="Times New Roman" w:eastAsia="Times New Roman" w:hAnsi="Times New Roman" w:cs="Times New Roman"/>
              </w:rPr>
            </w:pPr>
            <w:proofErr w:type="gramStart"/>
            <w:r w:rsidRPr="67A47860">
              <w:rPr>
                <w:rFonts w:ascii="Times New Roman" w:eastAsia="Times New Roman" w:hAnsi="Times New Roman" w:cs="Times New Roman"/>
              </w:rPr>
              <w:t>B.Pharma</w:t>
            </w:r>
            <w:proofErr w:type="gramEnd"/>
          </w:p>
        </w:tc>
        <w:tc>
          <w:tcPr>
            <w:tcW w:w="1259" w:type="dxa"/>
            <w:vAlign w:val="center"/>
          </w:tcPr>
          <w:p w14:paraId="11B1C1C2" w14:textId="70357040"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36.29</w:t>
            </w:r>
          </w:p>
        </w:tc>
        <w:tc>
          <w:tcPr>
            <w:tcW w:w="1259" w:type="dxa"/>
            <w:vAlign w:val="center"/>
          </w:tcPr>
          <w:p w14:paraId="3004AEAC" w14:textId="051DD19B"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45</w:t>
            </w:r>
          </w:p>
        </w:tc>
        <w:tc>
          <w:tcPr>
            <w:tcW w:w="1220" w:type="dxa"/>
            <w:vAlign w:val="center"/>
          </w:tcPr>
          <w:p w14:paraId="29A41B1B" w14:textId="78530FFB"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37.24</w:t>
            </w:r>
          </w:p>
        </w:tc>
        <w:tc>
          <w:tcPr>
            <w:tcW w:w="1213" w:type="dxa"/>
            <w:vAlign w:val="center"/>
          </w:tcPr>
          <w:p w14:paraId="4487FC5F" w14:textId="6DC56601"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44.63</w:t>
            </w:r>
          </w:p>
        </w:tc>
        <w:tc>
          <w:tcPr>
            <w:tcW w:w="1090" w:type="dxa"/>
            <w:vAlign w:val="center"/>
          </w:tcPr>
          <w:p w14:paraId="38DD3A72" w14:textId="4C8C6685"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57.51</w:t>
            </w:r>
          </w:p>
        </w:tc>
        <w:tc>
          <w:tcPr>
            <w:tcW w:w="879" w:type="dxa"/>
            <w:vAlign w:val="center"/>
          </w:tcPr>
          <w:p w14:paraId="6F03CEE9" w14:textId="0F8E8657"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54</w:t>
            </w:r>
          </w:p>
        </w:tc>
        <w:tc>
          <w:tcPr>
            <w:tcW w:w="790" w:type="dxa"/>
            <w:vAlign w:val="center"/>
          </w:tcPr>
          <w:p w14:paraId="1F5DB863" w14:textId="4ED4988B"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56</w:t>
            </w:r>
          </w:p>
        </w:tc>
      </w:tr>
    </w:tbl>
    <w:p w14:paraId="6849E3BE" w14:textId="2838EC0D" w:rsidR="107608BC" w:rsidRDefault="107608BC" w:rsidP="107608BC">
      <w:pPr>
        <w:jc w:val="both"/>
        <w:rPr>
          <w:rFonts w:ascii="Times New Roman" w:eastAsia="Times New Roman" w:hAnsi="Times New Roman" w:cs="Times New Roman"/>
          <w:b/>
          <w:bCs/>
        </w:rPr>
      </w:pPr>
    </w:p>
    <w:p w14:paraId="376A1208" w14:textId="7F3B5660" w:rsidR="107608BC" w:rsidRDefault="53F55295" w:rsidP="3FDA4946">
      <w:pPr>
        <w:jc w:val="both"/>
        <w:rPr>
          <w:rFonts w:ascii="Times New Roman" w:eastAsia="Times New Roman" w:hAnsi="Times New Roman" w:cs="Times New Roman"/>
          <w:b/>
          <w:bCs/>
        </w:rPr>
      </w:pPr>
      <w:r w:rsidRPr="67A47860">
        <w:rPr>
          <w:rFonts w:ascii="Times New Roman" w:eastAsia="Times New Roman" w:hAnsi="Times New Roman" w:cs="Times New Roman"/>
          <w:b/>
          <w:bCs/>
        </w:rPr>
        <w:t>Source:</w:t>
      </w:r>
      <w:hyperlink r:id="rId11">
        <w:r w:rsidRPr="67A47860">
          <w:rPr>
            <w:rStyle w:val="Hyperlink"/>
            <w:rFonts w:ascii="Times New Roman" w:eastAsia="Times New Roman" w:hAnsi="Times New Roman" w:cs="Times New Roman"/>
            <w:b/>
            <w:bCs/>
          </w:rPr>
          <w:t>https://wheebox.com/blog/India-Skills-Report-2025-Enabling-Global-Talent-Mobility.htm</w:t>
        </w:r>
      </w:hyperlink>
    </w:p>
    <w:p w14:paraId="212AF440" w14:textId="25F8C081" w:rsidR="107608BC" w:rsidRDefault="107608BC" w:rsidP="107608BC">
      <w:pPr>
        <w:jc w:val="both"/>
        <w:rPr>
          <w:rFonts w:ascii="Times New Roman" w:eastAsia="Times New Roman" w:hAnsi="Times New Roman" w:cs="Times New Roman"/>
          <w:b/>
          <w:bCs/>
        </w:rPr>
      </w:pPr>
    </w:p>
    <w:p w14:paraId="707B71FB" w14:textId="548D268F" w:rsidR="24EA72C8" w:rsidRDefault="24EA72C8" w:rsidP="0DC08633">
      <w:pPr>
        <w:jc w:val="both"/>
        <w:rPr>
          <w:rFonts w:ascii="Times New Roman" w:eastAsia="Times New Roman" w:hAnsi="Times New Roman" w:cs="Times New Roman"/>
        </w:rPr>
      </w:pPr>
      <w:r>
        <w:rPr>
          <w:noProof/>
        </w:rPr>
        <w:lastRenderedPageBreak/>
        <w:drawing>
          <wp:inline distT="0" distB="0" distL="0" distR="0" wp14:anchorId="43B756CA" wp14:editId="0240C46B">
            <wp:extent cx="5658224" cy="3334385"/>
            <wp:effectExtent l="19050" t="19050" r="19050" b="18415"/>
            <wp:docPr id="157539265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441856" name=""/>
                    <pic:cNvPicPr/>
                  </pic:nvPicPr>
                  <pic:blipFill>
                    <a:blip r:embed="rId12">
                      <a:extLst>
                        <a:ext uri="{28A0092B-C50C-407E-A947-70E740481C1C}">
                          <a14:useLocalDpi xmlns:a14="http://schemas.microsoft.com/office/drawing/2010/main"/>
                        </a:ext>
                      </a:extLst>
                    </a:blip>
                    <a:stretch>
                      <a:fillRect/>
                    </a:stretch>
                  </pic:blipFill>
                  <pic:spPr>
                    <a:xfrm>
                      <a:off x="0" y="0"/>
                      <a:ext cx="5664346" cy="3337993"/>
                    </a:xfrm>
                    <a:prstGeom prst="rect">
                      <a:avLst/>
                    </a:prstGeom>
                    <a:ln w="9525">
                      <a:solidFill>
                        <a:schemeClr val="tx1"/>
                      </a:solidFill>
                      <a:prstDash val="solid"/>
                    </a:ln>
                  </pic:spPr>
                </pic:pic>
              </a:graphicData>
            </a:graphic>
          </wp:inline>
        </w:drawing>
      </w:r>
    </w:p>
    <w:p w14:paraId="2320B209" w14:textId="3AD34227" w:rsidR="24EA72C8" w:rsidRDefault="1E8CA9FD" w:rsidP="3FDA4946">
      <w:pPr>
        <w:jc w:val="both"/>
        <w:rPr>
          <w:rFonts w:ascii="Times New Roman" w:eastAsia="Times New Roman" w:hAnsi="Times New Roman" w:cs="Times New Roman"/>
          <w:b/>
          <w:bCs/>
        </w:rPr>
      </w:pPr>
      <w:r w:rsidRPr="67A47860">
        <w:rPr>
          <w:rFonts w:ascii="Times New Roman" w:eastAsia="Times New Roman" w:hAnsi="Times New Roman" w:cs="Times New Roman"/>
          <w:b/>
          <w:bCs/>
        </w:rPr>
        <w:t xml:space="preserve">Source: Compiled by the researcher </w:t>
      </w:r>
    </w:p>
    <w:p w14:paraId="2BFB5ABB" w14:textId="3E84840B" w:rsidR="24EA72C8" w:rsidRDefault="24EA72C8" w:rsidP="107608BC">
      <w:pPr>
        <w:spacing w:before="240" w:after="240"/>
        <w:jc w:val="both"/>
        <w:rPr>
          <w:rFonts w:ascii="Times New Roman" w:eastAsia="Times New Roman" w:hAnsi="Times New Roman" w:cs="Times New Roman"/>
        </w:rPr>
      </w:pPr>
      <w:r w:rsidRPr="67A47860">
        <w:rPr>
          <w:rFonts w:ascii="Times New Roman" w:eastAsia="Times New Roman" w:hAnsi="Times New Roman" w:cs="Times New Roman"/>
          <w:b/>
          <w:bCs/>
        </w:rPr>
        <w:t>Data Interpretation:</w:t>
      </w:r>
      <w:r w:rsidRPr="67A47860">
        <w:rPr>
          <w:rFonts w:ascii="Times New Roman" w:eastAsia="Times New Roman" w:hAnsi="Times New Roman" w:cs="Times New Roman"/>
        </w:rPr>
        <w:t xml:space="preserve"> The employability trend from 2019 to 2025 shows a steady upward movement, indicating consistent improvement in workforce readiness. Employability increased from 47.28% in 2019 to 54.81% in 2025, suggesting that educational institutions and industries have been aligning better with job market requirements.</w:t>
      </w:r>
    </w:p>
    <w:p w14:paraId="0B0D2337" w14:textId="513204F3" w:rsidR="24EA72C8" w:rsidRDefault="24EA72C8" w:rsidP="0DC08633">
      <w:pPr>
        <w:spacing w:before="240" w:after="240"/>
        <w:jc w:val="both"/>
        <w:rPr>
          <w:rFonts w:ascii="Times New Roman" w:eastAsia="Times New Roman" w:hAnsi="Times New Roman" w:cs="Times New Roman"/>
        </w:rPr>
      </w:pPr>
      <w:r w:rsidRPr="67A47860">
        <w:rPr>
          <w:rFonts w:ascii="Times New Roman" w:eastAsia="Times New Roman" w:hAnsi="Times New Roman" w:cs="Times New Roman"/>
        </w:rPr>
        <w:t>Across different domains, employability levels vary significantly. MBA and B.E/B.Tech graduates show the highest employability growth, reaching 78% and 71.5% respectively in 2025, reflecting stronger industry integration and skill-based learning. In contrast, Polytechnic and ITI graduates display lower employability rates, highlighting the need for enhanced vocational training and updated curricula. Overall, the data signifies a positive trend toward skill development, though disparities between academic streams persist.</w:t>
      </w:r>
    </w:p>
    <w:p w14:paraId="2B37B4DF" w14:textId="2A2E83EA" w:rsidR="6CE5CF13" w:rsidRDefault="6CE5CF13" w:rsidP="3FDA4946">
      <w:pPr>
        <w:spacing w:before="240" w:after="240"/>
        <w:jc w:val="both"/>
        <w:rPr>
          <w:rFonts w:ascii="Times New Roman" w:eastAsia="Times New Roman" w:hAnsi="Times New Roman" w:cs="Times New Roman"/>
          <w:b/>
          <w:bCs/>
        </w:rPr>
      </w:pPr>
      <w:r w:rsidRPr="67A47860">
        <w:rPr>
          <w:rFonts w:ascii="Times New Roman" w:eastAsia="Times New Roman" w:hAnsi="Times New Roman" w:cs="Times New Roman"/>
          <w:b/>
          <w:bCs/>
        </w:rPr>
        <w:t>Figure 3: Global Workforce Mobility Trends (2018–2023)</w:t>
      </w:r>
    </w:p>
    <w:tbl>
      <w:tblPr>
        <w:tblStyle w:val="TableGrid"/>
        <w:tblW w:w="834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6A0" w:firstRow="1" w:lastRow="0" w:firstColumn="1" w:lastColumn="0" w:noHBand="1" w:noVBand="1"/>
      </w:tblPr>
      <w:tblGrid>
        <w:gridCol w:w="1095"/>
        <w:gridCol w:w="1260"/>
        <w:gridCol w:w="1230"/>
        <w:gridCol w:w="1395"/>
        <w:gridCol w:w="3360"/>
      </w:tblGrid>
      <w:tr w:rsidR="107608BC" w14:paraId="15FFCCA8" w14:textId="77777777" w:rsidTr="67A47860">
        <w:trPr>
          <w:trHeight w:val="915"/>
        </w:trPr>
        <w:tc>
          <w:tcPr>
            <w:tcW w:w="1095" w:type="dxa"/>
            <w:tcMar>
              <w:top w:w="30" w:type="dxa"/>
              <w:left w:w="45" w:type="dxa"/>
              <w:bottom w:w="30" w:type="dxa"/>
              <w:right w:w="45" w:type="dxa"/>
            </w:tcMar>
            <w:vAlign w:val="center"/>
          </w:tcPr>
          <w:p w14:paraId="2B414F87" w14:textId="4CECA955" w:rsidR="107608BC" w:rsidRDefault="107608BC" w:rsidP="107608BC">
            <w:pPr>
              <w:jc w:val="center"/>
              <w:rPr>
                <w:rFonts w:ascii="Times New Roman" w:eastAsia="Times New Roman" w:hAnsi="Times New Roman" w:cs="Times New Roman"/>
                <w:b/>
                <w:bCs/>
              </w:rPr>
            </w:pPr>
            <w:r w:rsidRPr="67A47860">
              <w:rPr>
                <w:rFonts w:ascii="Times New Roman" w:eastAsia="Times New Roman" w:hAnsi="Times New Roman" w:cs="Times New Roman"/>
                <w:b/>
                <w:bCs/>
              </w:rPr>
              <w:t>Year</w:t>
            </w:r>
          </w:p>
        </w:tc>
        <w:tc>
          <w:tcPr>
            <w:tcW w:w="1260" w:type="dxa"/>
            <w:tcMar>
              <w:top w:w="30" w:type="dxa"/>
              <w:left w:w="45" w:type="dxa"/>
              <w:bottom w:w="30" w:type="dxa"/>
              <w:right w:w="45" w:type="dxa"/>
            </w:tcMar>
            <w:vAlign w:val="center"/>
          </w:tcPr>
          <w:p w14:paraId="7416B923" w14:textId="74D84F47" w:rsidR="107608BC" w:rsidRDefault="107608BC" w:rsidP="107608BC">
            <w:pPr>
              <w:jc w:val="center"/>
              <w:rPr>
                <w:rFonts w:ascii="Times New Roman" w:eastAsia="Times New Roman" w:hAnsi="Times New Roman" w:cs="Times New Roman"/>
                <w:b/>
                <w:bCs/>
              </w:rPr>
            </w:pPr>
            <w:r w:rsidRPr="67A47860">
              <w:rPr>
                <w:rFonts w:ascii="Times New Roman" w:eastAsia="Times New Roman" w:hAnsi="Times New Roman" w:cs="Times New Roman"/>
                <w:b/>
                <w:bCs/>
              </w:rPr>
              <w:t>Actively Mobile (%)</w:t>
            </w:r>
          </w:p>
        </w:tc>
        <w:tc>
          <w:tcPr>
            <w:tcW w:w="1230" w:type="dxa"/>
            <w:tcMar>
              <w:top w:w="30" w:type="dxa"/>
              <w:left w:w="45" w:type="dxa"/>
              <w:bottom w:w="30" w:type="dxa"/>
              <w:right w:w="45" w:type="dxa"/>
            </w:tcMar>
            <w:vAlign w:val="center"/>
          </w:tcPr>
          <w:p w14:paraId="6C54B950" w14:textId="27A5002C" w:rsidR="107608BC" w:rsidRDefault="107608BC" w:rsidP="107608BC">
            <w:pPr>
              <w:jc w:val="center"/>
              <w:rPr>
                <w:rFonts w:ascii="Times New Roman" w:eastAsia="Times New Roman" w:hAnsi="Times New Roman" w:cs="Times New Roman"/>
                <w:b/>
                <w:bCs/>
              </w:rPr>
            </w:pPr>
            <w:r w:rsidRPr="67A47860">
              <w:rPr>
                <w:rFonts w:ascii="Times New Roman" w:eastAsia="Times New Roman" w:hAnsi="Times New Roman" w:cs="Times New Roman"/>
                <w:b/>
                <w:bCs/>
              </w:rPr>
              <w:t>Passively Mobile (%)</w:t>
            </w:r>
          </w:p>
        </w:tc>
        <w:tc>
          <w:tcPr>
            <w:tcW w:w="1395" w:type="dxa"/>
            <w:tcMar>
              <w:top w:w="30" w:type="dxa"/>
              <w:left w:w="45" w:type="dxa"/>
              <w:bottom w:w="30" w:type="dxa"/>
              <w:right w:w="45" w:type="dxa"/>
            </w:tcMar>
            <w:vAlign w:val="center"/>
          </w:tcPr>
          <w:p w14:paraId="3E5C51E6" w14:textId="091CB3FF" w:rsidR="107608BC" w:rsidRDefault="107608BC" w:rsidP="107608BC">
            <w:pPr>
              <w:jc w:val="center"/>
              <w:rPr>
                <w:rFonts w:ascii="Times New Roman" w:eastAsia="Times New Roman" w:hAnsi="Times New Roman" w:cs="Times New Roman"/>
                <w:b/>
                <w:bCs/>
              </w:rPr>
            </w:pPr>
            <w:r w:rsidRPr="67A47860">
              <w:rPr>
                <w:rFonts w:ascii="Times New Roman" w:eastAsia="Times New Roman" w:hAnsi="Times New Roman" w:cs="Times New Roman"/>
                <w:b/>
                <w:bCs/>
              </w:rPr>
              <w:t>Mobile as a Last Resort (%)</w:t>
            </w:r>
          </w:p>
        </w:tc>
        <w:tc>
          <w:tcPr>
            <w:tcW w:w="3360" w:type="dxa"/>
            <w:tcMar>
              <w:top w:w="30" w:type="dxa"/>
              <w:bottom w:w="30" w:type="dxa"/>
            </w:tcMar>
            <w:vAlign w:val="center"/>
          </w:tcPr>
          <w:p w14:paraId="2985374A" w14:textId="6E78F071" w:rsidR="2D0BE096" w:rsidRDefault="564E80EA" w:rsidP="3FDA4946">
            <w:pPr>
              <w:ind w:left="-5445" w:right="-5445"/>
              <w:jc w:val="center"/>
              <w:rPr>
                <w:rFonts w:ascii="Times New Roman" w:eastAsia="Times New Roman" w:hAnsi="Times New Roman" w:cs="Times New Roman"/>
                <w:b/>
                <w:bCs/>
              </w:rPr>
            </w:pPr>
            <w:r w:rsidRPr="67A47860">
              <w:rPr>
                <w:rFonts w:ascii="Times New Roman" w:eastAsia="Times New Roman" w:hAnsi="Times New Roman" w:cs="Times New Roman"/>
                <w:b/>
                <w:bCs/>
              </w:rPr>
              <w:t xml:space="preserve">Overall Willingness to Move </w:t>
            </w:r>
          </w:p>
          <w:p w14:paraId="55DF6F20" w14:textId="6AAF2DF3" w:rsidR="2D0BE096" w:rsidRDefault="564E80EA" w:rsidP="107608BC">
            <w:pPr>
              <w:ind w:left="-5445" w:right="-5445"/>
              <w:jc w:val="center"/>
              <w:rPr>
                <w:rFonts w:ascii="Times New Roman" w:eastAsia="Times New Roman" w:hAnsi="Times New Roman" w:cs="Times New Roman"/>
                <w:b/>
                <w:bCs/>
              </w:rPr>
            </w:pPr>
            <w:r w:rsidRPr="67A47860">
              <w:rPr>
                <w:rFonts w:ascii="Times New Roman" w:eastAsia="Times New Roman" w:hAnsi="Times New Roman" w:cs="Times New Roman"/>
                <w:b/>
                <w:bCs/>
              </w:rPr>
              <w:t>Abroad (%)</w:t>
            </w:r>
          </w:p>
        </w:tc>
      </w:tr>
      <w:tr w:rsidR="107608BC" w14:paraId="742C6501" w14:textId="77777777" w:rsidTr="67A47860">
        <w:trPr>
          <w:trHeight w:val="525"/>
        </w:trPr>
        <w:tc>
          <w:tcPr>
            <w:tcW w:w="1095" w:type="dxa"/>
            <w:tcMar>
              <w:top w:w="30" w:type="dxa"/>
              <w:left w:w="45" w:type="dxa"/>
              <w:bottom w:w="30" w:type="dxa"/>
              <w:right w:w="45" w:type="dxa"/>
            </w:tcMar>
            <w:vAlign w:val="center"/>
          </w:tcPr>
          <w:p w14:paraId="4508303D" w14:textId="4B17B95E"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2018</w:t>
            </w:r>
          </w:p>
        </w:tc>
        <w:tc>
          <w:tcPr>
            <w:tcW w:w="1260" w:type="dxa"/>
            <w:tcMar>
              <w:top w:w="30" w:type="dxa"/>
              <w:left w:w="45" w:type="dxa"/>
              <w:bottom w:w="30" w:type="dxa"/>
              <w:right w:w="45" w:type="dxa"/>
            </w:tcMar>
            <w:vAlign w:val="center"/>
          </w:tcPr>
          <w:p w14:paraId="5150BF7B" w14:textId="30CEAC01"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21</w:t>
            </w:r>
          </w:p>
        </w:tc>
        <w:tc>
          <w:tcPr>
            <w:tcW w:w="1230" w:type="dxa"/>
            <w:tcMar>
              <w:top w:w="30" w:type="dxa"/>
              <w:left w:w="45" w:type="dxa"/>
              <w:bottom w:w="30" w:type="dxa"/>
              <w:right w:w="45" w:type="dxa"/>
            </w:tcMar>
            <w:vAlign w:val="center"/>
          </w:tcPr>
          <w:p w14:paraId="44A90BD3" w14:textId="10B4E1CB"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33</w:t>
            </w:r>
          </w:p>
        </w:tc>
        <w:tc>
          <w:tcPr>
            <w:tcW w:w="1395" w:type="dxa"/>
            <w:tcMar>
              <w:top w:w="30" w:type="dxa"/>
              <w:left w:w="45" w:type="dxa"/>
              <w:bottom w:w="30" w:type="dxa"/>
              <w:right w:w="45" w:type="dxa"/>
            </w:tcMar>
            <w:vAlign w:val="center"/>
          </w:tcPr>
          <w:p w14:paraId="359874FF" w14:textId="1540F6D6"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25</w:t>
            </w:r>
          </w:p>
        </w:tc>
        <w:tc>
          <w:tcPr>
            <w:tcW w:w="3360" w:type="dxa"/>
            <w:tcMar>
              <w:top w:w="30" w:type="dxa"/>
              <w:left w:w="45" w:type="dxa"/>
              <w:bottom w:w="30" w:type="dxa"/>
              <w:right w:w="45" w:type="dxa"/>
            </w:tcMar>
            <w:vAlign w:val="center"/>
          </w:tcPr>
          <w:p w14:paraId="5D44C610" w14:textId="577ACB68"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78</w:t>
            </w:r>
          </w:p>
        </w:tc>
      </w:tr>
      <w:tr w:rsidR="107608BC" w14:paraId="0C91CADB" w14:textId="77777777" w:rsidTr="67A47860">
        <w:trPr>
          <w:trHeight w:val="525"/>
        </w:trPr>
        <w:tc>
          <w:tcPr>
            <w:tcW w:w="1095" w:type="dxa"/>
            <w:tcMar>
              <w:top w:w="30" w:type="dxa"/>
              <w:left w:w="45" w:type="dxa"/>
              <w:bottom w:w="30" w:type="dxa"/>
              <w:right w:w="45" w:type="dxa"/>
            </w:tcMar>
            <w:vAlign w:val="center"/>
          </w:tcPr>
          <w:p w14:paraId="0A6319C2" w14:textId="35C6FF56"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2020</w:t>
            </w:r>
          </w:p>
        </w:tc>
        <w:tc>
          <w:tcPr>
            <w:tcW w:w="1260" w:type="dxa"/>
            <w:tcMar>
              <w:top w:w="30" w:type="dxa"/>
              <w:left w:w="45" w:type="dxa"/>
              <w:bottom w:w="30" w:type="dxa"/>
              <w:right w:w="45" w:type="dxa"/>
            </w:tcMar>
            <w:vAlign w:val="center"/>
          </w:tcPr>
          <w:p w14:paraId="4C3307AA" w14:textId="42D86588"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21</w:t>
            </w:r>
          </w:p>
        </w:tc>
        <w:tc>
          <w:tcPr>
            <w:tcW w:w="1230" w:type="dxa"/>
            <w:tcMar>
              <w:top w:w="30" w:type="dxa"/>
              <w:left w:w="45" w:type="dxa"/>
              <w:bottom w:w="30" w:type="dxa"/>
              <w:right w:w="45" w:type="dxa"/>
            </w:tcMar>
            <w:vAlign w:val="center"/>
          </w:tcPr>
          <w:p w14:paraId="3186BD0C" w14:textId="4E74E813"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24</w:t>
            </w:r>
          </w:p>
        </w:tc>
        <w:tc>
          <w:tcPr>
            <w:tcW w:w="1395" w:type="dxa"/>
            <w:tcMar>
              <w:top w:w="30" w:type="dxa"/>
              <w:left w:w="45" w:type="dxa"/>
              <w:bottom w:w="30" w:type="dxa"/>
              <w:right w:w="45" w:type="dxa"/>
            </w:tcMar>
            <w:vAlign w:val="center"/>
          </w:tcPr>
          <w:p w14:paraId="77D642E5" w14:textId="60CB7114"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21</w:t>
            </w:r>
          </w:p>
        </w:tc>
        <w:tc>
          <w:tcPr>
            <w:tcW w:w="3360" w:type="dxa"/>
            <w:tcMar>
              <w:top w:w="30" w:type="dxa"/>
              <w:left w:w="45" w:type="dxa"/>
              <w:bottom w:w="30" w:type="dxa"/>
              <w:right w:w="45" w:type="dxa"/>
            </w:tcMar>
            <w:vAlign w:val="center"/>
          </w:tcPr>
          <w:p w14:paraId="5755A64E" w14:textId="403FA2A7"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66</w:t>
            </w:r>
          </w:p>
        </w:tc>
      </w:tr>
      <w:tr w:rsidR="107608BC" w14:paraId="2930C7A3" w14:textId="77777777" w:rsidTr="67A47860">
        <w:trPr>
          <w:trHeight w:val="510"/>
        </w:trPr>
        <w:tc>
          <w:tcPr>
            <w:tcW w:w="1095" w:type="dxa"/>
            <w:tcMar>
              <w:top w:w="30" w:type="dxa"/>
              <w:left w:w="45" w:type="dxa"/>
              <w:bottom w:w="30" w:type="dxa"/>
              <w:right w:w="45" w:type="dxa"/>
            </w:tcMar>
            <w:vAlign w:val="center"/>
          </w:tcPr>
          <w:p w14:paraId="1B06FD01" w14:textId="65F1AF5A"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lastRenderedPageBreak/>
              <w:t>2023</w:t>
            </w:r>
          </w:p>
        </w:tc>
        <w:tc>
          <w:tcPr>
            <w:tcW w:w="1260" w:type="dxa"/>
            <w:tcMar>
              <w:top w:w="30" w:type="dxa"/>
              <w:left w:w="45" w:type="dxa"/>
              <w:bottom w:w="30" w:type="dxa"/>
              <w:right w:w="45" w:type="dxa"/>
            </w:tcMar>
            <w:vAlign w:val="center"/>
          </w:tcPr>
          <w:p w14:paraId="02CC288F" w14:textId="05F95E82"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23</w:t>
            </w:r>
          </w:p>
        </w:tc>
        <w:tc>
          <w:tcPr>
            <w:tcW w:w="1230" w:type="dxa"/>
            <w:tcMar>
              <w:top w:w="30" w:type="dxa"/>
              <w:left w:w="45" w:type="dxa"/>
              <w:bottom w:w="30" w:type="dxa"/>
              <w:right w:w="45" w:type="dxa"/>
            </w:tcMar>
            <w:vAlign w:val="center"/>
          </w:tcPr>
          <w:p w14:paraId="68B19B39" w14:textId="10779413"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21</w:t>
            </w:r>
          </w:p>
        </w:tc>
        <w:tc>
          <w:tcPr>
            <w:tcW w:w="1395" w:type="dxa"/>
            <w:tcMar>
              <w:top w:w="30" w:type="dxa"/>
              <w:left w:w="45" w:type="dxa"/>
              <w:bottom w:w="30" w:type="dxa"/>
              <w:right w:w="45" w:type="dxa"/>
            </w:tcMar>
            <w:vAlign w:val="center"/>
          </w:tcPr>
          <w:p w14:paraId="220D795F" w14:textId="35C4A521"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19</w:t>
            </w:r>
          </w:p>
        </w:tc>
        <w:tc>
          <w:tcPr>
            <w:tcW w:w="3360" w:type="dxa"/>
            <w:tcMar>
              <w:top w:w="30" w:type="dxa"/>
              <w:left w:w="45" w:type="dxa"/>
              <w:bottom w:w="30" w:type="dxa"/>
              <w:right w:w="45" w:type="dxa"/>
            </w:tcMar>
            <w:vAlign w:val="center"/>
          </w:tcPr>
          <w:p w14:paraId="2409DD94" w14:textId="3ED3B68F" w:rsidR="107608BC" w:rsidRDefault="107608BC" w:rsidP="107608BC">
            <w:pPr>
              <w:jc w:val="center"/>
              <w:rPr>
                <w:rFonts w:ascii="Times New Roman" w:eastAsia="Times New Roman" w:hAnsi="Times New Roman" w:cs="Times New Roman"/>
              </w:rPr>
            </w:pPr>
            <w:r w:rsidRPr="67A47860">
              <w:rPr>
                <w:rFonts w:ascii="Times New Roman" w:eastAsia="Times New Roman" w:hAnsi="Times New Roman" w:cs="Times New Roman"/>
              </w:rPr>
              <w:t>63</w:t>
            </w:r>
          </w:p>
        </w:tc>
      </w:tr>
    </w:tbl>
    <w:p w14:paraId="6994479A" w14:textId="3B95E62C" w:rsidR="107608BC" w:rsidRDefault="13FE3DD7" w:rsidP="3FDA4946">
      <w:pPr>
        <w:spacing w:before="240" w:after="240"/>
        <w:jc w:val="both"/>
        <w:rPr>
          <w:rFonts w:ascii="Times New Roman" w:eastAsia="Times New Roman" w:hAnsi="Times New Roman" w:cs="Times New Roman"/>
          <w:b/>
          <w:bCs/>
        </w:rPr>
      </w:pPr>
      <w:r w:rsidRPr="67A47860">
        <w:rPr>
          <w:rFonts w:ascii="Times New Roman" w:eastAsia="Times New Roman" w:hAnsi="Times New Roman" w:cs="Times New Roman"/>
          <w:b/>
          <w:bCs/>
        </w:rPr>
        <w:t>Source:</w:t>
      </w:r>
      <w:hyperlink r:id="rId13">
        <w:r w:rsidRPr="67A47860">
          <w:rPr>
            <w:rStyle w:val="Hyperlink"/>
            <w:rFonts w:ascii="Times New Roman" w:eastAsia="Times New Roman" w:hAnsi="Times New Roman" w:cs="Times New Roman"/>
            <w:b/>
            <w:bCs/>
          </w:rPr>
          <w:t>https://people-mobility.org/global-talent-mobility-trends-key-insights-from-the-decoding-global-talent-2024-report/</w:t>
        </w:r>
      </w:hyperlink>
    </w:p>
    <w:p w14:paraId="0CED57E2" w14:textId="46CEF7EC" w:rsidR="107608BC" w:rsidRDefault="107608BC" w:rsidP="107608BC">
      <w:pPr>
        <w:spacing w:before="240" w:after="240"/>
        <w:jc w:val="both"/>
        <w:rPr>
          <w:rFonts w:ascii="Times New Roman" w:eastAsia="Times New Roman" w:hAnsi="Times New Roman" w:cs="Times New Roman"/>
          <w:b/>
          <w:bCs/>
        </w:rPr>
      </w:pPr>
    </w:p>
    <w:p w14:paraId="3C0219DE" w14:textId="5D1FE6C7" w:rsidR="7198B96D" w:rsidRDefault="7198B96D" w:rsidP="0DC08633">
      <w:pPr>
        <w:spacing w:before="240" w:after="240"/>
        <w:jc w:val="both"/>
        <w:rPr>
          <w:rFonts w:ascii="Times New Roman" w:eastAsia="Times New Roman" w:hAnsi="Times New Roman" w:cs="Times New Roman"/>
        </w:rPr>
      </w:pPr>
      <w:r>
        <w:rPr>
          <w:noProof/>
        </w:rPr>
        <w:drawing>
          <wp:inline distT="0" distB="0" distL="0" distR="0" wp14:anchorId="62D569DA" wp14:editId="51C017FA">
            <wp:extent cx="5789295" cy="3251835"/>
            <wp:effectExtent l="19050" t="19050" r="20955" b="24765"/>
            <wp:docPr id="196416045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160459" name=""/>
                    <pic:cNvPicPr/>
                  </pic:nvPicPr>
                  <pic:blipFill>
                    <a:blip r:embed="rId14">
                      <a:extLst>
                        <a:ext uri="{28A0092B-C50C-407E-A947-70E740481C1C}">
                          <a14:useLocalDpi xmlns:a14="http://schemas.microsoft.com/office/drawing/2010/main"/>
                        </a:ext>
                      </a:extLst>
                    </a:blip>
                    <a:stretch>
                      <a:fillRect/>
                    </a:stretch>
                  </pic:blipFill>
                  <pic:spPr>
                    <a:xfrm>
                      <a:off x="0" y="0"/>
                      <a:ext cx="5789776" cy="3252105"/>
                    </a:xfrm>
                    <a:prstGeom prst="rect">
                      <a:avLst/>
                    </a:prstGeom>
                    <a:ln w="9525">
                      <a:solidFill>
                        <a:schemeClr val="tx1"/>
                      </a:solidFill>
                      <a:prstDash val="solid"/>
                    </a:ln>
                  </pic:spPr>
                </pic:pic>
              </a:graphicData>
            </a:graphic>
          </wp:inline>
        </w:drawing>
      </w:r>
    </w:p>
    <w:p w14:paraId="3FB0CCD4" w14:textId="082CEB8A" w:rsidR="7198B96D" w:rsidRDefault="00A01C1E" w:rsidP="3FDA4946">
      <w:pPr>
        <w:spacing w:before="240" w:after="240"/>
        <w:jc w:val="both"/>
        <w:rPr>
          <w:rFonts w:ascii="Times New Roman" w:eastAsia="Times New Roman" w:hAnsi="Times New Roman" w:cs="Times New Roman"/>
          <w:b/>
          <w:bCs/>
        </w:rPr>
      </w:pPr>
      <w:r>
        <w:rPr>
          <w:rFonts w:ascii="Times New Roman" w:eastAsia="Times New Roman" w:hAnsi="Times New Roman" w:cs="Times New Roman"/>
          <w:b/>
          <w:bCs/>
        </w:rPr>
        <w:t xml:space="preserve">Chart 1. </w:t>
      </w:r>
      <w:r w:rsidR="7198B96D" w:rsidRPr="67A47860">
        <w:rPr>
          <w:rFonts w:ascii="Times New Roman" w:eastAsia="Times New Roman" w:hAnsi="Times New Roman" w:cs="Times New Roman"/>
          <w:b/>
          <w:bCs/>
        </w:rPr>
        <w:t>Source:</w:t>
      </w:r>
      <w:r w:rsidR="38485EE4" w:rsidRPr="67A47860">
        <w:rPr>
          <w:rFonts w:ascii="Times New Roman" w:eastAsia="Times New Roman" w:hAnsi="Times New Roman" w:cs="Times New Roman"/>
          <w:b/>
          <w:bCs/>
        </w:rPr>
        <w:t xml:space="preserve"> Compiled by the researcher</w:t>
      </w:r>
    </w:p>
    <w:p w14:paraId="7190A971" w14:textId="1DBF087A" w:rsidR="37B49DBF" w:rsidRDefault="37B49DBF" w:rsidP="107608BC">
      <w:pPr>
        <w:spacing w:before="240" w:after="240"/>
        <w:jc w:val="both"/>
        <w:rPr>
          <w:rFonts w:ascii="Times New Roman" w:eastAsia="Times New Roman" w:hAnsi="Times New Roman" w:cs="Times New Roman"/>
          <w:b/>
          <w:bCs/>
        </w:rPr>
      </w:pPr>
      <w:r w:rsidRPr="67A47860">
        <w:rPr>
          <w:rFonts w:ascii="Times New Roman" w:eastAsia="Times New Roman" w:hAnsi="Times New Roman" w:cs="Times New Roman"/>
          <w:b/>
          <w:bCs/>
        </w:rPr>
        <w:t>Data Interpretation:</w:t>
      </w:r>
      <w:r w:rsidRPr="67A47860">
        <w:rPr>
          <w:rFonts w:ascii="Times New Roman" w:eastAsia="Times New Roman" w:hAnsi="Times New Roman" w:cs="Times New Roman"/>
        </w:rPr>
        <w:t xml:space="preserve"> The data shows a steady decline in the overall willingness of respondents to move abroad for work, dropping from 78% in 2018 to 63% in 2023. While the share of actively mobile workers remained relatively stable, the proportion of those willing to relocate only as a last resort decreased over the years. This suggests that fewer employees are now motivated to seek international opportunities, possibly due to improved local employment options or post-pandemic shifts in work preferences. The findings indicate a growing inclination toward stability and remote work rather than global mobility. </w:t>
      </w:r>
    </w:p>
    <w:p w14:paraId="69EDA53D" w14:textId="1E576A21" w:rsidR="107608BC" w:rsidRDefault="107608BC" w:rsidP="107608BC">
      <w:pPr>
        <w:spacing w:before="240" w:after="240"/>
        <w:jc w:val="both"/>
        <w:rPr>
          <w:rFonts w:ascii="Times New Roman" w:eastAsia="Times New Roman" w:hAnsi="Times New Roman" w:cs="Times New Roman"/>
          <w:b/>
          <w:bCs/>
        </w:rPr>
      </w:pPr>
      <w:r w:rsidRPr="67A47860">
        <w:rPr>
          <w:rFonts w:ascii="Times New Roman" w:eastAsia="Times New Roman" w:hAnsi="Times New Roman" w:cs="Times New Roman"/>
          <w:b/>
          <w:bCs/>
          <w:sz w:val="28"/>
          <w:szCs w:val="28"/>
        </w:rPr>
        <w:t xml:space="preserve">4. </w:t>
      </w:r>
      <w:r w:rsidR="707F9520" w:rsidRPr="67A47860">
        <w:rPr>
          <w:rFonts w:ascii="Times New Roman" w:eastAsia="Times New Roman" w:hAnsi="Times New Roman" w:cs="Times New Roman"/>
          <w:b/>
          <w:bCs/>
          <w:sz w:val="28"/>
          <w:szCs w:val="28"/>
        </w:rPr>
        <w:t xml:space="preserve">Discussion of Findings </w:t>
      </w:r>
    </w:p>
    <w:p w14:paraId="5258F959" w14:textId="7494E8EA" w:rsidR="7AD4406B" w:rsidRDefault="6081AEF8" w:rsidP="67A47860">
      <w:pPr>
        <w:spacing w:before="240" w:after="240"/>
        <w:jc w:val="both"/>
        <w:rPr>
          <w:rFonts w:ascii="Times New Roman" w:eastAsia="Times New Roman" w:hAnsi="Times New Roman" w:cs="Times New Roman"/>
        </w:rPr>
      </w:pPr>
      <w:r w:rsidRPr="67A47860">
        <w:rPr>
          <w:rFonts w:ascii="Times New Roman" w:eastAsia="Times New Roman" w:hAnsi="Times New Roman" w:cs="Times New Roman"/>
        </w:rPr>
        <w:t xml:space="preserve">The results of this research highlight the essential influence of talent mobility on employee experiences as well as overall organizational performance. </w:t>
      </w:r>
      <w:r w:rsidR="7AD4406B" w:rsidRPr="67A47860">
        <w:rPr>
          <w:rFonts w:ascii="Times New Roman" w:eastAsia="Times New Roman" w:hAnsi="Times New Roman" w:cs="Times New Roman"/>
        </w:rPr>
        <w:t xml:space="preserve">Quantitative data indicate that companies with limited internal mobility and unclear career progression pathways experience higher employee turnover and reduced workforce stability. In contrast, organizations </w:t>
      </w:r>
      <w:r w:rsidR="7AD4406B" w:rsidRPr="67A47860">
        <w:rPr>
          <w:rFonts w:ascii="Times New Roman" w:eastAsia="Times New Roman" w:hAnsi="Times New Roman" w:cs="Times New Roman"/>
        </w:rPr>
        <w:lastRenderedPageBreak/>
        <w:t>implementing structured mobility programs—such as internal transfers, cross-functional rotations, and international assignments—demonstrate improved retention, greater employee satisfaction, and enhanced talent utilization. Qualitative insights reveal that external factors, including increased visa fees for international mobility, the rise of remote work models, and evolving employee expectations, significantly influence mobility decisions and workforce engagement. Additionally, employees perceive organizations that invest in skill development, mentoring, and career planning as more supportive, which strengthens loyalty and organizational commitment. The analysis also suggests that talent mobility facilitates knowledge sharing across departments and geographies, fostering innovation and organizational agility. Overall, these findings indicate that strategically managed talent mobility is not only a tool for operational efficiency but also a key driver of employee engagement, organizational performance, and sustainable competitive advantage.</w:t>
      </w:r>
    </w:p>
    <w:p w14:paraId="0E4C8F21" w14:textId="30230CEF" w:rsidR="107608BC" w:rsidRDefault="107608BC" w:rsidP="107608BC">
      <w:pPr>
        <w:spacing w:before="240" w:after="240"/>
        <w:jc w:val="both"/>
        <w:rPr>
          <w:rFonts w:ascii="Times New Roman" w:eastAsia="Times New Roman" w:hAnsi="Times New Roman" w:cs="Times New Roman"/>
          <w:b/>
          <w:bCs/>
          <w:sz w:val="28"/>
          <w:szCs w:val="28"/>
        </w:rPr>
      </w:pPr>
      <w:r w:rsidRPr="67A47860">
        <w:rPr>
          <w:rFonts w:ascii="Times New Roman" w:eastAsia="Times New Roman" w:hAnsi="Times New Roman" w:cs="Times New Roman"/>
          <w:b/>
          <w:bCs/>
          <w:sz w:val="28"/>
          <w:szCs w:val="28"/>
        </w:rPr>
        <w:t xml:space="preserve">5. </w:t>
      </w:r>
      <w:r w:rsidR="7AD4406B" w:rsidRPr="67A47860">
        <w:rPr>
          <w:rFonts w:ascii="Times New Roman" w:eastAsia="Times New Roman" w:hAnsi="Times New Roman" w:cs="Times New Roman"/>
          <w:b/>
          <w:bCs/>
          <w:sz w:val="28"/>
          <w:szCs w:val="28"/>
        </w:rPr>
        <w:t xml:space="preserve">Conclusion </w:t>
      </w:r>
    </w:p>
    <w:p w14:paraId="1281CB89" w14:textId="5CBE92AB" w:rsidR="46949D41" w:rsidRDefault="748CAE1E" w:rsidP="67A47860">
      <w:pPr>
        <w:spacing w:before="240" w:after="240"/>
        <w:jc w:val="both"/>
        <w:rPr>
          <w:rFonts w:ascii="Times New Roman" w:eastAsia="Times New Roman" w:hAnsi="Times New Roman" w:cs="Times New Roman"/>
        </w:rPr>
      </w:pPr>
      <w:r w:rsidRPr="67A47860">
        <w:rPr>
          <w:rFonts w:ascii="Times New Roman" w:eastAsia="Times New Roman" w:hAnsi="Times New Roman" w:cs="Times New Roman"/>
        </w:rPr>
        <w:t xml:space="preserve">This research emphasizes the strategic significance of talent mobility within contemporary organizations, especially amid increasing globalization and shifting employee expectations. </w:t>
      </w:r>
      <w:r w:rsidR="46949D41" w:rsidRPr="67A47860">
        <w:rPr>
          <w:rFonts w:ascii="Times New Roman" w:eastAsia="Times New Roman" w:hAnsi="Times New Roman" w:cs="Times New Roman"/>
        </w:rPr>
        <w:t xml:space="preserve">The findings suggest that structured mobility programs—including internal transfers, cross-functional rotations, and international assignments—play a crucial role in enhancing employee satisfaction, reducing attrition, and optimizing workforce productivity. Quantitative data indicate that organizations with well-defined mobility strategies experience lower turnover rates and improved retention of high-performing employees. Qualitative insights further reveal that factors such as remote work models, rising visa costs, and career development opportunities significantly influence employee decisions to remain with or leave an organization. Moreover, talent mobility fosters knowledge sharing, skill development, and organizational agility, enabling companies to respond effectively to changing business environments. Overall, the study concludes that strategically managed talent mobility is not merely a human resource tool but a vital driver of organizational growth, innovation, and long-term competitiveness. Organizations that prioritize mobility, align it with employee aspirations, and address external constraints are better positioned to sustain a motivated, skilled, and resilient workforce. </w:t>
      </w:r>
    </w:p>
    <w:p w14:paraId="602AF854" w14:textId="19294255" w:rsidR="46949D41" w:rsidRDefault="46949D41" w:rsidP="107608BC">
      <w:pPr>
        <w:spacing w:before="240" w:after="240"/>
        <w:jc w:val="both"/>
        <w:rPr>
          <w:rFonts w:ascii="Times New Roman" w:eastAsia="Times New Roman" w:hAnsi="Times New Roman" w:cs="Times New Roman"/>
          <w:b/>
          <w:bCs/>
          <w:sz w:val="28"/>
          <w:szCs w:val="28"/>
        </w:rPr>
      </w:pPr>
      <w:r w:rsidRPr="67A47860">
        <w:rPr>
          <w:rFonts w:ascii="Times New Roman" w:eastAsia="Times New Roman" w:hAnsi="Times New Roman" w:cs="Times New Roman"/>
          <w:b/>
          <w:bCs/>
          <w:sz w:val="28"/>
          <w:szCs w:val="28"/>
        </w:rPr>
        <w:t>6. Suggestions</w:t>
      </w:r>
    </w:p>
    <w:p w14:paraId="08224A8C" w14:textId="3ACC60FB" w:rsidR="32F12162" w:rsidRDefault="32F12162" w:rsidP="67A47860">
      <w:pPr>
        <w:spacing w:before="240" w:after="240"/>
        <w:jc w:val="both"/>
        <w:rPr>
          <w:rFonts w:ascii="Times New Roman" w:eastAsia="Times New Roman" w:hAnsi="Times New Roman" w:cs="Times New Roman"/>
        </w:rPr>
      </w:pPr>
      <w:r w:rsidRPr="3F3BAA05">
        <w:rPr>
          <w:rFonts w:ascii="Times New Roman" w:eastAsia="Times New Roman" w:hAnsi="Times New Roman" w:cs="Times New Roman"/>
        </w:rPr>
        <w:t>Building on the outcomes of this research, several directions for future investigation can be identified. To begin with, longitudinal research could be undertaken to assess the long-term impact of talent mobility initiatives on employee retention, career development, and organizational effectiveness. Additionally, future studies may examine how emerging technologies—such as artificial intelligence and HR analytics—can strengthen talent mobility practices and forecast patterns of employee movement.</w:t>
      </w:r>
      <w:r w:rsidR="2BE20424" w:rsidRPr="3F3BAA05">
        <w:rPr>
          <w:rFonts w:ascii="Times New Roman" w:eastAsia="Times New Roman" w:hAnsi="Times New Roman" w:cs="Times New Roman"/>
        </w:rPr>
        <w:t xml:space="preserve"> </w:t>
      </w:r>
      <w:r w:rsidR="787C7234" w:rsidRPr="3F3BAA05">
        <w:rPr>
          <w:rFonts w:ascii="Times New Roman" w:eastAsia="Times New Roman" w:hAnsi="Times New Roman" w:cs="Times New Roman"/>
        </w:rPr>
        <w:t>Furthermore, comparative research across various sectors or geographical regions could offer a deeper understanding of how cultural, economic, and regulatory dynamics shape talent mobility trends.</w:t>
      </w:r>
      <w:r w:rsidR="2BE20424" w:rsidRPr="3F3BAA05">
        <w:rPr>
          <w:rFonts w:ascii="Times New Roman" w:eastAsia="Times New Roman" w:hAnsi="Times New Roman" w:cs="Times New Roman"/>
        </w:rPr>
        <w:t xml:space="preserve"> Fourth, primary data collection through employee surveys </w:t>
      </w:r>
      <w:r w:rsidR="2BE20424" w:rsidRPr="3F3BAA05">
        <w:rPr>
          <w:rFonts w:ascii="Times New Roman" w:eastAsia="Times New Roman" w:hAnsi="Times New Roman" w:cs="Times New Roman"/>
        </w:rPr>
        <w:lastRenderedPageBreak/>
        <w:t xml:space="preserve">and interviews could complement secondary analyses, offering more nuanced perspectives on motivations, challenges, and experiences related to mobility. </w:t>
      </w:r>
      <w:r w:rsidR="260DA4D6" w:rsidRPr="3F3BAA05">
        <w:rPr>
          <w:rFonts w:ascii="Times New Roman" w:eastAsia="Times New Roman" w:hAnsi="Times New Roman" w:cs="Times New Roman"/>
        </w:rPr>
        <w:t xml:space="preserve">Lastly, future research could explore how hybrid and remote work arrangements affect both internal and global talent mobility, especially in the post-pandemic era, to better understand changing employee expectations and organizational approaches. </w:t>
      </w:r>
    </w:p>
    <w:p w14:paraId="4F46E6E6" w14:textId="68FE5B1C" w:rsidR="32F96D37" w:rsidRDefault="32F96D37" w:rsidP="3F3BAA05">
      <w:pPr>
        <w:spacing w:before="240" w:after="240"/>
        <w:jc w:val="both"/>
        <w:rPr>
          <w:rFonts w:ascii="Times New Roman" w:eastAsia="Times New Roman" w:hAnsi="Times New Roman" w:cs="Times New Roman"/>
          <w:color w:val="000000" w:themeColor="text1"/>
          <w:sz w:val="28"/>
          <w:szCs w:val="28"/>
        </w:rPr>
      </w:pPr>
      <w:r w:rsidRPr="3F3BAA05">
        <w:rPr>
          <w:rFonts w:ascii="Times New Roman" w:eastAsia="Times New Roman" w:hAnsi="Times New Roman" w:cs="Times New Roman"/>
          <w:b/>
          <w:bCs/>
          <w:color w:val="000000" w:themeColor="text1"/>
          <w:sz w:val="28"/>
          <w:szCs w:val="28"/>
        </w:rPr>
        <w:t>7. References</w:t>
      </w:r>
    </w:p>
    <w:p w14:paraId="5EDDFEDF" w14:textId="34C50436" w:rsidR="32F96D37" w:rsidRDefault="32F96D37" w:rsidP="3F3BAA05">
      <w:pPr>
        <w:pStyle w:val="ListParagraph"/>
        <w:numPr>
          <w:ilvl w:val="0"/>
          <w:numId w:val="1"/>
        </w:numPr>
        <w:spacing w:before="240" w:after="240"/>
        <w:jc w:val="both"/>
        <w:rPr>
          <w:rFonts w:ascii="Times New Roman" w:eastAsia="Times New Roman" w:hAnsi="Times New Roman" w:cs="Times New Roman"/>
          <w:color w:val="18181B"/>
        </w:rPr>
      </w:pPr>
      <w:r w:rsidRPr="3F3BAA05">
        <w:rPr>
          <w:rFonts w:ascii="Times New Roman" w:eastAsia="Times New Roman" w:hAnsi="Times New Roman" w:cs="Times New Roman"/>
          <w:color w:val="18181B"/>
        </w:rPr>
        <w:t xml:space="preserve">Bao, C., Zhao, X., Li, Y., &amp; Li, Z. (2023). How to Maintain Sustainable Research Productivity: From Talents Mobility Perspective. </w:t>
      </w:r>
      <w:r w:rsidRPr="3F3BAA05">
        <w:rPr>
          <w:rFonts w:ascii="Times New Roman" w:eastAsia="Times New Roman" w:hAnsi="Times New Roman" w:cs="Times New Roman"/>
          <w:i/>
          <w:iCs/>
          <w:color w:val="18181B"/>
        </w:rPr>
        <w:t>Sustainability</w:t>
      </w:r>
      <w:r w:rsidRPr="3F3BAA05">
        <w:rPr>
          <w:rFonts w:ascii="Times New Roman" w:eastAsia="Times New Roman" w:hAnsi="Times New Roman" w:cs="Times New Roman"/>
          <w:color w:val="18181B"/>
        </w:rPr>
        <w:t xml:space="preserve">. </w:t>
      </w:r>
      <w:hyperlink r:id="rId15">
        <w:r w:rsidRPr="3F3BAA05">
          <w:rPr>
            <w:rStyle w:val="Hyperlink"/>
            <w:rFonts w:ascii="Times New Roman" w:eastAsia="Times New Roman" w:hAnsi="Times New Roman" w:cs="Times New Roman"/>
          </w:rPr>
          <w:t>https://doi.org/10.3390/su151511506</w:t>
        </w:r>
      </w:hyperlink>
      <w:r w:rsidRPr="3F3BAA05">
        <w:rPr>
          <w:rFonts w:ascii="Times New Roman" w:eastAsia="Times New Roman" w:hAnsi="Times New Roman" w:cs="Times New Roman"/>
          <w:color w:val="18181B"/>
        </w:rPr>
        <w:t xml:space="preserve">. </w:t>
      </w:r>
    </w:p>
    <w:p w14:paraId="03048700" w14:textId="1654AEAA" w:rsidR="32F96D37" w:rsidRDefault="32F96D37" w:rsidP="3F3BAA05">
      <w:pPr>
        <w:pStyle w:val="ListParagraph"/>
        <w:numPr>
          <w:ilvl w:val="0"/>
          <w:numId w:val="1"/>
        </w:numPr>
        <w:spacing w:before="240" w:after="240"/>
        <w:jc w:val="both"/>
        <w:rPr>
          <w:rFonts w:ascii="Times New Roman" w:eastAsia="Times New Roman" w:hAnsi="Times New Roman" w:cs="Times New Roman"/>
          <w:color w:val="18181B"/>
        </w:rPr>
      </w:pPr>
      <w:r w:rsidRPr="3F3BAA05">
        <w:rPr>
          <w:rFonts w:ascii="Times New Roman" w:eastAsia="Times New Roman" w:hAnsi="Times New Roman" w:cs="Times New Roman"/>
          <w:color w:val="18181B"/>
        </w:rPr>
        <w:t xml:space="preserve">Tansley, C., &amp; Kirk, S. (2018). You've Been Framed—Framing Talent Mobility in Emerging Markets. </w:t>
      </w:r>
      <w:r w:rsidRPr="3F3BAA05">
        <w:rPr>
          <w:rFonts w:ascii="Times New Roman" w:eastAsia="Times New Roman" w:hAnsi="Times New Roman" w:cs="Times New Roman"/>
          <w:i/>
          <w:iCs/>
          <w:color w:val="18181B"/>
        </w:rPr>
        <w:t>Thunderbird International Business Review</w:t>
      </w:r>
      <w:r w:rsidRPr="3F3BAA05">
        <w:rPr>
          <w:rFonts w:ascii="Times New Roman" w:eastAsia="Times New Roman" w:hAnsi="Times New Roman" w:cs="Times New Roman"/>
          <w:color w:val="18181B"/>
        </w:rPr>
        <w:t xml:space="preserve">, 60, 39-51. </w:t>
      </w:r>
      <w:hyperlink r:id="rId16">
        <w:r w:rsidRPr="3F3BAA05">
          <w:rPr>
            <w:rStyle w:val="Hyperlink"/>
            <w:rFonts w:ascii="Times New Roman" w:eastAsia="Times New Roman" w:hAnsi="Times New Roman" w:cs="Times New Roman"/>
          </w:rPr>
          <w:t>https://doi.org/10.1002/TIE.21887</w:t>
        </w:r>
      </w:hyperlink>
      <w:r w:rsidRPr="3F3BAA05">
        <w:rPr>
          <w:rFonts w:ascii="Times New Roman" w:eastAsia="Times New Roman" w:hAnsi="Times New Roman" w:cs="Times New Roman"/>
          <w:color w:val="18181B"/>
        </w:rPr>
        <w:t xml:space="preserve">. </w:t>
      </w:r>
    </w:p>
    <w:p w14:paraId="4B3F15D9" w14:textId="040A5514" w:rsidR="32F96D37" w:rsidRDefault="32F96D37" w:rsidP="3F3BAA05">
      <w:pPr>
        <w:pStyle w:val="ListParagraph"/>
        <w:numPr>
          <w:ilvl w:val="0"/>
          <w:numId w:val="1"/>
        </w:numPr>
        <w:spacing w:before="240" w:after="240"/>
        <w:jc w:val="both"/>
        <w:rPr>
          <w:rFonts w:ascii="Times New Roman" w:eastAsia="Times New Roman" w:hAnsi="Times New Roman" w:cs="Times New Roman"/>
          <w:color w:val="18181B"/>
        </w:rPr>
      </w:pPr>
      <w:r w:rsidRPr="3F3BAA05">
        <w:rPr>
          <w:rFonts w:ascii="Times New Roman" w:eastAsia="Times New Roman" w:hAnsi="Times New Roman" w:cs="Times New Roman"/>
          <w:color w:val="18181B"/>
        </w:rPr>
        <w:t xml:space="preserve">Yue, Y., Hou, J., Zhang, M., &amp; Ye, J. (2024). </w:t>
      </w:r>
      <w:proofErr w:type="gramStart"/>
      <w:r w:rsidRPr="3F3BAA05">
        <w:rPr>
          <w:rFonts w:ascii="Times New Roman" w:eastAsia="Times New Roman" w:hAnsi="Times New Roman" w:cs="Times New Roman"/>
          <w:color w:val="18181B"/>
        </w:rPr>
        <w:t>Does</w:t>
      </w:r>
      <w:proofErr w:type="gramEnd"/>
      <w:r w:rsidRPr="3F3BAA05">
        <w:rPr>
          <w:rFonts w:ascii="Times New Roman" w:eastAsia="Times New Roman" w:hAnsi="Times New Roman" w:cs="Times New Roman"/>
          <w:color w:val="18181B"/>
        </w:rPr>
        <w:t xml:space="preserve"> the sticky relationships of global value chains help stabilize employment? Evidence from China. </w:t>
      </w:r>
      <w:r w:rsidRPr="3F3BAA05">
        <w:rPr>
          <w:rFonts w:ascii="Times New Roman" w:eastAsia="Times New Roman" w:hAnsi="Times New Roman" w:cs="Times New Roman"/>
          <w:i/>
          <w:iCs/>
          <w:color w:val="18181B"/>
        </w:rPr>
        <w:t>Structural Change and Economic Dynamics</w:t>
      </w:r>
      <w:r w:rsidRPr="3F3BAA05">
        <w:rPr>
          <w:rFonts w:ascii="Times New Roman" w:eastAsia="Times New Roman" w:hAnsi="Times New Roman" w:cs="Times New Roman"/>
          <w:color w:val="18181B"/>
        </w:rPr>
        <w:t xml:space="preserve">. </w:t>
      </w:r>
      <w:hyperlink r:id="rId17">
        <w:r w:rsidRPr="3F3BAA05">
          <w:rPr>
            <w:rStyle w:val="Hyperlink"/>
            <w:rFonts w:ascii="Times New Roman" w:eastAsia="Times New Roman" w:hAnsi="Times New Roman" w:cs="Times New Roman"/>
          </w:rPr>
          <w:t>https://doi.org/10.1016/j.strueco.2024.04.006</w:t>
        </w:r>
      </w:hyperlink>
      <w:r w:rsidRPr="3F3BAA05">
        <w:rPr>
          <w:rFonts w:ascii="Times New Roman" w:eastAsia="Times New Roman" w:hAnsi="Times New Roman" w:cs="Times New Roman"/>
          <w:color w:val="18181B"/>
        </w:rPr>
        <w:t xml:space="preserve">. </w:t>
      </w:r>
    </w:p>
    <w:p w14:paraId="26C9B25A" w14:textId="26D1EC03" w:rsidR="32F96D37" w:rsidRDefault="32F96D37" w:rsidP="3F3BAA05">
      <w:pPr>
        <w:pStyle w:val="ListParagraph"/>
        <w:numPr>
          <w:ilvl w:val="0"/>
          <w:numId w:val="1"/>
        </w:numPr>
        <w:spacing w:before="240" w:after="240"/>
        <w:jc w:val="both"/>
        <w:rPr>
          <w:rFonts w:ascii="Times New Roman" w:eastAsia="Times New Roman" w:hAnsi="Times New Roman" w:cs="Times New Roman"/>
          <w:color w:val="18181B"/>
        </w:rPr>
      </w:pPr>
      <w:r w:rsidRPr="3F3BAA05">
        <w:rPr>
          <w:rFonts w:ascii="Times New Roman" w:eastAsia="Times New Roman" w:hAnsi="Times New Roman" w:cs="Times New Roman"/>
          <w:color w:val="18181B"/>
        </w:rPr>
        <w:t xml:space="preserve">Mushtaq, M., Ahmed, S., Fahlevi, M., Aljuaid, M., &amp; Saniuk, S. (2022). Globalization and employment nexus: Moderating role of human capital. </w:t>
      </w:r>
      <w:r w:rsidRPr="3F3BAA05">
        <w:rPr>
          <w:rFonts w:ascii="Times New Roman" w:eastAsia="Times New Roman" w:hAnsi="Times New Roman" w:cs="Times New Roman"/>
          <w:i/>
          <w:iCs/>
          <w:color w:val="18181B"/>
        </w:rPr>
        <w:t>PLoS ONE</w:t>
      </w:r>
      <w:r w:rsidRPr="3F3BAA05">
        <w:rPr>
          <w:rFonts w:ascii="Times New Roman" w:eastAsia="Times New Roman" w:hAnsi="Times New Roman" w:cs="Times New Roman"/>
          <w:color w:val="18181B"/>
        </w:rPr>
        <w:t xml:space="preserve">, 17. </w:t>
      </w:r>
      <w:hyperlink r:id="rId18">
        <w:r w:rsidRPr="3F3BAA05">
          <w:rPr>
            <w:rStyle w:val="Hyperlink"/>
            <w:rFonts w:ascii="Times New Roman" w:eastAsia="Times New Roman" w:hAnsi="Times New Roman" w:cs="Times New Roman"/>
          </w:rPr>
          <w:t>https://doi.org/10.1371/journal.pone.0276431</w:t>
        </w:r>
      </w:hyperlink>
      <w:r w:rsidRPr="3F3BAA05">
        <w:rPr>
          <w:rFonts w:ascii="Times New Roman" w:eastAsia="Times New Roman" w:hAnsi="Times New Roman" w:cs="Times New Roman"/>
          <w:color w:val="18181B"/>
        </w:rPr>
        <w:t>.</w:t>
      </w:r>
    </w:p>
    <w:p w14:paraId="0762C9BA" w14:textId="3456725E" w:rsidR="32F96D37" w:rsidRDefault="32F96D37" w:rsidP="3F3BAA05">
      <w:pPr>
        <w:pStyle w:val="ListParagraph"/>
        <w:numPr>
          <w:ilvl w:val="0"/>
          <w:numId w:val="1"/>
        </w:numPr>
        <w:spacing w:before="240" w:after="240"/>
        <w:jc w:val="both"/>
        <w:rPr>
          <w:rFonts w:ascii="Times New Roman" w:eastAsia="Times New Roman" w:hAnsi="Times New Roman" w:cs="Times New Roman"/>
          <w:color w:val="18181B"/>
        </w:rPr>
      </w:pPr>
      <w:r w:rsidRPr="3F3BAA05">
        <w:rPr>
          <w:rFonts w:ascii="Times New Roman" w:eastAsia="Times New Roman" w:hAnsi="Times New Roman" w:cs="Times New Roman"/>
          <w:color w:val="18181B"/>
        </w:rPr>
        <w:t xml:space="preserve">Kumar, S. (2021). The impact of talent management practices on employee turnover and retention intentions. </w:t>
      </w:r>
      <w:r w:rsidRPr="3F3BAA05">
        <w:rPr>
          <w:rFonts w:ascii="Times New Roman" w:eastAsia="Times New Roman" w:hAnsi="Times New Roman" w:cs="Times New Roman"/>
          <w:i/>
          <w:iCs/>
          <w:color w:val="18181B"/>
        </w:rPr>
        <w:t>Global Business and Organizational Excellence</w:t>
      </w:r>
      <w:r w:rsidRPr="3F3BAA05">
        <w:rPr>
          <w:rFonts w:ascii="Times New Roman" w:eastAsia="Times New Roman" w:hAnsi="Times New Roman" w:cs="Times New Roman"/>
          <w:color w:val="18181B"/>
        </w:rPr>
        <w:t xml:space="preserve">. </w:t>
      </w:r>
      <w:hyperlink r:id="rId19">
        <w:r w:rsidRPr="3F3BAA05">
          <w:rPr>
            <w:rStyle w:val="Hyperlink"/>
            <w:rFonts w:ascii="Times New Roman" w:eastAsia="Times New Roman" w:hAnsi="Times New Roman" w:cs="Times New Roman"/>
          </w:rPr>
          <w:t>https://doi.org/10.1002/JOE.22130</w:t>
        </w:r>
      </w:hyperlink>
      <w:r w:rsidRPr="3F3BAA05">
        <w:rPr>
          <w:rFonts w:ascii="Times New Roman" w:eastAsia="Times New Roman" w:hAnsi="Times New Roman" w:cs="Times New Roman"/>
          <w:color w:val="18181B"/>
        </w:rPr>
        <w:t>.</w:t>
      </w:r>
    </w:p>
    <w:p w14:paraId="776EBB1D" w14:textId="6A4420F8" w:rsidR="32F96D37" w:rsidRDefault="32F96D37" w:rsidP="3F3BAA05">
      <w:pPr>
        <w:pStyle w:val="ListParagraph"/>
        <w:numPr>
          <w:ilvl w:val="0"/>
          <w:numId w:val="1"/>
        </w:numPr>
        <w:spacing w:before="240" w:after="240"/>
        <w:jc w:val="both"/>
        <w:rPr>
          <w:rFonts w:ascii="Times New Roman" w:eastAsia="Times New Roman" w:hAnsi="Times New Roman" w:cs="Times New Roman"/>
          <w:color w:val="18181B"/>
        </w:rPr>
      </w:pPr>
      <w:r w:rsidRPr="3F3BAA05">
        <w:rPr>
          <w:rFonts w:ascii="Times New Roman" w:eastAsia="Times New Roman" w:hAnsi="Times New Roman" w:cs="Times New Roman"/>
          <w:color w:val="18181B"/>
        </w:rPr>
        <w:t xml:space="preserve">Ghani, B., Zada, M., Memon, K., Ullah, R., Khattak, A., Han, H., Ariza-Montes, A., &amp; Araya-Castillo, L. (2022). Challenges and Strategies for Employee Retention in the Hospitality Industry: A Review. </w:t>
      </w:r>
      <w:r w:rsidRPr="3F3BAA05">
        <w:rPr>
          <w:rFonts w:ascii="Times New Roman" w:eastAsia="Times New Roman" w:hAnsi="Times New Roman" w:cs="Times New Roman"/>
          <w:i/>
          <w:iCs/>
          <w:color w:val="18181B"/>
        </w:rPr>
        <w:t>Sustainability</w:t>
      </w:r>
      <w:r w:rsidRPr="3F3BAA05">
        <w:rPr>
          <w:rFonts w:ascii="Times New Roman" w:eastAsia="Times New Roman" w:hAnsi="Times New Roman" w:cs="Times New Roman"/>
          <w:color w:val="18181B"/>
        </w:rPr>
        <w:t xml:space="preserve">. </w:t>
      </w:r>
      <w:hyperlink r:id="rId20">
        <w:r w:rsidRPr="3F3BAA05">
          <w:rPr>
            <w:rStyle w:val="Hyperlink"/>
            <w:rFonts w:ascii="Times New Roman" w:eastAsia="Times New Roman" w:hAnsi="Times New Roman" w:cs="Times New Roman"/>
          </w:rPr>
          <w:t>https://doi.org/10.3390/su14052885</w:t>
        </w:r>
      </w:hyperlink>
      <w:r w:rsidRPr="3F3BAA05">
        <w:rPr>
          <w:rFonts w:ascii="Times New Roman" w:eastAsia="Times New Roman" w:hAnsi="Times New Roman" w:cs="Times New Roman"/>
          <w:color w:val="18181B"/>
        </w:rPr>
        <w:t>.</w:t>
      </w:r>
    </w:p>
    <w:p w14:paraId="3DD99AD0" w14:textId="3B7973AE" w:rsidR="32F96D37" w:rsidRDefault="32F96D37" w:rsidP="3F3BAA05">
      <w:pPr>
        <w:pStyle w:val="ListParagraph"/>
        <w:numPr>
          <w:ilvl w:val="0"/>
          <w:numId w:val="1"/>
        </w:numPr>
        <w:spacing w:before="240" w:after="240"/>
        <w:jc w:val="both"/>
        <w:rPr>
          <w:rFonts w:ascii="Times New Roman" w:eastAsia="Times New Roman" w:hAnsi="Times New Roman" w:cs="Times New Roman"/>
          <w:color w:val="18181B"/>
        </w:rPr>
      </w:pPr>
      <w:r w:rsidRPr="3F3BAA05">
        <w:rPr>
          <w:rFonts w:ascii="Times New Roman" w:eastAsia="Times New Roman" w:hAnsi="Times New Roman" w:cs="Times New Roman"/>
          <w:color w:val="18181B"/>
        </w:rPr>
        <w:t xml:space="preserve">Singh, D. (2019). A Literature Review on Employee Retention with Focus on Recent Trends. </w:t>
      </w:r>
      <w:r w:rsidRPr="3F3BAA05">
        <w:rPr>
          <w:rFonts w:ascii="Times New Roman" w:eastAsia="Times New Roman" w:hAnsi="Times New Roman" w:cs="Times New Roman"/>
          <w:i/>
          <w:iCs/>
          <w:color w:val="18181B"/>
        </w:rPr>
        <w:t>International Journal of Scientific Research in Science, Engineering and Technology</w:t>
      </w:r>
      <w:r w:rsidRPr="3F3BAA05">
        <w:rPr>
          <w:rFonts w:ascii="Times New Roman" w:eastAsia="Times New Roman" w:hAnsi="Times New Roman" w:cs="Times New Roman"/>
          <w:color w:val="18181B"/>
        </w:rPr>
        <w:t xml:space="preserve">. </w:t>
      </w:r>
      <w:hyperlink r:id="rId21">
        <w:r w:rsidRPr="3F3BAA05">
          <w:rPr>
            <w:rStyle w:val="Hyperlink"/>
            <w:rFonts w:ascii="Times New Roman" w:eastAsia="Times New Roman" w:hAnsi="Times New Roman" w:cs="Times New Roman"/>
          </w:rPr>
          <w:t>https://doi.org/10.32628/IJSRST195463</w:t>
        </w:r>
      </w:hyperlink>
      <w:r w:rsidRPr="3F3BAA05">
        <w:rPr>
          <w:rFonts w:ascii="Times New Roman" w:eastAsia="Times New Roman" w:hAnsi="Times New Roman" w:cs="Times New Roman"/>
          <w:color w:val="18181B"/>
        </w:rPr>
        <w:t xml:space="preserve">. </w:t>
      </w:r>
    </w:p>
    <w:p w14:paraId="2C790A21" w14:textId="1BE817D6" w:rsidR="32F96D37" w:rsidRDefault="32F96D37" w:rsidP="3F3BAA05">
      <w:pPr>
        <w:pStyle w:val="ListParagraph"/>
        <w:numPr>
          <w:ilvl w:val="0"/>
          <w:numId w:val="1"/>
        </w:numPr>
        <w:spacing w:before="240" w:after="240"/>
        <w:jc w:val="both"/>
        <w:rPr>
          <w:rFonts w:ascii="Times New Roman" w:eastAsia="Times New Roman" w:hAnsi="Times New Roman" w:cs="Times New Roman"/>
          <w:color w:val="18181B"/>
        </w:rPr>
      </w:pPr>
      <w:r w:rsidRPr="3F3BAA05">
        <w:rPr>
          <w:rFonts w:ascii="Times New Roman" w:eastAsia="Times New Roman" w:hAnsi="Times New Roman" w:cs="Times New Roman"/>
          <w:color w:val="18181B"/>
        </w:rPr>
        <w:t xml:space="preserve">Kossivi, B., Xu, M., &amp; Kalgora, B. (2016). A STUDY ON DETERMINING FACTORS EMPLOYEE RETENTION. </w:t>
      </w:r>
      <w:r w:rsidRPr="3F3BAA05">
        <w:rPr>
          <w:rFonts w:ascii="Times New Roman" w:eastAsia="Times New Roman" w:hAnsi="Times New Roman" w:cs="Times New Roman"/>
          <w:i/>
          <w:iCs/>
          <w:color w:val="18181B"/>
        </w:rPr>
        <w:t>International Research Journal of Modernization in Engineering Technology and Science</w:t>
      </w:r>
      <w:r w:rsidRPr="3F3BAA05">
        <w:rPr>
          <w:rFonts w:ascii="Times New Roman" w:eastAsia="Times New Roman" w:hAnsi="Times New Roman" w:cs="Times New Roman"/>
          <w:color w:val="18181B"/>
        </w:rPr>
        <w:t xml:space="preserve">. </w:t>
      </w:r>
      <w:hyperlink r:id="rId22">
        <w:r w:rsidRPr="3F3BAA05">
          <w:rPr>
            <w:rStyle w:val="Hyperlink"/>
            <w:rFonts w:ascii="Times New Roman" w:eastAsia="Times New Roman" w:hAnsi="Times New Roman" w:cs="Times New Roman"/>
          </w:rPr>
          <w:t>https://doi.org/10.4236/JSS.2016.45029</w:t>
        </w:r>
      </w:hyperlink>
      <w:r w:rsidRPr="3F3BAA05">
        <w:rPr>
          <w:rFonts w:ascii="Times New Roman" w:eastAsia="Times New Roman" w:hAnsi="Times New Roman" w:cs="Times New Roman"/>
          <w:color w:val="18181B"/>
        </w:rPr>
        <w:t>.</w:t>
      </w:r>
    </w:p>
    <w:p w14:paraId="0BD69462" w14:textId="19B7E3FB" w:rsidR="32F96D37" w:rsidRDefault="32F96D37" w:rsidP="3F3BAA05">
      <w:pPr>
        <w:pStyle w:val="ListParagraph"/>
        <w:numPr>
          <w:ilvl w:val="0"/>
          <w:numId w:val="1"/>
        </w:numPr>
        <w:spacing w:before="240" w:after="240"/>
        <w:jc w:val="both"/>
        <w:rPr>
          <w:rFonts w:ascii="Times New Roman" w:eastAsia="Times New Roman" w:hAnsi="Times New Roman" w:cs="Times New Roman"/>
          <w:color w:val="18181B"/>
        </w:rPr>
      </w:pPr>
      <w:r w:rsidRPr="3F3BAA05">
        <w:rPr>
          <w:rFonts w:ascii="Times New Roman" w:eastAsia="Times New Roman" w:hAnsi="Times New Roman" w:cs="Times New Roman"/>
          <w:color w:val="18181B"/>
        </w:rPr>
        <w:t xml:space="preserve">Mazlan, M., &amp; Jambulingam, M. (2023). Challenges of Talent Retention: A Review of Literature. </w:t>
      </w:r>
      <w:r w:rsidRPr="3F3BAA05">
        <w:rPr>
          <w:rFonts w:ascii="Times New Roman" w:eastAsia="Times New Roman" w:hAnsi="Times New Roman" w:cs="Times New Roman"/>
          <w:i/>
          <w:iCs/>
          <w:color w:val="18181B"/>
        </w:rPr>
        <w:t>Journal of Business and Management Review</w:t>
      </w:r>
      <w:r w:rsidRPr="3F3BAA05">
        <w:rPr>
          <w:rFonts w:ascii="Times New Roman" w:eastAsia="Times New Roman" w:hAnsi="Times New Roman" w:cs="Times New Roman"/>
          <w:color w:val="18181B"/>
        </w:rPr>
        <w:t xml:space="preserve">. </w:t>
      </w:r>
      <w:hyperlink r:id="rId23">
        <w:r w:rsidRPr="3F3BAA05">
          <w:rPr>
            <w:rStyle w:val="Hyperlink"/>
            <w:rFonts w:ascii="Times New Roman" w:eastAsia="Times New Roman" w:hAnsi="Times New Roman" w:cs="Times New Roman"/>
          </w:rPr>
          <w:t>https://doi.org/10.47153/jbmr42.6302023</w:t>
        </w:r>
      </w:hyperlink>
      <w:r w:rsidRPr="3F3BAA05">
        <w:rPr>
          <w:rFonts w:ascii="Times New Roman" w:eastAsia="Times New Roman" w:hAnsi="Times New Roman" w:cs="Times New Roman"/>
          <w:color w:val="18181B"/>
        </w:rPr>
        <w:t>.</w:t>
      </w:r>
    </w:p>
    <w:p w14:paraId="614433DE" w14:textId="6E2E3B62" w:rsidR="32F96D37" w:rsidRDefault="32F96D37" w:rsidP="3F3BAA05">
      <w:pPr>
        <w:pStyle w:val="ListParagraph"/>
        <w:numPr>
          <w:ilvl w:val="0"/>
          <w:numId w:val="1"/>
        </w:numPr>
        <w:spacing w:before="240" w:after="240"/>
        <w:jc w:val="both"/>
        <w:rPr>
          <w:rFonts w:ascii="Times New Roman" w:eastAsia="Times New Roman" w:hAnsi="Times New Roman" w:cs="Times New Roman"/>
          <w:color w:val="18181B"/>
        </w:rPr>
      </w:pPr>
      <w:r w:rsidRPr="3F3BAA05">
        <w:rPr>
          <w:rFonts w:ascii="Times New Roman" w:eastAsia="Times New Roman" w:hAnsi="Times New Roman" w:cs="Times New Roman"/>
          <w:color w:val="18181B"/>
        </w:rPr>
        <w:t xml:space="preserve">Mahadi, N., Woo, N., Baskaran, S., &amp; Yaakop, A. (2020). Determinant Factors for Employee Retention: Should I </w:t>
      </w:r>
      <w:proofErr w:type="gramStart"/>
      <w:r w:rsidRPr="3F3BAA05">
        <w:rPr>
          <w:rFonts w:ascii="Times New Roman" w:eastAsia="Times New Roman" w:hAnsi="Times New Roman" w:cs="Times New Roman"/>
          <w:color w:val="18181B"/>
        </w:rPr>
        <w:t>Stay?.</w:t>
      </w:r>
      <w:proofErr w:type="gramEnd"/>
      <w:r w:rsidRPr="3F3BAA05">
        <w:rPr>
          <w:rFonts w:ascii="Times New Roman" w:eastAsia="Times New Roman" w:hAnsi="Times New Roman" w:cs="Times New Roman"/>
          <w:color w:val="18181B"/>
        </w:rPr>
        <w:t xml:space="preserve"> </w:t>
      </w:r>
      <w:r w:rsidRPr="3F3BAA05">
        <w:rPr>
          <w:rFonts w:ascii="Times New Roman" w:eastAsia="Times New Roman" w:hAnsi="Times New Roman" w:cs="Times New Roman"/>
          <w:i/>
          <w:iCs/>
          <w:color w:val="18181B"/>
        </w:rPr>
        <w:t>International Journal of Academic Research in Business and Social Sciences</w:t>
      </w:r>
      <w:r w:rsidRPr="3F3BAA05">
        <w:rPr>
          <w:rFonts w:ascii="Times New Roman" w:eastAsia="Times New Roman" w:hAnsi="Times New Roman" w:cs="Times New Roman"/>
          <w:color w:val="18181B"/>
        </w:rPr>
        <w:t xml:space="preserve">. </w:t>
      </w:r>
      <w:hyperlink r:id="rId24">
        <w:r w:rsidRPr="3F3BAA05">
          <w:rPr>
            <w:rStyle w:val="Hyperlink"/>
            <w:rFonts w:ascii="Times New Roman" w:eastAsia="Times New Roman" w:hAnsi="Times New Roman" w:cs="Times New Roman"/>
          </w:rPr>
          <w:t>https://doi.org/10.6007/ijarbss/v10-i4/7120</w:t>
        </w:r>
      </w:hyperlink>
      <w:r w:rsidRPr="3F3BAA05">
        <w:rPr>
          <w:rFonts w:ascii="Times New Roman" w:eastAsia="Times New Roman" w:hAnsi="Times New Roman" w:cs="Times New Roman"/>
          <w:color w:val="18181B"/>
        </w:rPr>
        <w:t>.</w:t>
      </w:r>
    </w:p>
    <w:p w14:paraId="50ABB077" w14:textId="0B49C318" w:rsidR="32F96D37" w:rsidRDefault="32F96D37" w:rsidP="3F3BAA05">
      <w:pPr>
        <w:pStyle w:val="ListParagraph"/>
        <w:numPr>
          <w:ilvl w:val="0"/>
          <w:numId w:val="1"/>
        </w:numPr>
        <w:spacing w:before="240" w:after="240"/>
        <w:jc w:val="both"/>
        <w:rPr>
          <w:rFonts w:ascii="Times New Roman" w:eastAsia="Times New Roman" w:hAnsi="Times New Roman" w:cs="Times New Roman"/>
          <w:color w:val="18181B"/>
        </w:rPr>
      </w:pPr>
      <w:r w:rsidRPr="3F3BAA05">
        <w:rPr>
          <w:rFonts w:ascii="Times New Roman" w:eastAsia="Times New Roman" w:hAnsi="Times New Roman" w:cs="Times New Roman"/>
          <w:color w:val="18181B"/>
        </w:rPr>
        <w:lastRenderedPageBreak/>
        <w:t xml:space="preserve">Ramachandran, A., &amp; Prasad, C. (2022). Factors associated with employee retention. </w:t>
      </w:r>
      <w:r w:rsidRPr="3F3BAA05">
        <w:rPr>
          <w:rFonts w:ascii="Times New Roman" w:eastAsia="Times New Roman" w:hAnsi="Times New Roman" w:cs="Times New Roman"/>
          <w:i/>
          <w:iCs/>
          <w:color w:val="18181B"/>
        </w:rPr>
        <w:t>International Journal of Research in Human Resource Management</w:t>
      </w:r>
      <w:r w:rsidRPr="3F3BAA05">
        <w:rPr>
          <w:rFonts w:ascii="Times New Roman" w:eastAsia="Times New Roman" w:hAnsi="Times New Roman" w:cs="Times New Roman"/>
          <w:color w:val="18181B"/>
        </w:rPr>
        <w:t xml:space="preserve">. </w:t>
      </w:r>
      <w:hyperlink r:id="rId25">
        <w:r w:rsidRPr="3F3BAA05">
          <w:rPr>
            <w:rStyle w:val="Hyperlink"/>
            <w:rFonts w:ascii="Times New Roman" w:eastAsia="Times New Roman" w:hAnsi="Times New Roman" w:cs="Times New Roman"/>
          </w:rPr>
          <w:t>https://doi.org/10.33545/26633213.2022.v4.i2a.109</w:t>
        </w:r>
      </w:hyperlink>
      <w:r w:rsidRPr="3F3BAA05">
        <w:rPr>
          <w:rFonts w:ascii="Times New Roman" w:eastAsia="Times New Roman" w:hAnsi="Times New Roman" w:cs="Times New Roman"/>
          <w:color w:val="18181B"/>
        </w:rPr>
        <w:t>.</w:t>
      </w:r>
    </w:p>
    <w:p w14:paraId="75890329" w14:textId="09B7C036" w:rsidR="32F96D37" w:rsidRDefault="32F96D37" w:rsidP="3F3BAA05">
      <w:pPr>
        <w:pStyle w:val="ListParagraph"/>
        <w:numPr>
          <w:ilvl w:val="0"/>
          <w:numId w:val="1"/>
        </w:numPr>
        <w:spacing w:before="240" w:after="240"/>
        <w:jc w:val="both"/>
        <w:rPr>
          <w:rFonts w:ascii="Times New Roman" w:eastAsia="Times New Roman" w:hAnsi="Times New Roman" w:cs="Times New Roman"/>
          <w:color w:val="18181B"/>
        </w:rPr>
      </w:pPr>
      <w:r w:rsidRPr="3F3BAA05">
        <w:rPr>
          <w:rFonts w:ascii="Times New Roman" w:eastAsia="Times New Roman" w:hAnsi="Times New Roman" w:cs="Times New Roman"/>
          <w:color w:val="18181B"/>
        </w:rPr>
        <w:t xml:space="preserve">Ullah, A., Chattoraj, D., &amp; Kathy, A. (2024). Mobility in a globalised world: How countries regulate mobility with passports and visas. </w:t>
      </w:r>
      <w:r w:rsidRPr="3F3BAA05">
        <w:rPr>
          <w:rFonts w:ascii="Times New Roman" w:eastAsia="Times New Roman" w:hAnsi="Times New Roman" w:cs="Times New Roman"/>
          <w:i/>
          <w:iCs/>
          <w:color w:val="18181B"/>
        </w:rPr>
        <w:t>Journal of Public Affairs</w:t>
      </w:r>
      <w:r w:rsidRPr="3F3BAA05">
        <w:rPr>
          <w:rFonts w:ascii="Times New Roman" w:eastAsia="Times New Roman" w:hAnsi="Times New Roman" w:cs="Times New Roman"/>
          <w:color w:val="18181B"/>
        </w:rPr>
        <w:t xml:space="preserve">. </w:t>
      </w:r>
      <w:hyperlink r:id="rId26">
        <w:r w:rsidRPr="3F3BAA05">
          <w:rPr>
            <w:rStyle w:val="Hyperlink"/>
            <w:rFonts w:ascii="Times New Roman" w:eastAsia="Times New Roman" w:hAnsi="Times New Roman" w:cs="Times New Roman"/>
          </w:rPr>
          <w:t>https://doi.org/10.1002/pa.2932</w:t>
        </w:r>
      </w:hyperlink>
      <w:r w:rsidRPr="3F3BAA05">
        <w:rPr>
          <w:rFonts w:ascii="Times New Roman" w:eastAsia="Times New Roman" w:hAnsi="Times New Roman" w:cs="Times New Roman"/>
          <w:color w:val="18181B"/>
        </w:rPr>
        <w:t>.</w:t>
      </w:r>
    </w:p>
    <w:p w14:paraId="29CBAFA2" w14:textId="07A8109C" w:rsidR="32F96D37" w:rsidRDefault="32F96D37" w:rsidP="3F3BAA05">
      <w:pPr>
        <w:pStyle w:val="ListParagraph"/>
        <w:numPr>
          <w:ilvl w:val="0"/>
          <w:numId w:val="1"/>
        </w:numPr>
        <w:spacing w:before="240" w:after="240"/>
        <w:jc w:val="both"/>
        <w:rPr>
          <w:rFonts w:ascii="Times New Roman" w:eastAsia="Times New Roman" w:hAnsi="Times New Roman" w:cs="Times New Roman"/>
          <w:color w:val="18181B"/>
        </w:rPr>
      </w:pPr>
      <w:r w:rsidRPr="3F3BAA05">
        <w:rPr>
          <w:rFonts w:ascii="Times New Roman" w:eastAsia="Times New Roman" w:hAnsi="Times New Roman" w:cs="Times New Roman"/>
          <w:color w:val="18181B"/>
        </w:rPr>
        <w:t xml:space="preserve">Mau, S., Gülzau, F., Laube, L., &amp; Zaun, N. (2015). The Global Mobility Divide: How Visa Policies Have Evolved over Time. </w:t>
      </w:r>
      <w:r w:rsidRPr="3F3BAA05">
        <w:rPr>
          <w:rFonts w:ascii="Times New Roman" w:eastAsia="Times New Roman" w:hAnsi="Times New Roman" w:cs="Times New Roman"/>
          <w:i/>
          <w:iCs/>
          <w:color w:val="18181B"/>
        </w:rPr>
        <w:t>Journal of Ethnic and Migration Studies</w:t>
      </w:r>
      <w:r w:rsidRPr="3F3BAA05">
        <w:rPr>
          <w:rFonts w:ascii="Times New Roman" w:eastAsia="Times New Roman" w:hAnsi="Times New Roman" w:cs="Times New Roman"/>
          <w:color w:val="18181B"/>
        </w:rPr>
        <w:t xml:space="preserve">, 41, 1192 - 1213. </w:t>
      </w:r>
      <w:hyperlink r:id="rId27">
        <w:r w:rsidRPr="3F3BAA05">
          <w:rPr>
            <w:rStyle w:val="Hyperlink"/>
            <w:rFonts w:ascii="Times New Roman" w:eastAsia="Times New Roman" w:hAnsi="Times New Roman" w:cs="Times New Roman"/>
          </w:rPr>
          <w:t>https://doi.org/10.1080/1369183X.2015.1005007</w:t>
        </w:r>
      </w:hyperlink>
      <w:r w:rsidRPr="3F3BAA05">
        <w:rPr>
          <w:rFonts w:ascii="Times New Roman" w:eastAsia="Times New Roman" w:hAnsi="Times New Roman" w:cs="Times New Roman"/>
          <w:color w:val="18181B"/>
        </w:rPr>
        <w:t xml:space="preserve">. </w:t>
      </w:r>
    </w:p>
    <w:p w14:paraId="7FE367A2" w14:textId="2D2C76B6" w:rsidR="32F96D37" w:rsidRDefault="00DB7ED2" w:rsidP="3F3BAA05">
      <w:pPr>
        <w:pStyle w:val="ListParagraph"/>
        <w:numPr>
          <w:ilvl w:val="0"/>
          <w:numId w:val="1"/>
        </w:numPr>
        <w:spacing w:before="240" w:after="240"/>
        <w:jc w:val="both"/>
        <w:rPr>
          <w:rFonts w:ascii="Times New Roman" w:eastAsia="Times New Roman" w:hAnsi="Times New Roman" w:cs="Times New Roman"/>
          <w:color w:val="000000" w:themeColor="text1"/>
        </w:rPr>
      </w:pPr>
      <w:hyperlink r:id="rId28" w:anchor="15-employee-turnover-challenges-examples">
        <w:r w:rsidR="32F96D37" w:rsidRPr="3F3BAA05">
          <w:rPr>
            <w:rStyle w:val="Hyperlink"/>
            <w:rFonts w:ascii="Times New Roman" w:eastAsia="Times New Roman" w:hAnsi="Times New Roman" w:cs="Times New Roman"/>
          </w:rPr>
          <w:t>https://www.culturemonkey.io/employee-engagement/employee-retention challenges/#15-employee-turnover-challenges-examples</w:t>
        </w:r>
      </w:hyperlink>
    </w:p>
    <w:p w14:paraId="5267A689" w14:textId="10942651" w:rsidR="32F96D37" w:rsidRDefault="00DB7ED2" w:rsidP="3F3BAA05">
      <w:pPr>
        <w:pStyle w:val="ListParagraph"/>
        <w:numPr>
          <w:ilvl w:val="0"/>
          <w:numId w:val="1"/>
        </w:numPr>
        <w:spacing w:before="240" w:after="240"/>
        <w:jc w:val="both"/>
        <w:rPr>
          <w:rFonts w:ascii="Times New Roman" w:eastAsia="Times New Roman" w:hAnsi="Times New Roman" w:cs="Times New Roman"/>
          <w:color w:val="000000" w:themeColor="text1"/>
        </w:rPr>
      </w:pPr>
      <w:hyperlink r:id="rId29">
        <w:r w:rsidR="32F96D37" w:rsidRPr="3F3BAA05">
          <w:rPr>
            <w:rStyle w:val="Hyperlink"/>
            <w:rFonts w:ascii="Times New Roman" w:eastAsia="Times New Roman" w:hAnsi="Times New Roman" w:cs="Times New Roman"/>
          </w:rPr>
          <w:t>https://smallbiztrends.com/employee-retention-challenges/</w:t>
        </w:r>
      </w:hyperlink>
    </w:p>
    <w:p w14:paraId="323878B4" w14:textId="6EC76F93" w:rsidR="32F96D37" w:rsidRDefault="00DB7ED2" w:rsidP="3F3BAA05">
      <w:pPr>
        <w:pStyle w:val="ListParagraph"/>
        <w:numPr>
          <w:ilvl w:val="0"/>
          <w:numId w:val="1"/>
        </w:numPr>
        <w:spacing w:before="240" w:after="240"/>
        <w:jc w:val="both"/>
        <w:rPr>
          <w:rFonts w:ascii="Times New Roman" w:eastAsia="Times New Roman" w:hAnsi="Times New Roman" w:cs="Times New Roman"/>
          <w:color w:val="000000" w:themeColor="text1"/>
        </w:rPr>
      </w:pPr>
      <w:hyperlink r:id="rId30">
        <w:r w:rsidR="32F96D37" w:rsidRPr="3F3BAA05">
          <w:rPr>
            <w:rStyle w:val="Hyperlink"/>
            <w:rFonts w:ascii="Times New Roman" w:eastAsia="Times New Roman" w:hAnsi="Times New Roman" w:cs="Times New Roman"/>
          </w:rPr>
          <w:t>https://starmountainresources.com/work-visa-limits-a-global-talent-squeeze/</w:t>
        </w:r>
      </w:hyperlink>
    </w:p>
    <w:p w14:paraId="6C9325D6" w14:textId="2180EC3A" w:rsidR="32F96D37" w:rsidRDefault="00DB7ED2" w:rsidP="3F3BAA05">
      <w:pPr>
        <w:pStyle w:val="ListParagraph"/>
        <w:numPr>
          <w:ilvl w:val="0"/>
          <w:numId w:val="1"/>
        </w:numPr>
        <w:spacing w:before="240" w:after="240"/>
        <w:jc w:val="both"/>
        <w:rPr>
          <w:rFonts w:ascii="Times New Roman" w:eastAsia="Times New Roman" w:hAnsi="Times New Roman" w:cs="Times New Roman"/>
          <w:color w:val="000000" w:themeColor="text1"/>
        </w:rPr>
      </w:pPr>
      <w:hyperlink r:id="rId31">
        <w:r w:rsidR="32F96D37" w:rsidRPr="3F3BAA05">
          <w:rPr>
            <w:rStyle w:val="Hyperlink"/>
            <w:rFonts w:ascii="Times New Roman" w:eastAsia="Times New Roman" w:hAnsi="Times New Roman" w:cs="Times New Roman"/>
          </w:rPr>
          <w:t>https://www.jadetimes.com/post/the-impact-of-immigration-policies-on-global-talent-mobility</w:t>
        </w:r>
      </w:hyperlink>
    </w:p>
    <w:p w14:paraId="13B3FAB6" w14:textId="5DC2EFC2" w:rsidR="32F96D37" w:rsidRDefault="00DB7ED2" w:rsidP="3F3BAA05">
      <w:pPr>
        <w:pStyle w:val="ListParagraph"/>
        <w:numPr>
          <w:ilvl w:val="0"/>
          <w:numId w:val="1"/>
        </w:numPr>
        <w:spacing w:before="240" w:after="240"/>
        <w:jc w:val="both"/>
        <w:rPr>
          <w:rFonts w:ascii="Times New Roman" w:eastAsia="Times New Roman" w:hAnsi="Times New Roman" w:cs="Times New Roman"/>
          <w:color w:val="000000" w:themeColor="text1"/>
        </w:rPr>
      </w:pPr>
      <w:hyperlink r:id="rId32">
        <w:r w:rsidR="32F96D37" w:rsidRPr="3F3BAA05">
          <w:rPr>
            <w:rStyle w:val="Hyperlink"/>
            <w:rFonts w:ascii="Times New Roman" w:eastAsia="Times New Roman" w:hAnsi="Times New Roman" w:cs="Times New Roman"/>
          </w:rPr>
          <w:t>https://wheebox.com/blog/India-Skills-Report-2025-Enabling-Global-Talent-Mobility.htm</w:t>
        </w:r>
      </w:hyperlink>
    </w:p>
    <w:p w14:paraId="6FDCBB77" w14:textId="10F3D15F" w:rsidR="32F96D37" w:rsidRDefault="00DB7ED2" w:rsidP="3F3BAA05">
      <w:pPr>
        <w:pStyle w:val="ListParagraph"/>
        <w:numPr>
          <w:ilvl w:val="0"/>
          <w:numId w:val="1"/>
        </w:numPr>
        <w:spacing w:before="240" w:after="240"/>
        <w:jc w:val="both"/>
        <w:rPr>
          <w:rFonts w:ascii="Times New Roman" w:eastAsia="Times New Roman" w:hAnsi="Times New Roman" w:cs="Times New Roman"/>
          <w:color w:val="000000" w:themeColor="text1"/>
        </w:rPr>
      </w:pPr>
      <w:hyperlink r:id="rId33">
        <w:r w:rsidR="32F96D37" w:rsidRPr="3F3BAA05">
          <w:rPr>
            <w:rStyle w:val="Hyperlink"/>
            <w:rFonts w:ascii="Times New Roman" w:eastAsia="Times New Roman" w:hAnsi="Times New Roman" w:cs="Times New Roman"/>
          </w:rPr>
          <w:t>https://people-mobility.org/global-talent-mobility-trends-key-insights-from-the-decoding-global-talent-2024-report/</w:t>
        </w:r>
      </w:hyperlink>
    </w:p>
    <w:p w14:paraId="3B9971EA" w14:textId="5F8B1286" w:rsidR="3F3BAA05" w:rsidRDefault="3F3BAA05" w:rsidP="3F3BAA05">
      <w:pPr>
        <w:spacing w:before="240" w:after="240"/>
        <w:jc w:val="both"/>
        <w:rPr>
          <w:rFonts w:ascii="Times New Roman" w:eastAsia="Times New Roman" w:hAnsi="Times New Roman" w:cs="Times New Roman"/>
        </w:rPr>
      </w:pPr>
    </w:p>
    <w:p w14:paraId="1AC618F6" w14:textId="41F7A161" w:rsidR="3F3BAA05" w:rsidRDefault="3F3BAA05" w:rsidP="3F3BAA05">
      <w:pPr>
        <w:spacing w:before="240" w:after="240"/>
        <w:jc w:val="both"/>
        <w:rPr>
          <w:rFonts w:ascii="Times New Roman" w:eastAsia="Times New Roman" w:hAnsi="Times New Roman" w:cs="Times New Roman"/>
        </w:rPr>
      </w:pPr>
    </w:p>
    <w:p w14:paraId="2390CE1C" w14:textId="26B5C24D" w:rsidR="67A47860" w:rsidRDefault="67A47860" w:rsidP="67A47860">
      <w:pPr>
        <w:spacing w:before="240" w:after="240"/>
        <w:jc w:val="both"/>
        <w:rPr>
          <w:rFonts w:ascii="Times New Roman" w:eastAsia="Times New Roman" w:hAnsi="Times New Roman" w:cs="Times New Roman"/>
        </w:rPr>
      </w:pPr>
    </w:p>
    <w:p w14:paraId="0E2FB4A3" w14:textId="4E977853" w:rsidR="107608BC" w:rsidRDefault="107608BC" w:rsidP="107608BC">
      <w:pPr>
        <w:jc w:val="both"/>
        <w:rPr>
          <w:rFonts w:ascii="Times New Roman" w:eastAsia="Times New Roman" w:hAnsi="Times New Roman" w:cs="Times New Roman"/>
          <w:b/>
          <w:bCs/>
        </w:rPr>
      </w:pPr>
    </w:p>
    <w:p w14:paraId="1D222079" w14:textId="19F2AD74" w:rsidR="107608BC" w:rsidRDefault="107608BC" w:rsidP="0DC08633">
      <w:pPr>
        <w:rPr>
          <w:rFonts w:ascii="Times New Roman" w:eastAsia="Times New Roman" w:hAnsi="Times New Roman" w:cs="Times New Roman"/>
        </w:rPr>
      </w:pPr>
    </w:p>
    <w:sectPr w:rsidR="107608BC">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55380C" w14:textId="77777777" w:rsidR="00DB7ED2" w:rsidRDefault="00DB7ED2" w:rsidP="000D786D">
      <w:pPr>
        <w:spacing w:after="0" w:line="240" w:lineRule="auto"/>
      </w:pPr>
      <w:r>
        <w:separator/>
      </w:r>
    </w:p>
  </w:endnote>
  <w:endnote w:type="continuationSeparator" w:id="0">
    <w:p w14:paraId="5EB642EC" w14:textId="77777777" w:rsidR="00DB7ED2" w:rsidRDefault="00DB7ED2" w:rsidP="000D7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80BC0" w14:textId="77777777" w:rsidR="000D786D" w:rsidRDefault="000D78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48ED9" w14:textId="77777777" w:rsidR="000D786D" w:rsidRDefault="000D78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CE618" w14:textId="77777777" w:rsidR="000D786D" w:rsidRDefault="000D78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D02FA1" w14:textId="77777777" w:rsidR="00DB7ED2" w:rsidRDefault="00DB7ED2" w:rsidP="000D786D">
      <w:pPr>
        <w:spacing w:after="0" w:line="240" w:lineRule="auto"/>
      </w:pPr>
      <w:r>
        <w:separator/>
      </w:r>
    </w:p>
  </w:footnote>
  <w:footnote w:type="continuationSeparator" w:id="0">
    <w:p w14:paraId="0923625F" w14:textId="77777777" w:rsidR="00DB7ED2" w:rsidRDefault="00DB7ED2" w:rsidP="000D7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7C511" w14:textId="0D53818A" w:rsidR="000D786D" w:rsidRDefault="000D786D">
    <w:pPr>
      <w:pStyle w:val="Header"/>
    </w:pPr>
    <w:r>
      <w:rPr>
        <w:noProof/>
      </w:rPr>
      <w:pict w14:anchorId="4E3CCB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595626"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C7B05" w14:textId="7AA3FDA3" w:rsidR="000D786D" w:rsidRDefault="000D786D">
    <w:pPr>
      <w:pStyle w:val="Header"/>
    </w:pPr>
    <w:r>
      <w:rPr>
        <w:noProof/>
      </w:rPr>
      <w:pict w14:anchorId="518F1E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595627"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AB763" w14:textId="7D4638E6" w:rsidR="000D786D" w:rsidRDefault="000D786D">
    <w:pPr>
      <w:pStyle w:val="Header"/>
    </w:pPr>
    <w:r>
      <w:rPr>
        <w:noProof/>
      </w:rPr>
      <w:pict w14:anchorId="0A01A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9595625"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intelligence2.xml><?xml version="1.0" encoding="utf-8"?>
<int2:intelligence xmlns:int2="http://schemas.microsoft.com/office/intelligence/2020/intelligence" xmlns:oel="http://schemas.microsoft.com/office/2019/extlst">
  <int2:observations>
    <int2:textHash int2:hashCode="xXB/b9ouL9vlRx" int2:id="cHOtBeQ3">
      <int2:state int2:value="Rejected" int2:type="spell"/>
    </int2:textHash>
    <int2:textHash int2:hashCode="i4/edUD8Q1ZdXa" int2:id="COvzXFXt">
      <int2:state int2:value="Rejected" int2:type="spell"/>
    </int2:textHash>
    <int2:textHash int2:hashCode="aswN5QTHFLfngQ" int2:id="mhzSRt9v">
      <int2:state int2:value="Rejected" int2:type="spell"/>
    </int2:textHash>
    <int2:textHash int2:hashCode="za49l/pmZYUYaH" int2:id="S9ZjtiSO">
      <int2:state int2:value="Rejected" int2:type="spell"/>
    </int2:textHash>
    <int2:textHash int2:hashCode="TGvXkealXbGlnz" int2:id="IYWz0rmk">
      <int2:state int2:value="Rejected" int2:type="spell"/>
    </int2:textHash>
    <int2:textHash int2:hashCode="/dQS0QI9ygVeWl" int2:id="PVg2Gfsa">
      <int2:state int2:value="Rejected" int2:type="spell"/>
    </int2:textHash>
    <int2:textHash int2:hashCode="gN1skG3+wbfxo/" int2:id="b2Tc4Pm4">
      <int2:state int2:value="Rejected" int2:type="spell"/>
    </int2:textHash>
    <int2:textHash int2:hashCode="Vrcd/cXE/SxkD2" int2:id="S0knUaRX">
      <int2:state int2:value="Rejected" int2:type="spell"/>
    </int2:textHash>
    <int2:textHash int2:hashCode="KrGh1BGBBktJWC" int2:id="rgq78YJG">
      <int2:state int2:value="Rejected" int2:type="spell"/>
    </int2:textHash>
    <int2:textHash int2:hashCode="kOTShM2RvS5uNe" int2:id="wUI72aYv">
      <int2:state int2:value="Rejected" int2:type="spell"/>
    </int2:textHash>
    <int2:textHash int2:hashCode="25KVxmZA1iyTon" int2:id="w06uDgCO">
      <int2:state int2:value="Rejected" int2:type="spell"/>
    </int2:textHash>
    <int2:bookmark int2:bookmarkName="_Int_u1rPHadL" int2:invalidationBookmarkName="" int2:hashCode="b0kxACN2sT9WYw" int2:id="uOvG0foM">
      <int2:state int2:value="Rejected" int2:type="style"/>
    </int2:bookmark>
    <int2:bookmark int2:bookmarkName="_Int_Ouv7Y5BZ" int2:invalidationBookmarkName="" int2:hashCode="e0dMsLOcF3PXGS" int2:id="IiZjK2c7">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26747"/>
    <w:multiLevelType w:val="hybridMultilevel"/>
    <w:tmpl w:val="1A187828"/>
    <w:lvl w:ilvl="0" w:tplc="053AFA84">
      <w:start w:val="1"/>
      <w:numFmt w:val="decimal"/>
      <w:lvlText w:val="%1."/>
      <w:lvlJc w:val="left"/>
      <w:pPr>
        <w:ind w:left="720" w:hanging="360"/>
      </w:pPr>
    </w:lvl>
    <w:lvl w:ilvl="1" w:tplc="3A540A58">
      <w:start w:val="1"/>
      <w:numFmt w:val="lowerLetter"/>
      <w:lvlText w:val="%2."/>
      <w:lvlJc w:val="left"/>
      <w:pPr>
        <w:ind w:left="1440" w:hanging="360"/>
      </w:pPr>
    </w:lvl>
    <w:lvl w:ilvl="2" w:tplc="120CC56C">
      <w:start w:val="1"/>
      <w:numFmt w:val="lowerRoman"/>
      <w:lvlText w:val="%3."/>
      <w:lvlJc w:val="right"/>
      <w:pPr>
        <w:ind w:left="2160" w:hanging="180"/>
      </w:pPr>
    </w:lvl>
    <w:lvl w:ilvl="3" w:tplc="71E02902">
      <w:start w:val="1"/>
      <w:numFmt w:val="decimal"/>
      <w:lvlText w:val="%4."/>
      <w:lvlJc w:val="left"/>
      <w:pPr>
        <w:ind w:left="2880" w:hanging="360"/>
      </w:pPr>
    </w:lvl>
    <w:lvl w:ilvl="4" w:tplc="9B663C1E">
      <w:start w:val="1"/>
      <w:numFmt w:val="lowerLetter"/>
      <w:lvlText w:val="%5."/>
      <w:lvlJc w:val="left"/>
      <w:pPr>
        <w:ind w:left="3600" w:hanging="360"/>
      </w:pPr>
    </w:lvl>
    <w:lvl w:ilvl="5" w:tplc="B82AA522">
      <w:start w:val="1"/>
      <w:numFmt w:val="lowerRoman"/>
      <w:lvlText w:val="%6."/>
      <w:lvlJc w:val="right"/>
      <w:pPr>
        <w:ind w:left="4320" w:hanging="180"/>
      </w:pPr>
    </w:lvl>
    <w:lvl w:ilvl="6" w:tplc="A1ACB12E">
      <w:start w:val="1"/>
      <w:numFmt w:val="decimal"/>
      <w:lvlText w:val="%7."/>
      <w:lvlJc w:val="left"/>
      <w:pPr>
        <w:ind w:left="5040" w:hanging="360"/>
      </w:pPr>
    </w:lvl>
    <w:lvl w:ilvl="7" w:tplc="DCBA6568">
      <w:start w:val="1"/>
      <w:numFmt w:val="lowerLetter"/>
      <w:lvlText w:val="%8."/>
      <w:lvlJc w:val="left"/>
      <w:pPr>
        <w:ind w:left="5760" w:hanging="360"/>
      </w:pPr>
    </w:lvl>
    <w:lvl w:ilvl="8" w:tplc="C7A0D192">
      <w:start w:val="1"/>
      <w:numFmt w:val="lowerRoman"/>
      <w:lvlText w:val="%9."/>
      <w:lvlJc w:val="right"/>
      <w:pPr>
        <w:ind w:left="6480" w:hanging="180"/>
      </w:pPr>
    </w:lvl>
  </w:abstractNum>
  <w:abstractNum w:abstractNumId="1" w15:restartNumberingAfterBreak="0">
    <w:nsid w:val="0AC686CD"/>
    <w:multiLevelType w:val="hybridMultilevel"/>
    <w:tmpl w:val="082CFBC0"/>
    <w:lvl w:ilvl="0" w:tplc="BBE02B7C">
      <w:start w:val="1"/>
      <w:numFmt w:val="bullet"/>
      <w:lvlText w:val=""/>
      <w:lvlJc w:val="left"/>
      <w:pPr>
        <w:ind w:left="720" w:hanging="360"/>
      </w:pPr>
      <w:rPr>
        <w:rFonts w:ascii="Symbol" w:hAnsi="Symbol" w:hint="default"/>
      </w:rPr>
    </w:lvl>
    <w:lvl w:ilvl="1" w:tplc="837493DE">
      <w:start w:val="1"/>
      <w:numFmt w:val="bullet"/>
      <w:lvlText w:val="o"/>
      <w:lvlJc w:val="left"/>
      <w:pPr>
        <w:ind w:left="1440" w:hanging="360"/>
      </w:pPr>
      <w:rPr>
        <w:rFonts w:ascii="Courier New" w:hAnsi="Courier New" w:hint="default"/>
      </w:rPr>
    </w:lvl>
    <w:lvl w:ilvl="2" w:tplc="2C947B78">
      <w:start w:val="1"/>
      <w:numFmt w:val="bullet"/>
      <w:lvlText w:val=""/>
      <w:lvlJc w:val="left"/>
      <w:pPr>
        <w:ind w:left="2160" w:hanging="360"/>
      </w:pPr>
      <w:rPr>
        <w:rFonts w:ascii="Wingdings" w:hAnsi="Wingdings" w:hint="default"/>
      </w:rPr>
    </w:lvl>
    <w:lvl w:ilvl="3" w:tplc="432E94C8">
      <w:start w:val="1"/>
      <w:numFmt w:val="bullet"/>
      <w:lvlText w:val=""/>
      <w:lvlJc w:val="left"/>
      <w:pPr>
        <w:ind w:left="2880" w:hanging="360"/>
      </w:pPr>
      <w:rPr>
        <w:rFonts w:ascii="Symbol" w:hAnsi="Symbol" w:hint="default"/>
      </w:rPr>
    </w:lvl>
    <w:lvl w:ilvl="4" w:tplc="69FC7502">
      <w:start w:val="1"/>
      <w:numFmt w:val="bullet"/>
      <w:lvlText w:val="o"/>
      <w:lvlJc w:val="left"/>
      <w:pPr>
        <w:ind w:left="3600" w:hanging="360"/>
      </w:pPr>
      <w:rPr>
        <w:rFonts w:ascii="Courier New" w:hAnsi="Courier New" w:hint="default"/>
      </w:rPr>
    </w:lvl>
    <w:lvl w:ilvl="5" w:tplc="343427EA">
      <w:start w:val="1"/>
      <w:numFmt w:val="bullet"/>
      <w:lvlText w:val=""/>
      <w:lvlJc w:val="left"/>
      <w:pPr>
        <w:ind w:left="4320" w:hanging="360"/>
      </w:pPr>
      <w:rPr>
        <w:rFonts w:ascii="Wingdings" w:hAnsi="Wingdings" w:hint="default"/>
      </w:rPr>
    </w:lvl>
    <w:lvl w:ilvl="6" w:tplc="B4CC9E44">
      <w:start w:val="1"/>
      <w:numFmt w:val="bullet"/>
      <w:lvlText w:val=""/>
      <w:lvlJc w:val="left"/>
      <w:pPr>
        <w:ind w:left="5040" w:hanging="360"/>
      </w:pPr>
      <w:rPr>
        <w:rFonts w:ascii="Symbol" w:hAnsi="Symbol" w:hint="default"/>
      </w:rPr>
    </w:lvl>
    <w:lvl w:ilvl="7" w:tplc="0C2E9414">
      <w:start w:val="1"/>
      <w:numFmt w:val="bullet"/>
      <w:lvlText w:val="o"/>
      <w:lvlJc w:val="left"/>
      <w:pPr>
        <w:ind w:left="5760" w:hanging="360"/>
      </w:pPr>
      <w:rPr>
        <w:rFonts w:ascii="Courier New" w:hAnsi="Courier New" w:hint="default"/>
      </w:rPr>
    </w:lvl>
    <w:lvl w:ilvl="8" w:tplc="5D84EFD2">
      <w:start w:val="1"/>
      <w:numFmt w:val="bullet"/>
      <w:lvlText w:val=""/>
      <w:lvlJc w:val="left"/>
      <w:pPr>
        <w:ind w:left="6480" w:hanging="360"/>
      </w:pPr>
      <w:rPr>
        <w:rFonts w:ascii="Wingdings" w:hAnsi="Wingdings" w:hint="default"/>
      </w:rPr>
    </w:lvl>
  </w:abstractNum>
  <w:abstractNum w:abstractNumId="2" w15:restartNumberingAfterBreak="0">
    <w:nsid w:val="3A3663FE"/>
    <w:multiLevelType w:val="hybridMultilevel"/>
    <w:tmpl w:val="9DF08EEC"/>
    <w:lvl w:ilvl="0" w:tplc="856C170C">
      <w:start w:val="1"/>
      <w:numFmt w:val="decimal"/>
      <w:lvlText w:val="%1."/>
      <w:lvlJc w:val="left"/>
      <w:pPr>
        <w:ind w:left="720" w:hanging="360"/>
      </w:pPr>
    </w:lvl>
    <w:lvl w:ilvl="1" w:tplc="9E38482C">
      <w:start w:val="1"/>
      <w:numFmt w:val="lowerLetter"/>
      <w:lvlText w:val="%2."/>
      <w:lvlJc w:val="left"/>
      <w:pPr>
        <w:ind w:left="1440" w:hanging="360"/>
      </w:pPr>
    </w:lvl>
    <w:lvl w:ilvl="2" w:tplc="53FEA7DA">
      <w:start w:val="1"/>
      <w:numFmt w:val="lowerRoman"/>
      <w:lvlText w:val="%3."/>
      <w:lvlJc w:val="right"/>
      <w:pPr>
        <w:ind w:left="2160" w:hanging="180"/>
      </w:pPr>
    </w:lvl>
    <w:lvl w:ilvl="3" w:tplc="05CA5A48">
      <w:start w:val="1"/>
      <w:numFmt w:val="decimal"/>
      <w:lvlText w:val="%4."/>
      <w:lvlJc w:val="left"/>
      <w:pPr>
        <w:ind w:left="2880" w:hanging="360"/>
      </w:pPr>
    </w:lvl>
    <w:lvl w:ilvl="4" w:tplc="F3686C38">
      <w:start w:val="1"/>
      <w:numFmt w:val="lowerLetter"/>
      <w:lvlText w:val="%5."/>
      <w:lvlJc w:val="left"/>
      <w:pPr>
        <w:ind w:left="3600" w:hanging="360"/>
      </w:pPr>
    </w:lvl>
    <w:lvl w:ilvl="5" w:tplc="190A0C9A">
      <w:start w:val="1"/>
      <w:numFmt w:val="lowerRoman"/>
      <w:lvlText w:val="%6."/>
      <w:lvlJc w:val="right"/>
      <w:pPr>
        <w:ind w:left="4320" w:hanging="180"/>
      </w:pPr>
    </w:lvl>
    <w:lvl w:ilvl="6" w:tplc="DF5A08D2">
      <w:start w:val="1"/>
      <w:numFmt w:val="decimal"/>
      <w:lvlText w:val="%7."/>
      <w:lvlJc w:val="left"/>
      <w:pPr>
        <w:ind w:left="5040" w:hanging="360"/>
      </w:pPr>
    </w:lvl>
    <w:lvl w:ilvl="7" w:tplc="AEE6462E">
      <w:start w:val="1"/>
      <w:numFmt w:val="lowerLetter"/>
      <w:lvlText w:val="%8."/>
      <w:lvlJc w:val="left"/>
      <w:pPr>
        <w:ind w:left="5760" w:hanging="360"/>
      </w:pPr>
    </w:lvl>
    <w:lvl w:ilvl="8" w:tplc="AB44F3F2">
      <w:start w:val="1"/>
      <w:numFmt w:val="lowerRoman"/>
      <w:lvlText w:val="%9."/>
      <w:lvlJc w:val="right"/>
      <w:pPr>
        <w:ind w:left="6480" w:hanging="180"/>
      </w:pPr>
    </w:lvl>
  </w:abstractNum>
  <w:abstractNum w:abstractNumId="3" w15:restartNumberingAfterBreak="0">
    <w:nsid w:val="3F3E5561"/>
    <w:multiLevelType w:val="hybridMultilevel"/>
    <w:tmpl w:val="630C5908"/>
    <w:lvl w:ilvl="0" w:tplc="1354FDDA">
      <w:start w:val="1"/>
      <w:numFmt w:val="bullet"/>
      <w:lvlText w:val=""/>
      <w:lvlJc w:val="left"/>
      <w:pPr>
        <w:ind w:left="720" w:hanging="360"/>
      </w:pPr>
      <w:rPr>
        <w:rFonts w:ascii="Symbol" w:hAnsi="Symbol" w:hint="default"/>
      </w:rPr>
    </w:lvl>
    <w:lvl w:ilvl="1" w:tplc="5810EB76">
      <w:start w:val="1"/>
      <w:numFmt w:val="bullet"/>
      <w:lvlText w:val="o"/>
      <w:lvlJc w:val="left"/>
      <w:pPr>
        <w:ind w:left="1440" w:hanging="360"/>
      </w:pPr>
      <w:rPr>
        <w:rFonts w:ascii="Courier New" w:hAnsi="Courier New" w:hint="default"/>
      </w:rPr>
    </w:lvl>
    <w:lvl w:ilvl="2" w:tplc="8F5AFF0C">
      <w:start w:val="1"/>
      <w:numFmt w:val="bullet"/>
      <w:lvlText w:val=""/>
      <w:lvlJc w:val="left"/>
      <w:pPr>
        <w:ind w:left="2160" w:hanging="360"/>
      </w:pPr>
      <w:rPr>
        <w:rFonts w:ascii="Wingdings" w:hAnsi="Wingdings" w:hint="default"/>
      </w:rPr>
    </w:lvl>
    <w:lvl w:ilvl="3" w:tplc="337A5D76">
      <w:start w:val="1"/>
      <w:numFmt w:val="bullet"/>
      <w:lvlText w:val=""/>
      <w:lvlJc w:val="left"/>
      <w:pPr>
        <w:ind w:left="2880" w:hanging="360"/>
      </w:pPr>
      <w:rPr>
        <w:rFonts w:ascii="Symbol" w:hAnsi="Symbol" w:hint="default"/>
      </w:rPr>
    </w:lvl>
    <w:lvl w:ilvl="4" w:tplc="DD26956C">
      <w:start w:val="1"/>
      <w:numFmt w:val="bullet"/>
      <w:lvlText w:val="o"/>
      <w:lvlJc w:val="left"/>
      <w:pPr>
        <w:ind w:left="3600" w:hanging="360"/>
      </w:pPr>
      <w:rPr>
        <w:rFonts w:ascii="Courier New" w:hAnsi="Courier New" w:hint="default"/>
      </w:rPr>
    </w:lvl>
    <w:lvl w:ilvl="5" w:tplc="BB567C92">
      <w:start w:val="1"/>
      <w:numFmt w:val="bullet"/>
      <w:lvlText w:val=""/>
      <w:lvlJc w:val="left"/>
      <w:pPr>
        <w:ind w:left="4320" w:hanging="360"/>
      </w:pPr>
      <w:rPr>
        <w:rFonts w:ascii="Wingdings" w:hAnsi="Wingdings" w:hint="default"/>
      </w:rPr>
    </w:lvl>
    <w:lvl w:ilvl="6" w:tplc="77381F68">
      <w:start w:val="1"/>
      <w:numFmt w:val="bullet"/>
      <w:lvlText w:val=""/>
      <w:lvlJc w:val="left"/>
      <w:pPr>
        <w:ind w:left="5040" w:hanging="360"/>
      </w:pPr>
      <w:rPr>
        <w:rFonts w:ascii="Symbol" w:hAnsi="Symbol" w:hint="default"/>
      </w:rPr>
    </w:lvl>
    <w:lvl w:ilvl="7" w:tplc="4B4ACF96">
      <w:start w:val="1"/>
      <w:numFmt w:val="bullet"/>
      <w:lvlText w:val="o"/>
      <w:lvlJc w:val="left"/>
      <w:pPr>
        <w:ind w:left="5760" w:hanging="360"/>
      </w:pPr>
      <w:rPr>
        <w:rFonts w:ascii="Courier New" w:hAnsi="Courier New" w:hint="default"/>
      </w:rPr>
    </w:lvl>
    <w:lvl w:ilvl="8" w:tplc="528C1DD2">
      <w:start w:val="1"/>
      <w:numFmt w:val="bullet"/>
      <w:lvlText w:val=""/>
      <w:lvlJc w:val="left"/>
      <w:pPr>
        <w:ind w:left="6480" w:hanging="360"/>
      </w:pPr>
      <w:rPr>
        <w:rFonts w:ascii="Wingdings" w:hAnsi="Wingdings" w:hint="default"/>
      </w:rPr>
    </w:lvl>
  </w:abstractNum>
  <w:abstractNum w:abstractNumId="4" w15:restartNumberingAfterBreak="0">
    <w:nsid w:val="48884673"/>
    <w:multiLevelType w:val="hybridMultilevel"/>
    <w:tmpl w:val="EBFA89C8"/>
    <w:lvl w:ilvl="0" w:tplc="68EA311A">
      <w:start w:val="1"/>
      <w:numFmt w:val="bullet"/>
      <w:lvlText w:val=""/>
      <w:lvlJc w:val="left"/>
      <w:pPr>
        <w:ind w:left="720" w:hanging="360"/>
      </w:pPr>
      <w:rPr>
        <w:rFonts w:ascii="Symbol" w:hAnsi="Symbol" w:hint="default"/>
      </w:rPr>
    </w:lvl>
    <w:lvl w:ilvl="1" w:tplc="147637E0">
      <w:start w:val="1"/>
      <w:numFmt w:val="bullet"/>
      <w:lvlText w:val="o"/>
      <w:lvlJc w:val="left"/>
      <w:pPr>
        <w:ind w:left="1440" w:hanging="360"/>
      </w:pPr>
      <w:rPr>
        <w:rFonts w:ascii="Courier New" w:hAnsi="Courier New" w:hint="default"/>
      </w:rPr>
    </w:lvl>
    <w:lvl w:ilvl="2" w:tplc="0BF409B4">
      <w:start w:val="1"/>
      <w:numFmt w:val="bullet"/>
      <w:lvlText w:val=""/>
      <w:lvlJc w:val="left"/>
      <w:pPr>
        <w:ind w:left="2160" w:hanging="360"/>
      </w:pPr>
      <w:rPr>
        <w:rFonts w:ascii="Wingdings" w:hAnsi="Wingdings" w:hint="default"/>
      </w:rPr>
    </w:lvl>
    <w:lvl w:ilvl="3" w:tplc="8F30CA14">
      <w:start w:val="1"/>
      <w:numFmt w:val="bullet"/>
      <w:lvlText w:val=""/>
      <w:lvlJc w:val="left"/>
      <w:pPr>
        <w:ind w:left="2880" w:hanging="360"/>
      </w:pPr>
      <w:rPr>
        <w:rFonts w:ascii="Symbol" w:hAnsi="Symbol" w:hint="default"/>
      </w:rPr>
    </w:lvl>
    <w:lvl w:ilvl="4" w:tplc="010EEB7C">
      <w:start w:val="1"/>
      <w:numFmt w:val="bullet"/>
      <w:lvlText w:val="o"/>
      <w:lvlJc w:val="left"/>
      <w:pPr>
        <w:ind w:left="3600" w:hanging="360"/>
      </w:pPr>
      <w:rPr>
        <w:rFonts w:ascii="Courier New" w:hAnsi="Courier New" w:hint="default"/>
      </w:rPr>
    </w:lvl>
    <w:lvl w:ilvl="5" w:tplc="AA96C5CA">
      <w:start w:val="1"/>
      <w:numFmt w:val="bullet"/>
      <w:lvlText w:val=""/>
      <w:lvlJc w:val="left"/>
      <w:pPr>
        <w:ind w:left="4320" w:hanging="360"/>
      </w:pPr>
      <w:rPr>
        <w:rFonts w:ascii="Wingdings" w:hAnsi="Wingdings" w:hint="default"/>
      </w:rPr>
    </w:lvl>
    <w:lvl w:ilvl="6" w:tplc="5358BE86">
      <w:start w:val="1"/>
      <w:numFmt w:val="bullet"/>
      <w:lvlText w:val=""/>
      <w:lvlJc w:val="left"/>
      <w:pPr>
        <w:ind w:left="5040" w:hanging="360"/>
      </w:pPr>
      <w:rPr>
        <w:rFonts w:ascii="Symbol" w:hAnsi="Symbol" w:hint="default"/>
      </w:rPr>
    </w:lvl>
    <w:lvl w:ilvl="7" w:tplc="A5005A58">
      <w:start w:val="1"/>
      <w:numFmt w:val="bullet"/>
      <w:lvlText w:val="o"/>
      <w:lvlJc w:val="left"/>
      <w:pPr>
        <w:ind w:left="5760" w:hanging="360"/>
      </w:pPr>
      <w:rPr>
        <w:rFonts w:ascii="Courier New" w:hAnsi="Courier New" w:hint="default"/>
      </w:rPr>
    </w:lvl>
    <w:lvl w:ilvl="8" w:tplc="335A5C00">
      <w:start w:val="1"/>
      <w:numFmt w:val="bullet"/>
      <w:lvlText w:val=""/>
      <w:lvlJc w:val="left"/>
      <w:pPr>
        <w:ind w:left="6480" w:hanging="360"/>
      </w:pPr>
      <w:rPr>
        <w:rFonts w:ascii="Wingdings" w:hAnsi="Wingdings" w:hint="default"/>
      </w:rPr>
    </w:lvl>
  </w:abstractNum>
  <w:abstractNum w:abstractNumId="5" w15:restartNumberingAfterBreak="0">
    <w:nsid w:val="4F4D4917"/>
    <w:multiLevelType w:val="hybridMultilevel"/>
    <w:tmpl w:val="B68E039A"/>
    <w:lvl w:ilvl="0" w:tplc="79648584">
      <w:start w:val="1"/>
      <w:numFmt w:val="decimal"/>
      <w:lvlText w:val="%1."/>
      <w:lvlJc w:val="left"/>
      <w:pPr>
        <w:ind w:left="720" w:hanging="360"/>
      </w:pPr>
    </w:lvl>
    <w:lvl w:ilvl="1" w:tplc="9F366618">
      <w:start w:val="1"/>
      <w:numFmt w:val="lowerLetter"/>
      <w:lvlText w:val="%2."/>
      <w:lvlJc w:val="left"/>
      <w:pPr>
        <w:ind w:left="1440" w:hanging="360"/>
      </w:pPr>
    </w:lvl>
    <w:lvl w:ilvl="2" w:tplc="319EC5DC">
      <w:start w:val="1"/>
      <w:numFmt w:val="lowerRoman"/>
      <w:lvlText w:val="%3."/>
      <w:lvlJc w:val="right"/>
      <w:pPr>
        <w:ind w:left="2160" w:hanging="180"/>
      </w:pPr>
    </w:lvl>
    <w:lvl w:ilvl="3" w:tplc="0FE41AB2">
      <w:start w:val="1"/>
      <w:numFmt w:val="decimal"/>
      <w:lvlText w:val="%4."/>
      <w:lvlJc w:val="left"/>
      <w:pPr>
        <w:ind w:left="2880" w:hanging="360"/>
      </w:pPr>
    </w:lvl>
    <w:lvl w:ilvl="4" w:tplc="9762FDF8">
      <w:start w:val="1"/>
      <w:numFmt w:val="lowerLetter"/>
      <w:lvlText w:val="%5."/>
      <w:lvlJc w:val="left"/>
      <w:pPr>
        <w:ind w:left="3600" w:hanging="360"/>
      </w:pPr>
    </w:lvl>
    <w:lvl w:ilvl="5" w:tplc="998E6338">
      <w:start w:val="1"/>
      <w:numFmt w:val="lowerRoman"/>
      <w:lvlText w:val="%6."/>
      <w:lvlJc w:val="right"/>
      <w:pPr>
        <w:ind w:left="4320" w:hanging="180"/>
      </w:pPr>
    </w:lvl>
    <w:lvl w:ilvl="6" w:tplc="F828D24E">
      <w:start w:val="1"/>
      <w:numFmt w:val="decimal"/>
      <w:lvlText w:val="%7."/>
      <w:lvlJc w:val="left"/>
      <w:pPr>
        <w:ind w:left="5040" w:hanging="360"/>
      </w:pPr>
    </w:lvl>
    <w:lvl w:ilvl="7" w:tplc="A8E84560">
      <w:start w:val="1"/>
      <w:numFmt w:val="lowerLetter"/>
      <w:lvlText w:val="%8."/>
      <w:lvlJc w:val="left"/>
      <w:pPr>
        <w:ind w:left="5760" w:hanging="360"/>
      </w:pPr>
    </w:lvl>
    <w:lvl w:ilvl="8" w:tplc="D0F2662C">
      <w:start w:val="1"/>
      <w:numFmt w:val="lowerRoman"/>
      <w:lvlText w:val="%9."/>
      <w:lvlJc w:val="right"/>
      <w:pPr>
        <w:ind w:left="6480" w:hanging="180"/>
      </w:pPr>
    </w:lvl>
  </w:abstractNum>
  <w:abstractNum w:abstractNumId="6" w15:restartNumberingAfterBreak="0">
    <w:nsid w:val="532A0EB9"/>
    <w:multiLevelType w:val="hybridMultilevel"/>
    <w:tmpl w:val="4F20D162"/>
    <w:lvl w:ilvl="0" w:tplc="4D08B16A">
      <w:start w:val="1"/>
      <w:numFmt w:val="decimal"/>
      <w:lvlText w:val="%1."/>
      <w:lvlJc w:val="left"/>
      <w:pPr>
        <w:ind w:left="720" w:hanging="360"/>
      </w:pPr>
    </w:lvl>
    <w:lvl w:ilvl="1" w:tplc="D438E9DE">
      <w:start w:val="1"/>
      <w:numFmt w:val="lowerLetter"/>
      <w:lvlText w:val="%2."/>
      <w:lvlJc w:val="left"/>
      <w:pPr>
        <w:ind w:left="1440" w:hanging="360"/>
      </w:pPr>
    </w:lvl>
    <w:lvl w:ilvl="2" w:tplc="81843D3A">
      <w:start w:val="1"/>
      <w:numFmt w:val="lowerRoman"/>
      <w:lvlText w:val="%3."/>
      <w:lvlJc w:val="right"/>
      <w:pPr>
        <w:ind w:left="2160" w:hanging="180"/>
      </w:pPr>
    </w:lvl>
    <w:lvl w:ilvl="3" w:tplc="60AAEB86">
      <w:start w:val="1"/>
      <w:numFmt w:val="decimal"/>
      <w:lvlText w:val="%4."/>
      <w:lvlJc w:val="left"/>
      <w:pPr>
        <w:ind w:left="2880" w:hanging="360"/>
      </w:pPr>
    </w:lvl>
    <w:lvl w:ilvl="4" w:tplc="1C8CA428">
      <w:start w:val="1"/>
      <w:numFmt w:val="lowerLetter"/>
      <w:lvlText w:val="%5."/>
      <w:lvlJc w:val="left"/>
      <w:pPr>
        <w:ind w:left="3600" w:hanging="360"/>
      </w:pPr>
    </w:lvl>
    <w:lvl w:ilvl="5" w:tplc="035EA054">
      <w:start w:val="1"/>
      <w:numFmt w:val="lowerRoman"/>
      <w:lvlText w:val="%6."/>
      <w:lvlJc w:val="right"/>
      <w:pPr>
        <w:ind w:left="4320" w:hanging="180"/>
      </w:pPr>
    </w:lvl>
    <w:lvl w:ilvl="6" w:tplc="52BA1804">
      <w:start w:val="1"/>
      <w:numFmt w:val="decimal"/>
      <w:lvlText w:val="%7."/>
      <w:lvlJc w:val="left"/>
      <w:pPr>
        <w:ind w:left="5040" w:hanging="360"/>
      </w:pPr>
    </w:lvl>
    <w:lvl w:ilvl="7" w:tplc="B1DA9A50">
      <w:start w:val="1"/>
      <w:numFmt w:val="lowerLetter"/>
      <w:lvlText w:val="%8."/>
      <w:lvlJc w:val="left"/>
      <w:pPr>
        <w:ind w:left="5760" w:hanging="360"/>
      </w:pPr>
    </w:lvl>
    <w:lvl w:ilvl="8" w:tplc="90209C2C">
      <w:start w:val="1"/>
      <w:numFmt w:val="lowerRoman"/>
      <w:lvlText w:val="%9."/>
      <w:lvlJc w:val="right"/>
      <w:pPr>
        <w:ind w:left="6480" w:hanging="180"/>
      </w:pPr>
    </w:lvl>
  </w:abstractNum>
  <w:abstractNum w:abstractNumId="7" w15:restartNumberingAfterBreak="0">
    <w:nsid w:val="5CA66A34"/>
    <w:multiLevelType w:val="hybridMultilevel"/>
    <w:tmpl w:val="5F7470F4"/>
    <w:lvl w:ilvl="0" w:tplc="B63A4B60">
      <w:start w:val="1"/>
      <w:numFmt w:val="decimal"/>
      <w:lvlText w:val="%1."/>
      <w:lvlJc w:val="left"/>
      <w:pPr>
        <w:ind w:left="720" w:hanging="360"/>
      </w:pPr>
    </w:lvl>
    <w:lvl w:ilvl="1" w:tplc="F27C2FB4">
      <w:start w:val="1"/>
      <w:numFmt w:val="lowerLetter"/>
      <w:lvlText w:val="%2."/>
      <w:lvlJc w:val="left"/>
      <w:pPr>
        <w:ind w:left="1440" w:hanging="360"/>
      </w:pPr>
    </w:lvl>
    <w:lvl w:ilvl="2" w:tplc="93549216">
      <w:start w:val="1"/>
      <w:numFmt w:val="lowerRoman"/>
      <w:lvlText w:val="%3."/>
      <w:lvlJc w:val="right"/>
      <w:pPr>
        <w:ind w:left="2160" w:hanging="180"/>
      </w:pPr>
    </w:lvl>
    <w:lvl w:ilvl="3" w:tplc="BB345EAA">
      <w:start w:val="1"/>
      <w:numFmt w:val="decimal"/>
      <w:lvlText w:val="%4."/>
      <w:lvlJc w:val="left"/>
      <w:pPr>
        <w:ind w:left="2880" w:hanging="360"/>
      </w:pPr>
    </w:lvl>
    <w:lvl w:ilvl="4" w:tplc="2BE42E2E">
      <w:start w:val="1"/>
      <w:numFmt w:val="lowerLetter"/>
      <w:lvlText w:val="%5."/>
      <w:lvlJc w:val="left"/>
      <w:pPr>
        <w:ind w:left="3600" w:hanging="360"/>
      </w:pPr>
    </w:lvl>
    <w:lvl w:ilvl="5" w:tplc="F06A9FA6">
      <w:start w:val="1"/>
      <w:numFmt w:val="lowerRoman"/>
      <w:lvlText w:val="%6."/>
      <w:lvlJc w:val="right"/>
      <w:pPr>
        <w:ind w:left="4320" w:hanging="180"/>
      </w:pPr>
    </w:lvl>
    <w:lvl w:ilvl="6" w:tplc="3996B31A">
      <w:start w:val="1"/>
      <w:numFmt w:val="decimal"/>
      <w:lvlText w:val="%7."/>
      <w:lvlJc w:val="left"/>
      <w:pPr>
        <w:ind w:left="5040" w:hanging="360"/>
      </w:pPr>
    </w:lvl>
    <w:lvl w:ilvl="7" w:tplc="7A126DFE">
      <w:start w:val="1"/>
      <w:numFmt w:val="lowerLetter"/>
      <w:lvlText w:val="%8."/>
      <w:lvlJc w:val="left"/>
      <w:pPr>
        <w:ind w:left="5760" w:hanging="360"/>
      </w:pPr>
    </w:lvl>
    <w:lvl w:ilvl="8" w:tplc="230CDFAE">
      <w:start w:val="1"/>
      <w:numFmt w:val="lowerRoman"/>
      <w:lvlText w:val="%9."/>
      <w:lvlJc w:val="right"/>
      <w:pPr>
        <w:ind w:left="6480" w:hanging="180"/>
      </w:pPr>
    </w:lvl>
  </w:abstractNum>
  <w:abstractNum w:abstractNumId="8" w15:restartNumberingAfterBreak="0">
    <w:nsid w:val="63D34996"/>
    <w:multiLevelType w:val="hybridMultilevel"/>
    <w:tmpl w:val="C3284856"/>
    <w:lvl w:ilvl="0" w:tplc="6D76DEC2">
      <w:start w:val="1"/>
      <w:numFmt w:val="bullet"/>
      <w:lvlText w:val=""/>
      <w:lvlJc w:val="left"/>
      <w:pPr>
        <w:ind w:left="720" w:hanging="360"/>
      </w:pPr>
      <w:rPr>
        <w:rFonts w:ascii="Symbol" w:hAnsi="Symbol" w:hint="default"/>
      </w:rPr>
    </w:lvl>
    <w:lvl w:ilvl="1" w:tplc="60E0F8D6">
      <w:start w:val="1"/>
      <w:numFmt w:val="bullet"/>
      <w:lvlText w:val="o"/>
      <w:lvlJc w:val="left"/>
      <w:pPr>
        <w:ind w:left="1440" w:hanging="360"/>
      </w:pPr>
      <w:rPr>
        <w:rFonts w:ascii="Courier New" w:hAnsi="Courier New" w:hint="default"/>
      </w:rPr>
    </w:lvl>
    <w:lvl w:ilvl="2" w:tplc="F71225BA">
      <w:start w:val="1"/>
      <w:numFmt w:val="bullet"/>
      <w:lvlText w:val=""/>
      <w:lvlJc w:val="left"/>
      <w:pPr>
        <w:ind w:left="2160" w:hanging="360"/>
      </w:pPr>
      <w:rPr>
        <w:rFonts w:ascii="Wingdings" w:hAnsi="Wingdings" w:hint="default"/>
      </w:rPr>
    </w:lvl>
    <w:lvl w:ilvl="3" w:tplc="979A7FE4">
      <w:start w:val="1"/>
      <w:numFmt w:val="bullet"/>
      <w:lvlText w:val=""/>
      <w:lvlJc w:val="left"/>
      <w:pPr>
        <w:ind w:left="2880" w:hanging="360"/>
      </w:pPr>
      <w:rPr>
        <w:rFonts w:ascii="Symbol" w:hAnsi="Symbol" w:hint="default"/>
      </w:rPr>
    </w:lvl>
    <w:lvl w:ilvl="4" w:tplc="EA869DD2">
      <w:start w:val="1"/>
      <w:numFmt w:val="bullet"/>
      <w:lvlText w:val="o"/>
      <w:lvlJc w:val="left"/>
      <w:pPr>
        <w:ind w:left="3600" w:hanging="360"/>
      </w:pPr>
      <w:rPr>
        <w:rFonts w:ascii="Courier New" w:hAnsi="Courier New" w:hint="default"/>
      </w:rPr>
    </w:lvl>
    <w:lvl w:ilvl="5" w:tplc="F266FBC0">
      <w:start w:val="1"/>
      <w:numFmt w:val="bullet"/>
      <w:lvlText w:val=""/>
      <w:lvlJc w:val="left"/>
      <w:pPr>
        <w:ind w:left="4320" w:hanging="360"/>
      </w:pPr>
      <w:rPr>
        <w:rFonts w:ascii="Wingdings" w:hAnsi="Wingdings" w:hint="default"/>
      </w:rPr>
    </w:lvl>
    <w:lvl w:ilvl="6" w:tplc="94249C12">
      <w:start w:val="1"/>
      <w:numFmt w:val="bullet"/>
      <w:lvlText w:val=""/>
      <w:lvlJc w:val="left"/>
      <w:pPr>
        <w:ind w:left="5040" w:hanging="360"/>
      </w:pPr>
      <w:rPr>
        <w:rFonts w:ascii="Symbol" w:hAnsi="Symbol" w:hint="default"/>
      </w:rPr>
    </w:lvl>
    <w:lvl w:ilvl="7" w:tplc="E1B2EA52">
      <w:start w:val="1"/>
      <w:numFmt w:val="bullet"/>
      <w:lvlText w:val="o"/>
      <w:lvlJc w:val="left"/>
      <w:pPr>
        <w:ind w:left="5760" w:hanging="360"/>
      </w:pPr>
      <w:rPr>
        <w:rFonts w:ascii="Courier New" w:hAnsi="Courier New" w:hint="default"/>
      </w:rPr>
    </w:lvl>
    <w:lvl w:ilvl="8" w:tplc="FA3E9DFE">
      <w:start w:val="1"/>
      <w:numFmt w:val="bullet"/>
      <w:lvlText w:val=""/>
      <w:lvlJc w:val="left"/>
      <w:pPr>
        <w:ind w:left="6480" w:hanging="360"/>
      </w:pPr>
      <w:rPr>
        <w:rFonts w:ascii="Wingdings" w:hAnsi="Wingdings" w:hint="default"/>
      </w:rPr>
    </w:lvl>
  </w:abstractNum>
  <w:abstractNum w:abstractNumId="9" w15:restartNumberingAfterBreak="0">
    <w:nsid w:val="68B1D68D"/>
    <w:multiLevelType w:val="hybridMultilevel"/>
    <w:tmpl w:val="6F0801B0"/>
    <w:lvl w:ilvl="0" w:tplc="34E21CFC">
      <w:start w:val="1"/>
      <w:numFmt w:val="decimal"/>
      <w:lvlText w:val="%1."/>
      <w:lvlJc w:val="left"/>
      <w:pPr>
        <w:ind w:left="720" w:hanging="360"/>
      </w:pPr>
    </w:lvl>
    <w:lvl w:ilvl="1" w:tplc="36ACC3EC">
      <w:start w:val="1"/>
      <w:numFmt w:val="lowerLetter"/>
      <w:lvlText w:val="%2."/>
      <w:lvlJc w:val="left"/>
      <w:pPr>
        <w:ind w:left="1440" w:hanging="360"/>
      </w:pPr>
    </w:lvl>
    <w:lvl w:ilvl="2" w:tplc="B1EC20E4">
      <w:start w:val="1"/>
      <w:numFmt w:val="lowerRoman"/>
      <w:lvlText w:val="%3."/>
      <w:lvlJc w:val="right"/>
      <w:pPr>
        <w:ind w:left="2160" w:hanging="180"/>
      </w:pPr>
    </w:lvl>
    <w:lvl w:ilvl="3" w:tplc="3C9A4C80">
      <w:start w:val="1"/>
      <w:numFmt w:val="decimal"/>
      <w:lvlText w:val="%4."/>
      <w:lvlJc w:val="left"/>
      <w:pPr>
        <w:ind w:left="2880" w:hanging="360"/>
      </w:pPr>
    </w:lvl>
    <w:lvl w:ilvl="4" w:tplc="5F64FBDC">
      <w:start w:val="1"/>
      <w:numFmt w:val="lowerLetter"/>
      <w:lvlText w:val="%5."/>
      <w:lvlJc w:val="left"/>
      <w:pPr>
        <w:ind w:left="3600" w:hanging="360"/>
      </w:pPr>
    </w:lvl>
    <w:lvl w:ilvl="5" w:tplc="BF022D9E">
      <w:start w:val="1"/>
      <w:numFmt w:val="lowerRoman"/>
      <w:lvlText w:val="%6."/>
      <w:lvlJc w:val="right"/>
      <w:pPr>
        <w:ind w:left="4320" w:hanging="180"/>
      </w:pPr>
    </w:lvl>
    <w:lvl w:ilvl="6" w:tplc="8E32789A">
      <w:start w:val="1"/>
      <w:numFmt w:val="decimal"/>
      <w:lvlText w:val="%7."/>
      <w:lvlJc w:val="left"/>
      <w:pPr>
        <w:ind w:left="5040" w:hanging="360"/>
      </w:pPr>
    </w:lvl>
    <w:lvl w:ilvl="7" w:tplc="523C479C">
      <w:start w:val="1"/>
      <w:numFmt w:val="lowerLetter"/>
      <w:lvlText w:val="%8."/>
      <w:lvlJc w:val="left"/>
      <w:pPr>
        <w:ind w:left="5760" w:hanging="360"/>
      </w:pPr>
    </w:lvl>
    <w:lvl w:ilvl="8" w:tplc="B150F7A8">
      <w:start w:val="1"/>
      <w:numFmt w:val="lowerRoman"/>
      <w:lvlText w:val="%9."/>
      <w:lvlJc w:val="right"/>
      <w:pPr>
        <w:ind w:left="6480" w:hanging="180"/>
      </w:pPr>
    </w:lvl>
  </w:abstractNum>
  <w:abstractNum w:abstractNumId="10" w15:restartNumberingAfterBreak="0">
    <w:nsid w:val="7F670A56"/>
    <w:multiLevelType w:val="hybridMultilevel"/>
    <w:tmpl w:val="0B34210C"/>
    <w:lvl w:ilvl="0" w:tplc="0E4AAA8C">
      <w:start w:val="1"/>
      <w:numFmt w:val="decimal"/>
      <w:lvlText w:val="%1."/>
      <w:lvlJc w:val="left"/>
      <w:pPr>
        <w:ind w:left="720" w:hanging="360"/>
      </w:pPr>
    </w:lvl>
    <w:lvl w:ilvl="1" w:tplc="4F5E240A">
      <w:start w:val="1"/>
      <w:numFmt w:val="lowerLetter"/>
      <w:lvlText w:val="%2."/>
      <w:lvlJc w:val="left"/>
      <w:pPr>
        <w:ind w:left="1440" w:hanging="360"/>
      </w:pPr>
    </w:lvl>
    <w:lvl w:ilvl="2" w:tplc="D53C094A">
      <w:start w:val="1"/>
      <w:numFmt w:val="lowerRoman"/>
      <w:lvlText w:val="%3."/>
      <w:lvlJc w:val="right"/>
      <w:pPr>
        <w:ind w:left="2160" w:hanging="180"/>
      </w:pPr>
    </w:lvl>
    <w:lvl w:ilvl="3" w:tplc="AB4275C2">
      <w:start w:val="1"/>
      <w:numFmt w:val="decimal"/>
      <w:lvlText w:val="%4."/>
      <w:lvlJc w:val="left"/>
      <w:pPr>
        <w:ind w:left="2880" w:hanging="360"/>
      </w:pPr>
    </w:lvl>
    <w:lvl w:ilvl="4" w:tplc="35347C62">
      <w:start w:val="1"/>
      <w:numFmt w:val="lowerLetter"/>
      <w:lvlText w:val="%5."/>
      <w:lvlJc w:val="left"/>
      <w:pPr>
        <w:ind w:left="3600" w:hanging="360"/>
      </w:pPr>
    </w:lvl>
    <w:lvl w:ilvl="5" w:tplc="17209AA2">
      <w:start w:val="1"/>
      <w:numFmt w:val="lowerRoman"/>
      <w:lvlText w:val="%6."/>
      <w:lvlJc w:val="right"/>
      <w:pPr>
        <w:ind w:left="4320" w:hanging="180"/>
      </w:pPr>
    </w:lvl>
    <w:lvl w:ilvl="6" w:tplc="B8089218">
      <w:start w:val="1"/>
      <w:numFmt w:val="decimal"/>
      <w:lvlText w:val="%7."/>
      <w:lvlJc w:val="left"/>
      <w:pPr>
        <w:ind w:left="5040" w:hanging="360"/>
      </w:pPr>
    </w:lvl>
    <w:lvl w:ilvl="7" w:tplc="1862D398">
      <w:start w:val="1"/>
      <w:numFmt w:val="lowerLetter"/>
      <w:lvlText w:val="%8."/>
      <w:lvlJc w:val="left"/>
      <w:pPr>
        <w:ind w:left="5760" w:hanging="360"/>
      </w:pPr>
    </w:lvl>
    <w:lvl w:ilvl="8" w:tplc="13C25AF2">
      <w:start w:val="1"/>
      <w:numFmt w:val="lowerRoman"/>
      <w:lvlText w:val="%9."/>
      <w:lvlJc w:val="right"/>
      <w:pPr>
        <w:ind w:left="6480" w:hanging="180"/>
      </w:pPr>
    </w:lvl>
  </w:abstractNum>
  <w:num w:numId="1">
    <w:abstractNumId w:val="4"/>
  </w:num>
  <w:num w:numId="2">
    <w:abstractNumId w:val="3"/>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F616BF"/>
    <w:rsid w:val="00057EFD"/>
    <w:rsid w:val="000D786D"/>
    <w:rsid w:val="00526C46"/>
    <w:rsid w:val="006D1BB8"/>
    <w:rsid w:val="006F5A41"/>
    <w:rsid w:val="00A01C1E"/>
    <w:rsid w:val="00B8220A"/>
    <w:rsid w:val="00DB7ED2"/>
    <w:rsid w:val="00E166D6"/>
    <w:rsid w:val="00E91ADB"/>
    <w:rsid w:val="00EE7F02"/>
    <w:rsid w:val="011B8CAC"/>
    <w:rsid w:val="01834F63"/>
    <w:rsid w:val="01919702"/>
    <w:rsid w:val="01AC1D37"/>
    <w:rsid w:val="01B057F6"/>
    <w:rsid w:val="023D541A"/>
    <w:rsid w:val="02B1AFB5"/>
    <w:rsid w:val="03070B76"/>
    <w:rsid w:val="03977736"/>
    <w:rsid w:val="03A82FD5"/>
    <w:rsid w:val="03F2781D"/>
    <w:rsid w:val="0405371E"/>
    <w:rsid w:val="042CDE1E"/>
    <w:rsid w:val="04D6495C"/>
    <w:rsid w:val="05331856"/>
    <w:rsid w:val="05B0DEA3"/>
    <w:rsid w:val="067B7968"/>
    <w:rsid w:val="06D8CCE8"/>
    <w:rsid w:val="075A51D2"/>
    <w:rsid w:val="084BB4C7"/>
    <w:rsid w:val="084F43C2"/>
    <w:rsid w:val="086BE0A0"/>
    <w:rsid w:val="089D61C9"/>
    <w:rsid w:val="08B55AB7"/>
    <w:rsid w:val="08C04336"/>
    <w:rsid w:val="0915D40B"/>
    <w:rsid w:val="09812EBF"/>
    <w:rsid w:val="09A91A6C"/>
    <w:rsid w:val="09E82A55"/>
    <w:rsid w:val="0A145054"/>
    <w:rsid w:val="0AB1B56E"/>
    <w:rsid w:val="0B4A3E40"/>
    <w:rsid w:val="0B70C7F2"/>
    <w:rsid w:val="0BE99D4A"/>
    <w:rsid w:val="0C0BF22D"/>
    <w:rsid w:val="0C91C18B"/>
    <w:rsid w:val="0C933840"/>
    <w:rsid w:val="0D0AE8AF"/>
    <w:rsid w:val="0D362FC3"/>
    <w:rsid w:val="0D717698"/>
    <w:rsid w:val="0DC08633"/>
    <w:rsid w:val="0E3E9117"/>
    <w:rsid w:val="0E9ABD22"/>
    <w:rsid w:val="0EADF6FA"/>
    <w:rsid w:val="0ECC7E96"/>
    <w:rsid w:val="0F991779"/>
    <w:rsid w:val="0FB82BCE"/>
    <w:rsid w:val="0FB97603"/>
    <w:rsid w:val="10070AD3"/>
    <w:rsid w:val="107608BC"/>
    <w:rsid w:val="10EF4768"/>
    <w:rsid w:val="113E31C4"/>
    <w:rsid w:val="1181CFF6"/>
    <w:rsid w:val="11EEF4C4"/>
    <w:rsid w:val="127BB6F7"/>
    <w:rsid w:val="12E24289"/>
    <w:rsid w:val="12E4E9BD"/>
    <w:rsid w:val="12FAEF7C"/>
    <w:rsid w:val="1363FC85"/>
    <w:rsid w:val="137866DC"/>
    <w:rsid w:val="13A0BBCA"/>
    <w:rsid w:val="13F6A13B"/>
    <w:rsid w:val="13FE3DD7"/>
    <w:rsid w:val="1400DB17"/>
    <w:rsid w:val="1474F3B4"/>
    <w:rsid w:val="14943CD9"/>
    <w:rsid w:val="149C5E3C"/>
    <w:rsid w:val="15030459"/>
    <w:rsid w:val="15128AF3"/>
    <w:rsid w:val="15199CC4"/>
    <w:rsid w:val="1537FE50"/>
    <w:rsid w:val="156E1B72"/>
    <w:rsid w:val="1598D1E5"/>
    <w:rsid w:val="1616E851"/>
    <w:rsid w:val="1652C366"/>
    <w:rsid w:val="16AAB336"/>
    <w:rsid w:val="16B7A995"/>
    <w:rsid w:val="17206305"/>
    <w:rsid w:val="1738E3B4"/>
    <w:rsid w:val="17771743"/>
    <w:rsid w:val="17A49E50"/>
    <w:rsid w:val="17C3FA69"/>
    <w:rsid w:val="184E6336"/>
    <w:rsid w:val="18981808"/>
    <w:rsid w:val="18DB40D2"/>
    <w:rsid w:val="18E699BA"/>
    <w:rsid w:val="1938E9F8"/>
    <w:rsid w:val="197FD58C"/>
    <w:rsid w:val="19DB1992"/>
    <w:rsid w:val="1A158CC6"/>
    <w:rsid w:val="1A31451B"/>
    <w:rsid w:val="1AB33124"/>
    <w:rsid w:val="1AC934C2"/>
    <w:rsid w:val="1AF616BF"/>
    <w:rsid w:val="1B04CF20"/>
    <w:rsid w:val="1B1241A9"/>
    <w:rsid w:val="1BC29F81"/>
    <w:rsid w:val="1C2A3E73"/>
    <w:rsid w:val="1C683763"/>
    <w:rsid w:val="1DEC218F"/>
    <w:rsid w:val="1DF338CC"/>
    <w:rsid w:val="1E8CA9FD"/>
    <w:rsid w:val="1E9DCA96"/>
    <w:rsid w:val="1EC2548A"/>
    <w:rsid w:val="1EDF8822"/>
    <w:rsid w:val="1F082E91"/>
    <w:rsid w:val="1F366FD6"/>
    <w:rsid w:val="1F3ACF19"/>
    <w:rsid w:val="1F4D87C4"/>
    <w:rsid w:val="1F8CF99B"/>
    <w:rsid w:val="1FC17A3B"/>
    <w:rsid w:val="1FC2F97F"/>
    <w:rsid w:val="1FC550C8"/>
    <w:rsid w:val="1FE71333"/>
    <w:rsid w:val="203E91DE"/>
    <w:rsid w:val="207DDDA0"/>
    <w:rsid w:val="208DF05E"/>
    <w:rsid w:val="2095380F"/>
    <w:rsid w:val="2097B070"/>
    <w:rsid w:val="20AC4658"/>
    <w:rsid w:val="211229AE"/>
    <w:rsid w:val="2138FEC7"/>
    <w:rsid w:val="228D45E9"/>
    <w:rsid w:val="2338BFFB"/>
    <w:rsid w:val="236FE813"/>
    <w:rsid w:val="2389D353"/>
    <w:rsid w:val="23FECA3A"/>
    <w:rsid w:val="2463AB59"/>
    <w:rsid w:val="2482C324"/>
    <w:rsid w:val="24B4BEC7"/>
    <w:rsid w:val="24EA72C8"/>
    <w:rsid w:val="2603FFE4"/>
    <w:rsid w:val="260DA4D6"/>
    <w:rsid w:val="26175C05"/>
    <w:rsid w:val="2672D471"/>
    <w:rsid w:val="2694065B"/>
    <w:rsid w:val="274C549B"/>
    <w:rsid w:val="276CF690"/>
    <w:rsid w:val="285DA5B0"/>
    <w:rsid w:val="288103E1"/>
    <w:rsid w:val="289CF72A"/>
    <w:rsid w:val="28B2D361"/>
    <w:rsid w:val="28C63252"/>
    <w:rsid w:val="291CCA87"/>
    <w:rsid w:val="294D2DB5"/>
    <w:rsid w:val="2965737C"/>
    <w:rsid w:val="296D3C08"/>
    <w:rsid w:val="29908F17"/>
    <w:rsid w:val="29D5B437"/>
    <w:rsid w:val="2A52D9E2"/>
    <w:rsid w:val="2A5D0205"/>
    <w:rsid w:val="2A6AA796"/>
    <w:rsid w:val="2B18154A"/>
    <w:rsid w:val="2BE20424"/>
    <w:rsid w:val="2BE55621"/>
    <w:rsid w:val="2C3B514D"/>
    <w:rsid w:val="2C74448D"/>
    <w:rsid w:val="2C8AC426"/>
    <w:rsid w:val="2D0BE096"/>
    <w:rsid w:val="2D609CD1"/>
    <w:rsid w:val="2DCD5D00"/>
    <w:rsid w:val="2DE8CF9A"/>
    <w:rsid w:val="2E7023A8"/>
    <w:rsid w:val="2FB319A8"/>
    <w:rsid w:val="2FC7DA44"/>
    <w:rsid w:val="30600C1B"/>
    <w:rsid w:val="309E8173"/>
    <w:rsid w:val="30DC6837"/>
    <w:rsid w:val="310327F0"/>
    <w:rsid w:val="314BD33E"/>
    <w:rsid w:val="32811AC7"/>
    <w:rsid w:val="32C738C1"/>
    <w:rsid w:val="32F12162"/>
    <w:rsid w:val="32F96D37"/>
    <w:rsid w:val="3333DA49"/>
    <w:rsid w:val="3391C7E9"/>
    <w:rsid w:val="33BB7A24"/>
    <w:rsid w:val="33FFEC92"/>
    <w:rsid w:val="3432AEDE"/>
    <w:rsid w:val="34529EF1"/>
    <w:rsid w:val="3465E350"/>
    <w:rsid w:val="34C8E941"/>
    <w:rsid w:val="351C230A"/>
    <w:rsid w:val="35355FDC"/>
    <w:rsid w:val="3538389A"/>
    <w:rsid w:val="35757D56"/>
    <w:rsid w:val="357857C3"/>
    <w:rsid w:val="35AFFC6D"/>
    <w:rsid w:val="35FE2D22"/>
    <w:rsid w:val="3639D608"/>
    <w:rsid w:val="36A8DA79"/>
    <w:rsid w:val="36AD07D4"/>
    <w:rsid w:val="373F1E99"/>
    <w:rsid w:val="37679B67"/>
    <w:rsid w:val="379D9C02"/>
    <w:rsid w:val="37B49DBF"/>
    <w:rsid w:val="37E9055D"/>
    <w:rsid w:val="38421CA2"/>
    <w:rsid w:val="38485EE4"/>
    <w:rsid w:val="3867E376"/>
    <w:rsid w:val="388A5266"/>
    <w:rsid w:val="38CC2A64"/>
    <w:rsid w:val="38FDAEF8"/>
    <w:rsid w:val="390C7E00"/>
    <w:rsid w:val="39A361F5"/>
    <w:rsid w:val="39A93FB1"/>
    <w:rsid w:val="39C94E8A"/>
    <w:rsid w:val="3A88AFC4"/>
    <w:rsid w:val="3B13D7AA"/>
    <w:rsid w:val="3B257209"/>
    <w:rsid w:val="3B25B5C8"/>
    <w:rsid w:val="3B29B3B0"/>
    <w:rsid w:val="3B35A27B"/>
    <w:rsid w:val="3B8DB942"/>
    <w:rsid w:val="3B93FB22"/>
    <w:rsid w:val="3BC7399A"/>
    <w:rsid w:val="3BEFE688"/>
    <w:rsid w:val="3C31BABB"/>
    <w:rsid w:val="3CE65C0D"/>
    <w:rsid w:val="3D172152"/>
    <w:rsid w:val="3D229F08"/>
    <w:rsid w:val="3D588284"/>
    <w:rsid w:val="3D770191"/>
    <w:rsid w:val="3D875880"/>
    <w:rsid w:val="3DC0A353"/>
    <w:rsid w:val="3E34A97B"/>
    <w:rsid w:val="3E889458"/>
    <w:rsid w:val="3EB10F17"/>
    <w:rsid w:val="3F3BAA05"/>
    <w:rsid w:val="3F7CAB5A"/>
    <w:rsid w:val="3F9F4AEB"/>
    <w:rsid w:val="3FDA4946"/>
    <w:rsid w:val="3FE98A91"/>
    <w:rsid w:val="40B1A10A"/>
    <w:rsid w:val="40DD7CA6"/>
    <w:rsid w:val="41391C44"/>
    <w:rsid w:val="415F3ABF"/>
    <w:rsid w:val="41A4DEDA"/>
    <w:rsid w:val="4202674B"/>
    <w:rsid w:val="4219BD92"/>
    <w:rsid w:val="423874B0"/>
    <w:rsid w:val="4246A439"/>
    <w:rsid w:val="42517ECA"/>
    <w:rsid w:val="4262F242"/>
    <w:rsid w:val="42756C0C"/>
    <w:rsid w:val="42814556"/>
    <w:rsid w:val="4286516E"/>
    <w:rsid w:val="42CEC9A4"/>
    <w:rsid w:val="42FA4CB5"/>
    <w:rsid w:val="4301C921"/>
    <w:rsid w:val="430E53C6"/>
    <w:rsid w:val="4327A797"/>
    <w:rsid w:val="437F92E7"/>
    <w:rsid w:val="4398FD01"/>
    <w:rsid w:val="43DAB703"/>
    <w:rsid w:val="43DE2BDF"/>
    <w:rsid w:val="43DFEC97"/>
    <w:rsid w:val="441622EB"/>
    <w:rsid w:val="4430A27C"/>
    <w:rsid w:val="447CF67D"/>
    <w:rsid w:val="44BF67BC"/>
    <w:rsid w:val="44D39789"/>
    <w:rsid w:val="44DAE788"/>
    <w:rsid w:val="45337BFC"/>
    <w:rsid w:val="45537967"/>
    <w:rsid w:val="456B502A"/>
    <w:rsid w:val="45731BB2"/>
    <w:rsid w:val="457DE4FA"/>
    <w:rsid w:val="45B979DF"/>
    <w:rsid w:val="46724281"/>
    <w:rsid w:val="46949D41"/>
    <w:rsid w:val="46C2A197"/>
    <w:rsid w:val="46D0E921"/>
    <w:rsid w:val="46F66913"/>
    <w:rsid w:val="470DA9B2"/>
    <w:rsid w:val="474DC37C"/>
    <w:rsid w:val="4765F4D3"/>
    <w:rsid w:val="4784D9D5"/>
    <w:rsid w:val="4787AAEF"/>
    <w:rsid w:val="47F39B44"/>
    <w:rsid w:val="48D279B9"/>
    <w:rsid w:val="49060732"/>
    <w:rsid w:val="491AB7CC"/>
    <w:rsid w:val="49719173"/>
    <w:rsid w:val="49D88460"/>
    <w:rsid w:val="49EDF5DB"/>
    <w:rsid w:val="4A33C053"/>
    <w:rsid w:val="4A34B4C5"/>
    <w:rsid w:val="4AB2D232"/>
    <w:rsid w:val="4ADBAEE8"/>
    <w:rsid w:val="4AF693FC"/>
    <w:rsid w:val="4B8041B1"/>
    <w:rsid w:val="4BD9B803"/>
    <w:rsid w:val="4C85F417"/>
    <w:rsid w:val="4CAAE7ED"/>
    <w:rsid w:val="4CE51AF8"/>
    <w:rsid w:val="4D2546CA"/>
    <w:rsid w:val="4DA1282B"/>
    <w:rsid w:val="4E3A2281"/>
    <w:rsid w:val="4E662D0B"/>
    <w:rsid w:val="4E6E07E5"/>
    <w:rsid w:val="4E8C3C2B"/>
    <w:rsid w:val="4F115210"/>
    <w:rsid w:val="4F28546F"/>
    <w:rsid w:val="50404BC8"/>
    <w:rsid w:val="504EAA91"/>
    <w:rsid w:val="506A439D"/>
    <w:rsid w:val="509F812B"/>
    <w:rsid w:val="50EBFD0B"/>
    <w:rsid w:val="513CE508"/>
    <w:rsid w:val="515C14CF"/>
    <w:rsid w:val="518F9CD9"/>
    <w:rsid w:val="51A1E8BC"/>
    <w:rsid w:val="52CFB7DF"/>
    <w:rsid w:val="539C0905"/>
    <w:rsid w:val="53C7B8BE"/>
    <w:rsid w:val="53D5341B"/>
    <w:rsid w:val="53F55295"/>
    <w:rsid w:val="542666FD"/>
    <w:rsid w:val="544B2128"/>
    <w:rsid w:val="545A0C1B"/>
    <w:rsid w:val="5488E102"/>
    <w:rsid w:val="54DBF4A5"/>
    <w:rsid w:val="55050F7E"/>
    <w:rsid w:val="5516CEDF"/>
    <w:rsid w:val="55492A28"/>
    <w:rsid w:val="55892EC4"/>
    <w:rsid w:val="55A76267"/>
    <w:rsid w:val="560AA49C"/>
    <w:rsid w:val="564E80EA"/>
    <w:rsid w:val="5682C64E"/>
    <w:rsid w:val="56964497"/>
    <w:rsid w:val="56B40B49"/>
    <w:rsid w:val="56CC5741"/>
    <w:rsid w:val="56CE04E8"/>
    <w:rsid w:val="57130759"/>
    <w:rsid w:val="5744A4C2"/>
    <w:rsid w:val="57692BA4"/>
    <w:rsid w:val="5841673C"/>
    <w:rsid w:val="58812110"/>
    <w:rsid w:val="58C063DC"/>
    <w:rsid w:val="59239950"/>
    <w:rsid w:val="59CF5FBE"/>
    <w:rsid w:val="5AA66B30"/>
    <w:rsid w:val="5AA894BC"/>
    <w:rsid w:val="5B8D769B"/>
    <w:rsid w:val="5BFDEDF0"/>
    <w:rsid w:val="5C2E174F"/>
    <w:rsid w:val="5C3014A3"/>
    <w:rsid w:val="5C353F46"/>
    <w:rsid w:val="5D7B5D3E"/>
    <w:rsid w:val="5D9FF430"/>
    <w:rsid w:val="5DF4C42C"/>
    <w:rsid w:val="5E001F66"/>
    <w:rsid w:val="5E0C163D"/>
    <w:rsid w:val="5E0CE659"/>
    <w:rsid w:val="5EBDE5D6"/>
    <w:rsid w:val="5EE2748E"/>
    <w:rsid w:val="5F0B4C8A"/>
    <w:rsid w:val="6081AEF8"/>
    <w:rsid w:val="60A54257"/>
    <w:rsid w:val="61AE1F98"/>
    <w:rsid w:val="6225C894"/>
    <w:rsid w:val="62FAE849"/>
    <w:rsid w:val="631B4857"/>
    <w:rsid w:val="6349734C"/>
    <w:rsid w:val="6351F5B9"/>
    <w:rsid w:val="64109AE4"/>
    <w:rsid w:val="6420240F"/>
    <w:rsid w:val="6491EED8"/>
    <w:rsid w:val="65756807"/>
    <w:rsid w:val="663AF0A7"/>
    <w:rsid w:val="664E3921"/>
    <w:rsid w:val="6698C97F"/>
    <w:rsid w:val="66DE4F7E"/>
    <w:rsid w:val="66DE7AF8"/>
    <w:rsid w:val="670CE2BB"/>
    <w:rsid w:val="67191584"/>
    <w:rsid w:val="67578511"/>
    <w:rsid w:val="67A47860"/>
    <w:rsid w:val="67D0B0EB"/>
    <w:rsid w:val="67EB5DE6"/>
    <w:rsid w:val="6878F649"/>
    <w:rsid w:val="68A58E0D"/>
    <w:rsid w:val="69185BCE"/>
    <w:rsid w:val="691BDEF2"/>
    <w:rsid w:val="692BDFF8"/>
    <w:rsid w:val="696C7637"/>
    <w:rsid w:val="69750BAE"/>
    <w:rsid w:val="69B30201"/>
    <w:rsid w:val="6A089E0C"/>
    <w:rsid w:val="6A0CEED4"/>
    <w:rsid w:val="6A2CD80C"/>
    <w:rsid w:val="6A4B8E87"/>
    <w:rsid w:val="6A4E6FCA"/>
    <w:rsid w:val="6A75D4A9"/>
    <w:rsid w:val="6A8F57B5"/>
    <w:rsid w:val="6AEF7C73"/>
    <w:rsid w:val="6B3D3EE9"/>
    <w:rsid w:val="6BCA5C81"/>
    <w:rsid w:val="6BEC4F0D"/>
    <w:rsid w:val="6BF11F8D"/>
    <w:rsid w:val="6BFA4011"/>
    <w:rsid w:val="6C4206FB"/>
    <w:rsid w:val="6C897928"/>
    <w:rsid w:val="6CA1B4FF"/>
    <w:rsid w:val="6CC9A0ED"/>
    <w:rsid w:val="6CCDD49F"/>
    <w:rsid w:val="6CE5CF13"/>
    <w:rsid w:val="6D0CFD04"/>
    <w:rsid w:val="6D6C7FCE"/>
    <w:rsid w:val="6DCB125C"/>
    <w:rsid w:val="6E047BA3"/>
    <w:rsid w:val="6E2C7F14"/>
    <w:rsid w:val="6F93C116"/>
    <w:rsid w:val="70560A99"/>
    <w:rsid w:val="707F9520"/>
    <w:rsid w:val="70BEAFA5"/>
    <w:rsid w:val="7125A66C"/>
    <w:rsid w:val="713F9CA1"/>
    <w:rsid w:val="71507D5E"/>
    <w:rsid w:val="7198B96D"/>
    <w:rsid w:val="71C05030"/>
    <w:rsid w:val="71C3DCE4"/>
    <w:rsid w:val="71D2AA6A"/>
    <w:rsid w:val="720AB050"/>
    <w:rsid w:val="725CE661"/>
    <w:rsid w:val="72B87997"/>
    <w:rsid w:val="72DBCE4E"/>
    <w:rsid w:val="73127F7C"/>
    <w:rsid w:val="7342FB9F"/>
    <w:rsid w:val="735EBB84"/>
    <w:rsid w:val="7388554E"/>
    <w:rsid w:val="73C104E2"/>
    <w:rsid w:val="73CFE9AA"/>
    <w:rsid w:val="7482B028"/>
    <w:rsid w:val="748CAE1E"/>
    <w:rsid w:val="748F702D"/>
    <w:rsid w:val="750F0F12"/>
    <w:rsid w:val="751171C0"/>
    <w:rsid w:val="751701C5"/>
    <w:rsid w:val="752A9143"/>
    <w:rsid w:val="756FB4EA"/>
    <w:rsid w:val="759A493E"/>
    <w:rsid w:val="759D0959"/>
    <w:rsid w:val="75FEF4A6"/>
    <w:rsid w:val="76690023"/>
    <w:rsid w:val="76AC94A2"/>
    <w:rsid w:val="7706F644"/>
    <w:rsid w:val="774B6AA7"/>
    <w:rsid w:val="787C7234"/>
    <w:rsid w:val="787C816A"/>
    <w:rsid w:val="78BF134E"/>
    <w:rsid w:val="78D418D0"/>
    <w:rsid w:val="79833389"/>
    <w:rsid w:val="7A1E7AB2"/>
    <w:rsid w:val="7A55BCD4"/>
    <w:rsid w:val="7A765120"/>
    <w:rsid w:val="7AD4406B"/>
    <w:rsid w:val="7AE7F577"/>
    <w:rsid w:val="7B3ECD47"/>
    <w:rsid w:val="7B617141"/>
    <w:rsid w:val="7B74C96D"/>
    <w:rsid w:val="7BC22422"/>
    <w:rsid w:val="7C76A1B1"/>
    <w:rsid w:val="7C7B49F4"/>
    <w:rsid w:val="7C8FEC69"/>
    <w:rsid w:val="7D3A5DC3"/>
    <w:rsid w:val="7D48C45B"/>
    <w:rsid w:val="7E564326"/>
    <w:rsid w:val="7EADE042"/>
    <w:rsid w:val="7F461A25"/>
    <w:rsid w:val="7F5346CF"/>
    <w:rsid w:val="7F5F8B00"/>
    <w:rsid w:val="7F6FE8B1"/>
    <w:rsid w:val="7F770A2B"/>
    <w:rsid w:val="7FB4FB7B"/>
    <w:rsid w:val="7FF9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F616BF"/>
  <w15:chartTrackingRefBased/>
  <w15:docId w15:val="{997F3F46-512A-402A-8291-8BE291B37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107608BC"/>
    <w:pPr>
      <w:ind w:left="720"/>
      <w:contextualSpacing/>
    </w:pPr>
  </w:style>
  <w:style w:type="character" w:styleId="Hyperlink">
    <w:name w:val="Hyperlink"/>
    <w:basedOn w:val="DefaultParagraphFont"/>
    <w:uiPriority w:val="99"/>
    <w:unhideWhenUsed/>
    <w:rsid w:val="107608BC"/>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EE7F02"/>
    <w:rPr>
      <w:color w:val="605E5C"/>
      <w:shd w:val="clear" w:color="auto" w:fill="E1DFDD"/>
    </w:rPr>
  </w:style>
  <w:style w:type="paragraph" w:styleId="Header">
    <w:name w:val="header"/>
    <w:basedOn w:val="Normal"/>
    <w:link w:val="HeaderChar"/>
    <w:uiPriority w:val="99"/>
    <w:unhideWhenUsed/>
    <w:rsid w:val="000D78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86D"/>
  </w:style>
  <w:style w:type="paragraph" w:styleId="Footer">
    <w:name w:val="footer"/>
    <w:basedOn w:val="Normal"/>
    <w:link w:val="FooterChar"/>
    <w:uiPriority w:val="99"/>
    <w:unhideWhenUsed/>
    <w:rsid w:val="000D78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eople-mobility.org/global-talent-mobility-trends-key-insights-from-the-decoding-global-talent-2024-report/" TargetMode="External"/><Relationship Id="rId18" Type="http://schemas.openxmlformats.org/officeDocument/2006/relationships/hyperlink" Target="https://doi.org/10.1371/journal.pone.0276431" TargetMode="External"/><Relationship Id="rId26" Type="http://schemas.openxmlformats.org/officeDocument/2006/relationships/hyperlink" Target="https://doi.org/10.1002/pa.2932" TargetMode="External"/><Relationship Id="rId39" Type="http://schemas.openxmlformats.org/officeDocument/2006/relationships/footer" Target="footer3.xml"/><Relationship Id="rId21" Type="http://schemas.openxmlformats.org/officeDocument/2006/relationships/hyperlink" Target="https://doi.org/10.32628/IJSRST195463" TargetMode="External"/><Relationship Id="rId34" Type="http://schemas.openxmlformats.org/officeDocument/2006/relationships/header" Target="header1.xml"/><Relationship Id="rId42" Type="http://schemas.microsoft.com/office/2020/10/relationships/intelligence" Target="intelligence2.xml"/><Relationship Id="rId7" Type="http://schemas.openxmlformats.org/officeDocument/2006/relationships/hyperlink" Target="https://wheebox.com/blog/India-Skills-Report-2025-Enabling-Global-Talent-Mobility.htm" TargetMode="External"/><Relationship Id="rId2" Type="http://schemas.openxmlformats.org/officeDocument/2006/relationships/styles" Target="styles.xml"/><Relationship Id="rId16" Type="http://schemas.openxmlformats.org/officeDocument/2006/relationships/hyperlink" Target="https://doi.org/10.1002/TIE.21887" TargetMode="External"/><Relationship Id="rId20" Type="http://schemas.openxmlformats.org/officeDocument/2006/relationships/hyperlink" Target="https://doi.org/10.3390/su14052885" TargetMode="External"/><Relationship Id="rId29" Type="http://schemas.openxmlformats.org/officeDocument/2006/relationships/hyperlink" Target="https://smallbiztrends.com/employee-retention-challenge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heebox.com/blog/India-Skills-Report-2025-Enabling-Global-Talent-Mobility.htm" TargetMode="External"/><Relationship Id="rId24" Type="http://schemas.openxmlformats.org/officeDocument/2006/relationships/hyperlink" Target="https://doi.org/10.6007/ijarbss/v10-i4/7120" TargetMode="External"/><Relationship Id="rId32" Type="http://schemas.openxmlformats.org/officeDocument/2006/relationships/hyperlink" Target="https://wheebox.com/blog/India-Skills-Report-2025-Enabling-Global-Talent-Mobility.htm"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390/su151511506" TargetMode="External"/><Relationship Id="rId23" Type="http://schemas.openxmlformats.org/officeDocument/2006/relationships/hyperlink" Target="https://doi.org/10.47153/jbmr42.6302023" TargetMode="External"/><Relationship Id="rId28" Type="http://schemas.openxmlformats.org/officeDocument/2006/relationships/hyperlink" Target="https://www.culturemonkey.io/employee-engagement/employee-retention-challenges/" TargetMode="External"/><Relationship Id="rId36" Type="http://schemas.openxmlformats.org/officeDocument/2006/relationships/footer" Target="footer1.xml"/><Relationship Id="rId10" Type="http://schemas.openxmlformats.org/officeDocument/2006/relationships/hyperlink" Target="http://b.sc/" TargetMode="External"/><Relationship Id="rId19" Type="http://schemas.openxmlformats.org/officeDocument/2006/relationships/hyperlink" Target="https://doi.org/10.1002/JOE.22130" TargetMode="External"/><Relationship Id="rId31" Type="http://schemas.openxmlformats.org/officeDocument/2006/relationships/hyperlink" Target="https://www.jadetimes.com/post/the-impact-of-immigration-policies-on-global-talent-mobility" TargetMode="External"/><Relationship Id="rId4" Type="http://schemas.openxmlformats.org/officeDocument/2006/relationships/webSettings" Target="webSettings.xml"/><Relationship Id="rId9" Type="http://schemas.openxmlformats.org/officeDocument/2006/relationships/hyperlink" Target="http://b.com/" TargetMode="External"/><Relationship Id="rId14" Type="http://schemas.openxmlformats.org/officeDocument/2006/relationships/image" Target="media/image3.png"/><Relationship Id="rId22" Type="http://schemas.openxmlformats.org/officeDocument/2006/relationships/hyperlink" Target="https://doi.org/10.4236/JSS.2016.45029" TargetMode="External"/><Relationship Id="rId27" Type="http://schemas.openxmlformats.org/officeDocument/2006/relationships/hyperlink" Target="https://doi.org/10.1080/1369183X.2015.1005007" TargetMode="External"/><Relationship Id="rId30" Type="http://schemas.openxmlformats.org/officeDocument/2006/relationships/hyperlink" Target="https://starmountainresources.com/work-visa-limits-a-global-talent-squeeze/"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doi.org/10.1016/j.strueco.2024.04.006" TargetMode="External"/><Relationship Id="rId25" Type="http://schemas.openxmlformats.org/officeDocument/2006/relationships/hyperlink" Target="https://doi.org/10.33545/26633213.2022.v4.i2a.109" TargetMode="External"/><Relationship Id="rId33" Type="http://schemas.openxmlformats.org/officeDocument/2006/relationships/hyperlink" Target="https://people-mobility.org/global-talent-mobility-trends-key-insights-from-the-decoding-global-talent-2024-report/"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14</Pages>
  <Words>5180</Words>
  <Characters>29528</Characters>
  <Application>Microsoft Office Word</Application>
  <DocSecurity>0</DocSecurity>
  <Lines>246</Lines>
  <Paragraphs>69</Paragraphs>
  <ScaleCrop>false</ScaleCrop>
  <Company/>
  <LinksUpToDate>false</LinksUpToDate>
  <CharactersWithSpaces>34639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shweta anand</dc:creator>
  <cp:keywords/>
  <dc:description/>
  <cp:lastModifiedBy>SDI 1084</cp:lastModifiedBy>
  <cp:revision>10</cp:revision>
  <dcterms:created xsi:type="dcterms:W3CDTF">2025-10-13T17:14:00Z</dcterms:created>
  <dcterms:modified xsi:type="dcterms:W3CDTF">2025-12-30T08:26:00Z</dcterms:modified>
</cp:coreProperties>
</file>