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96C2" w14:textId="162D2F01" w:rsidR="001C2207" w:rsidRPr="00107068" w:rsidRDefault="00107068">
      <w:pPr>
        <w:rPr>
          <w:b/>
          <w:bCs/>
          <w:sz w:val="32"/>
          <w:szCs w:val="32"/>
        </w:rPr>
      </w:pPr>
      <w:r w:rsidRPr="00107068">
        <w:rPr>
          <w:b/>
          <w:bCs/>
          <w:sz w:val="32"/>
          <w:szCs w:val="32"/>
        </w:rPr>
        <w:t>Original Research Article</w:t>
      </w:r>
    </w:p>
    <w:p w14:paraId="41F45D21" w14:textId="5B333CB4" w:rsidR="001C2207" w:rsidRDefault="00CD7D8F" w:rsidP="000A2115">
      <w:pPr>
        <w:jc w:val="center"/>
        <w:rPr>
          <w:rFonts w:ascii="Times New Roman" w:hAnsi="Times New Roman" w:cs="Times New Roman"/>
          <w:b/>
          <w:sz w:val="32"/>
        </w:rPr>
      </w:pPr>
      <w:bookmarkStart w:id="0" w:name="_Hlk204375058"/>
      <w:r w:rsidRPr="00CD7D8F">
        <w:rPr>
          <w:rFonts w:ascii="Times New Roman" w:hAnsi="Times New Roman" w:cs="Times New Roman"/>
          <w:b/>
          <w:sz w:val="32"/>
        </w:rPr>
        <w:t xml:space="preserve">Growth and </w:t>
      </w:r>
      <w:r w:rsidR="00870B07">
        <w:rPr>
          <w:rFonts w:ascii="Times New Roman" w:hAnsi="Times New Roman" w:cs="Times New Roman"/>
          <w:b/>
          <w:sz w:val="32"/>
        </w:rPr>
        <w:t>Effectiveness</w:t>
      </w:r>
      <w:r w:rsidRPr="00CD7D8F">
        <w:rPr>
          <w:rFonts w:ascii="Times New Roman" w:hAnsi="Times New Roman" w:cs="Times New Roman"/>
          <w:b/>
          <w:sz w:val="32"/>
        </w:rPr>
        <w:t xml:space="preserve"> </w:t>
      </w:r>
      <w:r w:rsidR="00870B07">
        <w:rPr>
          <w:rFonts w:ascii="Times New Roman" w:hAnsi="Times New Roman" w:cs="Times New Roman"/>
          <w:b/>
          <w:sz w:val="32"/>
        </w:rPr>
        <w:t>of</w:t>
      </w:r>
      <w:r w:rsidRPr="00CD7D8F">
        <w:rPr>
          <w:rFonts w:ascii="Times New Roman" w:hAnsi="Times New Roman" w:cs="Times New Roman"/>
          <w:b/>
          <w:sz w:val="32"/>
        </w:rPr>
        <w:t xml:space="preserve"> Minimum Support Price </w:t>
      </w:r>
      <w:r w:rsidR="00870B07">
        <w:rPr>
          <w:rFonts w:ascii="Times New Roman" w:hAnsi="Times New Roman" w:cs="Times New Roman"/>
          <w:b/>
          <w:sz w:val="32"/>
        </w:rPr>
        <w:t xml:space="preserve">for </w:t>
      </w:r>
      <w:r w:rsidRPr="00CD7D8F">
        <w:rPr>
          <w:rFonts w:ascii="Times New Roman" w:hAnsi="Times New Roman" w:cs="Times New Roman"/>
          <w:b/>
          <w:sz w:val="32"/>
        </w:rPr>
        <w:t>Paddy in Gujarat</w:t>
      </w:r>
    </w:p>
    <w:p w14:paraId="35CB0B22" w14:textId="77777777" w:rsidR="00F43A81" w:rsidRDefault="00F43A81" w:rsidP="000A2115">
      <w:pPr>
        <w:jc w:val="center"/>
        <w:rPr>
          <w:rFonts w:ascii="Times New Roman" w:hAnsi="Times New Roman" w:cs="Times New Roman"/>
          <w:i/>
          <w:sz w:val="20"/>
        </w:rPr>
      </w:pPr>
    </w:p>
    <w:p w14:paraId="49D54361" w14:textId="4A979F67" w:rsidR="005E4BC4" w:rsidRDefault="005E4BC4" w:rsidP="000A2115">
      <w:pPr>
        <w:jc w:val="center"/>
        <w:rPr>
          <w:rFonts w:ascii="Times New Roman" w:hAnsi="Times New Roman" w:cs="Times New Roman"/>
          <w:i/>
          <w:sz w:val="20"/>
        </w:rPr>
      </w:pPr>
      <w:bookmarkStart w:id="1" w:name="_GoBack"/>
      <w:bookmarkEnd w:id="1"/>
      <w:r>
        <w:rPr>
          <w:rFonts w:ascii="Times New Roman" w:hAnsi="Times New Roman" w:cs="Times New Roman"/>
          <w:i/>
          <w:sz w:val="20"/>
        </w:rPr>
        <w:t xml:space="preserve"> </w:t>
      </w:r>
    </w:p>
    <w:tbl>
      <w:tblPr>
        <w:tblStyle w:val="TableGrid"/>
        <w:tblpPr w:leftFromText="180" w:rightFromText="180" w:vertAnchor="text" w:horzAnchor="margin" w:tblpY="168"/>
        <w:tblW w:w="9310" w:type="dxa"/>
        <w:tblBorders>
          <w:left w:val="none" w:sz="0" w:space="0" w:color="auto"/>
          <w:right w:val="none" w:sz="0" w:space="0" w:color="auto"/>
        </w:tblBorders>
        <w:tblLook w:val="04A0" w:firstRow="1" w:lastRow="0" w:firstColumn="1" w:lastColumn="0" w:noHBand="0" w:noVBand="1"/>
      </w:tblPr>
      <w:tblGrid>
        <w:gridCol w:w="9310"/>
      </w:tblGrid>
      <w:tr w:rsidR="000A2115" w14:paraId="47007603" w14:textId="77777777" w:rsidTr="00334B15">
        <w:trPr>
          <w:trHeight w:val="3795"/>
        </w:trPr>
        <w:tc>
          <w:tcPr>
            <w:tcW w:w="9310" w:type="dxa"/>
          </w:tcPr>
          <w:p w14:paraId="6DF7A449" w14:textId="77777777" w:rsidR="00B25AFE" w:rsidRDefault="000A2115" w:rsidP="00B25AFE">
            <w:pPr>
              <w:rPr>
                <w:rFonts w:ascii="Times New Roman" w:hAnsi="Times New Roman" w:cs="Times New Roman"/>
                <w:b/>
                <w:sz w:val="20"/>
              </w:rPr>
            </w:pPr>
            <w:r w:rsidRPr="000A2115">
              <w:rPr>
                <w:rFonts w:ascii="Times New Roman" w:hAnsi="Times New Roman" w:cs="Times New Roman"/>
                <w:b/>
                <w:sz w:val="20"/>
              </w:rPr>
              <w:t>ABSTRACT</w:t>
            </w:r>
          </w:p>
          <w:p w14:paraId="3333D1F1" w14:textId="05E64527" w:rsidR="00B25AFE" w:rsidRPr="00B25AFE" w:rsidRDefault="00B25AFE" w:rsidP="00B25AFE">
            <w:pPr>
              <w:jc w:val="both"/>
              <w:rPr>
                <w:rFonts w:ascii="Times New Roman" w:hAnsi="Times New Roman" w:cs="Times New Roman"/>
                <w:b/>
                <w:sz w:val="20"/>
              </w:rPr>
            </w:pPr>
            <w:r w:rsidRPr="00B25AFE">
              <w:rPr>
                <w:rFonts w:ascii="Times New Roman" w:eastAsia="Times New Roman" w:hAnsi="Times New Roman" w:cs="Times New Roman"/>
                <w:szCs w:val="24"/>
              </w:rPr>
              <w:t xml:space="preserve">The Minimum Support Price (MSP) policy remains a cornerstone of India’s agricultural price support mechanism, intended to ensure remunerative prices to farmers, reduce price risk and incentivize crop production. This study critically examines the performance and effectiveness of the MSP system for paddy in Gujarat over the period 2002–2022. The analysis is segmented into two sub-periods: 2002–2012 and 2012–2022, to identify changes in trends, responsiveness and regional variations. The study draws on extensive secondary data from government publications, including the Directorate of Economics and Statistics, CACP reports and Directorate of Agriculture, Agriculture &amp; Co-operation Department, Government of </w:t>
            </w:r>
            <w:proofErr w:type="spellStart"/>
            <w:r w:rsidRPr="00B25AFE">
              <w:rPr>
                <w:rFonts w:ascii="Times New Roman" w:eastAsia="Times New Roman" w:hAnsi="Times New Roman" w:cs="Times New Roman"/>
                <w:szCs w:val="24"/>
              </w:rPr>
              <w:t>Gujarat.The</w:t>
            </w:r>
            <w:proofErr w:type="spellEnd"/>
            <w:r w:rsidRPr="00B25AFE">
              <w:rPr>
                <w:rFonts w:ascii="Times New Roman" w:eastAsia="Times New Roman" w:hAnsi="Times New Roman" w:cs="Times New Roman"/>
                <w:szCs w:val="24"/>
              </w:rPr>
              <w:t xml:space="preserve"> findings reveal that MSP for both common and A-grade paddy increased consistently, with sharper growth in the first decade (CAGR: 9.17% for common and 8.79% for A-grade) compared to the second (5.34% and 5.10%, respectively), reflecting a slowdown in price hikes. Conversely, Farm Harvest Prices (FHP) grew more erratically and though they remained above MSP in the first period, they fell below MSP in four consecutive years post-2017 with the widest negative deviation occurring in 2020–21. While per cent of the years studied showed positive FHP-MSP deviation, the recent shift toward negative trends indicates diminishing effectiveness of MSP in safeguarding farmer’s incomes.</w:t>
            </w:r>
          </w:p>
          <w:p w14:paraId="4E08E9DC" w14:textId="00E363D6" w:rsidR="00B25AFE" w:rsidRPr="000A2115" w:rsidRDefault="00B25AFE" w:rsidP="000A2115">
            <w:pPr>
              <w:rPr>
                <w:rFonts w:ascii="Times New Roman" w:hAnsi="Times New Roman" w:cs="Times New Roman"/>
                <w:b/>
                <w:sz w:val="20"/>
              </w:rPr>
            </w:pPr>
          </w:p>
        </w:tc>
      </w:tr>
      <w:tr w:rsidR="000A2115" w14:paraId="089CA014" w14:textId="77777777" w:rsidTr="00334B15">
        <w:trPr>
          <w:trHeight w:val="54"/>
        </w:trPr>
        <w:tc>
          <w:tcPr>
            <w:tcW w:w="9310" w:type="dxa"/>
          </w:tcPr>
          <w:p w14:paraId="0EC6748F" w14:textId="77777777" w:rsidR="00B52085" w:rsidRPr="00334B15" w:rsidRDefault="00334B15" w:rsidP="00B25AFE">
            <w:pPr>
              <w:rPr>
                <w:rFonts w:ascii="Times New Roman" w:hAnsi="Times New Roman" w:cs="Times New Roman"/>
                <w:b/>
                <w:sz w:val="20"/>
              </w:rPr>
            </w:pPr>
            <w:r w:rsidRPr="00334B15">
              <w:rPr>
                <w:rFonts w:ascii="Times New Roman" w:hAnsi="Times New Roman" w:cs="Times New Roman"/>
                <w:b/>
                <w:sz w:val="20"/>
              </w:rPr>
              <w:t>Keywords</w:t>
            </w:r>
          </w:p>
          <w:p w14:paraId="32A0D7B3" w14:textId="77777777" w:rsidR="00334B15" w:rsidRDefault="00334B15" w:rsidP="00B25AFE">
            <w:pPr>
              <w:rPr>
                <w:rFonts w:ascii="Times New Roman" w:hAnsi="Times New Roman" w:cs="Times New Roman"/>
                <w:sz w:val="20"/>
              </w:rPr>
            </w:pPr>
            <w:r>
              <w:rPr>
                <w:rFonts w:ascii="Times New Roman" w:hAnsi="Times New Roman" w:cs="Times New Roman"/>
                <w:sz w:val="20"/>
              </w:rPr>
              <w:t>Minimum support price, farm harvest price, price deviation, growth rate, effectiveness of MSP</w:t>
            </w:r>
          </w:p>
          <w:p w14:paraId="42829413" w14:textId="77777777" w:rsidR="00334B15" w:rsidRDefault="00334B15" w:rsidP="00B25AFE">
            <w:pPr>
              <w:rPr>
                <w:rFonts w:ascii="Times New Roman" w:hAnsi="Times New Roman" w:cs="Times New Roman"/>
                <w:sz w:val="20"/>
              </w:rPr>
            </w:pPr>
          </w:p>
          <w:p w14:paraId="3183908E" w14:textId="77777777" w:rsidR="00334B15" w:rsidRPr="00334B15" w:rsidRDefault="00334B15" w:rsidP="00B25AFE">
            <w:pPr>
              <w:rPr>
                <w:rFonts w:ascii="Times New Roman" w:hAnsi="Times New Roman" w:cs="Times New Roman"/>
                <w:b/>
                <w:sz w:val="20"/>
              </w:rPr>
            </w:pPr>
            <w:r w:rsidRPr="00334B15">
              <w:rPr>
                <w:rFonts w:ascii="Times New Roman" w:hAnsi="Times New Roman" w:cs="Times New Roman"/>
                <w:b/>
                <w:sz w:val="20"/>
              </w:rPr>
              <w:t>JEL codes</w:t>
            </w:r>
          </w:p>
          <w:p w14:paraId="77BC29CD" w14:textId="40E57237" w:rsidR="00334B15" w:rsidRPr="00B52085" w:rsidRDefault="00334B15" w:rsidP="00B25AFE">
            <w:pPr>
              <w:rPr>
                <w:rFonts w:ascii="Times New Roman" w:hAnsi="Times New Roman" w:cs="Times New Roman"/>
                <w:sz w:val="20"/>
              </w:rPr>
            </w:pPr>
            <w:r>
              <w:rPr>
                <w:rFonts w:ascii="Times New Roman" w:hAnsi="Times New Roman" w:cs="Times New Roman"/>
                <w:sz w:val="20"/>
              </w:rPr>
              <w:t>Q</w:t>
            </w:r>
            <w:proofErr w:type="gramStart"/>
            <w:r>
              <w:rPr>
                <w:rFonts w:ascii="Times New Roman" w:hAnsi="Times New Roman" w:cs="Times New Roman"/>
                <w:sz w:val="20"/>
              </w:rPr>
              <w:t>13,Q</w:t>
            </w:r>
            <w:proofErr w:type="gramEnd"/>
            <w:r w:rsidR="00D76DCC">
              <w:rPr>
                <w:rFonts w:ascii="Times New Roman" w:hAnsi="Times New Roman" w:cs="Times New Roman"/>
                <w:sz w:val="20"/>
              </w:rPr>
              <w:t>1</w:t>
            </w:r>
            <w:r>
              <w:rPr>
                <w:rFonts w:ascii="Times New Roman" w:hAnsi="Times New Roman" w:cs="Times New Roman"/>
                <w:sz w:val="20"/>
              </w:rPr>
              <w:t>8</w:t>
            </w:r>
          </w:p>
        </w:tc>
      </w:tr>
    </w:tbl>
    <w:p w14:paraId="2D61498B" w14:textId="77777777" w:rsidR="009B30CE" w:rsidRDefault="009B30CE" w:rsidP="00B52085">
      <w:pPr>
        <w:spacing w:after="0" w:line="276" w:lineRule="auto"/>
        <w:ind w:left="-283" w:right="-113" w:firstLine="283"/>
        <w:rPr>
          <w:rFonts w:ascii="Times New Roman" w:hAnsi="Times New Roman" w:cs="Times New Roman"/>
          <w:b/>
          <w:sz w:val="24"/>
        </w:rPr>
      </w:pPr>
      <w:bookmarkStart w:id="2" w:name="_Hlk204375111"/>
      <w:bookmarkEnd w:id="0"/>
    </w:p>
    <w:p w14:paraId="5D358CAB" w14:textId="77777777" w:rsidR="009B30CE" w:rsidRDefault="009B30CE" w:rsidP="00B52085">
      <w:pPr>
        <w:spacing w:after="0" w:line="276" w:lineRule="auto"/>
        <w:ind w:left="-283" w:right="-113" w:firstLine="283"/>
        <w:rPr>
          <w:rFonts w:ascii="Times New Roman" w:hAnsi="Times New Roman" w:cs="Times New Roman"/>
          <w:b/>
          <w:sz w:val="24"/>
        </w:rPr>
        <w:sectPr w:rsidR="009B30CE" w:rsidSect="00C532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522"/>
          <w:docGrid w:linePitch="360"/>
        </w:sectPr>
      </w:pPr>
    </w:p>
    <w:p w14:paraId="48B7BD32" w14:textId="084F1717" w:rsidR="000A2115" w:rsidRPr="00FD23C4" w:rsidRDefault="000A2115" w:rsidP="00AD3FCD">
      <w:pPr>
        <w:spacing w:after="0" w:line="276" w:lineRule="auto"/>
        <w:ind w:left="-283" w:firstLine="283"/>
        <w:jc w:val="both"/>
        <w:rPr>
          <w:rFonts w:ascii="Times New Roman" w:hAnsi="Times New Roman" w:cs="Times New Roman"/>
          <w:b/>
          <w:sz w:val="24"/>
        </w:rPr>
      </w:pPr>
      <w:bookmarkStart w:id="3" w:name="_Hlk204379071"/>
      <w:r w:rsidRPr="00FD23C4">
        <w:rPr>
          <w:rFonts w:ascii="Times New Roman" w:hAnsi="Times New Roman" w:cs="Times New Roman"/>
          <w:b/>
          <w:sz w:val="24"/>
        </w:rPr>
        <w:t>INTRODUCTION</w:t>
      </w:r>
    </w:p>
    <w:p w14:paraId="6510B2F4" w14:textId="082403EA" w:rsidR="00FD23C4" w:rsidRPr="00FD23C4" w:rsidRDefault="00082782" w:rsidP="00AD3FCD">
      <w:pPr>
        <w:spacing w:after="0" w:line="276" w:lineRule="auto"/>
        <w:ind w:right="-113" w:firstLine="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b/>
      </w:r>
      <w:r w:rsidR="00FD23C4" w:rsidRPr="00FD23C4">
        <w:rPr>
          <w:rFonts w:ascii="Times New Roman" w:eastAsia="Times New Roman" w:hAnsi="Times New Roman" w:cs="Times New Roman"/>
          <w:color w:val="000000"/>
          <w:sz w:val="24"/>
          <w:szCs w:val="24"/>
          <w:lang w:eastAsia="en-IN"/>
        </w:rPr>
        <w:t>In a developing country like India, agriculture plays a vital role and agricultural prices significantly influence the overall price structure. Understanding price behavio</w:t>
      </w:r>
      <w:r w:rsidR="00FD23C4">
        <w:rPr>
          <w:rFonts w:ascii="Times New Roman" w:eastAsia="Times New Roman" w:hAnsi="Times New Roman" w:cs="Times New Roman"/>
          <w:color w:val="000000"/>
          <w:sz w:val="24"/>
          <w:szCs w:val="24"/>
          <w:lang w:eastAsia="en-IN"/>
        </w:rPr>
        <w:t>u</w:t>
      </w:r>
      <w:r w:rsidR="00FD23C4" w:rsidRPr="00FD23C4">
        <w:rPr>
          <w:rFonts w:ascii="Times New Roman" w:eastAsia="Times New Roman" w:hAnsi="Times New Roman" w:cs="Times New Roman"/>
          <w:color w:val="000000"/>
          <w:sz w:val="24"/>
          <w:szCs w:val="24"/>
          <w:lang w:eastAsia="en-IN"/>
        </w:rPr>
        <w:t>r is crucial for formulating effective price policies. Agricultural price policy and the price support system have gained attention, especially with the liberalization of the Indian economy (Sudhakar and Wale, 2017). The Agricultural Prices Commission (APC), established in 1965, aimed to create a balanced pricing structure. In 1980, its focus shifted towards aligning food grain demand</w:t>
      </w:r>
      <w:r>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and supply, leading to its renaming as the</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Commission for Agricultural</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Costs and</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Prices (CACP)</w:t>
      </w:r>
      <w:r w:rsidR="000F2730">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(Acharya, 1997</w:t>
      </w:r>
      <w:proofErr w:type="gramStart"/>
      <w:r w:rsidR="00FD23C4" w:rsidRPr="00FD23C4">
        <w:rPr>
          <w:rFonts w:ascii="Times New Roman" w:eastAsia="Times New Roman" w:hAnsi="Times New Roman" w:cs="Times New Roman"/>
          <w:color w:val="000000"/>
          <w:sz w:val="24"/>
          <w:szCs w:val="24"/>
          <w:lang w:eastAsia="en-IN"/>
        </w:rPr>
        <w:t>).The</w:t>
      </w:r>
      <w:proofErr w:type="gramEnd"/>
      <w:r w:rsidR="00FD23C4" w:rsidRPr="00FD23C4">
        <w:rPr>
          <w:rFonts w:ascii="Times New Roman" w:eastAsia="Times New Roman" w:hAnsi="Times New Roman" w:cs="Times New Roman"/>
          <w:color w:val="000000"/>
          <w:sz w:val="24"/>
          <w:szCs w:val="24"/>
          <w:lang w:eastAsia="en-IN"/>
        </w:rPr>
        <w:t xml:space="preserve"> Minimum Support Price (MSP), announced annually before sowing, is based on CACP recommendations and ensures farmers a minimum price during market gluts or bumper harvests by enabling government procurement. MSP acts as a long-term price assurance, offering income stability.</w:t>
      </w:r>
    </w:p>
    <w:p w14:paraId="4CAE35F9" w14:textId="04CC184A" w:rsidR="00FD23C4" w:rsidRPr="00FD23C4" w:rsidRDefault="00FD23C4" w:rsidP="00AD3FCD">
      <w:pPr>
        <w:spacing w:after="0" w:line="276" w:lineRule="auto"/>
        <w:ind w:right="-283" w:firstLine="426"/>
        <w:jc w:val="both"/>
        <w:rPr>
          <w:rFonts w:ascii="Times New Roman" w:eastAsia="Times New Roman" w:hAnsi="Times New Roman" w:cs="Times New Roman"/>
          <w:color w:val="000000"/>
          <w:sz w:val="24"/>
          <w:szCs w:val="24"/>
          <w:lang w:eastAsia="en-IN"/>
        </w:rPr>
      </w:pPr>
      <w:r w:rsidRPr="00FD23C4">
        <w:rPr>
          <w:rFonts w:ascii="Times New Roman" w:eastAsia="Times New Roman" w:hAnsi="Times New Roman" w:cs="Times New Roman"/>
          <w:color w:val="000000"/>
          <w:sz w:val="24"/>
          <w:szCs w:val="24"/>
          <w:lang w:eastAsia="en-IN"/>
        </w:rPr>
        <w:t xml:space="preserve">Farm Harvest Price (FHP) refers to the average wholesale price at which farmers sell their produce at the farm gate during harvest. Influenced by domestic production, global prices, and trade policies, FHP provides </w:t>
      </w:r>
      <w:r w:rsidR="00BB0AFE">
        <w:rPr>
          <w:rFonts w:ascii="Times New Roman" w:eastAsia="Times New Roman" w:hAnsi="Times New Roman" w:cs="Times New Roman"/>
          <w:color w:val="000000"/>
          <w:sz w:val="24"/>
          <w:szCs w:val="24"/>
          <w:lang w:eastAsia="en-IN"/>
        </w:rPr>
        <w:t xml:space="preserve">a more </w:t>
      </w:r>
      <w:r w:rsidRPr="00FD23C4">
        <w:rPr>
          <w:rFonts w:ascii="Times New Roman" w:eastAsia="Times New Roman" w:hAnsi="Times New Roman" w:cs="Times New Roman"/>
          <w:color w:val="000000"/>
          <w:sz w:val="24"/>
          <w:szCs w:val="24"/>
          <w:lang w:eastAsia="en-IN"/>
        </w:rPr>
        <w:t>accurate measure of actual</w:t>
      </w:r>
      <w:r w:rsidR="00082782">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 xml:space="preserve">prices received by </w:t>
      </w:r>
      <w:proofErr w:type="gramStart"/>
      <w:r w:rsidRPr="00FD23C4">
        <w:rPr>
          <w:rFonts w:ascii="Times New Roman" w:eastAsia="Times New Roman" w:hAnsi="Times New Roman" w:cs="Times New Roman"/>
          <w:color w:val="000000"/>
          <w:sz w:val="24"/>
          <w:szCs w:val="24"/>
          <w:lang w:eastAsia="en-IN"/>
        </w:rPr>
        <w:t xml:space="preserve">farmers </w:t>
      </w:r>
      <w:r w:rsidR="00B212DB">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than</w:t>
      </w:r>
      <w:proofErr w:type="gramEnd"/>
      <w:r w:rsidRPr="00FD23C4">
        <w:rPr>
          <w:rFonts w:ascii="Times New Roman" w:eastAsia="Times New Roman" w:hAnsi="Times New Roman" w:cs="Times New Roman"/>
          <w:color w:val="000000"/>
          <w:sz w:val="24"/>
          <w:szCs w:val="24"/>
          <w:lang w:eastAsia="en-IN"/>
        </w:rPr>
        <w:t xml:space="preserve"> wholesale prices</w:t>
      </w:r>
      <w:r>
        <w:rPr>
          <w:rFonts w:ascii="Times New Roman" w:eastAsia="Times New Roman" w:hAnsi="Times New Roman" w:cs="Times New Roman"/>
          <w:color w:val="000000"/>
          <w:sz w:val="24"/>
          <w:szCs w:val="24"/>
          <w:lang w:eastAsia="en-IN"/>
        </w:rPr>
        <w:t>.</w:t>
      </w:r>
      <w:r w:rsidR="009B30CE">
        <w:rPr>
          <w:rFonts w:ascii="Times New Roman" w:eastAsia="Times New Roman" w:hAnsi="Times New Roman" w:cs="Times New Roman"/>
          <w:color w:val="000000"/>
          <w:sz w:val="24"/>
          <w:szCs w:val="24"/>
          <w:lang w:eastAsia="en-IN"/>
        </w:rPr>
        <w:t xml:space="preserve">  </w:t>
      </w:r>
    </w:p>
    <w:p w14:paraId="7E06F782" w14:textId="77777777" w:rsidR="009B30CE" w:rsidRDefault="00FD23C4" w:rsidP="00AD3FCD">
      <w:pPr>
        <w:spacing w:after="0" w:line="276" w:lineRule="auto"/>
        <w:ind w:right="-283"/>
        <w:jc w:val="both"/>
        <w:rPr>
          <w:rFonts w:ascii="Times New Roman" w:hAnsi="Times New Roman" w:cs="Times New Roman"/>
          <w:sz w:val="24"/>
        </w:rPr>
      </w:pPr>
      <w:r>
        <w:rPr>
          <w:rFonts w:ascii="Times New Roman" w:hAnsi="Times New Roman" w:cs="Times New Roman"/>
          <w:sz w:val="24"/>
          <w:szCs w:val="24"/>
        </w:rPr>
        <w:tab/>
      </w:r>
      <w:r w:rsidR="001C3933" w:rsidRPr="00FD23C4">
        <w:rPr>
          <w:rFonts w:ascii="Times New Roman" w:hAnsi="Times New Roman" w:cs="Times New Roman"/>
          <w:sz w:val="24"/>
          <w:szCs w:val="24"/>
        </w:rPr>
        <w:t>The Minimum Support Price (MSP)</w:t>
      </w:r>
      <w:r w:rsidR="00B212DB">
        <w:rPr>
          <w:rFonts w:ascii="Times New Roman" w:hAnsi="Times New Roman" w:cs="Times New Roman"/>
          <w:sz w:val="24"/>
          <w:szCs w:val="24"/>
        </w:rPr>
        <w:t xml:space="preserve"> </w:t>
      </w:r>
      <w:r w:rsidR="001C3933" w:rsidRPr="00FD23C4">
        <w:rPr>
          <w:rFonts w:ascii="Times New Roman" w:hAnsi="Times New Roman" w:cs="Times New Roman"/>
          <w:sz w:val="24"/>
          <w:szCs w:val="24"/>
        </w:rPr>
        <w:t xml:space="preserve">system in India has long been a subject of policy debate due to its complex implications for agricultural markets and farmer welfare. Its implementation is </w:t>
      </w:r>
      <w:r w:rsidR="001C3933" w:rsidRPr="00FD23C4">
        <w:rPr>
          <w:rFonts w:ascii="Times New Roman" w:hAnsi="Times New Roman" w:cs="Times New Roman"/>
          <w:sz w:val="24"/>
          <w:szCs w:val="24"/>
        </w:rPr>
        <w:lastRenderedPageBreak/>
        <w:t xml:space="preserve">uneven across states, functioning more </w:t>
      </w:r>
      <w:r w:rsidR="00C45CC4">
        <w:rPr>
          <w:rFonts w:ascii="Times New Roman" w:hAnsi="Times New Roman" w:cs="Times New Roman"/>
          <w:sz w:val="24"/>
          <w:szCs w:val="24"/>
        </w:rPr>
        <w:t xml:space="preserve">  effectively </w:t>
      </w:r>
      <w:proofErr w:type="gramStart"/>
      <w:r w:rsidR="00C45CC4">
        <w:rPr>
          <w:rFonts w:ascii="Times New Roman" w:hAnsi="Times New Roman" w:cs="Times New Roman"/>
          <w:sz w:val="24"/>
          <w:szCs w:val="24"/>
        </w:rPr>
        <w:t xml:space="preserve">in  </w:t>
      </w:r>
      <w:r w:rsidR="00C45CC4" w:rsidRPr="001C3933">
        <w:rPr>
          <w:rFonts w:ascii="Times New Roman" w:hAnsi="Times New Roman" w:cs="Times New Roman"/>
          <w:sz w:val="24"/>
        </w:rPr>
        <w:t>surplu</w:t>
      </w:r>
      <w:r w:rsidR="00C45CC4">
        <w:rPr>
          <w:rFonts w:ascii="Times New Roman" w:hAnsi="Times New Roman" w:cs="Times New Roman"/>
          <w:sz w:val="24"/>
        </w:rPr>
        <w:t>s</w:t>
      </w:r>
      <w:proofErr w:type="gramEnd"/>
      <w:r w:rsidR="00C45CC4">
        <w:rPr>
          <w:rFonts w:ascii="Times New Roman" w:hAnsi="Times New Roman" w:cs="Times New Roman"/>
          <w:sz w:val="24"/>
        </w:rPr>
        <w:t xml:space="preserve"> </w:t>
      </w:r>
      <w:r w:rsidR="00C45CC4" w:rsidRPr="001C3933">
        <w:rPr>
          <w:rFonts w:ascii="Times New Roman" w:hAnsi="Times New Roman" w:cs="Times New Roman"/>
          <w:sz w:val="24"/>
        </w:rPr>
        <w:t>producing regions</w:t>
      </w:r>
      <w:r w:rsidR="00C45CC4">
        <w:rPr>
          <w:rFonts w:ascii="Times New Roman" w:hAnsi="Times New Roman" w:cs="Times New Roman"/>
          <w:sz w:val="24"/>
        </w:rPr>
        <w:t xml:space="preserve"> </w:t>
      </w:r>
      <w:r w:rsidR="00C45CC4" w:rsidRPr="001C3933">
        <w:rPr>
          <w:rFonts w:ascii="Times New Roman" w:hAnsi="Times New Roman" w:cs="Times New Roman"/>
          <w:sz w:val="24"/>
        </w:rPr>
        <w:t xml:space="preserve">(Ali </w:t>
      </w:r>
      <w:r w:rsidR="00C45CC4" w:rsidRPr="00FD23C4">
        <w:rPr>
          <w:rFonts w:ascii="Times New Roman" w:hAnsi="Times New Roman" w:cs="Times New Roman"/>
          <w:i/>
          <w:sz w:val="24"/>
        </w:rPr>
        <w:t>et al.,</w:t>
      </w:r>
      <w:r w:rsidR="00C45CC4" w:rsidRPr="001C3933">
        <w:rPr>
          <w:rFonts w:ascii="Times New Roman" w:hAnsi="Times New Roman" w:cs="Times New Roman"/>
          <w:sz w:val="24"/>
        </w:rPr>
        <w:t xml:space="preserve"> 2012)</w:t>
      </w:r>
      <w:r w:rsidR="00C45CC4">
        <w:rPr>
          <w:rFonts w:ascii="Times New Roman" w:hAnsi="Times New Roman" w:cs="Times New Roman"/>
          <w:sz w:val="24"/>
        </w:rPr>
        <w:t>.</w:t>
      </w:r>
      <w:r w:rsidR="00334B15" w:rsidRPr="00334B15">
        <w:rPr>
          <w:rFonts w:ascii="Times New Roman" w:hAnsi="Times New Roman" w:cs="Times New Roman"/>
          <w:sz w:val="24"/>
        </w:rPr>
        <w:t xml:space="preserve"> </w:t>
      </w:r>
      <w:r w:rsidR="00334B15" w:rsidRPr="001C3933">
        <w:rPr>
          <w:rFonts w:ascii="Times New Roman" w:hAnsi="Times New Roman" w:cs="Times New Roman"/>
          <w:sz w:val="24"/>
        </w:rPr>
        <w:t>Critics</w:t>
      </w:r>
      <w:r w:rsidR="00334B15">
        <w:rPr>
          <w:rFonts w:ascii="Times New Roman" w:hAnsi="Times New Roman" w:cs="Times New Roman"/>
          <w:sz w:val="24"/>
        </w:rPr>
        <w:t xml:space="preserve"> </w:t>
      </w:r>
      <w:r w:rsidR="00334B15" w:rsidRPr="001C3933">
        <w:rPr>
          <w:rFonts w:ascii="Times New Roman" w:hAnsi="Times New Roman" w:cs="Times New Roman"/>
          <w:sz w:val="24"/>
        </w:rPr>
        <w:t>argue that MSPs often diverge</w:t>
      </w:r>
      <w:r w:rsidR="00B212DB" w:rsidRPr="00B212DB">
        <w:rPr>
          <w:rFonts w:ascii="Times New Roman" w:hAnsi="Times New Roman" w:cs="Times New Roman"/>
          <w:sz w:val="24"/>
        </w:rPr>
        <w:t xml:space="preserve"> </w:t>
      </w:r>
      <w:r w:rsidR="00B212DB" w:rsidRPr="001C3933">
        <w:rPr>
          <w:rFonts w:ascii="Times New Roman" w:hAnsi="Times New Roman" w:cs="Times New Roman"/>
          <w:sz w:val="24"/>
        </w:rPr>
        <w:t xml:space="preserve">from international price trends and domestic market signals, potentially distorting cropping patterns and contributing to income disparities among farmers (Singh </w:t>
      </w:r>
      <w:r w:rsidR="00B212DB" w:rsidRPr="00FD23C4">
        <w:rPr>
          <w:rFonts w:ascii="Times New Roman" w:hAnsi="Times New Roman" w:cs="Times New Roman"/>
          <w:i/>
          <w:sz w:val="24"/>
        </w:rPr>
        <w:t>et al.,</w:t>
      </w:r>
      <w:r w:rsidR="00B212DB" w:rsidRPr="001C3933">
        <w:rPr>
          <w:rFonts w:ascii="Times New Roman" w:hAnsi="Times New Roman" w:cs="Times New Roman"/>
          <w:sz w:val="24"/>
        </w:rPr>
        <w:t xml:space="preserve"> 1986). Moreover, over the years, MSP has</w:t>
      </w:r>
      <w:r w:rsidR="00B212DB" w:rsidRPr="00B212DB">
        <w:rPr>
          <w:rFonts w:ascii="Times New Roman" w:hAnsi="Times New Roman" w:cs="Times New Roman"/>
          <w:sz w:val="24"/>
        </w:rPr>
        <w:t xml:space="preserve"> </w:t>
      </w:r>
      <w:r w:rsidR="00B212DB" w:rsidRPr="001C3933">
        <w:rPr>
          <w:rFonts w:ascii="Times New Roman" w:hAnsi="Times New Roman" w:cs="Times New Roman"/>
          <w:sz w:val="24"/>
        </w:rPr>
        <w:t>been increasingly perceived as a political instrument rather than a purely economic</w:t>
      </w:r>
      <w:r w:rsidR="00B212DB">
        <w:rPr>
          <w:rFonts w:ascii="Times New Roman" w:hAnsi="Times New Roman" w:cs="Times New Roman"/>
          <w:sz w:val="24"/>
        </w:rPr>
        <w:t xml:space="preserve"> </w:t>
      </w:r>
      <w:r w:rsidR="00B212DB" w:rsidRPr="001C3933">
        <w:rPr>
          <w:rFonts w:ascii="Times New Roman" w:hAnsi="Times New Roman" w:cs="Times New Roman"/>
          <w:sz w:val="24"/>
        </w:rPr>
        <w:t>tool, raising concerns about its effectiveness in safeguarding farmers' incomes</w:t>
      </w:r>
      <w:r w:rsidR="009B30CE">
        <w:rPr>
          <w:rFonts w:ascii="Times New Roman" w:hAnsi="Times New Roman" w:cs="Times New Roman"/>
          <w:sz w:val="24"/>
        </w:rPr>
        <w:t>.</w:t>
      </w:r>
    </w:p>
    <w:p w14:paraId="1D218B31" w14:textId="7E286A0E" w:rsidR="001C3933" w:rsidRDefault="009B30CE" w:rsidP="00AD3FCD">
      <w:pPr>
        <w:spacing w:after="0" w:line="276" w:lineRule="auto"/>
        <w:ind w:right="-283"/>
        <w:jc w:val="both"/>
        <w:rPr>
          <w:rFonts w:ascii="Times New Roman" w:hAnsi="Times New Roman" w:cs="Times New Roman"/>
          <w:sz w:val="24"/>
        </w:rPr>
      </w:pPr>
      <w:r>
        <w:rPr>
          <w:rFonts w:ascii="Times New Roman" w:hAnsi="Times New Roman" w:cs="Times New Roman"/>
          <w:sz w:val="24"/>
        </w:rPr>
        <w:tab/>
      </w:r>
      <w:r w:rsidR="001C3933" w:rsidRPr="001C3933">
        <w:rPr>
          <w:rFonts w:ascii="Times New Roman" w:hAnsi="Times New Roman" w:cs="Times New Roman"/>
          <w:sz w:val="24"/>
        </w:rPr>
        <w:t xml:space="preserve">In </w:t>
      </w:r>
      <w:proofErr w:type="gramStart"/>
      <w:r w:rsidR="001C3933" w:rsidRPr="001C3933">
        <w:rPr>
          <w:rFonts w:ascii="Times New Roman" w:hAnsi="Times New Roman" w:cs="Times New Roman"/>
          <w:sz w:val="24"/>
        </w:rPr>
        <w:t xml:space="preserve">this </w:t>
      </w:r>
      <w:r w:rsidR="00F840D9">
        <w:rPr>
          <w:rFonts w:ascii="Times New Roman" w:hAnsi="Times New Roman" w:cs="Times New Roman"/>
          <w:sz w:val="24"/>
        </w:rPr>
        <w:t xml:space="preserve"> </w:t>
      </w:r>
      <w:r w:rsidR="001C3933" w:rsidRPr="001C3933">
        <w:rPr>
          <w:rFonts w:ascii="Times New Roman" w:hAnsi="Times New Roman" w:cs="Times New Roman"/>
          <w:sz w:val="24"/>
        </w:rPr>
        <w:t>context</w:t>
      </w:r>
      <w:proofErr w:type="gramEnd"/>
      <w:r w:rsidR="001C3933" w:rsidRPr="001C3933">
        <w:rPr>
          <w:rFonts w:ascii="Times New Roman" w:hAnsi="Times New Roman" w:cs="Times New Roman"/>
          <w:sz w:val="24"/>
        </w:rPr>
        <w:t>, the present study aim</w:t>
      </w:r>
      <w:r w:rsidR="001C3933">
        <w:rPr>
          <w:rFonts w:ascii="Times New Roman" w:hAnsi="Times New Roman" w:cs="Times New Roman"/>
          <w:sz w:val="24"/>
        </w:rPr>
        <w:t>ed</w:t>
      </w:r>
      <w:r w:rsidR="001C3933" w:rsidRPr="001C3933">
        <w:rPr>
          <w:rFonts w:ascii="Times New Roman" w:hAnsi="Times New Roman" w:cs="Times New Roman"/>
          <w:sz w:val="24"/>
        </w:rPr>
        <w:t xml:space="preserve"> to critically evaluate MSP, with specific focus on paddy</w:t>
      </w:r>
      <w:r w:rsidR="001C3933">
        <w:rPr>
          <w:rFonts w:ascii="Times New Roman" w:hAnsi="Times New Roman" w:cs="Times New Roman"/>
          <w:sz w:val="24"/>
        </w:rPr>
        <w:t xml:space="preserve">, </w:t>
      </w:r>
      <w:r w:rsidR="001C3933" w:rsidRPr="001C3933">
        <w:rPr>
          <w:rFonts w:ascii="Times New Roman" w:hAnsi="Times New Roman" w:cs="Times New Roman"/>
          <w:sz w:val="24"/>
        </w:rPr>
        <w:t xml:space="preserve">a major food crop in India. By </w:t>
      </w:r>
      <w:proofErr w:type="spellStart"/>
      <w:r w:rsidR="001C3933" w:rsidRPr="001C3933">
        <w:rPr>
          <w:rFonts w:ascii="Times New Roman" w:hAnsi="Times New Roman" w:cs="Times New Roman"/>
          <w:sz w:val="24"/>
        </w:rPr>
        <w:t>analyzing</w:t>
      </w:r>
      <w:proofErr w:type="spellEnd"/>
      <w:r w:rsidR="001C3933" w:rsidRPr="001C3933">
        <w:rPr>
          <w:rFonts w:ascii="Times New Roman" w:hAnsi="Times New Roman" w:cs="Times New Roman"/>
          <w:sz w:val="24"/>
        </w:rPr>
        <w:t xml:space="preserve"> the growth trends of MSP for paddy announced by the Government of India and comparing them with the actual Farm Harvest Prices (FHP) received by farmers, the study assesse</w:t>
      </w:r>
      <w:r w:rsidR="001C3933">
        <w:rPr>
          <w:rFonts w:ascii="Times New Roman" w:hAnsi="Times New Roman" w:cs="Times New Roman"/>
          <w:sz w:val="24"/>
        </w:rPr>
        <w:t>d</w:t>
      </w:r>
      <w:r w:rsidR="001C3933" w:rsidRPr="001C3933">
        <w:rPr>
          <w:rFonts w:ascii="Times New Roman" w:hAnsi="Times New Roman" w:cs="Times New Roman"/>
          <w:sz w:val="24"/>
        </w:rPr>
        <w:t xml:space="preserve"> the extent to which FHP has grown in alignment with MSP. It further examine</w:t>
      </w:r>
      <w:r w:rsidR="001C3933">
        <w:rPr>
          <w:rFonts w:ascii="Times New Roman" w:hAnsi="Times New Roman" w:cs="Times New Roman"/>
          <w:sz w:val="24"/>
        </w:rPr>
        <w:t xml:space="preserve">d </w:t>
      </w:r>
      <w:r w:rsidR="001C3933" w:rsidRPr="001C3933">
        <w:rPr>
          <w:rFonts w:ascii="Times New Roman" w:hAnsi="Times New Roman" w:cs="Times New Roman"/>
          <w:sz w:val="24"/>
        </w:rPr>
        <w:t xml:space="preserve">the deviations between FHP and MSP to explore whether market prices have generally ruled above or below the MSP during the study period. </w:t>
      </w:r>
      <w:r w:rsidR="00420580" w:rsidRPr="001C3933">
        <w:rPr>
          <w:rFonts w:ascii="Times New Roman" w:hAnsi="Times New Roman" w:cs="Times New Roman"/>
          <w:sz w:val="24"/>
        </w:rPr>
        <w:t>The</w:t>
      </w:r>
      <w:r w:rsidR="00420580">
        <w:rPr>
          <w:rFonts w:ascii="Times New Roman" w:hAnsi="Times New Roman" w:cs="Times New Roman"/>
          <w:sz w:val="24"/>
        </w:rPr>
        <w:t>refore,</w:t>
      </w:r>
      <w:r w:rsidR="001C3933">
        <w:rPr>
          <w:rFonts w:ascii="Times New Roman" w:hAnsi="Times New Roman" w:cs="Times New Roman"/>
          <w:sz w:val="24"/>
        </w:rPr>
        <w:t xml:space="preserve"> the study was planned with </w:t>
      </w:r>
      <w:proofErr w:type="gramStart"/>
      <w:r w:rsidR="001C3933">
        <w:rPr>
          <w:rFonts w:ascii="Times New Roman" w:hAnsi="Times New Roman" w:cs="Times New Roman"/>
          <w:sz w:val="24"/>
        </w:rPr>
        <w:t>th</w:t>
      </w:r>
      <w:r w:rsidR="00BB0AFE">
        <w:rPr>
          <w:rFonts w:ascii="Times New Roman" w:hAnsi="Times New Roman" w:cs="Times New Roman"/>
          <w:sz w:val="24"/>
        </w:rPr>
        <w:t>e</w:t>
      </w:r>
      <w:r w:rsidR="001C3933">
        <w:rPr>
          <w:rFonts w:ascii="Times New Roman" w:hAnsi="Times New Roman" w:cs="Times New Roman"/>
          <w:sz w:val="24"/>
        </w:rPr>
        <w:t xml:space="preserve">  following</w:t>
      </w:r>
      <w:proofErr w:type="gramEnd"/>
      <w:r w:rsidR="001C3933">
        <w:rPr>
          <w:rFonts w:ascii="Times New Roman" w:hAnsi="Times New Roman" w:cs="Times New Roman"/>
          <w:sz w:val="24"/>
        </w:rPr>
        <w:t xml:space="preserve"> objectives</w:t>
      </w:r>
      <w:r w:rsidR="001C3933" w:rsidRPr="001C3933">
        <w:rPr>
          <w:rFonts w:ascii="Times New Roman" w:hAnsi="Times New Roman" w:cs="Times New Roman"/>
          <w:sz w:val="24"/>
        </w:rPr>
        <w:t>:</w:t>
      </w:r>
    </w:p>
    <w:p w14:paraId="3904763B" w14:textId="77777777" w:rsidR="00BB0AFE" w:rsidRPr="00BB0AFE" w:rsidRDefault="001C3933" w:rsidP="00AD3FCD">
      <w:pPr>
        <w:pStyle w:val="ListParagraph"/>
        <w:numPr>
          <w:ilvl w:val="0"/>
          <w:numId w:val="2"/>
        </w:numPr>
        <w:spacing w:line="276" w:lineRule="auto"/>
        <w:ind w:right="-283"/>
        <w:jc w:val="both"/>
        <w:rPr>
          <w:rFonts w:ascii="Times New Roman" w:hAnsi="Times New Roman" w:cs="Times New Roman"/>
          <w:sz w:val="24"/>
        </w:rPr>
      </w:pPr>
      <w:r w:rsidRPr="00BB0AFE">
        <w:rPr>
          <w:rFonts w:ascii="Times New Roman" w:hAnsi="Times New Roman" w:cs="Times New Roman"/>
          <w:sz w:val="24"/>
        </w:rPr>
        <w:t>to estimate</w:t>
      </w:r>
      <w:r w:rsidR="00FD23C4" w:rsidRPr="00BB0AFE">
        <w:rPr>
          <w:rFonts w:ascii="Times New Roman" w:hAnsi="Times New Roman" w:cs="Times New Roman"/>
          <w:sz w:val="24"/>
        </w:rPr>
        <w:t xml:space="preserve"> and compare</w:t>
      </w:r>
      <w:r w:rsidRPr="00BB0AFE">
        <w:rPr>
          <w:rFonts w:ascii="Times New Roman" w:hAnsi="Times New Roman" w:cs="Times New Roman"/>
          <w:sz w:val="24"/>
        </w:rPr>
        <w:t xml:space="preserve"> the growth in MSP and FHP of paddy</w:t>
      </w:r>
      <w:r w:rsidR="00FD23C4" w:rsidRPr="00BB0AFE">
        <w:rPr>
          <w:rFonts w:ascii="Times New Roman" w:hAnsi="Times New Roman" w:cs="Times New Roman"/>
          <w:sz w:val="24"/>
        </w:rPr>
        <w:t xml:space="preserve"> and </w:t>
      </w:r>
    </w:p>
    <w:p w14:paraId="38EE4DCB" w14:textId="475F95D9" w:rsidR="000A2115" w:rsidRPr="00BB0AFE" w:rsidRDefault="001C3933" w:rsidP="00AD3FCD">
      <w:pPr>
        <w:pStyle w:val="ListParagraph"/>
        <w:numPr>
          <w:ilvl w:val="0"/>
          <w:numId w:val="2"/>
        </w:numPr>
        <w:spacing w:line="276" w:lineRule="auto"/>
        <w:ind w:right="-283"/>
        <w:jc w:val="both"/>
        <w:rPr>
          <w:rFonts w:ascii="Times New Roman" w:hAnsi="Times New Roman" w:cs="Times New Roman"/>
          <w:sz w:val="24"/>
        </w:rPr>
      </w:pPr>
      <w:r w:rsidRPr="00BB0AFE">
        <w:rPr>
          <w:rFonts w:ascii="Times New Roman" w:hAnsi="Times New Roman" w:cs="Times New Roman"/>
          <w:sz w:val="24"/>
        </w:rPr>
        <w:t xml:space="preserve">to </w:t>
      </w:r>
      <w:proofErr w:type="spellStart"/>
      <w:r w:rsidRPr="00BB0AFE">
        <w:rPr>
          <w:rFonts w:ascii="Times New Roman" w:hAnsi="Times New Roman" w:cs="Times New Roman"/>
          <w:sz w:val="24"/>
        </w:rPr>
        <w:t>analyze</w:t>
      </w:r>
      <w:proofErr w:type="spellEnd"/>
      <w:r w:rsidRPr="00BB0AFE">
        <w:rPr>
          <w:rFonts w:ascii="Times New Roman" w:hAnsi="Times New Roman" w:cs="Times New Roman"/>
          <w:sz w:val="24"/>
        </w:rPr>
        <w:t xml:space="preserve"> the deviations of FHP from MSP.</w:t>
      </w:r>
    </w:p>
    <w:bookmarkEnd w:id="2"/>
    <w:p w14:paraId="48B8E51C" w14:textId="77777777" w:rsidR="00AD3FCD" w:rsidRDefault="00AD3FCD" w:rsidP="00AD3FCD">
      <w:pPr>
        <w:pStyle w:val="ListParagraph"/>
        <w:spacing w:line="276" w:lineRule="auto"/>
        <w:ind w:left="0" w:right="-283" w:hanging="1"/>
        <w:jc w:val="both"/>
        <w:rPr>
          <w:rFonts w:ascii="Times New Roman" w:hAnsi="Times New Roman" w:cs="Times New Roman"/>
          <w:b/>
          <w:sz w:val="24"/>
        </w:rPr>
      </w:pPr>
    </w:p>
    <w:p w14:paraId="4CD55F8A" w14:textId="68B6D291" w:rsidR="00E94D52" w:rsidRDefault="00F840D9" w:rsidP="00AD3FCD">
      <w:pPr>
        <w:pStyle w:val="ListParagraph"/>
        <w:spacing w:line="276" w:lineRule="auto"/>
        <w:ind w:left="0" w:right="-283" w:hanging="1"/>
        <w:jc w:val="both"/>
        <w:rPr>
          <w:rFonts w:ascii="Times New Roman" w:hAnsi="Times New Roman" w:cs="Times New Roman"/>
          <w:b/>
          <w:sz w:val="24"/>
        </w:rPr>
      </w:pPr>
      <w:r>
        <w:rPr>
          <w:rFonts w:ascii="Times New Roman" w:hAnsi="Times New Roman" w:cs="Times New Roman"/>
          <w:b/>
          <w:sz w:val="24"/>
        </w:rPr>
        <w:t xml:space="preserve">DATABASE AND </w:t>
      </w:r>
      <w:r w:rsidR="00E94D52" w:rsidRPr="00E94D52">
        <w:rPr>
          <w:rFonts w:ascii="Times New Roman" w:hAnsi="Times New Roman" w:cs="Times New Roman"/>
          <w:b/>
          <w:sz w:val="24"/>
        </w:rPr>
        <w:t>METHODOLOGY</w:t>
      </w:r>
    </w:p>
    <w:p w14:paraId="0ABFFFD5" w14:textId="77777777" w:rsidR="00651C13" w:rsidRDefault="00E94D52" w:rsidP="00AD3FCD">
      <w:pPr>
        <w:pStyle w:val="ListParagraph"/>
        <w:spacing w:line="276" w:lineRule="auto"/>
        <w:ind w:left="0" w:right="-283" w:hanging="708"/>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E94D52">
        <w:rPr>
          <w:rFonts w:ascii="Times New Roman" w:hAnsi="Times New Roman" w:cs="Times New Roman"/>
          <w:sz w:val="24"/>
        </w:rPr>
        <w:t xml:space="preserve">The study is based on the secondary data on farm harvest prices and minimum support prices of paddy for </w:t>
      </w:r>
      <w:r>
        <w:rPr>
          <w:rFonts w:ascii="Times New Roman" w:hAnsi="Times New Roman" w:cs="Times New Roman"/>
          <w:sz w:val="24"/>
        </w:rPr>
        <w:t>various paddy producing districts of Gujarat.</w:t>
      </w:r>
      <w:r w:rsidRPr="00E94D52">
        <w:rPr>
          <w:rFonts w:ascii="Times New Roman" w:hAnsi="Times New Roman" w:cs="Times New Roman"/>
          <w:sz w:val="24"/>
        </w:rPr>
        <w:t xml:space="preserve"> To achiev</w:t>
      </w:r>
      <w:r w:rsidR="00651C13">
        <w:rPr>
          <w:rFonts w:ascii="Times New Roman" w:hAnsi="Times New Roman" w:cs="Times New Roman"/>
          <w:sz w:val="24"/>
        </w:rPr>
        <w:t xml:space="preserve">e the objectives of the study, the time series data on MSP and FHP of paddy were collected from various official sources like </w:t>
      </w:r>
      <w:r w:rsidR="00651C13" w:rsidRPr="00E94D52">
        <w:rPr>
          <w:rFonts w:ascii="Times New Roman" w:hAnsi="Times New Roman" w:cs="Times New Roman"/>
          <w:sz w:val="24"/>
        </w:rPr>
        <w:t>Directorate of Economics and Statistics and the Commission for Agricultural Cost and Prices</w:t>
      </w:r>
      <w:r w:rsidR="00651C13">
        <w:rPr>
          <w:rFonts w:ascii="Times New Roman" w:hAnsi="Times New Roman" w:cs="Times New Roman"/>
          <w:sz w:val="24"/>
        </w:rPr>
        <w:t xml:space="preserve"> for 2002-03 to 2021-22.</w:t>
      </w:r>
      <w:r w:rsidR="00651C13" w:rsidRPr="00E94D52">
        <w:t xml:space="preserve"> </w:t>
      </w:r>
      <w:r w:rsidR="00651C13" w:rsidRPr="00E94D52">
        <w:rPr>
          <w:rFonts w:ascii="Times New Roman" w:hAnsi="Times New Roman" w:cs="Times New Roman"/>
          <w:sz w:val="24"/>
        </w:rPr>
        <w:t>The time-series data on prices of paddy were divided into three sub-periods, viz. period-I (</w:t>
      </w:r>
      <w:r w:rsidR="00651C13">
        <w:rPr>
          <w:rFonts w:ascii="Times New Roman" w:hAnsi="Times New Roman" w:cs="Times New Roman"/>
          <w:sz w:val="24"/>
        </w:rPr>
        <w:t>2002-03 to 2011-12</w:t>
      </w:r>
      <w:r w:rsidR="00651C13" w:rsidRPr="00E94D52">
        <w:rPr>
          <w:rFonts w:ascii="Times New Roman" w:hAnsi="Times New Roman" w:cs="Times New Roman"/>
          <w:sz w:val="24"/>
        </w:rPr>
        <w:t>)</w:t>
      </w:r>
      <w:r w:rsidR="00651C13">
        <w:rPr>
          <w:rFonts w:ascii="Times New Roman" w:hAnsi="Times New Roman" w:cs="Times New Roman"/>
          <w:sz w:val="24"/>
        </w:rPr>
        <w:t xml:space="preserve"> and </w:t>
      </w:r>
      <w:r w:rsidR="00651C13" w:rsidRPr="00E94D52">
        <w:rPr>
          <w:rFonts w:ascii="Times New Roman" w:hAnsi="Times New Roman" w:cs="Times New Roman"/>
          <w:sz w:val="24"/>
        </w:rPr>
        <w:t>period-II (</w:t>
      </w:r>
      <w:r w:rsidR="00651C13">
        <w:rPr>
          <w:rFonts w:ascii="Times New Roman" w:hAnsi="Times New Roman" w:cs="Times New Roman"/>
          <w:sz w:val="24"/>
        </w:rPr>
        <w:t>2012-13 to 2021-22</w:t>
      </w:r>
      <w:proofErr w:type="gramStart"/>
      <w:r w:rsidR="00651C13" w:rsidRPr="00E94D52">
        <w:rPr>
          <w:rFonts w:ascii="Times New Roman" w:hAnsi="Times New Roman" w:cs="Times New Roman"/>
          <w:sz w:val="24"/>
        </w:rPr>
        <w:t>).</w:t>
      </w:r>
      <w:r w:rsidR="00651C13">
        <w:rPr>
          <w:rFonts w:ascii="Times New Roman" w:hAnsi="Times New Roman" w:cs="Times New Roman"/>
          <w:sz w:val="24"/>
        </w:rPr>
        <w:t>The</w:t>
      </w:r>
      <w:proofErr w:type="gramEnd"/>
      <w:r w:rsidR="00651C13">
        <w:rPr>
          <w:rFonts w:ascii="Times New Roman" w:hAnsi="Times New Roman" w:cs="Times New Roman"/>
          <w:sz w:val="24"/>
        </w:rPr>
        <w:t xml:space="preserve"> data were compiled and </w:t>
      </w:r>
      <w:proofErr w:type="spellStart"/>
      <w:r w:rsidR="00651C13">
        <w:rPr>
          <w:rFonts w:ascii="Times New Roman" w:hAnsi="Times New Roman" w:cs="Times New Roman"/>
          <w:sz w:val="24"/>
        </w:rPr>
        <w:t>analyzed</w:t>
      </w:r>
      <w:proofErr w:type="spellEnd"/>
      <w:r w:rsidR="00651C13">
        <w:rPr>
          <w:rFonts w:ascii="Times New Roman" w:hAnsi="Times New Roman" w:cs="Times New Roman"/>
          <w:sz w:val="24"/>
        </w:rPr>
        <w:t xml:space="preserve"> using standard statistical tools.</w:t>
      </w:r>
    </w:p>
    <w:p w14:paraId="02C6392B" w14:textId="77777777" w:rsidR="00651C13" w:rsidRDefault="00651C13" w:rsidP="00AD3FCD">
      <w:pPr>
        <w:pStyle w:val="ListParagraph"/>
        <w:spacing w:line="276" w:lineRule="auto"/>
        <w:ind w:left="0" w:right="-283" w:hanging="42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The Compound Annual Growth rate (CAGR) was calculated by fitting the function given below:</w:t>
      </w:r>
    </w:p>
    <w:p w14:paraId="2714036C" w14:textId="02762D99" w:rsidR="00F840D9" w:rsidRDefault="00F840D9" w:rsidP="00AD3FCD">
      <w:pPr>
        <w:pStyle w:val="ListParagraph"/>
        <w:spacing w:line="276" w:lineRule="auto"/>
        <w:ind w:left="0" w:hanging="708"/>
        <w:jc w:val="both"/>
        <w:rPr>
          <w:rFonts w:ascii="Times New Roman" w:hAnsi="Times New Roman" w:cs="Times New Roman"/>
          <w:sz w:val="24"/>
        </w:rPr>
      </w:pPr>
    </w:p>
    <w:p w14:paraId="3D9ABAEA" w14:textId="019DD60A" w:rsidR="00F840D9" w:rsidRPr="00F840D9" w:rsidRDefault="00E94D52" w:rsidP="00AD3FCD">
      <w:pPr>
        <w:pStyle w:val="ListParagraph"/>
        <w:spacing w:line="276" w:lineRule="auto"/>
        <w:ind w:left="0" w:right="-283" w:hanging="114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840D9" w:rsidRPr="00F840D9">
        <w:rPr>
          <w:rFonts w:ascii="Times New Roman" w:hAnsi="Times New Roman" w:cs="Times New Roman"/>
          <w:sz w:val="24"/>
        </w:rPr>
        <w:t xml:space="preserve">       Y= </w:t>
      </w:r>
      <m:oMath>
        <m:sSup>
          <m:sSupPr>
            <m:ctrlPr>
              <w:rPr>
                <w:rFonts w:ascii="Cambria Math" w:hAnsi="Cambria Math" w:cs="Times New Roman"/>
                <w:i/>
                <w:sz w:val="24"/>
              </w:rPr>
            </m:ctrlPr>
          </m:sSupPr>
          <m:e>
            <m:r>
              <w:rPr>
                <w:rFonts w:ascii="Cambria Math" w:hAnsi="Cambria Math" w:cs="Times New Roman"/>
                <w:sz w:val="24"/>
              </w:rPr>
              <m:t>ab</m:t>
            </m:r>
          </m:e>
          <m:sup>
            <m:r>
              <w:rPr>
                <w:rFonts w:ascii="Cambria Math" w:hAnsi="Cambria Math" w:cs="Times New Roman"/>
                <w:sz w:val="24"/>
              </w:rPr>
              <m:t>t</m:t>
            </m:r>
          </m:sup>
        </m:sSup>
      </m:oMath>
      <w:r w:rsidR="00F840D9" w:rsidRPr="00F840D9">
        <w:rPr>
          <w:rFonts w:ascii="Times New Roman" w:hAnsi="Times New Roman" w:cs="Times New Roman"/>
          <w:b/>
          <w:sz w:val="24"/>
        </w:rPr>
        <w:t xml:space="preserve">   </w:t>
      </w:r>
      <w:r w:rsidR="00F840D9" w:rsidRPr="00F840D9">
        <w:rPr>
          <w:rFonts w:ascii="Times New Roman" w:hAnsi="Times New Roman" w:cs="Times New Roman"/>
          <w:sz w:val="24"/>
        </w:rPr>
        <w:t>………. (1)</w:t>
      </w:r>
    </w:p>
    <w:p w14:paraId="7401671D" w14:textId="27C6DCEA" w:rsidR="00F840D9" w:rsidRPr="00F840D9" w:rsidRDefault="00F840D9" w:rsidP="00AD3FCD">
      <w:pPr>
        <w:pStyle w:val="ListParagraph"/>
        <w:spacing w:line="276" w:lineRule="auto"/>
        <w:ind w:left="0" w:right="-283"/>
        <w:jc w:val="both"/>
        <w:rPr>
          <w:rFonts w:ascii="Times New Roman" w:hAnsi="Times New Roman" w:cs="Times New Roman"/>
          <w:sz w:val="24"/>
        </w:rPr>
      </w:pPr>
      <w:r>
        <w:rPr>
          <w:rFonts w:ascii="Times New Roman" w:hAnsi="Times New Roman" w:cs="Times New Roman"/>
          <w:sz w:val="24"/>
        </w:rPr>
        <w:t>W</w:t>
      </w:r>
      <w:r w:rsidRPr="00F840D9">
        <w:rPr>
          <w:rFonts w:ascii="Times New Roman" w:hAnsi="Times New Roman" w:cs="Times New Roman"/>
          <w:sz w:val="24"/>
        </w:rPr>
        <w:t>here,</w:t>
      </w:r>
    </w:p>
    <w:p w14:paraId="74DDC801"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Y= Dependent variable for which growth rate is estimated i.e., MSP (₹/q)/ FHP (₹/q)</w:t>
      </w:r>
    </w:p>
    <w:p w14:paraId="7B4ED3F5"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b = Regression coefficient</w:t>
      </w:r>
    </w:p>
    <w:p w14:paraId="1A26591D"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a = Constant</w:t>
      </w:r>
    </w:p>
    <w:p w14:paraId="492EB175" w14:textId="77777777" w:rsid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 xml:space="preserve">t </w:t>
      </w:r>
      <w:proofErr w:type="gramStart"/>
      <w:r w:rsidRPr="00F840D9">
        <w:rPr>
          <w:rFonts w:ascii="Times New Roman" w:hAnsi="Times New Roman" w:cs="Times New Roman"/>
          <w:sz w:val="24"/>
        </w:rPr>
        <w:t>=  time</w:t>
      </w:r>
      <w:proofErr w:type="gramEnd"/>
      <w:r w:rsidRPr="00F840D9">
        <w:rPr>
          <w:rFonts w:ascii="Times New Roman" w:hAnsi="Times New Roman" w:cs="Times New Roman"/>
          <w:sz w:val="24"/>
        </w:rPr>
        <w:t xml:space="preserve"> period in years</w:t>
      </w:r>
    </w:p>
    <w:p w14:paraId="395B64CB" w14:textId="2CBDA21F" w:rsidR="00F840D9" w:rsidRPr="00F840D9" w:rsidRDefault="00F840D9" w:rsidP="00AD3FCD">
      <w:pPr>
        <w:pStyle w:val="ListParagraph"/>
        <w:spacing w:after="0" w:line="276" w:lineRule="auto"/>
        <w:ind w:left="0" w:right="-283"/>
        <w:jc w:val="both"/>
        <w:rPr>
          <w:rFonts w:ascii="Times New Roman" w:hAnsi="Times New Roman" w:cs="Times New Roman"/>
          <w:sz w:val="24"/>
        </w:rPr>
      </w:pPr>
      <w:r>
        <w:rPr>
          <w:rFonts w:ascii="Times New Roman" w:hAnsi="Times New Roman" w:cs="Times New Roman"/>
          <w:sz w:val="24"/>
        </w:rPr>
        <w:tab/>
      </w:r>
      <w:r w:rsidRPr="00F840D9">
        <w:rPr>
          <w:rFonts w:ascii="Times New Roman" w:hAnsi="Times New Roman" w:cs="Times New Roman"/>
          <w:sz w:val="24"/>
        </w:rPr>
        <w:t>The above can be expressed in logarithmic form as follows:</w:t>
      </w:r>
    </w:p>
    <w:p w14:paraId="74F1C3EA" w14:textId="77777777" w:rsidR="006F78F2" w:rsidRDefault="006F78F2" w:rsidP="00AD3FCD">
      <w:pPr>
        <w:pStyle w:val="ListParagraph"/>
        <w:spacing w:after="0" w:line="276" w:lineRule="auto"/>
        <w:ind w:left="0" w:right="-283" w:hanging="425"/>
        <w:jc w:val="both"/>
        <w:rPr>
          <w:rFonts w:ascii="Times New Roman" w:hAnsi="Times New Roman" w:cs="Times New Roman"/>
          <w:sz w:val="24"/>
        </w:rPr>
      </w:pPr>
    </w:p>
    <w:p w14:paraId="023696BE" w14:textId="29D895A6" w:rsidR="00F840D9" w:rsidRPr="00F840D9" w:rsidRDefault="00F840D9" w:rsidP="00AD3FCD">
      <w:pPr>
        <w:pStyle w:val="ListParagraph"/>
        <w:spacing w:after="0" w:line="276" w:lineRule="auto"/>
        <w:ind w:left="425" w:right="-283" w:hanging="425"/>
        <w:jc w:val="both"/>
        <w:rPr>
          <w:rFonts w:ascii="Times New Roman" w:hAnsi="Times New Roman" w:cs="Times New Roman"/>
          <w:b/>
          <w:sz w:val="24"/>
        </w:rPr>
      </w:pPr>
      <w:r w:rsidRPr="00F840D9">
        <w:rPr>
          <w:rFonts w:ascii="Times New Roman" w:hAnsi="Times New Roman" w:cs="Times New Roman"/>
          <w:sz w:val="24"/>
        </w:rPr>
        <w:t>log y = log a + t log b</w:t>
      </w:r>
      <w:r w:rsidRPr="00F840D9">
        <w:rPr>
          <w:rFonts w:ascii="Times New Roman" w:hAnsi="Times New Roman" w:cs="Times New Roman"/>
          <w:b/>
          <w:sz w:val="24"/>
        </w:rPr>
        <w:t xml:space="preserve">   </w:t>
      </w:r>
      <w:r w:rsidRPr="00F840D9">
        <w:rPr>
          <w:rFonts w:ascii="Times New Roman" w:hAnsi="Times New Roman" w:cs="Times New Roman"/>
          <w:sz w:val="24"/>
        </w:rPr>
        <w:t>………… (2)</w:t>
      </w:r>
    </w:p>
    <w:p w14:paraId="27D93BF7" w14:textId="77777777" w:rsidR="00BB0AFE" w:rsidRDefault="00F840D9" w:rsidP="00AD3FCD">
      <w:pPr>
        <w:pStyle w:val="ListParagraph"/>
        <w:spacing w:line="276" w:lineRule="auto"/>
        <w:ind w:left="425" w:right="-283"/>
        <w:jc w:val="both"/>
        <w:rPr>
          <w:rFonts w:ascii="Times New Roman" w:hAnsi="Times New Roman" w:cs="Times New Roman"/>
          <w:sz w:val="24"/>
        </w:rPr>
      </w:pPr>
      <w:r>
        <w:rPr>
          <w:rFonts w:ascii="Times New Roman" w:hAnsi="Times New Roman" w:cs="Times New Roman"/>
          <w:sz w:val="24"/>
        </w:rPr>
        <w:tab/>
      </w:r>
    </w:p>
    <w:p w14:paraId="0341A615" w14:textId="0154A8B8" w:rsidR="00F840D9" w:rsidRPr="00F840D9" w:rsidRDefault="00F840D9" w:rsidP="00AD3FCD">
      <w:pPr>
        <w:pStyle w:val="ListParagraph"/>
        <w:spacing w:line="276" w:lineRule="auto"/>
        <w:ind w:left="425" w:right="-283"/>
        <w:jc w:val="both"/>
        <w:rPr>
          <w:rFonts w:ascii="Times New Roman" w:hAnsi="Times New Roman" w:cs="Times New Roman"/>
          <w:sz w:val="24"/>
        </w:rPr>
      </w:pPr>
      <w:r w:rsidRPr="00F840D9">
        <w:rPr>
          <w:rFonts w:ascii="Times New Roman" w:hAnsi="Times New Roman" w:cs="Times New Roman"/>
          <w:sz w:val="24"/>
        </w:rPr>
        <w:t>The compound growth rate "r" will be</w:t>
      </w:r>
      <w:r>
        <w:rPr>
          <w:rFonts w:ascii="Times New Roman" w:hAnsi="Times New Roman" w:cs="Times New Roman"/>
          <w:sz w:val="24"/>
        </w:rPr>
        <w:t xml:space="preserve"> </w:t>
      </w:r>
      <w:r w:rsidRPr="00F840D9">
        <w:rPr>
          <w:rFonts w:ascii="Times New Roman" w:hAnsi="Times New Roman" w:cs="Times New Roman"/>
          <w:sz w:val="24"/>
        </w:rPr>
        <w:t xml:space="preserve">computed as: </w:t>
      </w:r>
    </w:p>
    <w:p w14:paraId="0E10498D" w14:textId="77777777" w:rsidR="00BB0AFE" w:rsidRDefault="00BB0AFE" w:rsidP="00AD3FCD">
      <w:pPr>
        <w:pStyle w:val="ListParagraph"/>
        <w:spacing w:line="276" w:lineRule="auto"/>
        <w:ind w:left="425" w:right="-283" w:hanging="425"/>
        <w:jc w:val="both"/>
        <w:rPr>
          <w:rFonts w:ascii="Times New Roman" w:hAnsi="Times New Roman" w:cs="Times New Roman"/>
          <w:sz w:val="24"/>
        </w:rPr>
      </w:pPr>
    </w:p>
    <w:p w14:paraId="088D29CF" w14:textId="53DE3125" w:rsidR="00F840D9" w:rsidRPr="00F840D9" w:rsidRDefault="00F840D9" w:rsidP="00AD3FCD">
      <w:pPr>
        <w:pStyle w:val="ListParagraph"/>
        <w:spacing w:line="276" w:lineRule="auto"/>
        <w:ind w:left="425" w:right="-283" w:hanging="425"/>
        <w:jc w:val="both"/>
        <w:rPr>
          <w:rFonts w:ascii="Times New Roman" w:hAnsi="Times New Roman" w:cs="Times New Roman"/>
          <w:sz w:val="24"/>
        </w:rPr>
      </w:pPr>
      <w:r w:rsidRPr="00F840D9">
        <w:rPr>
          <w:rFonts w:ascii="Times New Roman" w:hAnsi="Times New Roman" w:cs="Times New Roman"/>
          <w:sz w:val="24"/>
        </w:rPr>
        <w:t xml:space="preserve">r = (Antilog of b - 1) x </w:t>
      </w:r>
      <w:proofErr w:type="gramStart"/>
      <w:r w:rsidRPr="00F840D9">
        <w:rPr>
          <w:rFonts w:ascii="Times New Roman" w:hAnsi="Times New Roman" w:cs="Times New Roman"/>
          <w:sz w:val="24"/>
        </w:rPr>
        <w:t>100</w:t>
      </w:r>
      <w:r w:rsidRPr="00F840D9">
        <w:rPr>
          <w:rFonts w:ascii="Times New Roman" w:hAnsi="Times New Roman" w:cs="Times New Roman"/>
          <w:b/>
          <w:sz w:val="24"/>
        </w:rPr>
        <w:t xml:space="preserve">  </w:t>
      </w:r>
      <w:r w:rsidRPr="00F840D9">
        <w:rPr>
          <w:rFonts w:ascii="Times New Roman" w:hAnsi="Times New Roman" w:cs="Times New Roman"/>
          <w:sz w:val="24"/>
        </w:rPr>
        <w:t>…</w:t>
      </w:r>
      <w:proofErr w:type="gramEnd"/>
      <w:r w:rsidRPr="00F840D9">
        <w:rPr>
          <w:rFonts w:ascii="Times New Roman" w:hAnsi="Times New Roman" w:cs="Times New Roman"/>
          <w:sz w:val="24"/>
        </w:rPr>
        <w:t>…….</w:t>
      </w:r>
      <w:r>
        <w:rPr>
          <w:rFonts w:ascii="Times New Roman" w:hAnsi="Times New Roman" w:cs="Times New Roman"/>
          <w:b/>
          <w:sz w:val="24"/>
        </w:rPr>
        <w:t xml:space="preserve"> </w:t>
      </w:r>
      <w:r w:rsidRPr="00F840D9">
        <w:rPr>
          <w:rFonts w:ascii="Times New Roman" w:hAnsi="Times New Roman" w:cs="Times New Roman"/>
          <w:sz w:val="24"/>
        </w:rPr>
        <w:t>(3)</w:t>
      </w:r>
    </w:p>
    <w:p w14:paraId="01C92E86" w14:textId="77777777" w:rsidR="00BB0AFE" w:rsidRDefault="00F840D9" w:rsidP="00AD3FCD">
      <w:pPr>
        <w:pStyle w:val="ListParagraph"/>
        <w:spacing w:line="276" w:lineRule="auto"/>
        <w:ind w:left="0" w:right="-283" w:firstLine="11"/>
        <w:jc w:val="both"/>
        <w:rPr>
          <w:rFonts w:ascii="Times New Roman" w:hAnsi="Times New Roman" w:cs="Times New Roman"/>
          <w:sz w:val="24"/>
        </w:rPr>
      </w:pPr>
      <w:r>
        <w:rPr>
          <w:rFonts w:ascii="Times New Roman" w:hAnsi="Times New Roman" w:cs="Times New Roman"/>
          <w:sz w:val="24"/>
        </w:rPr>
        <w:tab/>
      </w:r>
    </w:p>
    <w:p w14:paraId="2A899AD3" w14:textId="21E24DA3" w:rsidR="00F840D9" w:rsidRPr="00F840D9" w:rsidRDefault="00F840D9" w:rsidP="00AD3FCD">
      <w:pPr>
        <w:pStyle w:val="ListParagraph"/>
        <w:spacing w:line="276" w:lineRule="auto"/>
        <w:ind w:left="0" w:right="-283" w:firstLine="11"/>
        <w:jc w:val="both"/>
        <w:rPr>
          <w:rFonts w:ascii="Times New Roman" w:hAnsi="Times New Roman" w:cs="Times New Roman"/>
          <w:sz w:val="24"/>
        </w:rPr>
      </w:pPr>
      <w:r w:rsidRPr="00F840D9">
        <w:rPr>
          <w:rFonts w:ascii="Times New Roman" w:hAnsi="Times New Roman" w:cs="Times New Roman"/>
          <w:sz w:val="24"/>
        </w:rPr>
        <w:t>The significance of compound growth rate</w:t>
      </w:r>
      <w:r>
        <w:rPr>
          <w:rFonts w:ascii="Times New Roman" w:hAnsi="Times New Roman" w:cs="Times New Roman"/>
          <w:sz w:val="24"/>
        </w:rPr>
        <w:t xml:space="preserve"> </w:t>
      </w:r>
      <w:r w:rsidRPr="00F840D9">
        <w:rPr>
          <w:rFonts w:ascii="Times New Roman" w:hAnsi="Times New Roman" w:cs="Times New Roman"/>
          <w:sz w:val="24"/>
        </w:rPr>
        <w:t>(CGR) was tested by using student t-test:</w:t>
      </w:r>
    </w:p>
    <w:p w14:paraId="15376375" w14:textId="77777777" w:rsidR="00BB0AFE" w:rsidRDefault="00BB0AFE" w:rsidP="00AD3FCD">
      <w:pPr>
        <w:pStyle w:val="ListParagraph"/>
        <w:spacing w:line="276" w:lineRule="auto"/>
        <w:ind w:left="0" w:right="-283" w:hanging="425"/>
        <w:jc w:val="both"/>
        <w:rPr>
          <w:rFonts w:ascii="Times New Roman" w:hAnsi="Times New Roman" w:cs="Times New Roman"/>
          <w:sz w:val="24"/>
        </w:rPr>
      </w:pPr>
    </w:p>
    <w:p w14:paraId="7C055E71" w14:textId="08EF336F" w:rsidR="00F840D9" w:rsidRDefault="00F840D9" w:rsidP="00AD3FCD">
      <w:pPr>
        <w:pStyle w:val="ListParagraph"/>
        <w:spacing w:line="276" w:lineRule="auto"/>
        <w:ind w:left="436" w:right="-283" w:hanging="425"/>
        <w:jc w:val="both"/>
        <w:rPr>
          <w:rFonts w:ascii="Times New Roman" w:eastAsiaTheme="minorEastAsia" w:hAnsi="Times New Roman" w:cs="Times New Roman"/>
          <w:sz w:val="24"/>
        </w:rPr>
      </w:pPr>
      <w:r w:rsidRPr="00F840D9">
        <w:rPr>
          <w:rFonts w:ascii="Times New Roman" w:hAnsi="Times New Roman" w:cs="Times New Roman"/>
          <w:sz w:val="24"/>
        </w:rPr>
        <w:lastRenderedPageBreak/>
        <w:t xml:space="preserve">t = </w:t>
      </w:r>
      <m:oMath>
        <m:f>
          <m:fPr>
            <m:ctrlPr>
              <w:rPr>
                <w:rFonts w:ascii="Cambria Math" w:hAnsi="Cambria Math" w:cs="Times New Roman"/>
                <w:sz w:val="24"/>
              </w:rPr>
            </m:ctrlPr>
          </m:fPr>
          <m:num>
            <m:r>
              <m:rPr>
                <m:sty m:val="p"/>
              </m:rPr>
              <w:rPr>
                <w:rFonts w:ascii="Cambria Math" w:hAnsi="Cambria Math" w:cs="Times New Roman"/>
                <w:sz w:val="24"/>
              </w:rPr>
              <m:t>b</m:t>
            </m:r>
          </m:num>
          <m:den>
            <m:r>
              <m:rPr>
                <m:sty m:val="p"/>
              </m:rPr>
              <w:rPr>
                <w:rFonts w:ascii="Cambria Math" w:hAnsi="Cambria Math" w:cs="Times New Roman"/>
                <w:sz w:val="24"/>
              </w:rPr>
              <m:t>S.E.</m:t>
            </m:r>
            <m:d>
              <m:dPr>
                <m:ctrlPr>
                  <w:rPr>
                    <w:rFonts w:ascii="Cambria Math" w:hAnsi="Cambria Math" w:cs="Times New Roman"/>
                    <w:sz w:val="24"/>
                  </w:rPr>
                </m:ctrlPr>
              </m:dPr>
              <m:e>
                <m:r>
                  <m:rPr>
                    <m:sty m:val="p"/>
                  </m:rPr>
                  <w:rPr>
                    <w:rFonts w:ascii="Cambria Math" w:hAnsi="Cambria Math" w:cs="Times New Roman"/>
                    <w:sz w:val="24"/>
                  </w:rPr>
                  <m:t>b</m:t>
                </m:r>
              </m:e>
            </m:d>
          </m:den>
        </m:f>
      </m:oMath>
    </w:p>
    <w:p w14:paraId="5B94D814" w14:textId="77777777" w:rsidR="00BB0AFE" w:rsidRPr="00F840D9" w:rsidRDefault="00BB0AFE" w:rsidP="00AD3FCD">
      <w:pPr>
        <w:pStyle w:val="ListParagraph"/>
        <w:spacing w:line="276" w:lineRule="auto"/>
        <w:ind w:left="436" w:right="-283" w:hanging="425"/>
        <w:jc w:val="both"/>
        <w:rPr>
          <w:rFonts w:ascii="Times New Roman" w:hAnsi="Times New Roman" w:cs="Times New Roman"/>
          <w:sz w:val="24"/>
        </w:rPr>
      </w:pPr>
    </w:p>
    <w:p w14:paraId="75052236"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b = Regression coefficient</w:t>
      </w:r>
    </w:p>
    <w:p w14:paraId="60FE79E9" w14:textId="02A8EF29" w:rsid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S.E.(b) = Standard error of b</w:t>
      </w:r>
    </w:p>
    <w:p w14:paraId="25EBA3A8" w14:textId="354CE03E" w:rsidR="002E167B" w:rsidRDefault="002E167B" w:rsidP="00AD3FCD">
      <w:pPr>
        <w:pStyle w:val="ListParagraph"/>
        <w:spacing w:line="276" w:lineRule="auto"/>
        <w:ind w:left="0" w:right="-283"/>
        <w:jc w:val="both"/>
        <w:rPr>
          <w:rFonts w:ascii="Times New Roman" w:hAnsi="Times New Roman" w:cs="Times New Roman"/>
          <w:sz w:val="24"/>
        </w:rPr>
      </w:pPr>
      <w:r>
        <w:rPr>
          <w:rFonts w:ascii="Times New Roman" w:hAnsi="Times New Roman" w:cs="Times New Roman"/>
          <w:sz w:val="24"/>
        </w:rPr>
        <w:tab/>
      </w:r>
      <w:r w:rsidRPr="002E167B">
        <w:rPr>
          <w:rFonts w:ascii="Times New Roman" w:hAnsi="Times New Roman" w:cs="Times New Roman"/>
          <w:sz w:val="24"/>
        </w:rPr>
        <w:t xml:space="preserve">Trends in Farm Harvest </w:t>
      </w:r>
      <w:proofErr w:type="gramStart"/>
      <w:r w:rsidRPr="002E167B">
        <w:rPr>
          <w:rFonts w:ascii="Times New Roman" w:hAnsi="Times New Roman" w:cs="Times New Roman"/>
          <w:sz w:val="24"/>
        </w:rPr>
        <w:t xml:space="preserve">Prices </w:t>
      </w:r>
      <w:r>
        <w:rPr>
          <w:rFonts w:ascii="Times New Roman" w:hAnsi="Times New Roman" w:cs="Times New Roman"/>
          <w:sz w:val="24"/>
        </w:rPr>
        <w:t xml:space="preserve"> of</w:t>
      </w:r>
      <w:proofErr w:type="gramEnd"/>
      <w:r>
        <w:rPr>
          <w:rFonts w:ascii="Times New Roman" w:hAnsi="Times New Roman" w:cs="Times New Roman"/>
          <w:sz w:val="24"/>
        </w:rPr>
        <w:t xml:space="preserve"> various districts of Gujarat </w:t>
      </w:r>
      <w:r w:rsidRPr="002E167B">
        <w:rPr>
          <w:rFonts w:ascii="Times New Roman" w:hAnsi="Times New Roman" w:cs="Times New Roman"/>
          <w:sz w:val="24"/>
        </w:rPr>
        <w:t>relative to Minimum</w:t>
      </w:r>
      <w:r w:rsidR="000F2730">
        <w:rPr>
          <w:rFonts w:ascii="Times New Roman" w:hAnsi="Times New Roman" w:cs="Times New Roman"/>
          <w:sz w:val="24"/>
        </w:rPr>
        <w:t xml:space="preserve"> </w:t>
      </w:r>
      <w:r w:rsidRPr="002E167B">
        <w:rPr>
          <w:rFonts w:ascii="Times New Roman" w:hAnsi="Times New Roman" w:cs="Times New Roman"/>
          <w:sz w:val="24"/>
        </w:rPr>
        <w:t xml:space="preserve">Support Prices were </w:t>
      </w:r>
      <w:proofErr w:type="spellStart"/>
      <w:r w:rsidRPr="002E167B">
        <w:rPr>
          <w:rFonts w:ascii="Times New Roman" w:hAnsi="Times New Roman" w:cs="Times New Roman"/>
          <w:sz w:val="24"/>
        </w:rPr>
        <w:t>analyzed</w:t>
      </w:r>
      <w:proofErr w:type="spellEnd"/>
      <w:r w:rsidRPr="002E167B">
        <w:rPr>
          <w:rFonts w:ascii="Times New Roman" w:hAnsi="Times New Roman" w:cs="Times New Roman"/>
          <w:sz w:val="24"/>
        </w:rPr>
        <w:t xml:space="preserve"> using graphs and growth rate comparisons.</w:t>
      </w:r>
    </w:p>
    <w:p w14:paraId="3F5833B8" w14:textId="3E573028" w:rsidR="00BB0AFE" w:rsidRDefault="002E167B" w:rsidP="00AD3FCD">
      <w:pPr>
        <w:pStyle w:val="ListParagraph"/>
        <w:spacing w:before="240" w:line="276" w:lineRule="auto"/>
        <w:ind w:left="0" w:right="-283"/>
        <w:jc w:val="both"/>
        <w:rPr>
          <w:rFonts w:ascii="Times New Roman" w:hAnsi="Times New Roman" w:cs="Times New Roman"/>
          <w:sz w:val="24"/>
        </w:rPr>
      </w:pPr>
      <w:r>
        <w:rPr>
          <w:rFonts w:ascii="Times New Roman" w:hAnsi="Times New Roman" w:cs="Times New Roman"/>
          <w:sz w:val="24"/>
        </w:rPr>
        <w:tab/>
      </w:r>
      <w:r w:rsidRPr="002E167B">
        <w:rPr>
          <w:rFonts w:ascii="Times New Roman" w:hAnsi="Times New Roman" w:cs="Times New Roman"/>
          <w:sz w:val="24"/>
        </w:rPr>
        <w:t>To study the effectiveness of the price policy during the harvest periods, the deviations of Farm Harvest Prices (FHP) from the Minimum Support Prices (MSP) were worked out and</w:t>
      </w:r>
      <w:r w:rsidR="000F2730">
        <w:rPr>
          <w:rFonts w:ascii="Times New Roman" w:hAnsi="Times New Roman" w:cs="Times New Roman"/>
          <w:sz w:val="24"/>
        </w:rPr>
        <w:t xml:space="preserve"> </w:t>
      </w:r>
      <w:r w:rsidRPr="002E167B">
        <w:rPr>
          <w:rFonts w:ascii="Times New Roman" w:hAnsi="Times New Roman" w:cs="Times New Roman"/>
          <w:sz w:val="24"/>
        </w:rPr>
        <w:t xml:space="preserve">divided into positive and negative deviations to examine whether market prices ruled higher or lower over the minimum support prices. The negative deviations reflected ineffectiveness of MSP policy for producers. The formulae used for the mean absolute negative/positive </w:t>
      </w:r>
      <w:proofErr w:type="gramStart"/>
      <w:r w:rsidRPr="002E167B">
        <w:rPr>
          <w:rFonts w:ascii="Times New Roman" w:hAnsi="Times New Roman" w:cs="Times New Roman"/>
          <w:sz w:val="24"/>
        </w:rPr>
        <w:t>deviation  (</w:t>
      </w:r>
      <w:proofErr w:type="gramEnd"/>
      <w:r w:rsidRPr="002E167B">
        <w:rPr>
          <w:rFonts w:ascii="Times New Roman" w:hAnsi="Times New Roman" w:cs="Times New Roman"/>
          <w:sz w:val="24"/>
        </w:rPr>
        <w:t xml:space="preserve">Ali </w:t>
      </w:r>
      <w:r w:rsidRPr="002E167B">
        <w:rPr>
          <w:rFonts w:ascii="Times New Roman" w:hAnsi="Times New Roman" w:cs="Times New Roman"/>
          <w:i/>
          <w:sz w:val="24"/>
        </w:rPr>
        <w:t>et al.</w:t>
      </w:r>
      <w:r w:rsidR="006E4BE8">
        <w:rPr>
          <w:rFonts w:ascii="Times New Roman" w:hAnsi="Times New Roman" w:cs="Times New Roman"/>
          <w:i/>
          <w:sz w:val="24"/>
        </w:rPr>
        <w:t>,</w:t>
      </w:r>
      <w:r w:rsidRPr="002E167B">
        <w:rPr>
          <w:rFonts w:ascii="Times New Roman" w:hAnsi="Times New Roman" w:cs="Times New Roman"/>
          <w:i/>
          <w:sz w:val="24"/>
        </w:rPr>
        <w:t xml:space="preserve"> </w:t>
      </w:r>
      <w:r w:rsidRPr="002E167B">
        <w:rPr>
          <w:rFonts w:ascii="Times New Roman" w:hAnsi="Times New Roman" w:cs="Times New Roman"/>
          <w:sz w:val="24"/>
        </w:rPr>
        <w:t>2012) were as follows:</w:t>
      </w:r>
    </w:p>
    <w:p w14:paraId="31DF5243" w14:textId="77777777" w:rsidR="000F2730" w:rsidRDefault="000F2730" w:rsidP="00AD3FCD">
      <w:pPr>
        <w:pStyle w:val="ListParagraph"/>
        <w:spacing w:before="240" w:line="276" w:lineRule="auto"/>
        <w:ind w:left="0" w:right="-283"/>
        <w:jc w:val="both"/>
        <w:rPr>
          <w:rFonts w:ascii="Times New Roman" w:hAnsi="Times New Roman" w:cs="Times New Roman"/>
          <w:sz w:val="24"/>
        </w:rPr>
      </w:pPr>
    </w:p>
    <w:p w14:paraId="04142DE4" w14:textId="5F63A51C" w:rsidR="000F2730" w:rsidRDefault="002E167B" w:rsidP="00AD3FCD">
      <w:pPr>
        <w:pStyle w:val="ListParagraph"/>
        <w:spacing w:after="80" w:line="276" w:lineRule="auto"/>
        <w:ind w:left="0" w:right="-284"/>
        <w:jc w:val="both"/>
        <w:rPr>
          <w:rFonts w:ascii="Times New Roman" w:hAnsi="Times New Roman" w:cs="Times New Roman"/>
          <w:bCs/>
          <w:sz w:val="24"/>
        </w:rPr>
      </w:pPr>
      <w:proofErr w:type="gramStart"/>
      <w:r w:rsidRPr="002E167B">
        <w:rPr>
          <w:rFonts w:ascii="Times New Roman" w:hAnsi="Times New Roman" w:cs="Times New Roman"/>
          <w:bCs/>
          <w:sz w:val="24"/>
        </w:rPr>
        <w:t>MAD  =</w:t>
      </w:r>
      <w:proofErr w:type="gramEnd"/>
      <w:r w:rsidRPr="002E167B">
        <w:rPr>
          <w:rFonts w:ascii="Times New Roman" w:hAnsi="Times New Roman" w:cs="Times New Roman"/>
          <w:bCs/>
          <w:sz w:val="24"/>
        </w:rPr>
        <w:t xml:space="preserve"> </w:t>
      </w:r>
      <m:oMath>
        <m:f>
          <m:fPr>
            <m:ctrlPr>
              <w:rPr>
                <w:rFonts w:ascii="Cambria Math" w:hAnsi="Cambria Math" w:cs="Times New Roman"/>
                <w:bCs/>
                <w:iCs/>
                <w:sz w:val="24"/>
              </w:rPr>
            </m:ctrlPr>
          </m:fPr>
          <m:num>
            <m:r>
              <m:rPr>
                <m:sty m:val="p"/>
              </m:rPr>
              <w:rPr>
                <w:rFonts w:ascii="Cambria Math" w:hAnsi="Cambria Math" w:cs="Times New Roman"/>
                <w:sz w:val="24"/>
              </w:rPr>
              <m:t>1</m:t>
            </m:r>
          </m:num>
          <m:den>
            <m:r>
              <m:rPr>
                <m:sty m:val="p"/>
              </m:rPr>
              <w:rPr>
                <w:rFonts w:ascii="Cambria Math" w:hAnsi="Cambria Math" w:cs="Times New Roman"/>
                <w:sz w:val="24"/>
              </w:rPr>
              <m:t>n</m:t>
            </m:r>
          </m:den>
        </m:f>
        <m:nary>
          <m:naryPr>
            <m:chr m:val="∑"/>
            <m:limLoc m:val="undOvr"/>
            <m:ctrlPr>
              <w:rPr>
                <w:rFonts w:ascii="Cambria Math" w:hAnsi="Cambria Math" w:cs="Times New Roman"/>
                <w:bCs/>
                <w:iCs/>
                <w:sz w:val="24"/>
              </w:rPr>
            </m:ctrlPr>
          </m:naryPr>
          <m:sub>
            <m:r>
              <m:rPr>
                <m:sty m:val="p"/>
              </m:rPr>
              <w:rPr>
                <w:rFonts w:ascii="Cambria Math" w:hAnsi="Cambria Math" w:cs="Times New Roman"/>
                <w:sz w:val="24"/>
              </w:rPr>
              <m:t>i=1</m:t>
            </m:r>
          </m:sub>
          <m:sup>
            <m:r>
              <m:rPr>
                <m:sty m:val="p"/>
              </m:rPr>
              <w:rPr>
                <w:rFonts w:ascii="Cambria Math" w:hAnsi="Cambria Math" w:cs="Times New Roman"/>
                <w:sz w:val="24"/>
              </w:rPr>
              <m:t>n</m:t>
            </m:r>
          </m:sup>
          <m:e>
            <m:r>
              <m:rPr>
                <m:sty m:val="p"/>
              </m:rPr>
              <w:rPr>
                <w:rFonts w:ascii="Cambria Math" w:hAnsi="Cambria Math" w:cs="Times New Roman"/>
                <w:sz w:val="24"/>
              </w:rPr>
              <m:t>|FHP </m:t>
            </m:r>
          </m:e>
        </m:nary>
      </m:oMath>
      <w:r w:rsidRPr="002E167B">
        <w:rPr>
          <w:rFonts w:ascii="Times New Roman" w:hAnsi="Times New Roman" w:cs="Times New Roman"/>
          <w:bCs/>
          <w:iCs/>
          <w:sz w:val="24"/>
          <w:vertAlign w:val="subscript"/>
        </w:rPr>
        <w:t>i</w:t>
      </w:r>
      <w:r w:rsidRPr="002E167B">
        <w:rPr>
          <w:rFonts w:ascii="Times New Roman" w:hAnsi="Times New Roman" w:cs="Times New Roman"/>
          <w:bCs/>
          <w:sz w:val="24"/>
          <w:vertAlign w:val="subscript"/>
        </w:rPr>
        <w:t xml:space="preserve">  </w:t>
      </w:r>
      <w:r w:rsidRPr="002E167B">
        <w:rPr>
          <w:rFonts w:ascii="Times New Roman" w:hAnsi="Times New Roman" w:cs="Times New Roman"/>
          <w:bCs/>
          <w:sz w:val="24"/>
        </w:rPr>
        <w:t xml:space="preserve">- </w:t>
      </w:r>
      <w:r w:rsidRPr="002E167B">
        <w:rPr>
          <w:rFonts w:ascii="Times New Roman" w:hAnsi="Times New Roman" w:cs="Times New Roman"/>
          <w:bCs/>
          <w:iCs/>
          <w:sz w:val="24"/>
        </w:rPr>
        <w:t xml:space="preserve">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iCs/>
          <w:sz w:val="24"/>
          <w:vertAlign w:val="subscript"/>
        </w:rPr>
        <w:t xml:space="preserve"> </w:t>
      </w:r>
      <w:r w:rsidRPr="002E167B">
        <w:rPr>
          <w:rFonts w:ascii="Times New Roman" w:hAnsi="Times New Roman" w:cs="Times New Roman"/>
          <w:bCs/>
          <w:sz w:val="24"/>
        </w:rPr>
        <w:t xml:space="preserve"> |</w:t>
      </w:r>
    </w:p>
    <w:p w14:paraId="0CC21C09" w14:textId="77777777" w:rsidR="000F2730" w:rsidRPr="002E167B" w:rsidRDefault="000F2730" w:rsidP="00AD3FCD">
      <w:pPr>
        <w:pStyle w:val="ListParagraph"/>
        <w:spacing w:after="80" w:line="276" w:lineRule="auto"/>
        <w:ind w:left="0" w:right="-284"/>
        <w:jc w:val="both"/>
        <w:rPr>
          <w:rFonts w:ascii="Times New Roman" w:hAnsi="Times New Roman" w:cs="Times New Roman"/>
          <w:bCs/>
          <w:sz w:val="24"/>
        </w:rPr>
      </w:pPr>
    </w:p>
    <w:p w14:paraId="55A4A548" w14:textId="77777777" w:rsidR="002E167B" w:rsidRPr="002E167B" w:rsidRDefault="002E167B" w:rsidP="00AD3FCD">
      <w:pPr>
        <w:pStyle w:val="ListParagraph"/>
        <w:spacing w:line="276" w:lineRule="auto"/>
        <w:ind w:left="0" w:right="-283"/>
        <w:jc w:val="both"/>
        <w:rPr>
          <w:rFonts w:ascii="Times New Roman" w:hAnsi="Times New Roman" w:cs="Times New Roman"/>
          <w:sz w:val="24"/>
        </w:rPr>
      </w:pPr>
      <w:proofErr w:type="gramStart"/>
      <w:r w:rsidRPr="002E167B">
        <w:rPr>
          <w:rFonts w:ascii="Times New Roman" w:hAnsi="Times New Roman" w:cs="Times New Roman"/>
          <w:sz w:val="24"/>
        </w:rPr>
        <w:t>If,  FHP</w:t>
      </w:r>
      <w:proofErr w:type="gramEnd"/>
      <w:r w:rsidRPr="002E167B">
        <w:rPr>
          <w:rFonts w:ascii="Times New Roman" w:hAnsi="Times New Roman" w:cs="Times New Roman"/>
          <w:sz w:val="24"/>
        </w:rPr>
        <w:t xml:space="preserve"> &gt; MSP = Positive Deviation (PD)</w:t>
      </w:r>
    </w:p>
    <w:p w14:paraId="28658E2E" w14:textId="77777777" w:rsidR="002E167B" w:rsidRPr="002E167B"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      FHP &lt; MSP = Negative Deviation (ND)</w:t>
      </w:r>
    </w:p>
    <w:p w14:paraId="1D2FADCF" w14:textId="77777777" w:rsidR="00BB0AFE"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where, </w:t>
      </w:r>
    </w:p>
    <w:p w14:paraId="7ED02809" w14:textId="5FC17EF0" w:rsidR="002E167B" w:rsidRPr="002E167B"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MAD = Mean Absolute Deviation, </w:t>
      </w:r>
    </w:p>
    <w:p w14:paraId="129CDA22" w14:textId="72CA5BC9" w:rsidR="002E167B" w:rsidRPr="002E167B" w:rsidRDefault="002E167B" w:rsidP="00AD3FCD">
      <w:pPr>
        <w:pStyle w:val="ListParagraph"/>
        <w:spacing w:line="276" w:lineRule="auto"/>
        <w:ind w:left="0"/>
        <w:jc w:val="both"/>
        <w:rPr>
          <w:rFonts w:ascii="Times New Roman" w:hAnsi="Times New Roman" w:cs="Times New Roman"/>
          <w:sz w:val="24"/>
        </w:rPr>
      </w:pPr>
      <w:proofErr w:type="gramStart"/>
      <w:r w:rsidRPr="002E167B">
        <w:rPr>
          <w:rFonts w:ascii="Times New Roman" w:hAnsi="Times New Roman" w:cs="Times New Roman"/>
          <w:sz w:val="24"/>
        </w:rPr>
        <w:t>FHP</w:t>
      </w:r>
      <w:r w:rsidR="006E4BE8">
        <w:rPr>
          <w:rFonts w:ascii="Times New Roman" w:hAnsi="Times New Roman" w:cs="Times New Roman"/>
          <w:sz w:val="24"/>
        </w:rPr>
        <w:t xml:space="preserve"> </w:t>
      </w:r>
      <w:r w:rsidRPr="002E167B">
        <w:rPr>
          <w:rFonts w:ascii="Times New Roman" w:hAnsi="Times New Roman" w:cs="Times New Roman"/>
          <w:sz w:val="24"/>
        </w:rPr>
        <w:t xml:space="preserve"> =</w:t>
      </w:r>
      <w:proofErr w:type="gramEnd"/>
      <w:r w:rsidRPr="002E167B">
        <w:rPr>
          <w:rFonts w:ascii="Times New Roman" w:hAnsi="Times New Roman" w:cs="Times New Roman"/>
          <w:sz w:val="24"/>
        </w:rPr>
        <w:t xml:space="preserve"> Farm Harvest Price,</w:t>
      </w:r>
    </w:p>
    <w:p w14:paraId="2668FD61"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MSP = Minimum Support Price and </w:t>
      </w:r>
    </w:p>
    <w:p w14:paraId="24CD4077" w14:textId="22B52450"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n</w:t>
      </w:r>
      <w:r w:rsidR="000F2730">
        <w:rPr>
          <w:rFonts w:ascii="Times New Roman" w:hAnsi="Times New Roman" w:cs="Times New Roman"/>
          <w:sz w:val="24"/>
        </w:rPr>
        <w:t xml:space="preserve">   </w:t>
      </w:r>
      <w:r w:rsidRPr="002E167B">
        <w:rPr>
          <w:rFonts w:ascii="Times New Roman" w:hAnsi="Times New Roman" w:cs="Times New Roman"/>
          <w:sz w:val="24"/>
        </w:rPr>
        <w:t>= Frequency of positive or negative deviations</w:t>
      </w:r>
    </w:p>
    <w:p w14:paraId="297275C1" w14:textId="6DD78490" w:rsidR="006E4BE8" w:rsidRPr="000F2730"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ab/>
        <w:t xml:space="preserve">These deviations was </w:t>
      </w:r>
      <w:proofErr w:type="gramStart"/>
      <w:r w:rsidRPr="002E167B">
        <w:rPr>
          <w:rFonts w:ascii="Times New Roman" w:hAnsi="Times New Roman" w:cs="Times New Roman"/>
          <w:sz w:val="24"/>
        </w:rPr>
        <w:t>then  adjusted</w:t>
      </w:r>
      <w:proofErr w:type="gramEnd"/>
      <w:r w:rsidRPr="002E167B">
        <w:rPr>
          <w:rFonts w:ascii="Times New Roman" w:hAnsi="Times New Roman" w:cs="Times New Roman"/>
          <w:sz w:val="24"/>
        </w:rPr>
        <w:t xml:space="preserve"> with MSP in order to examine the degree of their deviation from the MSP. The formulae used for the adjusted mean negative/ </w:t>
      </w:r>
      <w:r w:rsidR="006E4BE8">
        <w:rPr>
          <w:rFonts w:ascii="Times New Roman" w:hAnsi="Times New Roman" w:cs="Times New Roman"/>
          <w:sz w:val="24"/>
        </w:rPr>
        <w:t xml:space="preserve">  </w:t>
      </w:r>
      <w:r w:rsidRPr="002E167B">
        <w:rPr>
          <w:rFonts w:ascii="Times New Roman" w:hAnsi="Times New Roman" w:cs="Times New Roman"/>
          <w:sz w:val="24"/>
        </w:rPr>
        <w:t xml:space="preserve">positive deviation were as </w:t>
      </w:r>
      <w:proofErr w:type="gramStart"/>
      <w:r w:rsidRPr="002E167B">
        <w:rPr>
          <w:rFonts w:ascii="Times New Roman" w:hAnsi="Times New Roman" w:cs="Times New Roman"/>
          <w:sz w:val="24"/>
        </w:rPr>
        <w:t>follows :</w:t>
      </w:r>
      <w:proofErr w:type="gramEnd"/>
      <w:r w:rsidRPr="002E167B">
        <w:rPr>
          <w:rFonts w:ascii="Times New Roman" w:hAnsi="Times New Roman" w:cs="Times New Roman"/>
          <w:sz w:val="24"/>
        </w:rPr>
        <w:t> </w:t>
      </w:r>
    </w:p>
    <w:p w14:paraId="3C0BA9F7" w14:textId="77777777" w:rsidR="000F2730" w:rsidRDefault="000F2730" w:rsidP="00AD3FCD">
      <w:pPr>
        <w:pStyle w:val="ListParagraph"/>
        <w:spacing w:before="240" w:line="276" w:lineRule="auto"/>
        <w:ind w:left="0"/>
        <w:jc w:val="both"/>
        <w:rPr>
          <w:rFonts w:ascii="Times New Roman" w:hAnsi="Times New Roman" w:cs="Times New Roman"/>
          <w:bCs/>
          <w:sz w:val="24"/>
        </w:rPr>
      </w:pPr>
    </w:p>
    <w:p w14:paraId="561E93C6" w14:textId="2684389B" w:rsidR="006E4BE8" w:rsidRDefault="002E167B" w:rsidP="00AD3FCD">
      <w:pPr>
        <w:pStyle w:val="ListParagraph"/>
        <w:spacing w:before="240" w:line="276" w:lineRule="auto"/>
        <w:ind w:left="0"/>
        <w:jc w:val="both"/>
        <w:rPr>
          <w:rFonts w:ascii="Times New Roman" w:hAnsi="Times New Roman" w:cs="Times New Roman"/>
          <w:sz w:val="24"/>
        </w:rPr>
      </w:pPr>
      <w:r w:rsidRPr="002E167B">
        <w:rPr>
          <w:rFonts w:ascii="Times New Roman" w:hAnsi="Times New Roman" w:cs="Times New Roman"/>
          <w:bCs/>
          <w:sz w:val="24"/>
        </w:rPr>
        <w:t xml:space="preserve">AMD = </w:t>
      </w:r>
      <m:oMath>
        <m:f>
          <m:fPr>
            <m:ctrlPr>
              <w:rPr>
                <w:rFonts w:ascii="Cambria Math" w:hAnsi="Cambria Math" w:cs="Times New Roman"/>
                <w:bCs/>
                <w:iCs/>
                <w:sz w:val="24"/>
              </w:rPr>
            </m:ctrlPr>
          </m:fPr>
          <m:num>
            <m:r>
              <m:rPr>
                <m:sty m:val="p"/>
              </m:rPr>
              <w:rPr>
                <w:rFonts w:ascii="Cambria Math" w:hAnsi="Cambria Math" w:cs="Times New Roman"/>
                <w:sz w:val="24"/>
              </w:rPr>
              <m:t>1</m:t>
            </m:r>
          </m:num>
          <m:den>
            <m:r>
              <m:rPr>
                <m:sty m:val="p"/>
              </m:rPr>
              <w:rPr>
                <w:rFonts w:ascii="Cambria Math" w:hAnsi="Cambria Math" w:cs="Times New Roman"/>
                <w:sz w:val="24"/>
              </w:rPr>
              <m:t>n</m:t>
            </m:r>
          </m:den>
        </m:f>
      </m:oMath>
      <w:r w:rsidRPr="002E167B">
        <w:rPr>
          <w:rFonts w:ascii="Times New Roman" w:hAnsi="Times New Roman" w:cs="Times New Roman"/>
          <w:bCs/>
          <w:sz w:val="24"/>
        </w:rPr>
        <w:t xml:space="preserve"> </w:t>
      </w:r>
      <m:oMath>
        <m:nary>
          <m:naryPr>
            <m:chr m:val="∑"/>
            <m:limLoc m:val="undOvr"/>
            <m:ctrlPr>
              <w:rPr>
                <w:rFonts w:ascii="Cambria Math" w:hAnsi="Cambria Math" w:cs="Times New Roman"/>
                <w:bCs/>
                <w:iCs/>
                <w:sz w:val="24"/>
              </w:rPr>
            </m:ctrlPr>
          </m:naryPr>
          <m:sub>
            <m:r>
              <m:rPr>
                <m:sty m:val="p"/>
              </m:rPr>
              <w:rPr>
                <w:rFonts w:ascii="Cambria Math" w:hAnsi="Cambria Math" w:cs="Times New Roman"/>
                <w:sz w:val="24"/>
              </w:rPr>
              <m:t>i=1</m:t>
            </m:r>
          </m:sub>
          <m:sup>
            <m:r>
              <m:rPr>
                <m:sty m:val="p"/>
              </m:rPr>
              <w:rPr>
                <w:rFonts w:ascii="Cambria Math" w:hAnsi="Cambria Math" w:cs="Times New Roman"/>
                <w:sz w:val="24"/>
              </w:rPr>
              <m:t>n</m:t>
            </m:r>
          </m:sup>
          <m:e>
            <m:r>
              <m:rPr>
                <m:sty m:val="p"/>
              </m:rPr>
              <w:rPr>
                <w:rFonts w:ascii="Cambria Math" w:hAnsi="Cambria Math" w:cs="Times New Roman"/>
                <w:sz w:val="24"/>
              </w:rPr>
              <m:t>(|FHP</m:t>
            </m:r>
          </m:e>
        </m:nary>
      </m:oMath>
      <w:proofErr w:type="gramStart"/>
      <w:r w:rsidRPr="002E167B">
        <w:rPr>
          <w:rFonts w:ascii="Times New Roman" w:hAnsi="Times New Roman" w:cs="Times New Roman"/>
          <w:bCs/>
          <w:iCs/>
          <w:sz w:val="24"/>
          <w:vertAlign w:val="subscript"/>
        </w:rPr>
        <w:t xml:space="preserve">i  </w:t>
      </w:r>
      <w:r w:rsidRPr="002E167B">
        <w:rPr>
          <w:rFonts w:ascii="Times New Roman" w:hAnsi="Times New Roman" w:cs="Times New Roman"/>
          <w:bCs/>
          <w:sz w:val="24"/>
        </w:rPr>
        <w:t>-</w:t>
      </w:r>
      <w:proofErr w:type="gramEnd"/>
      <w:r w:rsidRPr="002E167B">
        <w:rPr>
          <w:rFonts w:ascii="Times New Roman" w:hAnsi="Times New Roman" w:cs="Times New Roman"/>
          <w:bCs/>
          <w:sz w:val="24"/>
        </w:rPr>
        <w:t xml:space="preserve"> 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iCs/>
          <w:sz w:val="24"/>
          <w:vertAlign w:val="subscript"/>
        </w:rPr>
        <w:t xml:space="preserve"> </w:t>
      </w:r>
      <w:r w:rsidRPr="002E167B">
        <w:rPr>
          <w:rFonts w:ascii="Times New Roman" w:hAnsi="Times New Roman" w:cs="Times New Roman"/>
          <w:bCs/>
          <w:sz w:val="24"/>
        </w:rPr>
        <w:t>|</w:t>
      </w:r>
      <w:r w:rsidR="006E4BE8">
        <w:rPr>
          <w:rFonts w:ascii="Times New Roman" w:hAnsi="Times New Roman" w:cs="Times New Roman"/>
          <w:bCs/>
          <w:sz w:val="24"/>
        </w:rPr>
        <w:t>/</w:t>
      </w:r>
      <w:r w:rsidRPr="002E167B">
        <w:rPr>
          <w:rFonts w:ascii="Times New Roman" w:hAnsi="Times New Roman" w:cs="Times New Roman"/>
          <w:bCs/>
          <w:sz w:val="24"/>
        </w:rPr>
        <w:t xml:space="preserve">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sz w:val="24"/>
        </w:rPr>
        <w:t>) * 10</w:t>
      </w:r>
      <w:r w:rsidRPr="002E167B">
        <w:rPr>
          <w:rFonts w:ascii="Times New Roman" w:hAnsi="Times New Roman" w:cs="Times New Roman"/>
          <w:sz w:val="24"/>
        </w:rPr>
        <w:t>0 </w:t>
      </w:r>
    </w:p>
    <w:p w14:paraId="397C5DE9" w14:textId="77777777" w:rsidR="000F2730" w:rsidRPr="002E167B" w:rsidRDefault="000F2730" w:rsidP="00AD3FCD">
      <w:pPr>
        <w:pStyle w:val="ListParagraph"/>
        <w:spacing w:before="240" w:line="276" w:lineRule="auto"/>
        <w:ind w:left="0"/>
        <w:jc w:val="both"/>
        <w:rPr>
          <w:rFonts w:ascii="Times New Roman" w:hAnsi="Times New Roman" w:cs="Times New Roman"/>
          <w:sz w:val="24"/>
        </w:rPr>
      </w:pPr>
    </w:p>
    <w:p w14:paraId="16E6C8B7" w14:textId="77777777" w:rsidR="002E167B" w:rsidRPr="002E167B" w:rsidRDefault="002E167B" w:rsidP="00AD3FCD">
      <w:pPr>
        <w:pStyle w:val="ListParagraph"/>
        <w:spacing w:line="276" w:lineRule="auto"/>
        <w:ind w:left="0"/>
        <w:jc w:val="both"/>
        <w:rPr>
          <w:rFonts w:ascii="Times New Roman" w:hAnsi="Times New Roman" w:cs="Times New Roman"/>
          <w:sz w:val="24"/>
        </w:rPr>
      </w:pPr>
      <w:proofErr w:type="gramStart"/>
      <w:r w:rsidRPr="002E167B">
        <w:rPr>
          <w:rFonts w:ascii="Times New Roman" w:hAnsi="Times New Roman" w:cs="Times New Roman"/>
          <w:sz w:val="24"/>
        </w:rPr>
        <w:t>If,  FHP</w:t>
      </w:r>
      <w:proofErr w:type="gramEnd"/>
      <w:r w:rsidRPr="002E167B">
        <w:rPr>
          <w:rFonts w:ascii="Times New Roman" w:hAnsi="Times New Roman" w:cs="Times New Roman"/>
          <w:sz w:val="24"/>
        </w:rPr>
        <w:t xml:space="preserve"> &gt; MSP = Positive Deviation (PD)</w:t>
      </w:r>
    </w:p>
    <w:p w14:paraId="2EAED093"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      FHP &lt; MSP = Negative Deviation (ND)</w:t>
      </w:r>
    </w:p>
    <w:p w14:paraId="038464CF"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where, </w:t>
      </w:r>
    </w:p>
    <w:p w14:paraId="091BFEAB"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AMD = Adjusted Mean Deviation</w:t>
      </w:r>
    </w:p>
    <w:p w14:paraId="120592B5" w14:textId="5FF43C8A"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FHP </w:t>
      </w:r>
      <w:r w:rsidR="006E4BE8">
        <w:rPr>
          <w:rFonts w:ascii="Times New Roman" w:hAnsi="Times New Roman" w:cs="Times New Roman"/>
          <w:sz w:val="24"/>
        </w:rPr>
        <w:t xml:space="preserve">  </w:t>
      </w:r>
      <w:r w:rsidRPr="002E167B">
        <w:rPr>
          <w:rFonts w:ascii="Times New Roman" w:hAnsi="Times New Roman" w:cs="Times New Roman"/>
          <w:sz w:val="24"/>
        </w:rPr>
        <w:t>= Farm Harvest Price,</w:t>
      </w:r>
    </w:p>
    <w:p w14:paraId="7AD9E026" w14:textId="604791C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MSP</w:t>
      </w:r>
      <w:r w:rsidR="006E4BE8">
        <w:rPr>
          <w:rFonts w:ascii="Times New Roman" w:hAnsi="Times New Roman" w:cs="Times New Roman"/>
          <w:sz w:val="24"/>
        </w:rPr>
        <w:t xml:space="preserve">  </w:t>
      </w:r>
      <w:r w:rsidRPr="002E167B">
        <w:rPr>
          <w:rFonts w:ascii="Times New Roman" w:hAnsi="Times New Roman" w:cs="Times New Roman"/>
          <w:sz w:val="24"/>
        </w:rPr>
        <w:t xml:space="preserve"> = Minimum Support Price and </w:t>
      </w:r>
    </w:p>
    <w:p w14:paraId="25F6F103" w14:textId="2FD8A541" w:rsidR="002E167B" w:rsidRPr="002E167B" w:rsidRDefault="002E167B" w:rsidP="00AD3FCD">
      <w:pPr>
        <w:pStyle w:val="ListParagraph"/>
        <w:spacing w:line="276" w:lineRule="auto"/>
        <w:ind w:left="0"/>
        <w:jc w:val="both"/>
        <w:rPr>
          <w:rFonts w:ascii="Times New Roman" w:hAnsi="Times New Roman" w:cs="Times New Roman"/>
          <w:sz w:val="24"/>
        </w:rPr>
      </w:pPr>
      <w:proofErr w:type="gramStart"/>
      <w:r w:rsidRPr="002E167B">
        <w:rPr>
          <w:rFonts w:ascii="Times New Roman" w:hAnsi="Times New Roman" w:cs="Times New Roman"/>
          <w:sz w:val="24"/>
        </w:rPr>
        <w:t xml:space="preserve">n </w:t>
      </w:r>
      <w:r w:rsidR="006E4BE8">
        <w:rPr>
          <w:rFonts w:ascii="Times New Roman" w:hAnsi="Times New Roman" w:cs="Times New Roman"/>
          <w:sz w:val="24"/>
        </w:rPr>
        <w:t xml:space="preserve"> </w:t>
      </w:r>
      <w:r w:rsidRPr="002E167B">
        <w:rPr>
          <w:rFonts w:ascii="Times New Roman" w:hAnsi="Times New Roman" w:cs="Times New Roman"/>
          <w:sz w:val="24"/>
        </w:rPr>
        <w:t>=</w:t>
      </w:r>
      <w:proofErr w:type="gramEnd"/>
      <w:r w:rsidRPr="002E167B">
        <w:rPr>
          <w:rFonts w:ascii="Times New Roman" w:hAnsi="Times New Roman" w:cs="Times New Roman"/>
          <w:sz w:val="24"/>
        </w:rPr>
        <w:t xml:space="preserve"> Frequency of positive or negative deviations</w:t>
      </w:r>
    </w:p>
    <w:p w14:paraId="6BF31CE4" w14:textId="77777777" w:rsidR="00AD3FCD" w:rsidRDefault="006E4BE8" w:rsidP="00AD3FCD">
      <w:pPr>
        <w:pStyle w:val="ListParagraph"/>
        <w:spacing w:line="276" w:lineRule="auto"/>
        <w:ind w:left="-283"/>
        <w:jc w:val="both"/>
        <w:rPr>
          <w:rFonts w:ascii="Times New Roman" w:hAnsi="Times New Roman" w:cs="Times New Roman"/>
          <w:sz w:val="24"/>
        </w:rPr>
      </w:pPr>
      <w:r>
        <w:rPr>
          <w:rFonts w:ascii="Times New Roman" w:hAnsi="Times New Roman" w:cs="Times New Roman"/>
          <w:sz w:val="24"/>
        </w:rPr>
        <w:tab/>
      </w:r>
    </w:p>
    <w:p w14:paraId="1A95FCE2" w14:textId="77777777" w:rsidR="00AD3FCD" w:rsidRDefault="00AD3FCD" w:rsidP="00AD3FCD">
      <w:pPr>
        <w:pStyle w:val="ListParagraph"/>
        <w:spacing w:line="276" w:lineRule="auto"/>
        <w:ind w:left="-283"/>
        <w:jc w:val="both"/>
        <w:rPr>
          <w:rFonts w:ascii="Times New Roman" w:hAnsi="Times New Roman" w:cs="Times New Roman"/>
          <w:sz w:val="24"/>
        </w:rPr>
      </w:pPr>
    </w:p>
    <w:p w14:paraId="05F4CAD3" w14:textId="77777777" w:rsidR="00AD3FCD" w:rsidRDefault="00AD3FCD" w:rsidP="00AD3FCD">
      <w:pPr>
        <w:pStyle w:val="ListParagraph"/>
        <w:spacing w:line="276" w:lineRule="auto"/>
        <w:ind w:left="-283"/>
        <w:jc w:val="both"/>
        <w:rPr>
          <w:rFonts w:ascii="Times New Roman" w:hAnsi="Times New Roman" w:cs="Times New Roman"/>
          <w:sz w:val="24"/>
        </w:rPr>
      </w:pPr>
    </w:p>
    <w:p w14:paraId="0D88BD89" w14:textId="07132EBD" w:rsidR="002E167B" w:rsidRPr="002E167B" w:rsidRDefault="002E167B" w:rsidP="00AD3FCD">
      <w:pPr>
        <w:pStyle w:val="ListParagraph"/>
        <w:spacing w:line="276" w:lineRule="auto"/>
        <w:ind w:left="-283"/>
        <w:jc w:val="both"/>
        <w:rPr>
          <w:rFonts w:ascii="Times New Roman" w:hAnsi="Times New Roman" w:cs="Times New Roman"/>
          <w:sz w:val="24"/>
        </w:rPr>
      </w:pPr>
      <w:r w:rsidRPr="002E167B">
        <w:rPr>
          <w:rFonts w:ascii="Times New Roman" w:hAnsi="Times New Roman" w:cs="Times New Roman"/>
          <w:sz w:val="24"/>
        </w:rPr>
        <w:t>The significance of gap between FHP and MSP of food crops was tested by two sample t-</w:t>
      </w:r>
      <w:proofErr w:type="gramStart"/>
      <w:r w:rsidRPr="002E167B">
        <w:rPr>
          <w:rFonts w:ascii="Times New Roman" w:hAnsi="Times New Roman" w:cs="Times New Roman"/>
          <w:sz w:val="24"/>
        </w:rPr>
        <w:t>test  (</w:t>
      </w:r>
      <w:proofErr w:type="spellStart"/>
      <w:proofErr w:type="gramEnd"/>
      <w:r w:rsidRPr="002E167B">
        <w:rPr>
          <w:rFonts w:ascii="Times New Roman" w:hAnsi="Times New Roman" w:cs="Times New Roman"/>
          <w:sz w:val="24"/>
        </w:rPr>
        <w:t>Ritu</w:t>
      </w:r>
      <w:proofErr w:type="spellEnd"/>
      <w:r w:rsidRPr="002E167B">
        <w:rPr>
          <w:rFonts w:ascii="Times New Roman" w:hAnsi="Times New Roman" w:cs="Times New Roman"/>
          <w:sz w:val="24"/>
        </w:rPr>
        <w:t xml:space="preserve"> </w:t>
      </w:r>
      <w:r w:rsidRPr="002E167B">
        <w:rPr>
          <w:rFonts w:ascii="Times New Roman" w:hAnsi="Times New Roman" w:cs="Times New Roman"/>
          <w:i/>
          <w:sz w:val="24"/>
        </w:rPr>
        <w:t>et al.,</w:t>
      </w:r>
      <w:r w:rsidRPr="002E167B">
        <w:rPr>
          <w:rFonts w:ascii="Times New Roman" w:hAnsi="Times New Roman" w:cs="Times New Roman"/>
          <w:sz w:val="24"/>
        </w:rPr>
        <w:t xml:space="preserve"> 2020):</w:t>
      </w:r>
    </w:p>
    <w:p w14:paraId="66DAB3D1" w14:textId="77777777" w:rsidR="006F78F2" w:rsidRDefault="006F78F2" w:rsidP="00AD3FCD">
      <w:pPr>
        <w:pStyle w:val="ListParagraph"/>
        <w:spacing w:line="276" w:lineRule="auto"/>
        <w:ind w:left="0"/>
        <w:jc w:val="both"/>
        <w:rPr>
          <w:rFonts w:ascii="Times New Roman" w:eastAsiaTheme="minorEastAsia" w:hAnsi="Times New Roman" w:cs="Times New Roman"/>
          <w:sz w:val="24"/>
        </w:rPr>
      </w:pPr>
    </w:p>
    <w:p w14:paraId="02DF23F4" w14:textId="79F5D433" w:rsidR="00BB0AFE" w:rsidRPr="000F2730" w:rsidRDefault="006E4BE8" w:rsidP="00AD3FCD">
      <w:pPr>
        <w:pStyle w:val="ListParagraph"/>
        <w:spacing w:line="276" w:lineRule="auto"/>
        <w:ind w:left="-283"/>
        <w:jc w:val="both"/>
        <w:rPr>
          <w:rFonts w:ascii="Times New Roman" w:eastAsiaTheme="minorEastAsia" w:hAnsi="Times New Roman" w:cs="Times New Roman"/>
          <w:iCs/>
          <w:sz w:val="24"/>
        </w:rPr>
      </w:pPr>
      <m:oMathPara>
        <m:oMath>
          <m:r>
            <m:rPr>
              <m:sty m:val="p"/>
            </m:rPr>
            <w:rPr>
              <w:rFonts w:ascii="Cambria Math" w:hAnsi="Cambria Math" w:cs="Times New Roman"/>
              <w:sz w:val="24"/>
            </w:rPr>
            <w:lastRenderedPageBreak/>
            <m:t>t=</m:t>
          </m:r>
          <m:f>
            <m:fPr>
              <m:ctrlPr>
                <w:rPr>
                  <w:rFonts w:ascii="Cambria Math" w:hAnsi="Cambria Math" w:cs="Times New Roman"/>
                  <w:iCs/>
                  <w:sz w:val="24"/>
                </w:rPr>
              </m:ctrlPr>
            </m:fPr>
            <m:num>
              <m:acc>
                <m:accPr>
                  <m:chr m:val="̅"/>
                  <m:ctrlPr>
                    <w:rPr>
                      <w:rFonts w:ascii="Cambria Math" w:hAnsi="Cambria Math" w:cs="Times New Roman"/>
                      <w:iCs/>
                      <w:sz w:val="24"/>
                    </w:rPr>
                  </m:ctrlPr>
                </m:accPr>
                <m:e>
                  <m:r>
                    <m:rPr>
                      <m:sty m:val="p"/>
                    </m:rPr>
                    <w:rPr>
                      <w:rFonts w:ascii="Cambria Math" w:hAnsi="Cambria Math" w:cs="Times New Roman"/>
                      <w:sz w:val="24"/>
                    </w:rPr>
                    <m:t>x</m:t>
                  </m:r>
                </m:e>
              </m:acc>
              <m:r>
                <m:rPr>
                  <m:sty m:val="p"/>
                </m:rPr>
                <w:rPr>
                  <w:rFonts w:ascii="Cambria Math" w:hAnsi="Cambria Math" w:cs="Times New Roman"/>
                  <w:sz w:val="24"/>
                </w:rPr>
                <m:t>-</m:t>
              </m:r>
              <m:acc>
                <m:accPr>
                  <m:chr m:val="̅"/>
                  <m:ctrlPr>
                    <w:rPr>
                      <w:rFonts w:ascii="Cambria Math" w:hAnsi="Cambria Math" w:cs="Times New Roman"/>
                      <w:iCs/>
                      <w:sz w:val="24"/>
                    </w:rPr>
                  </m:ctrlPr>
                </m:accPr>
                <m:e>
                  <m:r>
                    <m:rPr>
                      <m:sty m:val="p"/>
                    </m:rPr>
                    <w:rPr>
                      <w:rFonts w:ascii="Cambria Math" w:hAnsi="Cambria Math" w:cs="Times New Roman"/>
                      <w:sz w:val="24"/>
                    </w:rPr>
                    <m:t>y</m:t>
                  </m:r>
                </m:e>
              </m:acc>
            </m:num>
            <m:den>
              <m:r>
                <m:rPr>
                  <m:sty m:val="p"/>
                </m:rPr>
                <w:rPr>
                  <w:rFonts w:ascii="Cambria Math" w:hAnsi="Cambria Math" w:cs="Times New Roman"/>
                  <w:sz w:val="24"/>
                </w:rPr>
                <m:t>s</m:t>
              </m:r>
              <m:rad>
                <m:radPr>
                  <m:degHide m:val="1"/>
                  <m:ctrlPr>
                    <w:rPr>
                      <w:rFonts w:ascii="Cambria Math" w:hAnsi="Cambria Math" w:cs="Times New Roman"/>
                      <w:iCs/>
                      <w:sz w:val="24"/>
                    </w:rPr>
                  </m:ctrlPr>
                </m:radPr>
                <m:deg/>
                <m:e>
                  <m:f>
                    <m:fPr>
                      <m:ctrlPr>
                        <w:rPr>
                          <w:rFonts w:ascii="Cambria Math" w:hAnsi="Cambria Math" w:cs="Times New Roman"/>
                          <w:iCs/>
                          <w:sz w:val="24"/>
                        </w:rPr>
                      </m:ctrlPr>
                    </m:fPr>
                    <m:num>
                      <m:r>
                        <m:rPr>
                          <m:sty m:val="p"/>
                        </m:rPr>
                        <w:rPr>
                          <w:rFonts w:ascii="Cambria Math" w:hAnsi="Cambria Math" w:cs="Times New Roman"/>
                          <w:sz w:val="24"/>
                        </w:rPr>
                        <m:t>1</m:t>
                      </m:r>
                    </m:num>
                    <m:den>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x</m:t>
                          </m:r>
                        </m:sub>
                      </m:sSub>
                    </m:den>
                  </m:f>
                  <m:r>
                    <m:rPr>
                      <m:sty m:val="p"/>
                    </m:rPr>
                    <w:rPr>
                      <w:rFonts w:ascii="Cambria Math" w:hAnsi="Cambria Math" w:cs="Times New Roman"/>
                      <w:sz w:val="24"/>
                    </w:rPr>
                    <m:t>+</m:t>
                  </m:r>
                  <m:f>
                    <m:fPr>
                      <m:ctrlPr>
                        <w:rPr>
                          <w:rFonts w:ascii="Cambria Math" w:hAnsi="Cambria Math" w:cs="Times New Roman"/>
                          <w:iCs/>
                          <w:sz w:val="24"/>
                        </w:rPr>
                      </m:ctrlPr>
                    </m:fPr>
                    <m:num>
                      <m:r>
                        <m:rPr>
                          <m:sty m:val="p"/>
                        </m:rPr>
                        <w:rPr>
                          <w:rFonts w:ascii="Cambria Math" w:hAnsi="Cambria Math" w:cs="Times New Roman"/>
                          <w:sz w:val="24"/>
                        </w:rPr>
                        <m:t>1</m:t>
                      </m:r>
                    </m:num>
                    <m:den>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y</m:t>
                          </m:r>
                        </m:sub>
                      </m:sSub>
                    </m:den>
                  </m:f>
                </m:e>
              </m:rad>
            </m:den>
          </m:f>
        </m:oMath>
      </m:oMathPara>
    </w:p>
    <w:p w14:paraId="7B7F9A2D" w14:textId="7A2890B3" w:rsidR="002E167B" w:rsidRPr="000F2730" w:rsidRDefault="002214A6" w:rsidP="00AD3FCD">
      <w:pPr>
        <w:pStyle w:val="ListParagraph"/>
        <w:spacing w:line="276" w:lineRule="auto"/>
        <w:ind w:left="0"/>
        <w:jc w:val="both"/>
        <w:rPr>
          <w:rFonts w:ascii="Times New Roman" w:hAnsi="Times New Roman" w:cs="Times New Roman"/>
          <w:sz w:val="24"/>
          <w:szCs w:val="24"/>
        </w:rPr>
      </w:pP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S</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2E167B" w:rsidRPr="000F2730">
        <w:rPr>
          <w:rFonts w:ascii="Times New Roman" w:hAnsi="Times New Roman" w:cs="Times New Roman"/>
          <w:bCs/>
          <w:sz w:val="24"/>
          <w:szCs w:val="24"/>
          <w:vertAlign w:val="superscript"/>
        </w:rPr>
        <w:t>=</w:t>
      </w:r>
      <m:oMath>
        <m:r>
          <m:rPr>
            <m:sty m:val="p"/>
          </m:rPr>
          <w:rPr>
            <w:rFonts w:ascii="Cambria Math" w:hAnsi="Cambria Math" w:cs="Times New Roman"/>
            <w:sz w:val="24"/>
            <w:szCs w:val="24"/>
          </w:rPr>
          <m:t> </m:t>
        </m:r>
      </m:oMath>
      <w:r w:rsidR="002E167B" w:rsidRPr="000F2730">
        <w:rPr>
          <w:rFonts w:ascii="Times New Roman" w:hAnsi="Times New Roman" w:cs="Times New Roman"/>
          <w:bCs/>
          <w:sz w:val="24"/>
          <w:szCs w:val="24"/>
          <w:vertAlign w:val="superscript"/>
        </w:rPr>
        <w:t xml:space="preserve"> </w:t>
      </w:r>
      <m:oMath>
        <m:f>
          <m:fPr>
            <m:ctrlPr>
              <w:rPr>
                <w:rFonts w:ascii="Cambria Math" w:hAnsi="Cambria Math" w:cs="Times New Roman"/>
                <w:bCs/>
                <w:iCs/>
                <w:sz w:val="24"/>
                <w:szCs w:val="24"/>
              </w:rPr>
            </m:ctrlPr>
          </m:fPr>
          <m:num>
            <m:r>
              <m:rPr>
                <m:sty m:val="p"/>
              </m:rPr>
              <w:rPr>
                <w:rFonts w:ascii="Cambria Math" w:hAnsi="Cambria Math" w:cs="Times New Roman"/>
                <w:sz w:val="24"/>
                <w:szCs w:val="24"/>
                <w:lang w:val="en-US"/>
              </w:rPr>
              <m:t> </m:t>
            </m:r>
            <m:d>
              <m:dPr>
                <m:ctrlPr>
                  <w:rPr>
                    <w:rFonts w:ascii="Cambria Math" w:hAnsi="Cambria Math" w:cs="Times New Roman"/>
                    <w:bCs/>
                    <w:iCs/>
                    <w:sz w:val="24"/>
                    <w:szCs w:val="24"/>
                    <w:lang w:val="en-US"/>
                  </w:rPr>
                </m:ctrlPr>
              </m:dPr>
              <m:e>
                <m:r>
                  <m:rPr>
                    <m:sty m:val="p"/>
                  </m:rPr>
                  <w:rPr>
                    <w:rFonts w:ascii="Cambria Math" w:hAnsi="Cambria Math" w:cs="Times New Roman"/>
                    <w:sz w:val="24"/>
                    <w:szCs w:val="24"/>
                    <w:lang w:val="en-US"/>
                  </w:rPr>
                  <m:t> </m:t>
                </m:r>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n</m:t>
                    </m:r>
                  </m:e>
                  <m:sub>
                    <m:r>
                      <m:rPr>
                        <m:sty m:val="p"/>
                      </m:rPr>
                      <w:rPr>
                        <w:rFonts w:ascii="Cambria Math" w:hAnsi="Cambria Math" w:cs="Times New Roman"/>
                        <w:sz w:val="24"/>
                        <w:szCs w:val="24"/>
                        <w:lang w:val="en-US"/>
                      </w:rPr>
                      <m:t>x </m:t>
                    </m:r>
                  </m:sub>
                </m:sSub>
                <m:r>
                  <m:rPr>
                    <m:sty m:val="p"/>
                  </m:rPr>
                  <w:rPr>
                    <w:rFonts w:ascii="Cambria Math" w:hAnsi="Cambria Math" w:cs="Times New Roman"/>
                    <w:sz w:val="24"/>
                    <w:szCs w:val="24"/>
                    <w:lang w:val="en-US"/>
                  </w:rPr>
                  <m:t> -1 </m:t>
                </m:r>
              </m:e>
            </m:d>
            <m:sSubSup>
              <m:sSubSupPr>
                <m:ctrlPr>
                  <w:rPr>
                    <w:rFonts w:ascii="Cambria Math" w:hAnsi="Cambria Math" w:cs="Times New Roman"/>
                    <w:bCs/>
                    <w:iCs/>
                    <w:sz w:val="24"/>
                    <w:szCs w:val="24"/>
                    <w:lang w:val="en-US"/>
                  </w:rPr>
                </m:ctrlPr>
              </m:sSubSup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x</m:t>
                </m:r>
              </m:sub>
              <m:sup>
                <m:r>
                  <m:rPr>
                    <m:sty m:val="p"/>
                  </m:rPr>
                  <w:rPr>
                    <w:rFonts w:ascii="Cambria Math" w:hAnsi="Cambria Math" w:cs="Times New Roman"/>
                    <w:sz w:val="24"/>
                    <w:szCs w:val="24"/>
                    <w:lang w:val="en-US"/>
                  </w:rPr>
                  <m:t>2  </m:t>
                </m:r>
              </m:sup>
            </m:sSubSup>
            <m:r>
              <m:rPr>
                <m:sty m:val="p"/>
              </m:rPr>
              <w:rPr>
                <w:rFonts w:ascii="Cambria Math" w:hAnsi="Cambria Math" w:cs="Times New Roman"/>
                <w:sz w:val="24"/>
                <w:szCs w:val="24"/>
                <w:lang w:val="en-US"/>
              </w:rPr>
              <m:t>+ </m:t>
            </m:r>
            <m:d>
              <m:dPr>
                <m:ctrlPr>
                  <w:rPr>
                    <w:rFonts w:ascii="Cambria Math" w:hAnsi="Cambria Math" w:cs="Times New Roman"/>
                    <w:sz w:val="24"/>
                    <w:szCs w:val="24"/>
                  </w:rPr>
                </m:ctrlPr>
              </m:dPr>
              <m:e>
                <m:r>
                  <m:rPr>
                    <m:sty m:val="p"/>
                  </m:rPr>
                  <w:rPr>
                    <w:rFonts w:ascii="Cambria Math" w:hAnsi="Cambria Math" w:cs="Times New Roman"/>
                    <w:sz w:val="24"/>
                    <w:szCs w:val="24"/>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 </m:t>
                    </m:r>
                  </m:sub>
                </m:sSub>
                <m:r>
                  <m:rPr>
                    <m:sty m:val="p"/>
                  </m:rPr>
                  <w:rPr>
                    <w:rFonts w:ascii="Cambria Math" w:hAnsi="Cambria Math" w:cs="Times New Roman"/>
                    <w:sz w:val="24"/>
                    <w:szCs w:val="24"/>
                  </w:rPr>
                  <m:t>-</m:t>
                </m:r>
                <m:r>
                  <m:rPr>
                    <m:sty m:val="p"/>
                  </m:rPr>
                  <w:rPr>
                    <w:rFonts w:ascii="Cambria Math" w:hAnsi="Cambria Math" w:cs="Times New Roman"/>
                    <w:sz w:val="24"/>
                    <w:szCs w:val="24"/>
                  </w:rPr>
                  <m:t>1</m:t>
                </m:r>
              </m:e>
            </m:d>
            <m:r>
              <m:rPr>
                <m:sty m:val="p"/>
              </m:rPr>
              <w:rPr>
                <w:rFonts w:ascii="Cambria Math" w:hAnsi="Cambria Math" w:cs="Times New Roman"/>
                <w:sz w:val="24"/>
                <w:szCs w:val="24"/>
              </w:rPr>
              <m:t> </m:t>
            </m:r>
            <m:sSubSup>
              <m:sSubSupPr>
                <m:ctrlPr>
                  <w:rPr>
                    <w:rFonts w:ascii="Cambria Math" w:hAnsi="Cambria Math" w:cs="Times New Roman"/>
                    <w:bCs/>
                    <w:iCs/>
                    <w:sz w:val="24"/>
                    <w:szCs w:val="24"/>
                  </w:rPr>
                </m:ctrlPr>
              </m:sSubSupPr>
              <m:e>
                <m:r>
                  <m:rPr>
                    <m:sty m:val="p"/>
                  </m:rPr>
                  <w:rPr>
                    <w:rFonts w:ascii="Cambria Math" w:hAnsi="Cambria Math" w:cs="Times New Roman"/>
                    <w:sz w:val="24"/>
                    <w:szCs w:val="24"/>
                  </w:rPr>
                  <m:t>S</m:t>
                </m:r>
              </m:e>
              <m:sub>
                <m:r>
                  <m:rPr>
                    <m:sty m:val="p"/>
                  </m:rPr>
                  <w:rPr>
                    <w:rFonts w:ascii="Cambria Math" w:hAnsi="Cambria Math" w:cs="Times New Roman"/>
                    <w:sz w:val="24"/>
                    <w:szCs w:val="24"/>
                  </w:rPr>
                  <m:t>y</m:t>
                </m:r>
              </m:sub>
              <m:sup>
                <m:r>
                  <m:rPr>
                    <m:sty m:val="p"/>
                  </m:rPr>
                  <w:rPr>
                    <w:rFonts w:ascii="Cambria Math" w:hAnsi="Cambria Math" w:cs="Times New Roman"/>
                    <w:sz w:val="24"/>
                    <w:szCs w:val="24"/>
                  </w:rPr>
                  <m:t>2</m:t>
                </m:r>
              </m:sup>
            </m:sSubSup>
          </m:num>
          <m:den>
            <m:d>
              <m:dPr>
                <m:ctrlPr>
                  <w:rPr>
                    <w:rFonts w:ascii="Cambria Math" w:hAnsi="Cambria Math" w:cs="Times New Roman"/>
                    <w:sz w:val="24"/>
                    <w:szCs w:val="24"/>
                    <w:lang w:val="en-US"/>
                  </w:rPr>
                </m:ctrlPr>
              </m:dPr>
              <m:e>
                <m:sSub>
                  <m:sSubPr>
                    <m:ctrlPr>
                      <w:rPr>
                        <w:rFonts w:ascii="Cambria Math" w:hAnsi="Cambria Math" w:cs="Times New Roman"/>
                        <w:bCs/>
                        <w:iCs/>
                        <w:sz w:val="24"/>
                        <w:szCs w:val="24"/>
                      </w:rPr>
                    </m:ctrlPr>
                  </m:sSubPr>
                  <m:e>
                    <m:r>
                      <m:rPr>
                        <m:sty m:val="p"/>
                      </m:rPr>
                      <w:rPr>
                        <w:rFonts w:ascii="Cambria Math" w:hAnsi="Cambria Math" w:cs="Times New Roman"/>
                        <w:sz w:val="24"/>
                        <w:szCs w:val="24"/>
                        <w:lang w:val="en-US"/>
                      </w:rPr>
                      <m:t>n</m:t>
                    </m:r>
                  </m:e>
                  <m:sub>
                    <m:r>
                      <m:rPr>
                        <m:sty m:val="p"/>
                      </m:rPr>
                      <w:rPr>
                        <w:rFonts w:ascii="Cambria Math" w:hAnsi="Cambria Math" w:cs="Times New Roman"/>
                        <w:sz w:val="24"/>
                        <w:szCs w:val="24"/>
                        <w:lang w:val="en-US"/>
                      </w:rPr>
                      <m:t>x   </m:t>
                    </m:r>
                  </m:sub>
                </m:sSub>
                <m:r>
                  <m:rPr>
                    <m:sty m:val="p"/>
                  </m:rPr>
                  <w:rPr>
                    <w:rFonts w:ascii="Cambria Math" w:hAnsi="Cambria Math" w:cs="Times New Roman"/>
                    <w:sz w:val="24"/>
                    <w:szCs w:val="24"/>
                    <w:lang w:val="en-US"/>
                  </w:rPr>
                  <m:t>-</m:t>
                </m:r>
                <m:r>
                  <m:rPr>
                    <m:sty m:val="p"/>
                  </m:rPr>
                  <w:rPr>
                    <w:rFonts w:ascii="Cambria Math" w:hAnsi="Cambria Math" w:cs="Times New Roman"/>
                    <w:sz w:val="24"/>
                    <w:szCs w:val="24"/>
                    <w:lang w:val="en-US"/>
                  </w:rPr>
                  <m:t>1 </m:t>
                </m:r>
              </m:e>
            </m:d>
            <m:r>
              <m:rPr>
                <m:sty m:val="p"/>
              </m:rPr>
              <w:rPr>
                <w:rFonts w:ascii="Cambria Math" w:hAnsi="Cambria Math" w:cs="Times New Roman"/>
                <w:sz w:val="24"/>
                <w:szCs w:val="24"/>
                <w:lang w:val="en-US"/>
              </w:rPr>
              <m:t>+ </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 </m:t>
                    </m:r>
                  </m:sub>
                </m:sSub>
                <m:r>
                  <m:rPr>
                    <m:sty m:val="p"/>
                  </m:rPr>
                  <w:rPr>
                    <w:rFonts w:ascii="Cambria Math" w:hAnsi="Cambria Math" w:cs="Times New Roman"/>
                    <w:sz w:val="24"/>
                    <w:szCs w:val="24"/>
                  </w:rPr>
                  <m:t>-</m:t>
                </m:r>
                <m:r>
                  <m:rPr>
                    <m:sty m:val="p"/>
                  </m:rPr>
                  <w:rPr>
                    <w:rFonts w:ascii="Cambria Math" w:hAnsi="Cambria Math" w:cs="Times New Roman"/>
                    <w:sz w:val="24"/>
                    <w:szCs w:val="24"/>
                  </w:rPr>
                  <m:t>1</m:t>
                </m:r>
                <m:ctrlPr>
                  <w:rPr>
                    <w:rFonts w:ascii="Cambria Math" w:hAnsi="Cambria Math" w:cs="Times New Roman"/>
                    <w:sz w:val="24"/>
                    <w:szCs w:val="24"/>
                  </w:rPr>
                </m:ctrlPr>
              </m:e>
            </m:d>
            <m:r>
              <m:rPr>
                <m:sty m:val="p"/>
              </m:rPr>
              <w:rPr>
                <w:rFonts w:ascii="Cambria Math" w:hAnsi="Cambria Math" w:cs="Times New Roman"/>
                <w:sz w:val="24"/>
                <w:szCs w:val="24"/>
              </w:rPr>
              <m:t> </m:t>
            </m:r>
          </m:den>
        </m:f>
      </m:oMath>
    </w:p>
    <w:p w14:paraId="694AB066"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 xml:space="preserve">Where, </w:t>
      </w:r>
    </w:p>
    <w:p w14:paraId="715E233A" w14:textId="77777777" w:rsidR="002E167B" w:rsidRPr="002E167B" w:rsidRDefault="002E167B" w:rsidP="00AD3FCD">
      <w:pPr>
        <w:pStyle w:val="ListParagraph"/>
        <w:ind w:left="0"/>
        <w:jc w:val="both"/>
        <w:rPr>
          <w:rFonts w:ascii="Times New Roman" w:hAnsi="Times New Roman" w:cs="Times New Roman"/>
          <w:sz w:val="24"/>
          <w:vertAlign w:val="subscript"/>
        </w:rPr>
      </w:pPr>
      <w:r w:rsidRPr="002E167B">
        <w:rPr>
          <w:rFonts w:ascii="Times New Roman" w:hAnsi="Times New Roman" w:cs="Times New Roman"/>
          <w:sz w:val="24"/>
        </w:rPr>
        <w:t xml:space="preserve">x̅   = mean of FHP of size </w:t>
      </w: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x</w:t>
      </w:r>
      <w:proofErr w:type="spellEnd"/>
    </w:p>
    <w:p w14:paraId="437A50AC" w14:textId="586FABE9"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y</w:t>
      </w:r>
      <w:r w:rsidRPr="002E167B">
        <w:rPr>
          <w:rFonts w:ascii="Times New Roman" w:hAnsi="Times New Roman" w:cs="Times New Roman"/>
          <w:sz w:val="24"/>
          <w:lang w:val="en-US"/>
        </w:rPr>
        <w:t xml:space="preserve">̅   </w:t>
      </w:r>
      <w:r w:rsidRPr="002E167B">
        <w:rPr>
          <w:rFonts w:ascii="Times New Roman" w:hAnsi="Times New Roman" w:cs="Times New Roman"/>
          <w:sz w:val="24"/>
        </w:rPr>
        <w:t xml:space="preserve">= mean of MSP of size </w:t>
      </w:r>
      <m:oMath>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y</m:t>
            </m:r>
          </m:sub>
        </m:sSub>
      </m:oMath>
    </w:p>
    <w:p w14:paraId="46759FD7" w14:textId="68FBA390" w:rsidR="002E167B" w:rsidRPr="002E167B" w:rsidRDefault="002214A6" w:rsidP="00AD3FCD">
      <w:pPr>
        <w:pStyle w:val="ListParagraph"/>
        <w:ind w:left="0"/>
        <w:jc w:val="both"/>
        <w:rPr>
          <w:rFonts w:ascii="Times New Roman" w:hAnsi="Times New Roman" w:cs="Times New Roman"/>
          <w:sz w:val="24"/>
        </w:rPr>
      </w:pPr>
      <m:oMath>
        <m:sSubSup>
          <m:sSubSupPr>
            <m:ctrlPr>
              <w:rPr>
                <w:rFonts w:ascii="Cambria Math" w:hAnsi="Cambria Math" w:cs="Times New Roman"/>
                <w:i/>
                <w:iCs/>
                <w:sz w:val="24"/>
              </w:rPr>
            </m:ctrlPr>
          </m:sSubSupPr>
          <m:e>
            <m:r>
              <w:rPr>
                <w:rFonts w:ascii="Cambria Math" w:hAnsi="Cambria Math" w:cs="Times New Roman"/>
                <w:sz w:val="24"/>
              </w:rPr>
              <m:t>S</m:t>
            </m:r>
          </m:e>
          <m:sub>
            <m:r>
              <w:rPr>
                <w:rFonts w:ascii="Cambria Math" w:hAnsi="Cambria Math" w:cs="Times New Roman"/>
                <w:sz w:val="24"/>
              </w:rPr>
              <m:t>p</m:t>
            </m:r>
          </m:sub>
          <m:sup>
            <m:r>
              <w:rPr>
                <w:rFonts w:ascii="Cambria Math" w:hAnsi="Cambria Math" w:cs="Times New Roman"/>
                <w:sz w:val="24"/>
              </w:rPr>
              <m:t>2</m:t>
            </m:r>
          </m:sup>
        </m:sSubSup>
      </m:oMath>
      <w:r w:rsidR="002E167B" w:rsidRPr="002E167B">
        <w:rPr>
          <w:rFonts w:ascii="Times New Roman" w:hAnsi="Times New Roman" w:cs="Times New Roman"/>
          <w:sz w:val="24"/>
        </w:rPr>
        <w:t xml:space="preserve"> = pooled variance</w:t>
      </w:r>
    </w:p>
    <w:p w14:paraId="2981CE47"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S</w:t>
      </w:r>
      <w:r w:rsidRPr="002E167B">
        <w:rPr>
          <w:rFonts w:ascii="Times New Roman" w:hAnsi="Times New Roman" w:cs="Times New Roman"/>
          <w:sz w:val="24"/>
          <w:vertAlign w:val="subscript"/>
        </w:rPr>
        <w:t>x</w:t>
      </w:r>
      <w:r w:rsidRPr="002E167B">
        <w:rPr>
          <w:rFonts w:ascii="Times New Roman" w:hAnsi="Times New Roman" w:cs="Times New Roman"/>
          <w:sz w:val="24"/>
          <w:vertAlign w:val="superscript"/>
        </w:rPr>
        <w:t xml:space="preserve">2 </w:t>
      </w:r>
      <w:r w:rsidRPr="002E167B">
        <w:rPr>
          <w:rFonts w:ascii="Times New Roman" w:hAnsi="Times New Roman" w:cs="Times New Roman"/>
          <w:sz w:val="24"/>
        </w:rPr>
        <w:t>= Variance of FHP</w:t>
      </w:r>
    </w:p>
    <w:p w14:paraId="73D34518"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S</w:t>
      </w:r>
      <w:r w:rsidRPr="002E167B">
        <w:rPr>
          <w:rFonts w:ascii="Times New Roman" w:hAnsi="Times New Roman" w:cs="Times New Roman"/>
          <w:sz w:val="24"/>
          <w:vertAlign w:val="subscript"/>
        </w:rPr>
        <w:t>y</w:t>
      </w:r>
      <w:r w:rsidRPr="002E167B">
        <w:rPr>
          <w:rFonts w:ascii="Times New Roman" w:hAnsi="Times New Roman" w:cs="Times New Roman"/>
          <w:sz w:val="24"/>
          <w:vertAlign w:val="superscript"/>
        </w:rPr>
        <w:t xml:space="preserve">2 </w:t>
      </w:r>
      <w:proofErr w:type="gramStart"/>
      <w:r w:rsidRPr="002E167B">
        <w:rPr>
          <w:rFonts w:ascii="Times New Roman" w:hAnsi="Times New Roman" w:cs="Times New Roman"/>
          <w:sz w:val="24"/>
        </w:rPr>
        <w:t>=  Variance</w:t>
      </w:r>
      <w:proofErr w:type="gramEnd"/>
      <w:r w:rsidRPr="002E167B">
        <w:rPr>
          <w:rFonts w:ascii="Times New Roman" w:hAnsi="Times New Roman" w:cs="Times New Roman"/>
          <w:sz w:val="24"/>
        </w:rPr>
        <w:t xml:space="preserve"> of MSP</w:t>
      </w:r>
    </w:p>
    <w:p w14:paraId="0B0E989E" w14:textId="77777777" w:rsidR="002E167B" w:rsidRPr="002E167B" w:rsidRDefault="002E167B" w:rsidP="00AD3FCD">
      <w:pPr>
        <w:pStyle w:val="ListParagraph"/>
        <w:ind w:left="0"/>
        <w:jc w:val="both"/>
        <w:rPr>
          <w:rFonts w:ascii="Times New Roman" w:hAnsi="Times New Roman" w:cs="Times New Roman"/>
          <w:sz w:val="24"/>
        </w:rPr>
      </w:pP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x</w:t>
      </w:r>
      <w:proofErr w:type="spellEnd"/>
      <w:r w:rsidRPr="002E167B">
        <w:rPr>
          <w:rFonts w:ascii="Times New Roman" w:hAnsi="Times New Roman" w:cs="Times New Roman"/>
          <w:sz w:val="24"/>
          <w:vertAlign w:val="subscript"/>
        </w:rPr>
        <w:t xml:space="preserve">   </w:t>
      </w:r>
      <w:proofErr w:type="gramStart"/>
      <w:r w:rsidRPr="002E167B">
        <w:rPr>
          <w:rFonts w:ascii="Times New Roman" w:hAnsi="Times New Roman" w:cs="Times New Roman"/>
          <w:sz w:val="24"/>
          <w:vertAlign w:val="subscript"/>
        </w:rPr>
        <w:t xml:space="preserve">=  </w:t>
      </w:r>
      <w:r w:rsidRPr="002E167B">
        <w:rPr>
          <w:rFonts w:ascii="Times New Roman" w:hAnsi="Times New Roman" w:cs="Times New Roman"/>
          <w:sz w:val="24"/>
        </w:rPr>
        <w:t>Sample</w:t>
      </w:r>
      <w:proofErr w:type="gramEnd"/>
      <w:r w:rsidRPr="002E167B">
        <w:rPr>
          <w:rFonts w:ascii="Times New Roman" w:hAnsi="Times New Roman" w:cs="Times New Roman"/>
          <w:sz w:val="24"/>
        </w:rPr>
        <w:t xml:space="preserve"> size of FHP</w:t>
      </w:r>
    </w:p>
    <w:p w14:paraId="4A019248" w14:textId="77777777" w:rsidR="002E167B" w:rsidRPr="002E167B" w:rsidRDefault="002E167B" w:rsidP="00AD3FCD">
      <w:pPr>
        <w:pStyle w:val="ListParagraph"/>
        <w:ind w:left="0"/>
        <w:jc w:val="both"/>
        <w:rPr>
          <w:rFonts w:ascii="Times New Roman" w:hAnsi="Times New Roman" w:cs="Times New Roman"/>
          <w:sz w:val="24"/>
        </w:rPr>
      </w:pP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y</w:t>
      </w:r>
      <w:proofErr w:type="spellEnd"/>
      <w:r w:rsidRPr="002E167B">
        <w:rPr>
          <w:rFonts w:ascii="Times New Roman" w:hAnsi="Times New Roman" w:cs="Times New Roman"/>
          <w:sz w:val="24"/>
          <w:vertAlign w:val="subscript"/>
        </w:rPr>
        <w:t xml:space="preserve">   = </w:t>
      </w:r>
      <w:r w:rsidRPr="002E167B">
        <w:rPr>
          <w:rFonts w:ascii="Times New Roman" w:hAnsi="Times New Roman" w:cs="Times New Roman"/>
          <w:sz w:val="24"/>
        </w:rPr>
        <w:t>Sample size of MSP</w:t>
      </w:r>
    </w:p>
    <w:p w14:paraId="0EBA4759" w14:textId="77777777" w:rsidR="00C8007B" w:rsidRDefault="00C8007B" w:rsidP="00AD3FCD">
      <w:pPr>
        <w:pStyle w:val="ListParagraph"/>
        <w:spacing w:after="0" w:line="276" w:lineRule="auto"/>
        <w:ind w:left="0"/>
        <w:jc w:val="both"/>
        <w:rPr>
          <w:rFonts w:ascii="Times New Roman" w:hAnsi="Times New Roman" w:cs="Times New Roman"/>
          <w:b/>
          <w:sz w:val="24"/>
        </w:rPr>
      </w:pPr>
    </w:p>
    <w:p w14:paraId="3098B26B" w14:textId="1642B769" w:rsidR="00C8007B" w:rsidRDefault="00C8007B" w:rsidP="00AD3FCD">
      <w:pPr>
        <w:pStyle w:val="ListParagraph"/>
        <w:spacing w:line="276" w:lineRule="auto"/>
        <w:ind w:left="0"/>
        <w:jc w:val="both"/>
        <w:rPr>
          <w:rFonts w:ascii="Times New Roman" w:hAnsi="Times New Roman" w:cs="Times New Roman"/>
          <w:b/>
          <w:sz w:val="24"/>
        </w:rPr>
      </w:pPr>
      <w:r w:rsidRPr="006E4BE8">
        <w:rPr>
          <w:rFonts w:ascii="Times New Roman" w:hAnsi="Times New Roman" w:cs="Times New Roman"/>
          <w:b/>
          <w:sz w:val="24"/>
        </w:rPr>
        <w:t>RESULTS AND DISCUSSION</w:t>
      </w:r>
    </w:p>
    <w:p w14:paraId="1882F723" w14:textId="1A8E4012" w:rsidR="00AD6F94" w:rsidRPr="00AD6F94" w:rsidRDefault="00AD6F94" w:rsidP="00AD3FCD">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ab/>
      </w:r>
      <w:r w:rsidRPr="00AD6F94">
        <w:rPr>
          <w:rFonts w:ascii="Times New Roman" w:hAnsi="Times New Roman" w:cs="Times New Roman"/>
          <w:sz w:val="24"/>
        </w:rPr>
        <w:t>Keeping in view the objectives of the study, the data were analysed using suitable techniques. The results obtained from this study have been presented and discussed.</w:t>
      </w:r>
    </w:p>
    <w:p w14:paraId="2CE82DED" w14:textId="77777777" w:rsidR="00AD3FCD" w:rsidRDefault="00AD3FCD" w:rsidP="00AD3FCD">
      <w:pPr>
        <w:pStyle w:val="ListParagraph"/>
        <w:spacing w:after="0" w:line="276" w:lineRule="auto"/>
        <w:ind w:left="0"/>
        <w:jc w:val="both"/>
        <w:rPr>
          <w:rFonts w:ascii="Times New Roman" w:hAnsi="Times New Roman" w:cs="Times New Roman"/>
          <w:b/>
          <w:sz w:val="24"/>
        </w:rPr>
      </w:pPr>
    </w:p>
    <w:p w14:paraId="6BE81439" w14:textId="1B15C30B" w:rsidR="004E7C0D" w:rsidRDefault="0091693C" w:rsidP="00AD3FCD">
      <w:pPr>
        <w:pStyle w:val="ListParagraph"/>
        <w:spacing w:after="0" w:line="276" w:lineRule="auto"/>
        <w:ind w:left="0"/>
        <w:jc w:val="both"/>
        <w:rPr>
          <w:rFonts w:ascii="Times New Roman" w:hAnsi="Times New Roman" w:cs="Times New Roman"/>
          <w:b/>
          <w:sz w:val="24"/>
        </w:rPr>
      </w:pPr>
      <w:r>
        <w:rPr>
          <w:rFonts w:ascii="Times New Roman" w:hAnsi="Times New Roman" w:cs="Times New Roman"/>
          <w:b/>
          <w:sz w:val="24"/>
        </w:rPr>
        <w:t>Growth in MSP of paddy</w:t>
      </w:r>
    </w:p>
    <w:p w14:paraId="1CAC178A" w14:textId="415CD19B" w:rsidR="00EC2020" w:rsidRPr="004E7C0D" w:rsidRDefault="004E7C0D" w:rsidP="00AD3FCD">
      <w:pPr>
        <w:pStyle w:val="ListParagraph"/>
        <w:spacing w:after="0" w:line="276" w:lineRule="auto"/>
        <w:ind w:left="0"/>
        <w:jc w:val="both"/>
        <w:rPr>
          <w:rFonts w:ascii="Times New Roman" w:hAnsi="Times New Roman" w:cs="Times New Roman"/>
          <w:b/>
          <w:sz w:val="24"/>
        </w:rPr>
      </w:pPr>
      <w:r>
        <w:rPr>
          <w:rFonts w:ascii="Times New Roman" w:eastAsia="Times New Roman" w:hAnsi="Times New Roman" w:cs="Times New Roman"/>
          <w:sz w:val="24"/>
          <w:szCs w:val="24"/>
          <w:lang w:eastAsia="en-IN"/>
        </w:rPr>
        <w:tab/>
      </w:r>
      <w:r w:rsidR="00596156">
        <w:rPr>
          <w:rFonts w:ascii="Times New Roman" w:eastAsia="Times New Roman" w:hAnsi="Times New Roman" w:cs="Times New Roman"/>
          <w:sz w:val="24"/>
          <w:szCs w:val="24"/>
          <w:lang w:eastAsia="en-IN"/>
        </w:rPr>
        <w:t xml:space="preserve">Table 1 </w:t>
      </w:r>
      <w:r w:rsidR="008E17A5">
        <w:rPr>
          <w:rFonts w:ascii="Times New Roman" w:eastAsia="Times New Roman" w:hAnsi="Times New Roman" w:cs="Times New Roman"/>
          <w:sz w:val="24"/>
          <w:szCs w:val="24"/>
          <w:lang w:eastAsia="en-IN"/>
        </w:rPr>
        <w:t>reveals</w:t>
      </w:r>
      <w:r w:rsidR="00596156">
        <w:rPr>
          <w:rFonts w:ascii="Times New Roman" w:eastAsia="Times New Roman" w:hAnsi="Times New Roman" w:cs="Times New Roman"/>
          <w:sz w:val="24"/>
          <w:szCs w:val="24"/>
          <w:lang w:eastAsia="en-IN"/>
        </w:rPr>
        <w:t xml:space="preserve"> the compound growth rates of Minimum Support Prices (MSP) for both common and Grade “A” paddy over three time periods: Period I (2002–2011), </w:t>
      </w:r>
      <w:r w:rsidR="00596156">
        <w:rPr>
          <w:rFonts w:ascii="Times New Roman" w:hAnsi="Times New Roman" w:cs="Times New Roman"/>
          <w:sz w:val="24"/>
        </w:rPr>
        <w:t xml:space="preserve">Period II (2012–2021) and the overall period from 2002 to 2021. In the first period (2002–2011) the MSP increased at a high annual rate of 9.17 per cent for common paddy and 8.79 per cent for Grade “A” paddy. This indicates that during this time the government was actively increasing support prices at a faster rate which may have encouraged more paddy cultivation and helped improve </w:t>
      </w:r>
      <w:proofErr w:type="gramStart"/>
      <w:r w:rsidR="00596156">
        <w:rPr>
          <w:rFonts w:ascii="Times New Roman" w:hAnsi="Times New Roman" w:cs="Times New Roman"/>
          <w:sz w:val="24"/>
        </w:rPr>
        <w:t>farmer’s  incomes</w:t>
      </w:r>
      <w:proofErr w:type="gramEnd"/>
      <w:r w:rsidR="00596156">
        <w:rPr>
          <w:rFonts w:ascii="Times New Roman" w:hAnsi="Times New Roman" w:cs="Times New Roman"/>
          <w:sz w:val="24"/>
        </w:rPr>
        <w:t>.</w:t>
      </w:r>
    </w:p>
    <w:p w14:paraId="20AF6798" w14:textId="16A56EFD" w:rsidR="00596156" w:rsidRDefault="00596156" w:rsidP="00AD3FCD">
      <w:pPr>
        <w:spacing w:after="0" w:line="276" w:lineRule="auto"/>
        <w:ind w:firstLine="720"/>
        <w:jc w:val="both"/>
        <w:rPr>
          <w:rFonts w:ascii="Times New Roman" w:hAnsi="Times New Roman" w:cs="Times New Roman"/>
          <w:sz w:val="24"/>
        </w:rPr>
      </w:pPr>
      <w:r>
        <w:rPr>
          <w:rFonts w:ascii="Times New Roman" w:hAnsi="Times New Roman" w:cs="Times New Roman"/>
          <w:sz w:val="24"/>
        </w:rPr>
        <w:t>In the second period (2012–2022), the growth rate of MSP slowed down to 5.34 per cent for common paddy and 5.10 per cent for Grade “A”. This shows a clear decline in the pace at which MSP was increased compared to the earlier period. The slower growth in support prices during this period may have had an impact on farmer’s earnings and production decisions.</w:t>
      </w:r>
    </w:p>
    <w:p w14:paraId="65D8E098" w14:textId="77777777" w:rsidR="00C45CC4" w:rsidRDefault="00EC2020" w:rsidP="00AD3FCD">
      <w:pPr>
        <w:spacing w:after="0" w:line="276" w:lineRule="auto"/>
        <w:ind w:firstLine="720"/>
        <w:jc w:val="both"/>
        <w:rPr>
          <w:rFonts w:ascii="Times New Roman" w:hAnsi="Times New Roman" w:cs="Times New Roman"/>
          <w:sz w:val="24"/>
        </w:rPr>
      </w:pPr>
      <w:r>
        <w:rPr>
          <w:rFonts w:ascii="Times New Roman" w:hAnsi="Times New Roman" w:cs="Times New Roman"/>
          <w:sz w:val="24"/>
        </w:rPr>
        <w:t>When looking at the entire 20-year period from 2002 to 2022, the average compound growth rate of MSP was 7.93 per cent per year for common paddy and 7.67 per cent for Grade “A” paddy. This suggests that overall MSP has increased steadily over time, though at a slower rate in recent years.</w:t>
      </w:r>
      <w:bookmarkEnd w:id="3"/>
      <w:r>
        <w:rPr>
          <w:rFonts w:ascii="Times New Roman" w:hAnsi="Times New Roman" w:cs="Times New Roman"/>
          <w:sz w:val="24"/>
        </w:rPr>
        <w:t xml:space="preserve"> </w:t>
      </w:r>
      <w:bookmarkStart w:id="4" w:name="_Hlk204379228"/>
      <w:r>
        <w:rPr>
          <w:rFonts w:ascii="Times New Roman" w:hAnsi="Times New Roman" w:cs="Times New Roman"/>
          <w:sz w:val="24"/>
        </w:rPr>
        <w:t>All the growth rates mentioned in the table</w:t>
      </w:r>
      <w:r w:rsidR="0091693C">
        <w:rPr>
          <w:rFonts w:ascii="Times New Roman" w:hAnsi="Times New Roman" w:cs="Times New Roman"/>
          <w:sz w:val="24"/>
        </w:rPr>
        <w:t xml:space="preserve"> 1</w:t>
      </w:r>
      <w:r>
        <w:rPr>
          <w:rFonts w:ascii="Times New Roman" w:hAnsi="Times New Roman" w:cs="Times New Roman"/>
          <w:sz w:val="24"/>
        </w:rPr>
        <w:t xml:space="preserve"> are statistically significant at 1 per cent level, which means the changes in MSP over time are reliable and not due to chance</w:t>
      </w:r>
      <w:r w:rsidR="006F78F2">
        <w:rPr>
          <w:rFonts w:ascii="Times New Roman" w:hAnsi="Times New Roman" w:cs="Times New Roman"/>
          <w:sz w:val="24"/>
        </w:rPr>
        <w:t>.</w:t>
      </w:r>
      <w:bookmarkEnd w:id="4"/>
    </w:p>
    <w:p w14:paraId="77A7F5EF" w14:textId="77777777" w:rsidR="00AD3FCD" w:rsidRDefault="00AD3FCD" w:rsidP="00AD3FCD">
      <w:pPr>
        <w:spacing w:after="0" w:line="276" w:lineRule="auto"/>
        <w:ind w:firstLine="720"/>
        <w:jc w:val="both"/>
        <w:rPr>
          <w:rFonts w:ascii="Times New Roman" w:hAnsi="Times New Roman" w:cs="Times New Roman"/>
          <w:sz w:val="24"/>
        </w:rPr>
      </w:pPr>
    </w:p>
    <w:p w14:paraId="77FD8ECF" w14:textId="77777777" w:rsidR="00AD3FCD" w:rsidRDefault="00AD3FCD" w:rsidP="00AD3FCD">
      <w:pPr>
        <w:spacing w:after="0" w:line="276" w:lineRule="auto"/>
        <w:ind w:firstLine="720"/>
        <w:jc w:val="both"/>
        <w:rPr>
          <w:rFonts w:ascii="Times New Roman" w:hAnsi="Times New Roman" w:cs="Times New Roman"/>
          <w:sz w:val="24"/>
        </w:rPr>
      </w:pPr>
    </w:p>
    <w:p w14:paraId="59B1DEEF" w14:textId="77777777" w:rsidR="00AD3FCD" w:rsidRDefault="00AD3FCD" w:rsidP="00AD3FCD">
      <w:pPr>
        <w:spacing w:after="0" w:line="276" w:lineRule="auto"/>
        <w:ind w:firstLine="720"/>
        <w:jc w:val="both"/>
        <w:rPr>
          <w:rFonts w:ascii="Times New Roman" w:hAnsi="Times New Roman" w:cs="Times New Roman"/>
          <w:sz w:val="24"/>
        </w:rPr>
      </w:pPr>
    </w:p>
    <w:p w14:paraId="5D21928F" w14:textId="555C86F2" w:rsidR="00AD3FCD" w:rsidRDefault="00AD3FCD" w:rsidP="00AD3FCD">
      <w:pPr>
        <w:spacing w:after="0" w:line="276" w:lineRule="auto"/>
        <w:ind w:firstLine="720"/>
        <w:jc w:val="both"/>
        <w:rPr>
          <w:rFonts w:ascii="Times New Roman" w:hAnsi="Times New Roman" w:cs="Times New Roman"/>
          <w:sz w:val="24"/>
        </w:rPr>
        <w:sectPr w:rsidR="00AD3FCD" w:rsidSect="00AD3FCD">
          <w:type w:val="continuous"/>
          <w:pgSz w:w="11906" w:h="16838"/>
          <w:pgMar w:top="1440" w:right="1440" w:bottom="1440" w:left="1440" w:header="709" w:footer="709" w:gutter="0"/>
          <w:cols w:space="567"/>
          <w:docGrid w:linePitch="360"/>
        </w:sectPr>
      </w:pPr>
    </w:p>
    <w:tbl>
      <w:tblPr>
        <w:tblStyle w:val="TableGrid"/>
        <w:tblpPr w:leftFromText="180" w:rightFromText="180" w:vertAnchor="text" w:horzAnchor="margin" w:tblpY="325"/>
        <w:tblW w:w="8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04"/>
        <w:gridCol w:w="3169"/>
      </w:tblGrid>
      <w:tr w:rsidR="000B3188" w:rsidRPr="008E17A5" w14:paraId="61B398C6" w14:textId="77777777" w:rsidTr="00AD3FCD">
        <w:trPr>
          <w:trHeight w:val="334"/>
        </w:trPr>
        <w:tc>
          <w:tcPr>
            <w:tcW w:w="8446" w:type="dxa"/>
            <w:gridSpan w:val="3"/>
            <w:tcBorders>
              <w:bottom w:val="single" w:sz="4" w:space="0" w:color="auto"/>
            </w:tcBorders>
            <w:vAlign w:val="bottom"/>
          </w:tcPr>
          <w:p w14:paraId="032947C9" w14:textId="77777777" w:rsidR="000B3188" w:rsidRPr="00440F22" w:rsidRDefault="000B3188" w:rsidP="00AD3FCD">
            <w:pPr>
              <w:ind w:hanging="108"/>
              <w:jc w:val="both"/>
              <w:rPr>
                <w:rFonts w:ascii="Times New Roman" w:hAnsi="Times New Roman" w:cs="Times New Roman"/>
                <w:sz w:val="24"/>
              </w:rPr>
            </w:pPr>
            <w:r w:rsidRPr="00440F22">
              <w:rPr>
                <w:rFonts w:ascii="Times New Roman" w:hAnsi="Times New Roman" w:cs="Times New Roman"/>
                <w:b/>
                <w:sz w:val="24"/>
              </w:rPr>
              <w:t>Table 1: Compound growth rate of minimum support prices of padd</w:t>
            </w:r>
            <w:r>
              <w:rPr>
                <w:rFonts w:ascii="Times New Roman" w:hAnsi="Times New Roman" w:cs="Times New Roman"/>
                <w:b/>
                <w:sz w:val="24"/>
              </w:rPr>
              <w:t>y</w:t>
            </w:r>
          </w:p>
        </w:tc>
      </w:tr>
      <w:tr w:rsidR="000B3188" w:rsidRPr="008E17A5" w14:paraId="0912429B" w14:textId="77777777" w:rsidTr="00AD3FCD">
        <w:trPr>
          <w:trHeight w:val="480"/>
        </w:trPr>
        <w:tc>
          <w:tcPr>
            <w:tcW w:w="2173" w:type="dxa"/>
            <w:vMerge w:val="restart"/>
            <w:tcBorders>
              <w:top w:val="single" w:sz="4" w:space="0" w:color="auto"/>
              <w:bottom w:val="single" w:sz="4" w:space="0" w:color="auto"/>
            </w:tcBorders>
            <w:vAlign w:val="center"/>
          </w:tcPr>
          <w:p w14:paraId="41F8CAF5"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Period</w:t>
            </w:r>
          </w:p>
        </w:tc>
        <w:tc>
          <w:tcPr>
            <w:tcW w:w="6273" w:type="dxa"/>
            <w:gridSpan w:val="2"/>
            <w:tcBorders>
              <w:top w:val="single" w:sz="4" w:space="0" w:color="auto"/>
              <w:bottom w:val="single" w:sz="4" w:space="0" w:color="auto"/>
            </w:tcBorders>
            <w:vAlign w:val="center"/>
          </w:tcPr>
          <w:p w14:paraId="008F007C"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Compound Growth Rates (% per annum)</w:t>
            </w:r>
          </w:p>
        </w:tc>
      </w:tr>
      <w:tr w:rsidR="000B3188" w:rsidRPr="008E17A5" w14:paraId="5AC57629" w14:textId="77777777" w:rsidTr="00AD3FCD">
        <w:trPr>
          <w:trHeight w:val="502"/>
        </w:trPr>
        <w:tc>
          <w:tcPr>
            <w:tcW w:w="2173" w:type="dxa"/>
            <w:vMerge/>
            <w:tcBorders>
              <w:top w:val="single" w:sz="4" w:space="0" w:color="auto"/>
              <w:bottom w:val="single" w:sz="4" w:space="0" w:color="auto"/>
            </w:tcBorders>
            <w:vAlign w:val="center"/>
          </w:tcPr>
          <w:p w14:paraId="1C91F892"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b/>
                <w:sz w:val="24"/>
                <w:szCs w:val="24"/>
                <w:lang w:eastAsia="en-IN"/>
              </w:rPr>
            </w:pPr>
          </w:p>
        </w:tc>
        <w:tc>
          <w:tcPr>
            <w:tcW w:w="3104" w:type="dxa"/>
            <w:tcBorders>
              <w:top w:val="single" w:sz="4" w:space="0" w:color="auto"/>
              <w:bottom w:val="single" w:sz="4" w:space="0" w:color="auto"/>
            </w:tcBorders>
            <w:vAlign w:val="center"/>
          </w:tcPr>
          <w:p w14:paraId="26F9CA3A"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Paddy (Common)</w:t>
            </w:r>
          </w:p>
        </w:tc>
        <w:tc>
          <w:tcPr>
            <w:tcW w:w="3168" w:type="dxa"/>
            <w:tcBorders>
              <w:top w:val="single" w:sz="4" w:space="0" w:color="auto"/>
              <w:bottom w:val="single" w:sz="4" w:space="0" w:color="auto"/>
            </w:tcBorders>
            <w:vAlign w:val="center"/>
          </w:tcPr>
          <w:p w14:paraId="57CFD259"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Paddy</w:t>
            </w:r>
            <w:r>
              <w:rPr>
                <w:rFonts w:ascii="Times New Roman" w:eastAsia="Times New Roman" w:hAnsi="Times New Roman" w:cs="Times New Roman"/>
                <w:b/>
                <w:sz w:val="24"/>
                <w:szCs w:val="24"/>
                <w:lang w:eastAsia="en-IN"/>
              </w:rPr>
              <w:t xml:space="preserve"> </w:t>
            </w:r>
            <w:r w:rsidRPr="008E17A5">
              <w:rPr>
                <w:rFonts w:ascii="Times New Roman" w:eastAsia="Times New Roman" w:hAnsi="Times New Roman" w:cs="Times New Roman"/>
                <w:b/>
                <w:sz w:val="24"/>
                <w:szCs w:val="24"/>
                <w:lang w:eastAsia="en-IN"/>
              </w:rPr>
              <w:t>(Grade “A”)</w:t>
            </w:r>
          </w:p>
        </w:tc>
      </w:tr>
      <w:tr w:rsidR="000B3188" w:rsidRPr="008E17A5" w14:paraId="28354CB3" w14:textId="77777777" w:rsidTr="00AD3FCD">
        <w:trPr>
          <w:trHeight w:val="506"/>
        </w:trPr>
        <w:tc>
          <w:tcPr>
            <w:tcW w:w="2173" w:type="dxa"/>
            <w:tcBorders>
              <w:top w:val="single" w:sz="4" w:space="0" w:color="auto"/>
            </w:tcBorders>
            <w:vAlign w:val="center"/>
          </w:tcPr>
          <w:p w14:paraId="6452F289"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Period I</w:t>
            </w:r>
          </w:p>
          <w:p w14:paraId="5D2F6455" w14:textId="77777777" w:rsidR="000B3188" w:rsidRDefault="000B3188" w:rsidP="00AD3FCD">
            <w:pPr>
              <w:tabs>
                <w:tab w:val="left" w:pos="324"/>
                <w:tab w:val="left" w:pos="1175"/>
              </w:tabs>
              <w:ind w:left="432"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(2002-2012)</w:t>
            </w:r>
          </w:p>
          <w:p w14:paraId="7E2906AA" w14:textId="77777777" w:rsidR="000B3188" w:rsidRPr="008E17A5"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p>
        </w:tc>
        <w:tc>
          <w:tcPr>
            <w:tcW w:w="3104" w:type="dxa"/>
            <w:tcBorders>
              <w:top w:val="single" w:sz="4" w:space="0" w:color="auto"/>
            </w:tcBorders>
            <w:vAlign w:val="center"/>
          </w:tcPr>
          <w:p w14:paraId="06F19648" w14:textId="77777777" w:rsidR="000B3188" w:rsidRPr="008E17A5" w:rsidRDefault="000B3188" w:rsidP="00AD3FCD">
            <w:pPr>
              <w:spacing w:after="100" w:afterAutospacing="1"/>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9.17</w:t>
            </w:r>
          </w:p>
        </w:tc>
        <w:tc>
          <w:tcPr>
            <w:tcW w:w="3168" w:type="dxa"/>
            <w:tcBorders>
              <w:top w:val="single" w:sz="4" w:space="0" w:color="auto"/>
            </w:tcBorders>
            <w:vAlign w:val="center"/>
          </w:tcPr>
          <w:p w14:paraId="7D1EF8A2" w14:textId="77777777" w:rsidR="000B3188" w:rsidRPr="008E17A5" w:rsidRDefault="000B3188" w:rsidP="00AD3FCD">
            <w:pPr>
              <w:spacing w:after="100" w:afterAutospacing="1"/>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8.79</w:t>
            </w:r>
          </w:p>
        </w:tc>
      </w:tr>
      <w:tr w:rsidR="000B3188" w:rsidRPr="008E17A5" w14:paraId="34C1BA7A" w14:textId="77777777" w:rsidTr="00AD3FCD">
        <w:trPr>
          <w:trHeight w:val="372"/>
        </w:trPr>
        <w:tc>
          <w:tcPr>
            <w:tcW w:w="2173" w:type="dxa"/>
            <w:vAlign w:val="center"/>
          </w:tcPr>
          <w:p w14:paraId="1FCC2D98"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Period II</w:t>
            </w:r>
          </w:p>
          <w:p w14:paraId="76FDED64"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(2012-2022)</w:t>
            </w:r>
          </w:p>
          <w:p w14:paraId="068918FB" w14:textId="77777777" w:rsidR="000B3188" w:rsidRPr="008E17A5" w:rsidRDefault="000B3188" w:rsidP="00AD3FCD">
            <w:pPr>
              <w:tabs>
                <w:tab w:val="left" w:pos="324"/>
              </w:tabs>
              <w:spacing w:after="100" w:afterAutospacing="1" w:line="276" w:lineRule="auto"/>
              <w:ind w:left="466" w:hanging="142"/>
              <w:jc w:val="both"/>
              <w:rPr>
                <w:rFonts w:ascii="Times New Roman" w:eastAsia="Times New Roman" w:hAnsi="Times New Roman" w:cs="Times New Roman"/>
                <w:sz w:val="24"/>
                <w:szCs w:val="24"/>
                <w:lang w:eastAsia="en-IN"/>
              </w:rPr>
            </w:pPr>
          </w:p>
        </w:tc>
        <w:tc>
          <w:tcPr>
            <w:tcW w:w="3104" w:type="dxa"/>
            <w:vAlign w:val="center"/>
          </w:tcPr>
          <w:p w14:paraId="54900E34"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5.34</w:t>
            </w:r>
          </w:p>
        </w:tc>
        <w:tc>
          <w:tcPr>
            <w:tcW w:w="3168" w:type="dxa"/>
            <w:vAlign w:val="center"/>
          </w:tcPr>
          <w:p w14:paraId="357DC37F"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5.10</w:t>
            </w:r>
          </w:p>
        </w:tc>
      </w:tr>
      <w:tr w:rsidR="000B3188" w:rsidRPr="008E17A5" w14:paraId="54750694" w14:textId="77777777" w:rsidTr="00AD3FCD">
        <w:trPr>
          <w:trHeight w:val="372"/>
        </w:trPr>
        <w:tc>
          <w:tcPr>
            <w:tcW w:w="2173" w:type="dxa"/>
            <w:tcBorders>
              <w:bottom w:val="single" w:sz="4" w:space="0" w:color="auto"/>
            </w:tcBorders>
            <w:vAlign w:val="center"/>
          </w:tcPr>
          <w:p w14:paraId="071B9DE9"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Overall period</w:t>
            </w:r>
          </w:p>
          <w:p w14:paraId="4985A0FA" w14:textId="77777777" w:rsidR="000B3188" w:rsidRPr="008E17A5" w:rsidRDefault="000B3188" w:rsidP="00AD3FCD">
            <w:pPr>
              <w:tabs>
                <w:tab w:val="left" w:pos="324"/>
              </w:tabs>
              <w:spacing w:after="100" w:afterAutospacing="1" w:line="276" w:lineRule="auto"/>
              <w:ind w:left="466"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Pr="008E17A5">
              <w:rPr>
                <w:rFonts w:ascii="Times New Roman" w:eastAsia="Times New Roman" w:hAnsi="Times New Roman" w:cs="Times New Roman"/>
                <w:sz w:val="24"/>
                <w:szCs w:val="24"/>
                <w:lang w:eastAsia="en-IN"/>
              </w:rPr>
              <w:t>2002-2022</w:t>
            </w:r>
            <w:r>
              <w:rPr>
                <w:rFonts w:ascii="Times New Roman" w:eastAsia="Times New Roman" w:hAnsi="Times New Roman" w:cs="Times New Roman"/>
                <w:sz w:val="24"/>
                <w:szCs w:val="24"/>
                <w:lang w:eastAsia="en-IN"/>
              </w:rPr>
              <w:t>)</w:t>
            </w:r>
          </w:p>
        </w:tc>
        <w:tc>
          <w:tcPr>
            <w:tcW w:w="3104" w:type="dxa"/>
            <w:tcBorders>
              <w:bottom w:val="single" w:sz="4" w:space="0" w:color="auto"/>
            </w:tcBorders>
            <w:vAlign w:val="center"/>
          </w:tcPr>
          <w:p w14:paraId="267D6C8A"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7.93</w:t>
            </w:r>
          </w:p>
        </w:tc>
        <w:tc>
          <w:tcPr>
            <w:tcW w:w="3168" w:type="dxa"/>
            <w:tcBorders>
              <w:bottom w:val="single" w:sz="4" w:space="0" w:color="auto"/>
            </w:tcBorders>
            <w:vAlign w:val="center"/>
          </w:tcPr>
          <w:p w14:paraId="34B9BC2E"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7.67</w:t>
            </w:r>
          </w:p>
        </w:tc>
      </w:tr>
    </w:tbl>
    <w:p w14:paraId="1FC82F18" w14:textId="77777777" w:rsidR="00C532F2" w:rsidRDefault="00C532F2" w:rsidP="00AD3FCD">
      <w:pPr>
        <w:spacing w:after="100" w:afterAutospacing="1" w:line="276" w:lineRule="auto"/>
        <w:jc w:val="both"/>
        <w:rPr>
          <w:rFonts w:ascii="Times New Roman" w:eastAsia="Times New Roman" w:hAnsi="Times New Roman" w:cs="Times New Roman"/>
          <w:sz w:val="24"/>
          <w:szCs w:val="24"/>
          <w:lang w:eastAsia="en-IN"/>
        </w:rPr>
        <w:sectPr w:rsidR="00C532F2" w:rsidSect="00AD3FCD">
          <w:type w:val="continuous"/>
          <w:pgSz w:w="11906" w:h="16838"/>
          <w:pgMar w:top="1440" w:right="1440" w:bottom="1440" w:left="1440" w:header="709" w:footer="709" w:gutter="0"/>
          <w:cols w:space="567"/>
          <w:docGrid w:linePitch="360"/>
        </w:sectPr>
      </w:pPr>
    </w:p>
    <w:p w14:paraId="11298E30" w14:textId="669667DD" w:rsidR="008E17A5" w:rsidRPr="00082782" w:rsidRDefault="008E17A5" w:rsidP="00AD3FCD">
      <w:pPr>
        <w:spacing w:after="100" w:afterAutospacing="1" w:line="276" w:lineRule="auto"/>
        <w:jc w:val="both"/>
        <w:rPr>
          <w:rFonts w:ascii="Times New Roman" w:eastAsia="Times New Roman" w:hAnsi="Times New Roman" w:cs="Times New Roman"/>
          <w:sz w:val="24"/>
          <w:szCs w:val="24"/>
          <w:lang w:eastAsia="en-IN"/>
        </w:rPr>
        <w:sectPr w:rsidR="008E17A5" w:rsidRPr="00082782" w:rsidSect="00AD3FCD">
          <w:type w:val="continuous"/>
          <w:pgSz w:w="11906" w:h="16838"/>
          <w:pgMar w:top="1440" w:right="1440" w:bottom="1440" w:left="1440" w:header="709" w:footer="709" w:gutter="0"/>
          <w:cols w:space="567"/>
          <w:docGrid w:linePitch="360"/>
        </w:sectPr>
      </w:pPr>
    </w:p>
    <w:p w14:paraId="1D2DA02E" w14:textId="77777777" w:rsidR="00AD3FCD" w:rsidRDefault="00AD3FCD" w:rsidP="00AD3FCD">
      <w:pPr>
        <w:spacing w:after="0" w:line="276" w:lineRule="auto"/>
        <w:jc w:val="both"/>
        <w:rPr>
          <w:rFonts w:ascii="Times New Roman" w:eastAsia="Times New Roman" w:hAnsi="Times New Roman" w:cs="Times New Roman"/>
          <w:b/>
          <w:sz w:val="24"/>
          <w:szCs w:val="24"/>
          <w:lang w:eastAsia="en-IN"/>
        </w:rPr>
      </w:pPr>
      <w:r w:rsidRPr="00DA35CB">
        <w:rPr>
          <w:rFonts w:ascii="Times New Roman" w:eastAsia="Times New Roman" w:hAnsi="Times New Roman" w:cs="Times New Roman"/>
          <w:b/>
          <w:i/>
          <w:sz w:val="24"/>
          <w:szCs w:val="24"/>
          <w:lang w:eastAsia="en-IN"/>
        </w:rPr>
        <w:t>Note</w:t>
      </w:r>
      <w:r w:rsidRPr="008E17A5">
        <w:rPr>
          <w:rFonts w:ascii="Times New Roman" w:eastAsia="Times New Roman" w:hAnsi="Times New Roman" w:cs="Times New Roman"/>
          <w:i/>
          <w:sz w:val="24"/>
          <w:szCs w:val="24"/>
          <w:lang w:eastAsia="en-IN"/>
        </w:rPr>
        <w:t xml:space="preserve">: All the compound growth rates </w:t>
      </w:r>
      <w:proofErr w:type="gramStart"/>
      <w:r w:rsidRPr="008E17A5">
        <w:rPr>
          <w:rFonts w:ascii="Times New Roman" w:eastAsia="Times New Roman" w:hAnsi="Times New Roman" w:cs="Times New Roman"/>
          <w:i/>
          <w:sz w:val="24"/>
          <w:szCs w:val="24"/>
          <w:lang w:eastAsia="en-IN"/>
        </w:rPr>
        <w:t xml:space="preserve">are </w:t>
      </w:r>
      <w:r w:rsidRPr="007A6717">
        <w:rPr>
          <w:rFonts w:ascii="Times New Roman" w:eastAsia="Times New Roman" w:hAnsi="Times New Roman" w:cs="Times New Roman"/>
          <w:i/>
          <w:sz w:val="24"/>
          <w:szCs w:val="24"/>
          <w:lang w:eastAsia="en-IN"/>
        </w:rPr>
        <w:t xml:space="preserve"> </w:t>
      </w:r>
      <w:r w:rsidRPr="008E17A5">
        <w:rPr>
          <w:rFonts w:ascii="Times New Roman" w:eastAsia="Times New Roman" w:hAnsi="Times New Roman" w:cs="Times New Roman"/>
          <w:i/>
          <w:sz w:val="24"/>
          <w:szCs w:val="24"/>
          <w:lang w:eastAsia="en-IN"/>
        </w:rPr>
        <w:t>significant</w:t>
      </w:r>
      <w:proofErr w:type="gramEnd"/>
      <w:r w:rsidRPr="008E17A5">
        <w:rPr>
          <w:rFonts w:ascii="Times New Roman" w:eastAsia="Times New Roman" w:hAnsi="Times New Roman" w:cs="Times New Roman"/>
          <w:i/>
          <w:sz w:val="24"/>
          <w:szCs w:val="24"/>
          <w:lang w:eastAsia="en-IN"/>
        </w:rPr>
        <w:t xml:space="preserve"> at 1 per cent level</w:t>
      </w:r>
      <w:r>
        <w:rPr>
          <w:rFonts w:ascii="Times New Roman" w:eastAsia="Times New Roman" w:hAnsi="Times New Roman" w:cs="Times New Roman"/>
          <w:i/>
          <w:sz w:val="24"/>
          <w:szCs w:val="24"/>
          <w:lang w:eastAsia="en-IN"/>
        </w:rPr>
        <w:t>.</w:t>
      </w:r>
    </w:p>
    <w:p w14:paraId="1E05E92B" w14:textId="77777777" w:rsidR="00B212DB" w:rsidRDefault="00B212DB" w:rsidP="00AD3FCD">
      <w:pPr>
        <w:spacing w:after="0" w:line="276" w:lineRule="auto"/>
        <w:jc w:val="both"/>
        <w:rPr>
          <w:rFonts w:ascii="Times New Roman" w:eastAsia="Times New Roman" w:hAnsi="Times New Roman" w:cs="Times New Roman"/>
          <w:b/>
          <w:sz w:val="24"/>
          <w:szCs w:val="24"/>
          <w:lang w:eastAsia="en-IN"/>
        </w:rPr>
        <w:sectPr w:rsidR="00B212DB" w:rsidSect="00AD3FCD">
          <w:type w:val="continuous"/>
          <w:pgSz w:w="11906" w:h="16838"/>
          <w:pgMar w:top="1440" w:right="1440" w:bottom="1440" w:left="1440" w:header="709" w:footer="709" w:gutter="0"/>
          <w:cols w:space="567"/>
          <w:docGrid w:linePitch="360"/>
        </w:sectPr>
      </w:pPr>
    </w:p>
    <w:p w14:paraId="0FE868C5" w14:textId="57F2B993" w:rsidR="00EC2020" w:rsidRPr="008E17A5" w:rsidRDefault="0091693C" w:rsidP="00AD3FCD">
      <w:pPr>
        <w:spacing w:after="0" w:line="240" w:lineRule="auto"/>
        <w:jc w:val="both"/>
        <w:rPr>
          <w:rFonts w:ascii="Times New Roman" w:eastAsia="Times New Roman" w:hAnsi="Times New Roman" w:cs="Times New Roman"/>
          <w:i/>
          <w:sz w:val="24"/>
          <w:szCs w:val="24"/>
          <w:lang w:eastAsia="en-IN"/>
        </w:rPr>
      </w:pPr>
      <w:r w:rsidRPr="00DA35CB">
        <w:rPr>
          <w:b/>
          <w:noProof/>
        </w:rPr>
        <w:drawing>
          <wp:anchor distT="0" distB="0" distL="114300" distR="114300" simplePos="0" relativeHeight="251659264" behindDoc="1" locked="0" layoutInCell="1" allowOverlap="1" wp14:anchorId="19E79051" wp14:editId="37F1A303">
            <wp:simplePos x="0" y="0"/>
            <wp:positionH relativeFrom="column">
              <wp:posOffset>-7620</wp:posOffset>
            </wp:positionH>
            <wp:positionV relativeFrom="paragraph">
              <wp:posOffset>314960</wp:posOffset>
            </wp:positionV>
            <wp:extent cx="5844540" cy="2926080"/>
            <wp:effectExtent l="0" t="0" r="3810" b="7620"/>
            <wp:wrapTight wrapText="bothSides">
              <wp:wrapPolygon edited="0">
                <wp:start x="0" y="0"/>
                <wp:lineTo x="0" y="21516"/>
                <wp:lineTo x="21544" y="21516"/>
                <wp:lineTo x="21544"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CFDBC2D" w14:textId="471A00DB" w:rsidR="00431660" w:rsidRPr="00431660" w:rsidRDefault="00431660" w:rsidP="00AD3FCD">
      <w:pPr>
        <w:spacing w:line="360" w:lineRule="auto"/>
        <w:jc w:val="center"/>
        <w:rPr>
          <w:rFonts w:ascii="Times New Roman" w:hAnsi="Times New Roman" w:cs="Times New Roman"/>
          <w:b/>
          <w:sz w:val="24"/>
        </w:rPr>
      </w:pPr>
      <w:bookmarkStart w:id="5" w:name="_Hlk204414731"/>
      <w:r>
        <w:rPr>
          <w:rFonts w:ascii="Times New Roman" w:hAnsi="Times New Roman" w:cs="Times New Roman"/>
          <w:b/>
          <w:sz w:val="24"/>
        </w:rPr>
        <w:t>Figure 1: Trends in MSP growth for Paddy (2002-2022)</w:t>
      </w:r>
    </w:p>
    <w:bookmarkEnd w:id="5"/>
    <w:p w14:paraId="4C3CAF5A" w14:textId="77777777" w:rsidR="00AD3FCD" w:rsidRDefault="00AD3FCD" w:rsidP="00AD3FCD">
      <w:pPr>
        <w:spacing w:after="0" w:line="276" w:lineRule="auto"/>
        <w:ind w:hanging="284"/>
        <w:jc w:val="both"/>
        <w:rPr>
          <w:rFonts w:ascii="Times New Roman" w:eastAsia="Times New Roman" w:hAnsi="Times New Roman" w:cs="Times New Roman"/>
          <w:b/>
          <w:sz w:val="24"/>
          <w:szCs w:val="24"/>
          <w:lang w:eastAsia="en-IN"/>
        </w:rPr>
      </w:pPr>
    </w:p>
    <w:p w14:paraId="5F46B4A1" w14:textId="4B13A8B9" w:rsidR="00431660" w:rsidRPr="00431660" w:rsidRDefault="00431660" w:rsidP="00AD3FCD">
      <w:pPr>
        <w:spacing w:after="0" w:line="276" w:lineRule="auto"/>
        <w:ind w:hanging="284"/>
        <w:jc w:val="both"/>
        <w:rPr>
          <w:rFonts w:ascii="Times New Roman" w:eastAsia="Times New Roman" w:hAnsi="Times New Roman" w:cs="Times New Roman"/>
          <w:b/>
          <w:sz w:val="24"/>
          <w:szCs w:val="24"/>
          <w:lang w:eastAsia="en-IN"/>
        </w:rPr>
        <w:sectPr w:rsidR="00431660" w:rsidRPr="00431660" w:rsidSect="00AD3FCD">
          <w:type w:val="continuous"/>
          <w:pgSz w:w="11906" w:h="16838"/>
          <w:pgMar w:top="1440" w:right="1440" w:bottom="1440" w:left="1440" w:header="709" w:footer="709" w:gutter="0"/>
          <w:cols w:space="709"/>
          <w:docGrid w:linePitch="360"/>
        </w:sectPr>
      </w:pPr>
      <w:r w:rsidRPr="00431660">
        <w:rPr>
          <w:rFonts w:ascii="Times New Roman" w:eastAsia="Times New Roman" w:hAnsi="Times New Roman" w:cs="Times New Roman"/>
          <w:b/>
          <w:sz w:val="24"/>
          <w:szCs w:val="24"/>
          <w:lang w:eastAsia="en-IN"/>
        </w:rPr>
        <w:t>Growth in FHP of padd</w:t>
      </w:r>
      <w:r>
        <w:rPr>
          <w:rFonts w:ascii="Times New Roman" w:eastAsia="Times New Roman" w:hAnsi="Times New Roman" w:cs="Times New Roman"/>
          <w:b/>
          <w:sz w:val="24"/>
          <w:szCs w:val="24"/>
          <w:lang w:eastAsia="en-IN"/>
        </w:rPr>
        <w:t>y</w:t>
      </w:r>
    </w:p>
    <w:p w14:paraId="0EEF1931" w14:textId="618CC35E" w:rsidR="00431660" w:rsidRDefault="004E7C0D" w:rsidP="00AD3FCD">
      <w:pPr>
        <w:spacing w:after="0" w:line="276" w:lineRule="auto"/>
        <w:ind w:left="-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431660">
        <w:rPr>
          <w:rFonts w:ascii="Times New Roman" w:eastAsia="Times New Roman" w:hAnsi="Times New Roman" w:cs="Times New Roman"/>
          <w:sz w:val="24"/>
          <w:szCs w:val="24"/>
          <w:lang w:eastAsia="en-IN"/>
        </w:rPr>
        <w:t xml:space="preserve">The Compound Growth Rate (CGR) analysis of </w:t>
      </w:r>
      <w:r w:rsidR="00431660">
        <w:rPr>
          <w:rFonts w:ascii="Times New Roman" w:eastAsia="Times New Roman" w:hAnsi="Times New Roman" w:cs="Times New Roman"/>
          <w:bCs/>
          <w:sz w:val="24"/>
          <w:szCs w:val="24"/>
          <w:lang w:eastAsia="en-IN"/>
        </w:rPr>
        <w:t>Farm Harvest Prices (FHP)</w:t>
      </w:r>
      <w:r w:rsidR="00431660">
        <w:rPr>
          <w:rFonts w:ascii="Times New Roman" w:eastAsia="Times New Roman" w:hAnsi="Times New Roman" w:cs="Times New Roman"/>
          <w:sz w:val="24"/>
          <w:szCs w:val="24"/>
          <w:lang w:eastAsia="en-IN"/>
        </w:rPr>
        <w:t xml:space="preserve"> of paddy in Gujarat over the period </w:t>
      </w:r>
      <w:r w:rsidR="00431660">
        <w:rPr>
          <w:rFonts w:ascii="Times New Roman" w:eastAsia="Times New Roman" w:hAnsi="Times New Roman" w:cs="Times New Roman"/>
          <w:bCs/>
          <w:sz w:val="24"/>
          <w:szCs w:val="24"/>
          <w:lang w:eastAsia="en-IN"/>
        </w:rPr>
        <w:t>2002 to 2022</w:t>
      </w:r>
      <w:r w:rsidR="00431660">
        <w:rPr>
          <w:rFonts w:ascii="Times New Roman" w:eastAsia="Times New Roman" w:hAnsi="Times New Roman" w:cs="Times New Roman"/>
          <w:sz w:val="24"/>
          <w:szCs w:val="24"/>
          <w:lang w:eastAsia="en-IN"/>
        </w:rPr>
        <w:t xml:space="preserve"> presents a clear picture of temporal changes in price realization at the farm level. The data as shown in Table 2 is divided into two distinct periods and also covers the overall period. All growth rates w</w:t>
      </w:r>
      <w:r w:rsidR="007461D7">
        <w:rPr>
          <w:rFonts w:ascii="Times New Roman" w:eastAsia="Times New Roman" w:hAnsi="Times New Roman" w:cs="Times New Roman"/>
          <w:sz w:val="24"/>
          <w:szCs w:val="24"/>
          <w:lang w:eastAsia="en-IN"/>
        </w:rPr>
        <w:t>e</w:t>
      </w:r>
      <w:r w:rsidR="00431660">
        <w:rPr>
          <w:rFonts w:ascii="Times New Roman" w:eastAsia="Times New Roman" w:hAnsi="Times New Roman" w:cs="Times New Roman"/>
          <w:sz w:val="24"/>
          <w:szCs w:val="24"/>
          <w:lang w:eastAsia="en-IN"/>
        </w:rPr>
        <w:t xml:space="preserve">re found to be </w:t>
      </w:r>
      <w:r w:rsidR="00431660">
        <w:rPr>
          <w:rFonts w:ascii="Times New Roman" w:eastAsia="Times New Roman" w:hAnsi="Times New Roman" w:cs="Times New Roman"/>
          <w:bCs/>
          <w:sz w:val="24"/>
          <w:szCs w:val="24"/>
          <w:lang w:eastAsia="en-IN"/>
        </w:rPr>
        <w:t xml:space="preserve">statistically significant </w:t>
      </w:r>
      <w:proofErr w:type="gramStart"/>
      <w:r w:rsidR="00431660">
        <w:rPr>
          <w:rFonts w:ascii="Times New Roman" w:eastAsia="Times New Roman" w:hAnsi="Times New Roman" w:cs="Times New Roman"/>
          <w:bCs/>
          <w:sz w:val="24"/>
          <w:szCs w:val="24"/>
          <w:lang w:eastAsia="en-IN"/>
        </w:rPr>
        <w:t>at  1</w:t>
      </w:r>
      <w:proofErr w:type="gramEnd"/>
      <w:r w:rsidR="00431660">
        <w:rPr>
          <w:rFonts w:ascii="Times New Roman" w:eastAsia="Times New Roman" w:hAnsi="Times New Roman" w:cs="Times New Roman"/>
          <w:bCs/>
          <w:sz w:val="24"/>
          <w:szCs w:val="24"/>
          <w:lang w:eastAsia="en-IN"/>
        </w:rPr>
        <w:t xml:space="preserve"> per cent level</w:t>
      </w:r>
      <w:r w:rsidR="00431660">
        <w:rPr>
          <w:rFonts w:ascii="Times New Roman" w:eastAsia="Times New Roman" w:hAnsi="Times New Roman" w:cs="Times New Roman"/>
          <w:sz w:val="24"/>
          <w:szCs w:val="24"/>
          <w:lang w:eastAsia="en-IN"/>
        </w:rPr>
        <w:t xml:space="preserve"> reinforcing the reliability of the trends observed.</w:t>
      </w:r>
      <w:r w:rsidR="00431660" w:rsidRPr="00431660">
        <w:rPr>
          <w:rFonts w:ascii="Times New Roman" w:eastAsia="Times New Roman" w:hAnsi="Times New Roman" w:cs="Times New Roman"/>
          <w:sz w:val="24"/>
          <w:szCs w:val="24"/>
          <w:lang w:eastAsia="en-IN"/>
        </w:rPr>
        <w:t xml:space="preserve"> </w:t>
      </w:r>
      <w:r w:rsidR="00431660">
        <w:rPr>
          <w:rFonts w:ascii="Times New Roman" w:eastAsia="Times New Roman" w:hAnsi="Times New Roman" w:cs="Times New Roman"/>
          <w:sz w:val="24"/>
          <w:szCs w:val="24"/>
          <w:lang w:eastAsia="en-IN"/>
        </w:rPr>
        <w:t xml:space="preserve">During </w:t>
      </w:r>
      <w:r w:rsidR="00431660">
        <w:rPr>
          <w:rFonts w:ascii="Times New Roman" w:eastAsia="Times New Roman" w:hAnsi="Times New Roman" w:cs="Times New Roman"/>
          <w:bCs/>
          <w:sz w:val="24"/>
          <w:szCs w:val="24"/>
          <w:lang w:eastAsia="en-IN"/>
        </w:rPr>
        <w:t>Period I (2002–2011)</w:t>
      </w:r>
      <w:r w:rsidR="00431660">
        <w:rPr>
          <w:rFonts w:ascii="Times New Roman" w:eastAsia="Times New Roman" w:hAnsi="Times New Roman" w:cs="Times New Roman"/>
          <w:sz w:val="24"/>
          <w:szCs w:val="24"/>
          <w:lang w:eastAsia="en-IN"/>
        </w:rPr>
        <w:t xml:space="preserve">, the FHP of paddy in Gujarat recorded a </w:t>
      </w:r>
      <w:r w:rsidR="00431660">
        <w:rPr>
          <w:rFonts w:ascii="Times New Roman" w:eastAsia="Times New Roman" w:hAnsi="Times New Roman" w:cs="Times New Roman"/>
          <w:bCs/>
          <w:sz w:val="24"/>
          <w:szCs w:val="24"/>
          <w:lang w:eastAsia="en-IN"/>
        </w:rPr>
        <w:t>compound annual growth rate of 7.21 per cent</w:t>
      </w:r>
      <w:r w:rsidR="00431660">
        <w:rPr>
          <w:rFonts w:ascii="Times New Roman" w:eastAsia="Times New Roman" w:hAnsi="Times New Roman" w:cs="Times New Roman"/>
          <w:sz w:val="24"/>
          <w:szCs w:val="24"/>
          <w:lang w:eastAsia="en-IN"/>
        </w:rPr>
        <w:t xml:space="preserve">. This relatively high growth rate indicates that farmers experienced substantial increases in market-based price realization during the early part of the study period. This could be associated with increased demand, supportive policy interventions or favourable market conditions. </w:t>
      </w:r>
    </w:p>
    <w:p w14:paraId="4D352CB9" w14:textId="2C4330A6" w:rsidR="00431660" w:rsidRPr="00C8007B" w:rsidRDefault="00431660" w:rsidP="00AD3FCD">
      <w:pPr>
        <w:tabs>
          <w:tab w:val="left" w:pos="3969"/>
        </w:tabs>
        <w:spacing w:after="0" w:line="276" w:lineRule="auto"/>
        <w:ind w:left="-284"/>
        <w:jc w:val="both"/>
        <w:rPr>
          <w:rFonts w:ascii="Times New Roman" w:hAnsi="Times New Roman" w:cs="Times New Roman"/>
          <w:b/>
          <w:sz w:val="24"/>
        </w:rPr>
        <w:sectPr w:rsidR="00431660" w:rsidRPr="00C8007B" w:rsidSect="00AD3FCD">
          <w:type w:val="continuous"/>
          <w:pgSz w:w="11906" w:h="16838"/>
          <w:pgMar w:top="1440" w:right="1440" w:bottom="1440" w:left="1440" w:header="709" w:footer="709" w:gutter="0"/>
          <w:cols w:space="709"/>
          <w:docGrid w:linePitch="360"/>
        </w:sectPr>
      </w:pPr>
      <w:r>
        <w:rPr>
          <w:rFonts w:ascii="Times New Roman" w:eastAsia="Times New Roman" w:hAnsi="Times New Roman" w:cs="Times New Roman"/>
          <w:sz w:val="24"/>
          <w:szCs w:val="24"/>
          <w:lang w:eastAsia="en-IN"/>
        </w:rPr>
        <w:t xml:space="preserve">In contrast, </w:t>
      </w:r>
      <w:r>
        <w:rPr>
          <w:rFonts w:ascii="Times New Roman" w:eastAsia="Times New Roman" w:hAnsi="Times New Roman" w:cs="Times New Roman"/>
          <w:bCs/>
          <w:sz w:val="24"/>
          <w:szCs w:val="24"/>
          <w:lang w:eastAsia="en-IN"/>
        </w:rPr>
        <w:t>Period II (2012–2021)</w:t>
      </w:r>
      <w:r>
        <w:rPr>
          <w:rFonts w:ascii="Times New Roman" w:eastAsia="Times New Roman" w:hAnsi="Times New Roman" w:cs="Times New Roman"/>
          <w:sz w:val="24"/>
          <w:szCs w:val="24"/>
          <w:lang w:eastAsia="en-IN"/>
        </w:rPr>
        <w:t xml:space="preserve"> experienced a sharp deceleration with the CAGR falling to </w:t>
      </w:r>
      <w:r>
        <w:rPr>
          <w:rFonts w:ascii="Times New Roman" w:eastAsia="Times New Roman" w:hAnsi="Times New Roman" w:cs="Times New Roman"/>
          <w:bCs/>
          <w:sz w:val="24"/>
          <w:szCs w:val="24"/>
          <w:lang w:eastAsia="en-IN"/>
        </w:rPr>
        <w:t>1.79 per cent per annum</w:t>
      </w:r>
      <w:r>
        <w:rPr>
          <w:rFonts w:ascii="Times New Roman" w:eastAsia="Times New Roman" w:hAnsi="Times New Roman" w:cs="Times New Roman"/>
          <w:sz w:val="24"/>
          <w:szCs w:val="24"/>
          <w:lang w:eastAsia="en-IN"/>
        </w:rPr>
        <w:t>. This considerable slowdown reflects a period of stagnation in farm-level price growth despite continued increases in Minimum Support Prices (MSP) at the national level.</w:t>
      </w:r>
      <w:r w:rsidRPr="0043166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Over the </w:t>
      </w:r>
      <w:r>
        <w:rPr>
          <w:rFonts w:ascii="Times New Roman" w:eastAsia="Times New Roman" w:hAnsi="Times New Roman" w:cs="Times New Roman"/>
          <w:bCs/>
          <w:sz w:val="24"/>
          <w:szCs w:val="24"/>
          <w:lang w:eastAsia="en-IN"/>
        </w:rPr>
        <w:t>entire period (2002–2022)</w:t>
      </w:r>
      <w:r>
        <w:rPr>
          <w:rFonts w:ascii="Times New Roman" w:eastAsia="Times New Roman" w:hAnsi="Times New Roman" w:cs="Times New Roman"/>
          <w:sz w:val="24"/>
          <w:szCs w:val="24"/>
          <w:lang w:eastAsia="en-IN"/>
        </w:rPr>
        <w:t xml:space="preserve"> the farm harvest price of paddy in Gujarat exhibited a compound </w:t>
      </w:r>
      <w:r>
        <w:rPr>
          <w:rFonts w:ascii="Times New Roman" w:eastAsia="Times New Roman" w:hAnsi="Times New Roman" w:cs="Times New Roman"/>
          <w:sz w:val="24"/>
          <w:szCs w:val="24"/>
          <w:lang w:eastAsia="en-IN"/>
        </w:rPr>
        <w:lastRenderedPageBreak/>
        <w:t xml:space="preserve">growth rate of </w:t>
      </w:r>
      <w:r>
        <w:rPr>
          <w:rFonts w:ascii="Times New Roman" w:eastAsia="Times New Roman" w:hAnsi="Times New Roman" w:cs="Times New Roman"/>
          <w:bCs/>
          <w:sz w:val="24"/>
          <w:szCs w:val="24"/>
          <w:lang w:eastAsia="en-IN"/>
        </w:rPr>
        <w:t>5.91 per cent per annum</w:t>
      </w:r>
      <w:r>
        <w:rPr>
          <w:rFonts w:ascii="Times New Roman" w:eastAsia="Times New Roman" w:hAnsi="Times New Roman" w:cs="Times New Roman"/>
          <w:sz w:val="24"/>
          <w:szCs w:val="24"/>
          <w:lang w:eastAsia="en-IN"/>
        </w:rPr>
        <w:t xml:space="preserve">. While this represents a moderate long-term increase, the stark contrast between the two sub-periods highlights an important structural shift in the dynamics of price realization at the farm level. The declining trend in the latter decade suggests the need for </w:t>
      </w:r>
      <w:r>
        <w:rPr>
          <w:rFonts w:ascii="Times New Roman" w:eastAsia="Times New Roman" w:hAnsi="Times New Roman" w:cs="Times New Roman"/>
          <w:bCs/>
          <w:sz w:val="24"/>
          <w:szCs w:val="24"/>
          <w:lang w:eastAsia="en-IN"/>
        </w:rPr>
        <w:t>policy attention to strengthen market access, enhance procurement effectiveness and improve price transmission mechanisms</w:t>
      </w:r>
      <w:r>
        <w:rPr>
          <w:rFonts w:ascii="Times New Roman" w:eastAsia="Times New Roman" w:hAnsi="Times New Roman" w:cs="Times New Roman"/>
          <w:sz w:val="24"/>
          <w:szCs w:val="24"/>
          <w:lang w:eastAsia="en-IN"/>
        </w:rPr>
        <w:t xml:space="preserve"> to ensure that farmers benefit fairly from increases in support prices</w:t>
      </w:r>
      <w:r w:rsidR="00EF7890">
        <w:rPr>
          <w:rFonts w:ascii="Times New Roman" w:eastAsia="Times New Roman" w:hAnsi="Times New Roman" w:cs="Times New Roman"/>
          <w:sz w:val="24"/>
          <w:szCs w:val="24"/>
          <w:lang w:eastAsia="en-IN"/>
        </w:rPr>
        <w:t>.</w:t>
      </w:r>
    </w:p>
    <w:p w14:paraId="19E5D950" w14:textId="21CE8936" w:rsidR="00431660" w:rsidRDefault="00431660" w:rsidP="00AD3FCD">
      <w:pPr>
        <w:tabs>
          <w:tab w:val="left" w:pos="3969"/>
        </w:tabs>
        <w:spacing w:after="100" w:afterAutospacing="1" w:line="276" w:lineRule="auto"/>
        <w:ind w:left="-284"/>
        <w:jc w:val="both"/>
        <w:rPr>
          <w:rFonts w:ascii="Times New Roman" w:eastAsia="Times New Roman" w:hAnsi="Times New Roman" w:cs="Times New Roman"/>
          <w:b/>
          <w:sz w:val="24"/>
          <w:szCs w:val="24"/>
          <w:lang w:eastAsia="en-IN"/>
        </w:rPr>
        <w:sectPr w:rsidR="00431660" w:rsidSect="00AD3FCD">
          <w:type w:val="continuous"/>
          <w:pgSz w:w="11906" w:h="16838"/>
          <w:pgMar w:top="1440" w:right="1440" w:bottom="1440" w:left="1440" w:header="709" w:footer="709" w:gutter="0"/>
          <w:cols w:space="709"/>
          <w:docGrid w:linePitch="360"/>
        </w:sectPr>
      </w:pPr>
    </w:p>
    <w:p w14:paraId="5C1D33AC" w14:textId="43BA31E7" w:rsidR="00C8007B" w:rsidRPr="00C8007B" w:rsidRDefault="00C8007B" w:rsidP="00AD3FCD">
      <w:pPr>
        <w:spacing w:after="0"/>
        <w:jc w:val="both"/>
        <w:rPr>
          <w:rFonts w:ascii="Times New Roman" w:eastAsia="Calibri" w:hAnsi="Times New Roman" w:cs="Times New Roman"/>
          <w:b/>
          <w:sz w:val="24"/>
        </w:rPr>
      </w:pPr>
      <w:r w:rsidRPr="00C8007B">
        <w:rPr>
          <w:rFonts w:ascii="Times New Roman" w:eastAsia="Calibri" w:hAnsi="Times New Roman" w:cs="Times New Roman"/>
          <w:b/>
          <w:sz w:val="24"/>
        </w:rPr>
        <w:t xml:space="preserve">Table 2: Compound growth rate of farm harvest </w:t>
      </w:r>
      <w:proofErr w:type="gramStart"/>
      <w:r w:rsidRPr="00C8007B">
        <w:rPr>
          <w:rFonts w:ascii="Times New Roman" w:eastAsia="Calibri" w:hAnsi="Times New Roman" w:cs="Times New Roman"/>
          <w:b/>
          <w:sz w:val="24"/>
        </w:rPr>
        <w:t>price  of</w:t>
      </w:r>
      <w:proofErr w:type="gramEnd"/>
      <w:r w:rsidRPr="00C8007B">
        <w:rPr>
          <w:rFonts w:ascii="Times New Roman" w:eastAsia="Calibri" w:hAnsi="Times New Roman" w:cs="Times New Roman"/>
          <w:b/>
          <w:sz w:val="24"/>
        </w:rPr>
        <w:t xml:space="preserve"> paddy in Gujarat </w:t>
      </w:r>
    </w:p>
    <w:tbl>
      <w:tblPr>
        <w:tblStyle w:val="TableGrid1"/>
        <w:tblW w:w="9302" w:type="dxa"/>
        <w:tblBorders>
          <w:left w:val="none" w:sz="0" w:space="0" w:color="auto"/>
          <w:right w:val="none" w:sz="0" w:space="0" w:color="auto"/>
        </w:tblBorders>
        <w:tblLook w:val="04A0" w:firstRow="1" w:lastRow="0" w:firstColumn="1" w:lastColumn="0" w:noHBand="0" w:noVBand="1"/>
      </w:tblPr>
      <w:tblGrid>
        <w:gridCol w:w="3217"/>
        <w:gridCol w:w="6085"/>
      </w:tblGrid>
      <w:tr w:rsidR="00C8007B" w:rsidRPr="00C8007B" w14:paraId="426DE4D6" w14:textId="77777777" w:rsidTr="00A442D4">
        <w:trPr>
          <w:trHeight w:val="313"/>
        </w:trPr>
        <w:tc>
          <w:tcPr>
            <w:tcW w:w="3217" w:type="dxa"/>
            <w:tcBorders>
              <w:bottom w:val="single" w:sz="4" w:space="0" w:color="auto"/>
              <w:right w:val="nil"/>
            </w:tcBorders>
            <w:vAlign w:val="center"/>
          </w:tcPr>
          <w:p w14:paraId="67543F73" w14:textId="77777777" w:rsidR="00C8007B" w:rsidRPr="00C8007B" w:rsidRDefault="00C8007B" w:rsidP="00AD3FCD">
            <w:pPr>
              <w:jc w:val="both"/>
              <w:rPr>
                <w:rFonts w:ascii="Times New Roman" w:eastAsia="Calibri" w:hAnsi="Times New Roman" w:cs="Times New Roman"/>
                <w:b/>
                <w:sz w:val="24"/>
              </w:rPr>
            </w:pPr>
            <w:r w:rsidRPr="00C8007B">
              <w:rPr>
                <w:rFonts w:ascii="Times New Roman" w:eastAsia="Calibri" w:hAnsi="Times New Roman" w:cs="Times New Roman"/>
                <w:b/>
                <w:sz w:val="24"/>
              </w:rPr>
              <w:t>Period</w:t>
            </w:r>
          </w:p>
        </w:tc>
        <w:tc>
          <w:tcPr>
            <w:tcW w:w="6085" w:type="dxa"/>
            <w:tcBorders>
              <w:left w:val="nil"/>
              <w:bottom w:val="single" w:sz="4" w:space="0" w:color="auto"/>
            </w:tcBorders>
            <w:vAlign w:val="center"/>
          </w:tcPr>
          <w:p w14:paraId="2613032F" w14:textId="77777777" w:rsidR="00C8007B" w:rsidRPr="00C8007B" w:rsidRDefault="00C8007B" w:rsidP="00AD3FCD">
            <w:pPr>
              <w:jc w:val="both"/>
              <w:rPr>
                <w:rFonts w:ascii="Times New Roman" w:eastAsia="Calibri" w:hAnsi="Times New Roman" w:cs="Times New Roman"/>
                <w:b/>
                <w:sz w:val="24"/>
              </w:rPr>
            </w:pPr>
            <w:r w:rsidRPr="00C8007B">
              <w:rPr>
                <w:rFonts w:ascii="Times New Roman" w:eastAsia="Calibri" w:hAnsi="Times New Roman" w:cs="Times New Roman"/>
                <w:b/>
                <w:sz w:val="24"/>
              </w:rPr>
              <w:t>Compound Growth Rates (% per annum)</w:t>
            </w:r>
          </w:p>
        </w:tc>
      </w:tr>
      <w:tr w:rsidR="00C8007B" w:rsidRPr="00C8007B" w14:paraId="05370117" w14:textId="77777777" w:rsidTr="00A442D4">
        <w:trPr>
          <w:trHeight w:val="625"/>
        </w:trPr>
        <w:tc>
          <w:tcPr>
            <w:tcW w:w="3217" w:type="dxa"/>
            <w:tcBorders>
              <w:bottom w:val="nil"/>
              <w:right w:val="nil"/>
            </w:tcBorders>
            <w:vAlign w:val="center"/>
          </w:tcPr>
          <w:p w14:paraId="0CF0B984"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Period I</w:t>
            </w:r>
          </w:p>
          <w:p w14:paraId="0A09B348" w14:textId="412CDB22"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2002- 2012</w:t>
            </w:r>
            <w:r>
              <w:rPr>
                <w:rFonts w:ascii="Times New Roman" w:eastAsia="Calibri" w:hAnsi="Times New Roman" w:cs="Times New Roman"/>
                <w:sz w:val="24"/>
              </w:rPr>
              <w:t>)</w:t>
            </w:r>
          </w:p>
        </w:tc>
        <w:tc>
          <w:tcPr>
            <w:tcW w:w="6085" w:type="dxa"/>
            <w:tcBorders>
              <w:left w:val="nil"/>
              <w:bottom w:val="nil"/>
            </w:tcBorders>
            <w:vAlign w:val="center"/>
          </w:tcPr>
          <w:p w14:paraId="312F78B8"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7.21</w:t>
            </w:r>
          </w:p>
        </w:tc>
      </w:tr>
      <w:tr w:rsidR="00C8007B" w:rsidRPr="00C8007B" w14:paraId="1C5928DC" w14:textId="77777777" w:rsidTr="00A442D4">
        <w:trPr>
          <w:trHeight w:val="704"/>
        </w:trPr>
        <w:tc>
          <w:tcPr>
            <w:tcW w:w="3217" w:type="dxa"/>
            <w:tcBorders>
              <w:top w:val="nil"/>
              <w:bottom w:val="nil"/>
              <w:right w:val="nil"/>
            </w:tcBorders>
            <w:vAlign w:val="center"/>
          </w:tcPr>
          <w:p w14:paraId="2A318575"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 xml:space="preserve">Period II </w:t>
            </w:r>
          </w:p>
          <w:p w14:paraId="48D99286" w14:textId="5FA1C83A"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2012-2022</w:t>
            </w:r>
            <w:r>
              <w:rPr>
                <w:rFonts w:ascii="Times New Roman" w:eastAsia="Calibri" w:hAnsi="Times New Roman" w:cs="Times New Roman"/>
                <w:sz w:val="24"/>
              </w:rPr>
              <w:t>)</w:t>
            </w:r>
          </w:p>
        </w:tc>
        <w:tc>
          <w:tcPr>
            <w:tcW w:w="6085" w:type="dxa"/>
            <w:tcBorders>
              <w:top w:val="nil"/>
              <w:left w:val="nil"/>
              <w:bottom w:val="nil"/>
            </w:tcBorders>
            <w:vAlign w:val="center"/>
          </w:tcPr>
          <w:p w14:paraId="5DD70149"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1.79</w:t>
            </w:r>
          </w:p>
        </w:tc>
      </w:tr>
      <w:tr w:rsidR="00C8007B" w:rsidRPr="00C8007B" w14:paraId="6204482F" w14:textId="77777777" w:rsidTr="00A442D4">
        <w:trPr>
          <w:trHeight w:val="700"/>
        </w:trPr>
        <w:tc>
          <w:tcPr>
            <w:tcW w:w="3217" w:type="dxa"/>
            <w:tcBorders>
              <w:top w:val="nil"/>
              <w:right w:val="nil"/>
            </w:tcBorders>
            <w:vAlign w:val="center"/>
          </w:tcPr>
          <w:p w14:paraId="23814382"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Overall period</w:t>
            </w:r>
          </w:p>
          <w:p w14:paraId="3107A5EC" w14:textId="67E9EFBD"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2002-2022</w:t>
            </w:r>
            <w:r>
              <w:rPr>
                <w:rFonts w:ascii="Times New Roman" w:eastAsia="Calibri" w:hAnsi="Times New Roman" w:cs="Times New Roman"/>
                <w:sz w:val="24"/>
              </w:rPr>
              <w:t>)</w:t>
            </w:r>
          </w:p>
        </w:tc>
        <w:tc>
          <w:tcPr>
            <w:tcW w:w="6085" w:type="dxa"/>
            <w:tcBorders>
              <w:top w:val="nil"/>
              <w:left w:val="nil"/>
            </w:tcBorders>
            <w:vAlign w:val="center"/>
          </w:tcPr>
          <w:p w14:paraId="0D752475"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5.91</w:t>
            </w:r>
          </w:p>
        </w:tc>
      </w:tr>
    </w:tbl>
    <w:p w14:paraId="59522F4E" w14:textId="46138DAF" w:rsidR="00C8007B" w:rsidRPr="00C8007B" w:rsidRDefault="00A442D4" w:rsidP="00AD3FCD">
      <w:pPr>
        <w:jc w:val="both"/>
        <w:rPr>
          <w:rFonts w:ascii="Times New Roman" w:eastAsia="Calibri" w:hAnsi="Times New Roman" w:cs="Times New Roman"/>
          <w:i/>
        </w:rPr>
      </w:pPr>
      <w:r w:rsidRPr="00DA35CB">
        <w:rPr>
          <w:b/>
          <w:noProof/>
        </w:rPr>
        <w:drawing>
          <wp:anchor distT="0" distB="0" distL="114300" distR="114300" simplePos="0" relativeHeight="251660288" behindDoc="1" locked="0" layoutInCell="1" allowOverlap="1" wp14:anchorId="4A66549B" wp14:editId="5DFD6813">
            <wp:simplePos x="0" y="0"/>
            <wp:positionH relativeFrom="column">
              <wp:posOffset>-144780</wp:posOffset>
            </wp:positionH>
            <wp:positionV relativeFrom="paragraph">
              <wp:posOffset>344805</wp:posOffset>
            </wp:positionV>
            <wp:extent cx="6134100" cy="2819400"/>
            <wp:effectExtent l="0" t="0" r="0" b="0"/>
            <wp:wrapTight wrapText="bothSides">
              <wp:wrapPolygon edited="0">
                <wp:start x="0" y="0"/>
                <wp:lineTo x="0" y="21454"/>
                <wp:lineTo x="21533" y="21454"/>
                <wp:lineTo x="21533"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007B" w:rsidRPr="00DA35CB">
        <w:rPr>
          <w:rFonts w:ascii="Times New Roman" w:eastAsia="Calibri" w:hAnsi="Times New Roman" w:cs="Times New Roman"/>
          <w:b/>
          <w:i/>
        </w:rPr>
        <w:t>Note</w:t>
      </w:r>
      <w:r w:rsidR="00C8007B" w:rsidRPr="00C8007B">
        <w:rPr>
          <w:rFonts w:ascii="Times New Roman" w:eastAsia="Calibri" w:hAnsi="Times New Roman" w:cs="Times New Roman"/>
          <w:i/>
        </w:rPr>
        <w:t>: All the compound growth rates are significant at 1 per cent level</w:t>
      </w:r>
    </w:p>
    <w:p w14:paraId="45E861B3" w14:textId="77777777" w:rsidR="00431660" w:rsidRDefault="00431660" w:rsidP="00AD3FCD">
      <w:pPr>
        <w:spacing w:after="100" w:afterAutospacing="1" w:line="276" w:lineRule="auto"/>
        <w:jc w:val="both"/>
        <w:rPr>
          <w:rFonts w:ascii="Times New Roman" w:eastAsia="Times New Roman" w:hAnsi="Times New Roman" w:cs="Times New Roman"/>
          <w:sz w:val="24"/>
          <w:szCs w:val="24"/>
          <w:lang w:eastAsia="en-IN"/>
        </w:rPr>
        <w:sectPr w:rsidR="00431660" w:rsidSect="00AD3FCD">
          <w:type w:val="continuous"/>
          <w:pgSz w:w="11906" w:h="16838"/>
          <w:pgMar w:top="1440" w:right="1440" w:bottom="1440" w:left="1440" w:header="709" w:footer="709" w:gutter="0"/>
          <w:cols w:space="709"/>
          <w:docGrid w:linePitch="360"/>
        </w:sectPr>
      </w:pPr>
    </w:p>
    <w:p w14:paraId="400984ED" w14:textId="77777777" w:rsidR="00A442D4" w:rsidRDefault="00A442D4" w:rsidP="00AD3FCD">
      <w:pPr>
        <w:jc w:val="both"/>
        <w:rPr>
          <w:rFonts w:ascii="Times New Roman" w:hAnsi="Times New Roman" w:cs="Times New Roman"/>
          <w:b/>
          <w:sz w:val="24"/>
          <w:szCs w:val="24"/>
          <w:lang w:val="en-US"/>
        </w:rPr>
        <w:sectPr w:rsidR="00A442D4" w:rsidSect="00AD3FCD">
          <w:type w:val="continuous"/>
          <w:pgSz w:w="11906" w:h="16838"/>
          <w:pgMar w:top="1440" w:right="1440" w:bottom="1440" w:left="1440" w:header="709" w:footer="709" w:gutter="0"/>
          <w:cols w:space="709"/>
          <w:docGrid w:linePitch="360"/>
        </w:sectPr>
      </w:pPr>
    </w:p>
    <w:p w14:paraId="5E493B4F" w14:textId="5983C864" w:rsidR="00A442D4" w:rsidRDefault="00A442D4" w:rsidP="00AD3FC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 </w:t>
      </w:r>
      <w:proofErr w:type="gramStart"/>
      <w:r>
        <w:rPr>
          <w:rFonts w:ascii="Times New Roman" w:hAnsi="Times New Roman" w:cs="Times New Roman"/>
          <w:b/>
          <w:sz w:val="24"/>
          <w:szCs w:val="24"/>
          <w:lang w:val="en-US"/>
        </w:rPr>
        <w:t>2 :</w:t>
      </w:r>
      <w:proofErr w:type="gramEnd"/>
      <w:r>
        <w:rPr>
          <w:rFonts w:ascii="Times New Roman" w:hAnsi="Times New Roman" w:cs="Times New Roman"/>
          <w:b/>
          <w:sz w:val="24"/>
          <w:szCs w:val="24"/>
          <w:lang w:val="en-US"/>
        </w:rPr>
        <w:t xml:space="preserve"> Trend of FHP growth for paddy in Gujarat 2002-2022</w:t>
      </w:r>
    </w:p>
    <w:p w14:paraId="21584413" w14:textId="77777777" w:rsidR="00A442D4" w:rsidRDefault="00A442D4" w:rsidP="00AD3FCD">
      <w:pPr>
        <w:spacing w:after="100" w:afterAutospacing="1" w:line="276" w:lineRule="auto"/>
        <w:jc w:val="both"/>
        <w:rPr>
          <w:rFonts w:ascii="Times New Roman" w:eastAsia="Times New Roman" w:hAnsi="Times New Roman" w:cs="Times New Roman"/>
          <w:sz w:val="24"/>
          <w:szCs w:val="24"/>
          <w:lang w:eastAsia="en-IN"/>
        </w:rPr>
        <w:sectPr w:rsidR="00A442D4" w:rsidSect="00AD3FCD">
          <w:type w:val="continuous"/>
          <w:pgSz w:w="11906" w:h="16838"/>
          <w:pgMar w:top="1440" w:right="1440" w:bottom="1440" w:left="1440" w:header="709" w:footer="709" w:gutter="0"/>
          <w:cols w:space="709"/>
          <w:docGrid w:linePitch="360"/>
        </w:sectPr>
      </w:pPr>
    </w:p>
    <w:p w14:paraId="52E53C97" w14:textId="071B86EB" w:rsidR="00A442D4" w:rsidRDefault="00A442D4" w:rsidP="00AD3FCD">
      <w:pPr>
        <w:spacing w:after="100" w:afterAutospacing="1" w:line="276" w:lineRule="auto"/>
        <w:jc w:val="both"/>
        <w:rPr>
          <w:rFonts w:ascii="Times New Roman" w:eastAsia="Times New Roman" w:hAnsi="Times New Roman" w:cs="Times New Roman"/>
          <w:sz w:val="24"/>
          <w:szCs w:val="24"/>
          <w:lang w:eastAsia="en-IN"/>
        </w:rPr>
        <w:sectPr w:rsidR="00A442D4" w:rsidSect="00AD3FCD">
          <w:type w:val="continuous"/>
          <w:pgSz w:w="11906" w:h="16838"/>
          <w:pgMar w:top="1440" w:right="1440" w:bottom="1440" w:left="1440" w:header="709" w:footer="709" w:gutter="0"/>
          <w:cols w:space="709"/>
          <w:docGrid w:linePitch="360"/>
        </w:sectPr>
      </w:pPr>
    </w:p>
    <w:p w14:paraId="026B6A44" w14:textId="77777777" w:rsidR="00EF7890" w:rsidRDefault="00D50270" w:rsidP="00AD3FCD">
      <w:pPr>
        <w:spacing w:after="0" w:line="276" w:lineRule="auto"/>
        <w:ind w:left="-142" w:right="-449"/>
        <w:jc w:val="both"/>
        <w:rPr>
          <w:rFonts w:ascii="Times New Roman" w:eastAsia="Times New Roman" w:hAnsi="Times New Roman" w:cs="Times New Roman"/>
          <w:sz w:val="24"/>
          <w:szCs w:val="24"/>
          <w:lang w:eastAsia="en-IN"/>
        </w:rPr>
      </w:pPr>
      <w:r w:rsidRPr="00D50270">
        <w:rPr>
          <w:rFonts w:ascii="Times New Roman" w:eastAsia="Times New Roman" w:hAnsi="Times New Roman" w:cs="Times New Roman"/>
          <w:b/>
          <w:sz w:val="24"/>
          <w:szCs w:val="24"/>
          <w:lang w:eastAsia="en-IN"/>
        </w:rPr>
        <w:t xml:space="preserve">Comparison in growth </w:t>
      </w:r>
      <w:proofErr w:type="gramStart"/>
      <w:r w:rsidRPr="00D50270">
        <w:rPr>
          <w:rFonts w:ascii="Times New Roman" w:eastAsia="Times New Roman" w:hAnsi="Times New Roman" w:cs="Times New Roman"/>
          <w:b/>
          <w:sz w:val="24"/>
          <w:szCs w:val="24"/>
          <w:lang w:eastAsia="en-IN"/>
        </w:rPr>
        <w:t xml:space="preserve">of  </w:t>
      </w:r>
      <w:r>
        <w:rPr>
          <w:rFonts w:ascii="Times New Roman" w:eastAsia="Times New Roman" w:hAnsi="Times New Roman" w:cs="Times New Roman"/>
          <w:b/>
          <w:sz w:val="24"/>
          <w:szCs w:val="24"/>
          <w:lang w:eastAsia="en-IN"/>
        </w:rPr>
        <w:t>MSP</w:t>
      </w:r>
      <w:proofErr w:type="gramEnd"/>
      <w:r w:rsidRPr="00D50270">
        <w:rPr>
          <w:rFonts w:ascii="Times New Roman" w:eastAsia="Times New Roman" w:hAnsi="Times New Roman" w:cs="Times New Roman"/>
          <w:b/>
          <w:sz w:val="24"/>
          <w:szCs w:val="24"/>
          <w:lang w:eastAsia="en-IN"/>
        </w:rPr>
        <w:t xml:space="preserve"> and </w:t>
      </w:r>
      <w:r>
        <w:rPr>
          <w:rFonts w:ascii="Times New Roman" w:eastAsia="Times New Roman" w:hAnsi="Times New Roman" w:cs="Times New Roman"/>
          <w:b/>
          <w:sz w:val="24"/>
          <w:szCs w:val="24"/>
          <w:lang w:eastAsia="en-IN"/>
        </w:rPr>
        <w:t xml:space="preserve">FHP </w:t>
      </w:r>
      <w:r w:rsidRPr="00D50270">
        <w:rPr>
          <w:rFonts w:ascii="Times New Roman" w:eastAsia="Times New Roman" w:hAnsi="Times New Roman" w:cs="Times New Roman"/>
          <w:b/>
          <w:sz w:val="24"/>
          <w:szCs w:val="24"/>
          <w:lang w:eastAsia="en-IN"/>
        </w:rPr>
        <w:t>for paddy</w:t>
      </w:r>
    </w:p>
    <w:p w14:paraId="140975DE" w14:textId="04E70EDA" w:rsidR="004E7C0D" w:rsidRDefault="00EF7890" w:rsidP="00AD3FCD">
      <w:pPr>
        <w:spacing w:after="0" w:line="276" w:lineRule="auto"/>
        <w:ind w:left="-142" w:right="-449"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The comparative analysis of compound growth rates (CGRs) of Minimum Support Price (MSP) for both common and Grade “A” paddy and Farm Harvest Price (FHP) of paddy in Gujarat over the period 2002–2022 (Figure 3</w:t>
      </w:r>
      <w:proofErr w:type="gramStart"/>
      <w:r>
        <w:rPr>
          <w:rFonts w:ascii="Times New Roman" w:hAnsi="Times New Roman" w:cs="Times New Roman"/>
          <w:sz w:val="24"/>
        </w:rPr>
        <w:t>)  reveals</w:t>
      </w:r>
      <w:proofErr w:type="gramEnd"/>
      <w:r>
        <w:rPr>
          <w:rFonts w:ascii="Times New Roman" w:hAnsi="Times New Roman" w:cs="Times New Roman"/>
          <w:sz w:val="24"/>
        </w:rPr>
        <w:t xml:space="preserve"> significant insights into the dynamics of price support versus actual market realization. The growth rates across three time periods-Period I (2002–2012), Period II (2012–2022) and the overall period (2002–2022) are all found to be statistically significant at the 1 per cent level confirming the robustness of the trends.</w:t>
      </w:r>
      <w:r w:rsidR="004E7C0D">
        <w:rPr>
          <w:rFonts w:ascii="Times New Roman" w:eastAsia="Times New Roman" w:hAnsi="Times New Roman" w:cs="Times New Roman"/>
          <w:sz w:val="24"/>
          <w:szCs w:val="24"/>
          <w:lang w:eastAsia="en-IN"/>
        </w:rPr>
        <w:tab/>
      </w:r>
    </w:p>
    <w:p w14:paraId="53282168" w14:textId="77777777" w:rsidR="004E7C0D" w:rsidRDefault="00EF7890" w:rsidP="00AD3FCD">
      <w:pPr>
        <w:spacing w:after="0" w:line="276" w:lineRule="auto"/>
        <w:ind w:left="-142" w:right="-308" w:firstLine="709"/>
        <w:jc w:val="both"/>
        <w:rPr>
          <w:rFonts w:ascii="Times New Roman" w:eastAsia="Times New Roman" w:hAnsi="Times New Roman" w:cs="Times New Roman"/>
          <w:sz w:val="24"/>
          <w:szCs w:val="24"/>
          <w:lang w:eastAsia="en-IN"/>
        </w:rPr>
      </w:pPr>
      <w:r>
        <w:rPr>
          <w:rFonts w:ascii="Times New Roman" w:hAnsi="Times New Roman" w:cs="Times New Roman"/>
          <w:sz w:val="24"/>
        </w:rPr>
        <w:lastRenderedPageBreak/>
        <w:t>During Period I (2002–2012) the CAGR of MSP (common) was 9.17 per cent and that of MSP (Grade “A”) was 8.79 per cent, whereas the FHP grew at a comparatively lower rate of 7.21 per cent. This suggests that while support prices were increasing at a strong pace the corresponding benefits to farmers as reflected in the farm harvest price were not fully commensurate.</w:t>
      </w:r>
    </w:p>
    <w:p w14:paraId="5B251541" w14:textId="5647F383" w:rsidR="004E7C0D" w:rsidRDefault="00EF7890" w:rsidP="00AD3FCD">
      <w:pPr>
        <w:spacing w:after="0" w:line="276" w:lineRule="auto"/>
        <w:ind w:left="-142" w:right="-308"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In Period II (2012–2022) the divergence becomes even more pronounced. The CGR for MSP (common) and MSP (Grade “A”) declined to 5.34 per cent and 5.10 per cent, respectively, indicating a moderation in policy-led price hikes. However, the FHP experienced a sharp deceleration growing at only 1.79 per cent per annum. This widening gap suggests a growing disconnect between administered prices and actual market realizations at the farm level.</w:t>
      </w:r>
    </w:p>
    <w:p w14:paraId="2E13BABA" w14:textId="706B3033" w:rsidR="00EF7890" w:rsidRPr="004E7C0D" w:rsidRDefault="00EF7890" w:rsidP="00AD3FCD">
      <w:pPr>
        <w:spacing w:after="0" w:line="276" w:lineRule="auto"/>
        <w:ind w:left="-142" w:right="-449"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Over the entire period (2002–2022), the MSP for common paddy and Grade “A” paddy registered compound growth rates of 7.93 per cent and 7.67 per cent, respectively, whereas FHP grew at 5.91 per cent per annum. While all three rates indicate an upward trajectory, the consistently lower growth of FHP compared to MSP across all periods underscores a structural issue wherein farmers do not fully realize the intended benefits of MSP increases.</w:t>
      </w:r>
    </w:p>
    <w:p w14:paraId="003937C7" w14:textId="77777777" w:rsidR="00EF7890" w:rsidRDefault="00EF7890" w:rsidP="00AD3FCD">
      <w:pPr>
        <w:spacing w:after="100" w:afterAutospacing="1" w:line="276" w:lineRule="auto"/>
        <w:ind w:right="-520"/>
        <w:jc w:val="both"/>
        <w:rPr>
          <w:rFonts w:ascii="Times New Roman" w:eastAsia="Times New Roman" w:hAnsi="Times New Roman" w:cs="Times New Roman"/>
          <w:sz w:val="24"/>
          <w:szCs w:val="24"/>
          <w:lang w:eastAsia="en-IN"/>
        </w:rPr>
        <w:sectPr w:rsidR="00EF7890" w:rsidSect="00AD3FCD">
          <w:type w:val="continuous"/>
          <w:pgSz w:w="11906" w:h="16838"/>
          <w:pgMar w:top="1440" w:right="1440" w:bottom="1440" w:left="1440" w:header="709" w:footer="709" w:gutter="0"/>
          <w:cols w:space="852"/>
          <w:docGrid w:linePitch="360"/>
        </w:sectPr>
      </w:pPr>
    </w:p>
    <w:p w14:paraId="1051D330" w14:textId="7A84DE10" w:rsidR="004E7C0D" w:rsidRDefault="0027206D" w:rsidP="00AD3FCD">
      <w:pPr>
        <w:spacing w:after="100" w:afterAutospacing="1" w:line="276" w:lineRule="auto"/>
        <w:jc w:val="both"/>
        <w:rPr>
          <w:rFonts w:ascii="Times New Roman" w:hAnsi="Times New Roman" w:cs="Times New Roman"/>
          <w:b/>
          <w:sz w:val="24"/>
        </w:rPr>
        <w:sectPr w:rsidR="004E7C0D" w:rsidSect="00AD3FCD">
          <w:type w:val="continuous"/>
          <w:pgSz w:w="11906" w:h="16838"/>
          <w:pgMar w:top="1440" w:right="1440" w:bottom="1440" w:left="1440" w:header="709" w:footer="709" w:gutter="0"/>
          <w:cols w:space="709"/>
          <w:docGrid w:linePitch="360"/>
        </w:sectPr>
      </w:pPr>
      <w:r>
        <w:rPr>
          <w:noProof/>
        </w:rPr>
        <w:drawing>
          <wp:anchor distT="0" distB="0" distL="114300" distR="114300" simplePos="0" relativeHeight="251662336" behindDoc="1" locked="0" layoutInCell="1" allowOverlap="1" wp14:anchorId="3C4A1169" wp14:editId="459CAABD">
            <wp:simplePos x="0" y="0"/>
            <wp:positionH relativeFrom="column">
              <wp:posOffset>-68580</wp:posOffset>
            </wp:positionH>
            <wp:positionV relativeFrom="paragraph">
              <wp:posOffset>8890</wp:posOffset>
            </wp:positionV>
            <wp:extent cx="5882640" cy="2392680"/>
            <wp:effectExtent l="0" t="0" r="3810" b="7620"/>
            <wp:wrapTight wrapText="bothSides">
              <wp:wrapPolygon edited="0">
                <wp:start x="0" y="0"/>
                <wp:lineTo x="0" y="21497"/>
                <wp:lineTo x="21544" y="21497"/>
                <wp:lineTo x="21544"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5BD05C8" w14:textId="29A34130" w:rsidR="00541F35" w:rsidRPr="004F0495" w:rsidRDefault="004E7C0D" w:rsidP="00AD3FCD">
      <w:pPr>
        <w:spacing w:after="0" w:line="276" w:lineRule="auto"/>
        <w:jc w:val="both"/>
        <w:rPr>
          <w:rFonts w:ascii="Times New Roman" w:hAnsi="Times New Roman" w:cs="Times New Roman"/>
          <w:b/>
          <w:sz w:val="24"/>
        </w:rPr>
        <w:sectPr w:rsidR="00541F35" w:rsidRPr="004F0495" w:rsidSect="00AD3FCD">
          <w:headerReference w:type="even" r:id="rId17"/>
          <w:headerReference w:type="default" r:id="rId18"/>
          <w:headerReference w:type="first" r:id="rId19"/>
          <w:footerReference w:type="first" r:id="rId20"/>
          <w:type w:val="continuous"/>
          <w:pgSz w:w="11906" w:h="16838"/>
          <w:pgMar w:top="1440" w:right="1440" w:bottom="1440" w:left="2160" w:header="709" w:footer="709" w:gutter="0"/>
          <w:cols w:space="708"/>
          <w:titlePg/>
          <w:docGrid w:linePitch="360"/>
        </w:sectPr>
      </w:pPr>
      <w:r>
        <w:rPr>
          <w:rFonts w:ascii="Times New Roman" w:hAnsi="Times New Roman" w:cs="Times New Roman"/>
          <w:b/>
          <w:sz w:val="24"/>
        </w:rPr>
        <w:t>Figure 3: Comparison of MSP and FHP growth rates of padd</w:t>
      </w:r>
      <w:r w:rsidR="004F0495">
        <w:rPr>
          <w:rFonts w:ascii="Times New Roman" w:hAnsi="Times New Roman" w:cs="Times New Roman"/>
          <w:b/>
          <w:sz w:val="24"/>
        </w:rPr>
        <w:t>y</w:t>
      </w:r>
    </w:p>
    <w:p w14:paraId="757A19DC" w14:textId="77777777" w:rsidR="00755952" w:rsidRDefault="004F0495" w:rsidP="00AD3FCD">
      <w:pPr>
        <w:spacing w:after="0" w:line="276" w:lineRule="auto"/>
        <w:ind w:right="-237" w:hanging="142"/>
        <w:jc w:val="both"/>
        <w:rPr>
          <w:rFonts w:ascii="Times New Roman" w:eastAsia="Calibri" w:hAnsi="Times New Roman" w:cs="Times New Roman"/>
          <w:sz w:val="24"/>
        </w:rPr>
        <w:sectPr w:rsidR="00755952" w:rsidSect="00AD3FCD">
          <w:type w:val="continuous"/>
          <w:pgSz w:w="11906" w:h="16838"/>
          <w:pgMar w:top="1440" w:right="1440" w:bottom="1843" w:left="1440" w:header="709" w:footer="709" w:gutter="0"/>
          <w:cols w:space="709"/>
          <w:docGrid w:linePitch="360"/>
        </w:sectPr>
      </w:pPr>
      <w:r>
        <w:rPr>
          <w:rFonts w:ascii="Times New Roman" w:eastAsia="Calibri" w:hAnsi="Times New Roman" w:cs="Times New Roman"/>
          <w:sz w:val="24"/>
        </w:rPr>
        <w:tab/>
      </w:r>
    </w:p>
    <w:p w14:paraId="545EC020" w14:textId="00668BDE" w:rsidR="00755952" w:rsidRDefault="00541F35" w:rsidP="00AD3FCD">
      <w:pPr>
        <w:spacing w:after="0" w:line="276" w:lineRule="auto"/>
        <w:ind w:right="-237" w:firstLine="142"/>
        <w:jc w:val="both"/>
        <w:rPr>
          <w:rFonts w:ascii="Times New Roman" w:eastAsia="Calibri" w:hAnsi="Times New Roman" w:cs="Times New Roman"/>
          <w:sz w:val="24"/>
        </w:rPr>
      </w:pPr>
      <w:r w:rsidRPr="00541F35">
        <w:rPr>
          <w:rFonts w:ascii="Times New Roman" w:eastAsia="Calibri" w:hAnsi="Times New Roman" w:cs="Times New Roman"/>
          <w:sz w:val="24"/>
        </w:rPr>
        <w:t xml:space="preserve">Figure </w:t>
      </w:r>
      <w:r w:rsidR="005C7661">
        <w:rPr>
          <w:rFonts w:ascii="Times New Roman" w:eastAsia="Calibri" w:hAnsi="Times New Roman" w:cs="Times New Roman"/>
          <w:sz w:val="24"/>
        </w:rPr>
        <w:t xml:space="preserve">4 </w:t>
      </w:r>
      <w:r w:rsidRPr="00541F35">
        <w:rPr>
          <w:rFonts w:ascii="Times New Roman" w:eastAsia="Calibri" w:hAnsi="Times New Roman" w:cs="Times New Roman"/>
          <w:sz w:val="24"/>
        </w:rPr>
        <w:t>illustrates the Compound Annual Growth Rate (CAGR) of Farm Harvest Price (FHP) 19</w:t>
      </w:r>
      <w:r w:rsidR="004F0495">
        <w:rPr>
          <w:rFonts w:ascii="Times New Roman" w:eastAsia="Calibri" w:hAnsi="Times New Roman" w:cs="Times New Roman"/>
          <w:sz w:val="24"/>
        </w:rPr>
        <w:t xml:space="preserve"> paddy growing</w:t>
      </w:r>
      <w:r w:rsidRPr="00541F35">
        <w:rPr>
          <w:rFonts w:ascii="Times New Roman" w:eastAsia="Calibri" w:hAnsi="Times New Roman" w:cs="Times New Roman"/>
          <w:sz w:val="24"/>
        </w:rPr>
        <w:t xml:space="preserve"> districts in Gujarat over the </w:t>
      </w:r>
      <w:proofErr w:type="gramStart"/>
      <w:r w:rsidRPr="00541F35">
        <w:rPr>
          <w:rFonts w:ascii="Times New Roman" w:eastAsia="Calibri" w:hAnsi="Times New Roman" w:cs="Times New Roman"/>
          <w:sz w:val="24"/>
        </w:rPr>
        <w:t>period  2002</w:t>
      </w:r>
      <w:proofErr w:type="gramEnd"/>
      <w:r w:rsidRPr="00541F35">
        <w:rPr>
          <w:rFonts w:ascii="Times New Roman" w:eastAsia="Calibri" w:hAnsi="Times New Roman" w:cs="Times New Roman"/>
          <w:sz w:val="24"/>
        </w:rPr>
        <w:t>-03 to 2021-22. The analysis provides insights into regional disparities in price realization at the farm level. While the average FHP growth rate at the state level stood at 5.91 percent per annum, only a few districts managed t</w:t>
      </w:r>
      <w:r w:rsidR="00755952">
        <w:rPr>
          <w:rFonts w:ascii="Times New Roman" w:eastAsia="Calibri" w:hAnsi="Times New Roman" w:cs="Times New Roman"/>
          <w:sz w:val="24"/>
        </w:rPr>
        <w:t xml:space="preserve">o </w:t>
      </w:r>
      <w:proofErr w:type="gramStart"/>
      <w:r w:rsidR="00755952">
        <w:rPr>
          <w:rFonts w:ascii="Times New Roman" w:eastAsia="Calibri" w:hAnsi="Times New Roman" w:cs="Times New Roman"/>
          <w:sz w:val="24"/>
        </w:rPr>
        <w:t>surpass  this</w:t>
      </w:r>
      <w:proofErr w:type="gramEnd"/>
      <w:r w:rsidR="00755952">
        <w:rPr>
          <w:rFonts w:ascii="Times New Roman" w:eastAsia="Calibri" w:hAnsi="Times New Roman" w:cs="Times New Roman"/>
          <w:sz w:val="24"/>
        </w:rPr>
        <w:t xml:space="preserve"> benchmark indicating uneven  market  </w:t>
      </w:r>
      <w:r w:rsidR="00755952" w:rsidRPr="00541F35">
        <w:rPr>
          <w:rFonts w:ascii="Times New Roman" w:eastAsia="Calibri" w:hAnsi="Times New Roman" w:cs="Times New Roman"/>
          <w:sz w:val="24"/>
        </w:rPr>
        <w:t xml:space="preserve">performance and effectiveness of the </w:t>
      </w:r>
    </w:p>
    <w:p w14:paraId="7910813D" w14:textId="3FD35651" w:rsidR="00755952" w:rsidRDefault="00755952"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Minimum Support Price (MSP) policy in practise.</w:t>
      </w:r>
    </w:p>
    <w:p w14:paraId="564911F9" w14:textId="7DECB8A7" w:rsidR="00755952" w:rsidRDefault="00755952" w:rsidP="00AD3FCD">
      <w:pPr>
        <w:spacing w:after="0" w:line="276" w:lineRule="auto"/>
        <w:ind w:right="-237" w:firstLine="142"/>
        <w:jc w:val="both"/>
        <w:rPr>
          <w:rFonts w:ascii="Times New Roman" w:eastAsia="Calibri" w:hAnsi="Times New Roman" w:cs="Times New Roman"/>
          <w:sz w:val="24"/>
        </w:rPr>
        <w:sectPr w:rsidR="00755952" w:rsidSect="00AD3FCD">
          <w:type w:val="continuous"/>
          <w:pgSz w:w="11906" w:h="16838"/>
          <w:pgMar w:top="1440" w:right="1440" w:bottom="1135" w:left="1440" w:header="709" w:footer="709" w:gutter="0"/>
          <w:cols w:space="709"/>
          <w:docGrid w:linePitch="360"/>
        </w:sectPr>
      </w:pPr>
    </w:p>
    <w:p w14:paraId="775EE31D" w14:textId="204F8F9B" w:rsidR="00541F35" w:rsidRPr="00541F35" w:rsidRDefault="00A22067" w:rsidP="00AD3FCD">
      <w:pPr>
        <w:spacing w:after="0" w:line="276" w:lineRule="auto"/>
        <w:ind w:right="-237" w:firstLine="142"/>
        <w:jc w:val="both"/>
        <w:rPr>
          <w:rFonts w:ascii="Times New Roman" w:eastAsia="Calibri" w:hAnsi="Times New Roman" w:cs="Times New Roman"/>
          <w:sz w:val="24"/>
        </w:rPr>
      </w:pPr>
      <w:r>
        <w:rPr>
          <w:rFonts w:ascii="Times New Roman" w:eastAsia="Calibri" w:hAnsi="Times New Roman" w:cs="Times New Roman"/>
          <w:noProof/>
          <w:sz w:val="24"/>
        </w:rPr>
        <w:lastRenderedPageBreak/>
        <mc:AlternateContent>
          <mc:Choice Requires="wps">
            <w:drawing>
              <wp:anchor distT="0" distB="0" distL="114300" distR="114300" simplePos="0" relativeHeight="251668480" behindDoc="0" locked="0" layoutInCell="1" allowOverlap="1" wp14:anchorId="6DD8CA3F" wp14:editId="563D792A">
                <wp:simplePos x="0" y="0"/>
                <wp:positionH relativeFrom="column">
                  <wp:posOffset>91440</wp:posOffset>
                </wp:positionH>
                <wp:positionV relativeFrom="paragraph">
                  <wp:posOffset>3261360</wp:posOffset>
                </wp:positionV>
                <wp:extent cx="5661660" cy="3048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5661660" cy="304800"/>
                        </a:xfrm>
                        <a:prstGeom prst="rect">
                          <a:avLst/>
                        </a:prstGeom>
                        <a:solidFill>
                          <a:schemeClr val="lt1"/>
                        </a:solidFill>
                        <a:ln w="6350">
                          <a:solidFill>
                            <a:schemeClr val="bg1"/>
                          </a:solidFill>
                        </a:ln>
                      </wps:spPr>
                      <wps:txbx>
                        <w:txbxContent>
                          <w:p w14:paraId="4C6650F9" w14:textId="77777777" w:rsidR="000463BC" w:rsidRDefault="000463BC" w:rsidP="000463BC">
                            <w:pPr>
                              <w:jc w:val="center"/>
                              <w:rPr>
                                <w:rFonts w:ascii="Times New Roman" w:hAnsi="Times New Roman" w:cs="Times New Roman"/>
                                <w:b/>
                                <w:sz w:val="24"/>
                                <w:lang w:val="en-US"/>
                              </w:rPr>
                            </w:pPr>
                            <w:r w:rsidRPr="00755952">
                              <w:rPr>
                                <w:rFonts w:ascii="Times New Roman" w:hAnsi="Times New Roman" w:cs="Times New Roman"/>
                                <w:b/>
                                <w:sz w:val="24"/>
                                <w:lang w:val="en-US"/>
                              </w:rPr>
                              <w:t xml:space="preserve">Figure </w:t>
                            </w:r>
                            <w:proofErr w:type="gramStart"/>
                            <w:r w:rsidRPr="00755952">
                              <w:rPr>
                                <w:rFonts w:ascii="Times New Roman" w:hAnsi="Times New Roman" w:cs="Times New Roman"/>
                                <w:b/>
                                <w:sz w:val="24"/>
                                <w:lang w:val="en-US"/>
                              </w:rPr>
                              <w:t>4</w:t>
                            </w:r>
                            <w:r>
                              <w:rPr>
                                <w:rFonts w:ascii="Times New Roman" w:hAnsi="Times New Roman" w:cs="Times New Roman"/>
                                <w:b/>
                                <w:sz w:val="24"/>
                                <w:lang w:val="en-US"/>
                              </w:rPr>
                              <w:t xml:space="preserve"> :</w:t>
                            </w:r>
                            <w:proofErr w:type="gramEnd"/>
                            <w:r>
                              <w:rPr>
                                <w:rFonts w:ascii="Times New Roman" w:hAnsi="Times New Roman" w:cs="Times New Roman"/>
                                <w:b/>
                                <w:sz w:val="24"/>
                                <w:lang w:val="en-US"/>
                              </w:rPr>
                              <w:t xml:space="preserve"> District-wise FHP growth rate of paddy in Gujarat (2002-03 to 2021-22)</w:t>
                            </w:r>
                          </w:p>
                          <w:p w14:paraId="1F226A53" w14:textId="3C9DAFD0" w:rsidR="000463BC" w:rsidRPr="00755952" w:rsidRDefault="000463BC">
                            <w:pPr>
                              <w:rPr>
                                <w:rFonts w:ascii="Times New Roman" w:hAnsi="Times New Roman" w:cs="Times New Roman"/>
                                <w:b/>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CA3F" id="_x0000_t202" coordsize="21600,21600" o:spt="202" path="m,l,21600r21600,l21600,xe">
                <v:stroke joinstyle="miter"/>
                <v:path gradientshapeok="t" o:connecttype="rect"/>
              </v:shapetype>
              <v:shape id="Text Box 1" o:spid="_x0000_s1026" type="#_x0000_t202" style="position:absolute;left:0;text-align:left;margin-left:7.2pt;margin-top:256.8pt;width:445.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" fillcolor="white [3201]" strokecolor="white [3212]" strokeweight=".5pt">
                <v:textbox>
                  <w:txbxContent>
                    <w:p w14:paraId="4C6650F9" w14:textId="77777777" w:rsidR="000463BC" w:rsidRDefault="000463BC" w:rsidP="000463BC">
                      <w:pPr>
                        <w:jc w:val="center"/>
                        <w:rPr>
                          <w:rFonts w:ascii="Times New Roman" w:hAnsi="Times New Roman" w:cs="Times New Roman"/>
                          <w:b/>
                          <w:sz w:val="24"/>
                          <w:lang w:val="en-US"/>
                        </w:rPr>
                      </w:pPr>
                      <w:r w:rsidRPr="00755952">
                        <w:rPr>
                          <w:rFonts w:ascii="Times New Roman" w:hAnsi="Times New Roman" w:cs="Times New Roman"/>
                          <w:b/>
                          <w:sz w:val="24"/>
                          <w:lang w:val="en-US"/>
                        </w:rPr>
                        <w:t xml:space="preserve">Figure </w:t>
                      </w:r>
                      <w:proofErr w:type="gramStart"/>
                      <w:r w:rsidRPr="00755952">
                        <w:rPr>
                          <w:rFonts w:ascii="Times New Roman" w:hAnsi="Times New Roman" w:cs="Times New Roman"/>
                          <w:b/>
                          <w:sz w:val="24"/>
                          <w:lang w:val="en-US"/>
                        </w:rPr>
                        <w:t>4</w:t>
                      </w:r>
                      <w:r>
                        <w:rPr>
                          <w:rFonts w:ascii="Times New Roman" w:hAnsi="Times New Roman" w:cs="Times New Roman"/>
                          <w:b/>
                          <w:sz w:val="24"/>
                          <w:lang w:val="en-US"/>
                        </w:rPr>
                        <w:t xml:space="preserve"> :</w:t>
                      </w:r>
                      <w:proofErr w:type="gramEnd"/>
                      <w:r>
                        <w:rPr>
                          <w:rFonts w:ascii="Times New Roman" w:hAnsi="Times New Roman" w:cs="Times New Roman"/>
                          <w:b/>
                          <w:sz w:val="24"/>
                          <w:lang w:val="en-US"/>
                        </w:rPr>
                        <w:t xml:space="preserve"> District-wise FHP growth rate of paddy in Gujarat (2002-03 to 2021-22)</w:t>
                      </w:r>
                    </w:p>
                    <w:p w14:paraId="1F226A53" w14:textId="3C9DAFD0" w:rsidR="000463BC" w:rsidRPr="00755952" w:rsidRDefault="000463BC">
                      <w:pPr>
                        <w:rPr>
                          <w:rFonts w:ascii="Times New Roman" w:hAnsi="Times New Roman" w:cs="Times New Roman"/>
                          <w:b/>
                          <w:sz w:val="24"/>
                          <w:lang w:val="en-US"/>
                        </w:rPr>
                      </w:pPr>
                    </w:p>
                  </w:txbxContent>
                </v:textbox>
              </v:shape>
            </w:pict>
          </mc:Fallback>
        </mc:AlternateContent>
      </w:r>
      <w:r w:rsidR="00755952">
        <w:rPr>
          <w:rFonts w:ascii="Times New Roman" w:eastAsia="Calibri" w:hAnsi="Times New Roman" w:cs="Times New Roman"/>
          <w:noProof/>
          <w:sz w:val="24"/>
        </w:rPr>
        <w:drawing>
          <wp:inline distT="0" distB="0" distL="0" distR="0" wp14:anchorId="11C1A860" wp14:editId="259A3950">
            <wp:extent cx="5661660" cy="3262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1660" cy="3262630"/>
                    </a:xfrm>
                    <a:prstGeom prst="rect">
                      <a:avLst/>
                    </a:prstGeom>
                    <a:noFill/>
                  </pic:spPr>
                </pic:pic>
              </a:graphicData>
            </a:graphic>
          </wp:inline>
        </w:drawing>
      </w:r>
      <w:r w:rsidR="00541F35" w:rsidRPr="00541F35">
        <w:rPr>
          <w:rFonts w:ascii="Times New Roman" w:eastAsia="Calibri" w:hAnsi="Times New Roman" w:cs="Times New Roman"/>
          <w:sz w:val="24"/>
        </w:rPr>
        <w:t xml:space="preserve"> </w:t>
      </w:r>
    </w:p>
    <w:p w14:paraId="301E3343" w14:textId="1E32DCDB" w:rsidR="00755952" w:rsidRDefault="00755952" w:rsidP="00AD3FCD">
      <w:pPr>
        <w:spacing w:after="0" w:line="276" w:lineRule="auto"/>
        <w:ind w:right="-237" w:firstLine="426"/>
        <w:jc w:val="both"/>
        <w:rPr>
          <w:rFonts w:ascii="Times New Roman" w:eastAsia="Calibri" w:hAnsi="Times New Roman" w:cs="Times New Roman"/>
          <w:sz w:val="24"/>
        </w:rPr>
      </w:pPr>
    </w:p>
    <w:p w14:paraId="743B67B0" w14:textId="77777777" w:rsidR="00755952" w:rsidRDefault="00755952" w:rsidP="00AD3FCD">
      <w:pPr>
        <w:spacing w:after="0" w:line="276" w:lineRule="auto"/>
        <w:ind w:right="-237" w:firstLine="426"/>
        <w:jc w:val="both"/>
        <w:rPr>
          <w:rFonts w:ascii="Times New Roman" w:eastAsia="Calibri" w:hAnsi="Times New Roman" w:cs="Times New Roman"/>
          <w:sz w:val="24"/>
        </w:rPr>
      </w:pPr>
    </w:p>
    <w:p w14:paraId="33C59308" w14:textId="77777777" w:rsidR="00755952" w:rsidRDefault="00755952" w:rsidP="00AD3FCD">
      <w:pPr>
        <w:spacing w:after="0" w:line="276" w:lineRule="auto"/>
        <w:ind w:right="-237" w:firstLine="426"/>
        <w:jc w:val="both"/>
        <w:rPr>
          <w:rFonts w:ascii="Times New Roman" w:eastAsia="Calibri" w:hAnsi="Times New Roman" w:cs="Times New Roman"/>
          <w:sz w:val="24"/>
        </w:rPr>
        <w:sectPr w:rsidR="00755952" w:rsidSect="00AD3FCD">
          <w:type w:val="continuous"/>
          <w:pgSz w:w="11906" w:h="16838"/>
          <w:pgMar w:top="1440" w:right="1440" w:bottom="1440" w:left="1440" w:header="709" w:footer="709" w:gutter="0"/>
          <w:cols w:space="709"/>
          <w:docGrid w:linePitch="360"/>
        </w:sectPr>
      </w:pPr>
    </w:p>
    <w:p w14:paraId="5F2E01F4" w14:textId="77777777" w:rsidR="00A22067" w:rsidRDefault="00A22067" w:rsidP="00AD3FCD">
      <w:pPr>
        <w:spacing w:after="0" w:line="276" w:lineRule="auto"/>
        <w:ind w:right="-237" w:firstLine="426"/>
        <w:jc w:val="both"/>
        <w:rPr>
          <w:rFonts w:ascii="Times New Roman" w:eastAsia="Calibri" w:hAnsi="Times New Roman" w:cs="Times New Roman"/>
          <w:sz w:val="24"/>
        </w:rPr>
      </w:pPr>
    </w:p>
    <w:p w14:paraId="0E3BBF68" w14:textId="4E604B1A" w:rsidR="00541F35" w:rsidRPr="00541F35" w:rsidRDefault="00541F35" w:rsidP="00AD3FCD">
      <w:pPr>
        <w:spacing w:after="0" w:line="276" w:lineRule="auto"/>
        <w:ind w:right="-237" w:firstLine="426"/>
        <w:jc w:val="both"/>
        <w:rPr>
          <w:rFonts w:ascii="Times New Roman" w:eastAsia="Calibri" w:hAnsi="Times New Roman" w:cs="Times New Roman"/>
          <w:sz w:val="24"/>
        </w:rPr>
      </w:pPr>
      <w:r w:rsidRPr="00541F35">
        <w:rPr>
          <w:rFonts w:ascii="Times New Roman" w:eastAsia="Calibri" w:hAnsi="Times New Roman" w:cs="Times New Roman"/>
          <w:sz w:val="24"/>
        </w:rPr>
        <w:t xml:space="preserve">The districts that recorded high FHP growth rates above 7 per cent were Narmada (8.82 %), </w:t>
      </w:r>
      <w:proofErr w:type="spellStart"/>
      <w:r w:rsidRPr="00541F35">
        <w:rPr>
          <w:rFonts w:ascii="Times New Roman" w:eastAsia="Calibri" w:hAnsi="Times New Roman" w:cs="Times New Roman"/>
          <w:sz w:val="24"/>
        </w:rPr>
        <w:t>Dahod</w:t>
      </w:r>
      <w:proofErr w:type="spellEnd"/>
      <w:r w:rsidRPr="00541F35">
        <w:rPr>
          <w:rFonts w:ascii="Times New Roman" w:eastAsia="Calibri" w:hAnsi="Times New Roman" w:cs="Times New Roman"/>
          <w:sz w:val="24"/>
        </w:rPr>
        <w:t xml:space="preserve"> (7.46 %), Valsad (7.35 %) and Bharuch (7.13%</w:t>
      </w:r>
      <w:proofErr w:type="gramStart"/>
      <w:r w:rsidRPr="00541F35">
        <w:rPr>
          <w:rFonts w:ascii="Times New Roman" w:eastAsia="Calibri" w:hAnsi="Times New Roman" w:cs="Times New Roman"/>
          <w:sz w:val="24"/>
        </w:rPr>
        <w:t>).One</w:t>
      </w:r>
      <w:proofErr w:type="gramEnd"/>
      <w:r w:rsidRPr="00541F35">
        <w:rPr>
          <w:rFonts w:ascii="Times New Roman" w:eastAsia="Calibri" w:hAnsi="Times New Roman" w:cs="Times New Roman"/>
          <w:sz w:val="24"/>
        </w:rPr>
        <w:t xml:space="preserve"> possible reason for the high compound annual growth rate (CAGR) of</w:t>
      </w:r>
      <w:r w:rsidR="00B677B3">
        <w:rPr>
          <w:rFonts w:ascii="Times New Roman" w:eastAsia="Calibri" w:hAnsi="Times New Roman" w:cs="Times New Roman"/>
          <w:sz w:val="24"/>
        </w:rPr>
        <w:t xml:space="preserve"> </w:t>
      </w:r>
      <w:r w:rsidR="000B3188">
        <w:rPr>
          <w:rFonts w:ascii="Times New Roman" w:eastAsia="Calibri" w:hAnsi="Times New Roman" w:cs="Times New Roman"/>
          <w:sz w:val="24"/>
        </w:rPr>
        <w:t xml:space="preserve"> </w:t>
      </w:r>
      <w:r w:rsidRPr="00541F35">
        <w:rPr>
          <w:rFonts w:ascii="Times New Roman" w:eastAsia="Calibri" w:hAnsi="Times New Roman" w:cs="Times New Roman"/>
          <w:sz w:val="24"/>
        </w:rPr>
        <w:t xml:space="preserve">Farm Harvest Price (FHP) in these districts </w:t>
      </w:r>
      <w:r w:rsidR="0072669A">
        <w:rPr>
          <w:rFonts w:ascii="Times New Roman" w:eastAsia="Calibri" w:hAnsi="Times New Roman" w:cs="Times New Roman"/>
          <w:sz w:val="24"/>
        </w:rPr>
        <w:t>may be the</w:t>
      </w:r>
      <w:r w:rsidR="009C1EF7" w:rsidRPr="009C1EF7">
        <w:rPr>
          <w:rFonts w:ascii="Times New Roman" w:eastAsia="Calibri" w:hAnsi="Times New Roman" w:cs="Times New Roman"/>
          <w:bCs/>
          <w:sz w:val="24"/>
        </w:rPr>
        <w:t xml:space="preserve"> </w:t>
      </w:r>
      <w:r w:rsidR="009C1EF7" w:rsidRPr="00541F35">
        <w:rPr>
          <w:rFonts w:ascii="Times New Roman" w:eastAsia="Calibri" w:hAnsi="Times New Roman" w:cs="Times New Roman"/>
          <w:bCs/>
          <w:sz w:val="24"/>
        </w:rPr>
        <w:t>low base effect</w:t>
      </w:r>
      <w:r w:rsidR="009C1EF7" w:rsidRPr="00541F35">
        <w:rPr>
          <w:rFonts w:ascii="Times New Roman" w:eastAsia="Calibri" w:hAnsi="Times New Roman" w:cs="Times New Roman"/>
          <w:sz w:val="24"/>
        </w:rPr>
        <w:t xml:space="preserve">. Districts that started with relatively low FHP levels in the early years of the study period could show higher percentage growth over time, even with modest increases in absolute </w:t>
      </w:r>
      <w:proofErr w:type="spellStart"/>
      <w:proofErr w:type="gramStart"/>
      <w:r w:rsidR="009C1EF7" w:rsidRPr="00541F35">
        <w:rPr>
          <w:rFonts w:ascii="Times New Roman" w:eastAsia="Calibri" w:hAnsi="Times New Roman" w:cs="Times New Roman"/>
          <w:sz w:val="24"/>
        </w:rPr>
        <w:t>prices.</w:t>
      </w:r>
      <w:r w:rsidRPr="00541F35">
        <w:rPr>
          <w:rFonts w:ascii="Times New Roman" w:eastAsia="Calibri" w:hAnsi="Times New Roman" w:cs="Times New Roman"/>
          <w:sz w:val="24"/>
        </w:rPr>
        <w:t>This</w:t>
      </w:r>
      <w:proofErr w:type="spellEnd"/>
      <w:proofErr w:type="gramEnd"/>
      <w:r w:rsidRPr="00541F35">
        <w:rPr>
          <w:rFonts w:ascii="Times New Roman" w:eastAsia="Calibri" w:hAnsi="Times New Roman" w:cs="Times New Roman"/>
          <w:sz w:val="24"/>
        </w:rPr>
        <w:t xml:space="preserve"> statistical effect may have amplified the long-term CAGR figures, making the price growth appear stronger in regions that were historically underdeveloped or had limited price realization in the initial phase.</w:t>
      </w:r>
    </w:p>
    <w:p w14:paraId="252AB39A" w14:textId="16603DAB" w:rsidR="00541F35" w:rsidRPr="00541F35" w:rsidRDefault="005C7661"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ab/>
      </w:r>
      <w:r w:rsidR="00541F35" w:rsidRPr="00541F35">
        <w:rPr>
          <w:rFonts w:ascii="Times New Roman" w:eastAsia="Calibri" w:hAnsi="Times New Roman" w:cs="Times New Roman"/>
          <w:sz w:val="24"/>
        </w:rPr>
        <w:t xml:space="preserve">A group of districts reported moderate FHP growth, ranging between 6 to 6.9 per cent. These included Kheda (6.68 %), </w:t>
      </w:r>
      <w:proofErr w:type="spellStart"/>
      <w:r w:rsidR="00541F35" w:rsidRPr="00541F35">
        <w:rPr>
          <w:rFonts w:ascii="Times New Roman" w:eastAsia="Calibri" w:hAnsi="Times New Roman" w:cs="Times New Roman"/>
          <w:sz w:val="24"/>
        </w:rPr>
        <w:t>Mahisagar</w:t>
      </w:r>
      <w:proofErr w:type="spellEnd"/>
      <w:r w:rsidR="00541F35" w:rsidRPr="00541F35">
        <w:rPr>
          <w:rFonts w:ascii="Times New Roman" w:eastAsia="Calibri" w:hAnsi="Times New Roman" w:cs="Times New Roman"/>
          <w:sz w:val="24"/>
        </w:rPr>
        <w:t xml:space="preserve"> (6.53 %), </w:t>
      </w:r>
      <w:proofErr w:type="spellStart"/>
      <w:r w:rsidR="00541F35" w:rsidRPr="00541F35">
        <w:rPr>
          <w:rFonts w:ascii="Times New Roman" w:eastAsia="Calibri" w:hAnsi="Times New Roman" w:cs="Times New Roman"/>
          <w:sz w:val="24"/>
        </w:rPr>
        <w:t>Panchmahals</w:t>
      </w:r>
      <w:proofErr w:type="spellEnd"/>
      <w:r w:rsidR="00541F35" w:rsidRPr="00541F35">
        <w:rPr>
          <w:rFonts w:ascii="Times New Roman" w:eastAsia="Calibri" w:hAnsi="Times New Roman" w:cs="Times New Roman"/>
          <w:sz w:val="24"/>
        </w:rPr>
        <w:t xml:space="preserve"> (6.29 %), Vadodara (6.28 </w:t>
      </w:r>
      <w:proofErr w:type="gramStart"/>
      <w:r w:rsidR="00541F35" w:rsidRPr="00541F35">
        <w:rPr>
          <w:rFonts w:ascii="Times New Roman" w:eastAsia="Calibri" w:hAnsi="Times New Roman" w:cs="Times New Roman"/>
          <w:sz w:val="24"/>
        </w:rPr>
        <w:t>% )</w:t>
      </w:r>
      <w:proofErr w:type="gramEnd"/>
      <w:r w:rsidR="00541F35" w:rsidRPr="00541F35">
        <w:rPr>
          <w:rFonts w:ascii="Times New Roman" w:eastAsia="Calibri" w:hAnsi="Times New Roman" w:cs="Times New Roman"/>
          <w:sz w:val="24"/>
        </w:rPr>
        <w:t xml:space="preserve">, Ahmedabad (6.14 % ) and </w:t>
      </w:r>
      <w:proofErr w:type="spellStart"/>
      <w:r w:rsidR="00541F35" w:rsidRPr="00541F35">
        <w:rPr>
          <w:rFonts w:ascii="Times New Roman" w:eastAsia="Calibri" w:hAnsi="Times New Roman" w:cs="Times New Roman"/>
          <w:sz w:val="24"/>
        </w:rPr>
        <w:t>Tapi</w:t>
      </w:r>
      <w:proofErr w:type="spellEnd"/>
      <w:r w:rsidR="00541F35" w:rsidRPr="00541F35">
        <w:rPr>
          <w:rFonts w:ascii="Times New Roman" w:eastAsia="Calibri" w:hAnsi="Times New Roman" w:cs="Times New Roman"/>
          <w:sz w:val="24"/>
        </w:rPr>
        <w:t xml:space="preserve"> (6.16 %). These values being close to or slightly above the state average, suggest that</w:t>
      </w:r>
      <w:r w:rsidR="00755952">
        <w:rPr>
          <w:rFonts w:ascii="Times New Roman" w:eastAsia="Calibri" w:hAnsi="Times New Roman" w:cs="Times New Roman"/>
          <w:sz w:val="24"/>
        </w:rPr>
        <w:t xml:space="preserve"> </w:t>
      </w:r>
      <w:r w:rsidR="00541F35" w:rsidRPr="00541F35">
        <w:rPr>
          <w:rFonts w:ascii="Times New Roman" w:eastAsia="Calibri" w:hAnsi="Times New Roman" w:cs="Times New Roman"/>
          <w:sz w:val="24"/>
        </w:rPr>
        <w:t xml:space="preserve">farmers in these districts experienced fair but not exceptional gains in price realization. </w:t>
      </w:r>
    </w:p>
    <w:p w14:paraId="0BB50FFC" w14:textId="78BA9658" w:rsidR="00541F35" w:rsidRPr="00541F35" w:rsidRDefault="005C7661"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ab/>
      </w:r>
      <w:r w:rsidR="00541F35" w:rsidRPr="00541F35">
        <w:rPr>
          <w:rFonts w:ascii="Times New Roman" w:eastAsia="Calibri" w:hAnsi="Times New Roman" w:cs="Times New Roman"/>
          <w:sz w:val="24"/>
        </w:rPr>
        <w:t xml:space="preserve">Several districts recorded FHP growth rates that were close to the state average of 5.91 percent. These included Aravalli (5.95 %), </w:t>
      </w:r>
      <w:proofErr w:type="spellStart"/>
      <w:r w:rsidR="00541F35" w:rsidRPr="00541F35">
        <w:rPr>
          <w:rFonts w:ascii="Times New Roman" w:eastAsia="Calibri" w:hAnsi="Times New Roman" w:cs="Times New Roman"/>
          <w:sz w:val="24"/>
        </w:rPr>
        <w:t>Sabarkantha</w:t>
      </w:r>
      <w:proofErr w:type="spellEnd"/>
      <w:r w:rsidR="00541F35" w:rsidRPr="00541F35">
        <w:rPr>
          <w:rFonts w:ascii="Times New Roman" w:eastAsia="Calibri" w:hAnsi="Times New Roman" w:cs="Times New Roman"/>
          <w:sz w:val="24"/>
        </w:rPr>
        <w:t xml:space="preserve"> (5.89 %</w:t>
      </w:r>
      <w:proofErr w:type="gramStart"/>
      <w:r w:rsidR="00541F35" w:rsidRPr="00541F35">
        <w:rPr>
          <w:rFonts w:ascii="Times New Roman" w:eastAsia="Calibri" w:hAnsi="Times New Roman" w:cs="Times New Roman"/>
          <w:sz w:val="24"/>
        </w:rPr>
        <w:t>),Dang</w:t>
      </w:r>
      <w:proofErr w:type="gramEnd"/>
      <w:r w:rsidR="00541F35" w:rsidRPr="00541F35">
        <w:rPr>
          <w:rFonts w:ascii="Times New Roman" w:eastAsia="Calibri" w:hAnsi="Times New Roman" w:cs="Times New Roman"/>
          <w:sz w:val="24"/>
        </w:rPr>
        <w:t xml:space="preserve"> (5.86 %), Anand (5.83 %) and </w:t>
      </w:r>
      <w:proofErr w:type="spellStart"/>
      <w:r w:rsidR="00541F35" w:rsidRPr="00541F35">
        <w:rPr>
          <w:rFonts w:ascii="Times New Roman" w:eastAsia="Calibri" w:hAnsi="Times New Roman" w:cs="Times New Roman"/>
          <w:sz w:val="24"/>
        </w:rPr>
        <w:t>Chhotaudepur</w:t>
      </w:r>
      <w:proofErr w:type="spellEnd"/>
      <w:r w:rsidR="00541F35" w:rsidRPr="00541F35">
        <w:rPr>
          <w:rFonts w:ascii="Times New Roman" w:eastAsia="Calibri" w:hAnsi="Times New Roman" w:cs="Times New Roman"/>
          <w:sz w:val="24"/>
        </w:rPr>
        <w:t xml:space="preserve"> (5.53 %).</w:t>
      </w:r>
      <w:r w:rsidR="00B91553">
        <w:rPr>
          <w:rFonts w:ascii="Times New Roman" w:eastAsia="Calibri" w:hAnsi="Times New Roman" w:cs="Times New Roman"/>
          <w:sz w:val="24"/>
        </w:rPr>
        <w:t xml:space="preserve"> </w:t>
      </w:r>
      <w:r w:rsidR="00B677B3">
        <w:rPr>
          <w:rFonts w:ascii="Times New Roman" w:eastAsia="Calibri" w:hAnsi="Times New Roman" w:cs="Times New Roman"/>
          <w:sz w:val="24"/>
        </w:rPr>
        <w:tab/>
      </w:r>
      <w:r w:rsidR="00541F35" w:rsidRPr="00541F35">
        <w:rPr>
          <w:rFonts w:ascii="Times New Roman" w:eastAsia="Calibri" w:hAnsi="Times New Roman" w:cs="Times New Roman"/>
          <w:sz w:val="24"/>
        </w:rPr>
        <w:t>On the other hand, certain districts showed relatively low FHP growth which is a cause for concern. These include Surat (5.38 %), Gandhinagar (5.09 %</w:t>
      </w:r>
      <w:proofErr w:type="gramStart"/>
      <w:r w:rsidR="00541F35" w:rsidRPr="00541F35">
        <w:rPr>
          <w:rFonts w:ascii="Times New Roman" w:eastAsia="Calibri" w:hAnsi="Times New Roman" w:cs="Times New Roman"/>
          <w:sz w:val="24"/>
        </w:rPr>
        <w:t>),  Navsari</w:t>
      </w:r>
      <w:proofErr w:type="gramEnd"/>
      <w:r w:rsidR="00541F35" w:rsidRPr="00541F35">
        <w:rPr>
          <w:rFonts w:ascii="Times New Roman" w:eastAsia="Calibri" w:hAnsi="Times New Roman" w:cs="Times New Roman"/>
          <w:sz w:val="24"/>
        </w:rPr>
        <w:t xml:space="preserve"> (4.29 %) and Mehsana (4.11 %). </w:t>
      </w:r>
    </w:p>
    <w:p w14:paraId="061FFB93" w14:textId="77777777" w:rsidR="00755952" w:rsidRDefault="00755952" w:rsidP="00AD3FCD">
      <w:pPr>
        <w:tabs>
          <w:tab w:val="center" w:pos="4513"/>
        </w:tabs>
        <w:spacing w:after="0" w:line="240" w:lineRule="auto"/>
        <w:ind w:right="-378"/>
        <w:jc w:val="both"/>
        <w:rPr>
          <w:rFonts w:ascii="Times New Roman" w:eastAsia="Times New Roman" w:hAnsi="Times New Roman" w:cs="Times New Roman"/>
          <w:b/>
          <w:sz w:val="24"/>
          <w:szCs w:val="24"/>
          <w:lang w:eastAsia="en-IN"/>
        </w:rPr>
      </w:pPr>
    </w:p>
    <w:p w14:paraId="2FDC3366" w14:textId="046A893F" w:rsidR="00541F35" w:rsidRPr="009C1EF7" w:rsidRDefault="009C1EF7" w:rsidP="00AD3FCD">
      <w:pPr>
        <w:tabs>
          <w:tab w:val="center" w:pos="4513"/>
        </w:tabs>
        <w:spacing w:after="0" w:line="240" w:lineRule="auto"/>
        <w:ind w:right="-378"/>
        <w:jc w:val="both"/>
        <w:rPr>
          <w:rFonts w:ascii="Times New Roman" w:eastAsia="Times New Roman" w:hAnsi="Times New Roman" w:cs="Times New Roman"/>
          <w:b/>
          <w:sz w:val="24"/>
          <w:szCs w:val="24"/>
          <w:lang w:eastAsia="en-IN"/>
        </w:rPr>
      </w:pPr>
      <w:r w:rsidRPr="009C1EF7">
        <w:rPr>
          <w:rFonts w:ascii="Times New Roman" w:eastAsia="Times New Roman" w:hAnsi="Times New Roman" w:cs="Times New Roman"/>
          <w:b/>
          <w:sz w:val="24"/>
          <w:szCs w:val="24"/>
          <w:lang w:eastAsia="en-IN"/>
        </w:rPr>
        <w:t xml:space="preserve">Deviations of farm harvest from </w:t>
      </w:r>
      <w:proofErr w:type="gramStart"/>
      <w:r w:rsidRPr="009C1EF7">
        <w:rPr>
          <w:rFonts w:ascii="Times New Roman" w:eastAsia="Times New Roman" w:hAnsi="Times New Roman" w:cs="Times New Roman"/>
          <w:b/>
          <w:sz w:val="24"/>
          <w:szCs w:val="24"/>
          <w:lang w:eastAsia="en-IN"/>
        </w:rPr>
        <w:t>minimum  support</w:t>
      </w:r>
      <w:proofErr w:type="gramEnd"/>
      <w:r w:rsidRPr="009C1EF7">
        <w:rPr>
          <w:rFonts w:ascii="Times New Roman" w:eastAsia="Times New Roman" w:hAnsi="Times New Roman" w:cs="Times New Roman"/>
          <w:b/>
          <w:sz w:val="24"/>
          <w:szCs w:val="24"/>
          <w:lang w:eastAsia="en-IN"/>
        </w:rPr>
        <w:t xml:space="preserve"> price  </w:t>
      </w:r>
      <w:r>
        <w:rPr>
          <w:rFonts w:ascii="Times New Roman" w:eastAsia="Times New Roman" w:hAnsi="Times New Roman" w:cs="Times New Roman"/>
          <w:b/>
          <w:sz w:val="24"/>
          <w:szCs w:val="24"/>
          <w:lang w:eastAsia="en-IN"/>
        </w:rPr>
        <w:t>of</w:t>
      </w:r>
      <w:r w:rsidRPr="009C1EF7">
        <w:rPr>
          <w:rFonts w:ascii="Times New Roman" w:eastAsia="Times New Roman" w:hAnsi="Times New Roman" w:cs="Times New Roman"/>
          <w:b/>
          <w:sz w:val="24"/>
          <w:szCs w:val="24"/>
          <w:lang w:eastAsia="en-IN"/>
        </w:rPr>
        <w:t xml:space="preserve"> paddy</w:t>
      </w:r>
      <w:r>
        <w:rPr>
          <w:rFonts w:ascii="Times New Roman" w:eastAsia="Times New Roman" w:hAnsi="Times New Roman" w:cs="Times New Roman"/>
          <w:b/>
          <w:sz w:val="24"/>
          <w:szCs w:val="24"/>
          <w:lang w:eastAsia="en-IN"/>
        </w:rPr>
        <w:t xml:space="preserve"> from 2002-22</w:t>
      </w:r>
    </w:p>
    <w:p w14:paraId="1AB6D9A2" w14:textId="592821A0" w:rsidR="00A22067" w:rsidRDefault="00FF19F1" w:rsidP="00AD3FCD">
      <w:pPr>
        <w:spacing w:after="0" w:line="276" w:lineRule="auto"/>
        <w:ind w:right="-378" w:firstLine="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examine the effectiveness of MSP policy for paddy in Gujarat, difference between its FHP and MSP was calculated for the study period. The deviations were categorized into two types: </w:t>
      </w:r>
      <w:r>
        <w:rPr>
          <w:rFonts w:ascii="Times New Roman" w:eastAsia="Times New Roman" w:hAnsi="Times New Roman" w:cs="Times New Roman"/>
          <w:bCs/>
          <w:sz w:val="24"/>
          <w:szCs w:val="24"/>
          <w:lang w:eastAsia="en-IN"/>
        </w:rPr>
        <w:t>negative deviations</w:t>
      </w:r>
      <w:r>
        <w:rPr>
          <w:rFonts w:ascii="Times New Roman" w:eastAsia="Times New Roman" w:hAnsi="Times New Roman" w:cs="Times New Roman"/>
          <w:sz w:val="24"/>
          <w:szCs w:val="24"/>
          <w:lang w:eastAsia="en-IN"/>
        </w:rPr>
        <w:t xml:space="preserve"> where FHP was lower than MSP and </w:t>
      </w:r>
      <w:r>
        <w:rPr>
          <w:rFonts w:ascii="Times New Roman" w:eastAsia="Times New Roman" w:hAnsi="Times New Roman" w:cs="Times New Roman"/>
          <w:bCs/>
          <w:sz w:val="24"/>
          <w:szCs w:val="24"/>
          <w:lang w:eastAsia="en-IN"/>
        </w:rPr>
        <w:t>positive deviations</w:t>
      </w:r>
      <w:r>
        <w:rPr>
          <w:rFonts w:ascii="Times New Roman" w:eastAsia="Times New Roman" w:hAnsi="Times New Roman" w:cs="Times New Roman"/>
          <w:sz w:val="24"/>
          <w:szCs w:val="24"/>
          <w:lang w:eastAsia="en-IN"/>
        </w:rPr>
        <w:t xml:space="preserve"> where FHP exceeded MSP. During </w:t>
      </w:r>
      <w:r>
        <w:rPr>
          <w:rFonts w:ascii="Times New Roman" w:eastAsia="Times New Roman" w:hAnsi="Times New Roman" w:cs="Times New Roman"/>
          <w:bCs/>
          <w:sz w:val="24"/>
          <w:szCs w:val="24"/>
          <w:lang w:eastAsia="en-IN"/>
        </w:rPr>
        <w:t xml:space="preserve">Period I </w:t>
      </w:r>
      <w:r w:rsidR="00755952">
        <w:rPr>
          <w:rFonts w:ascii="Times New Roman" w:eastAsia="Times New Roman" w:hAnsi="Times New Roman" w:cs="Times New Roman"/>
          <w:bCs/>
          <w:sz w:val="24"/>
          <w:szCs w:val="24"/>
          <w:lang w:eastAsia="en-IN"/>
        </w:rPr>
        <w:t xml:space="preserve">      </w:t>
      </w:r>
      <w:proofErr w:type="gramStart"/>
      <w:r w:rsidR="00755952">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w:t>
      </w:r>
      <w:proofErr w:type="gramEnd"/>
      <w:r>
        <w:rPr>
          <w:rFonts w:ascii="Times New Roman" w:eastAsia="Times New Roman" w:hAnsi="Times New Roman" w:cs="Times New Roman"/>
          <w:bCs/>
          <w:sz w:val="24"/>
          <w:szCs w:val="24"/>
          <w:lang w:eastAsia="en-IN"/>
        </w:rPr>
        <w:t>2002–2012)</w:t>
      </w:r>
      <w:r>
        <w:rPr>
          <w:rFonts w:ascii="Times New Roman" w:eastAsia="Times New Roman" w:hAnsi="Times New Roman" w:cs="Times New Roman"/>
          <w:sz w:val="24"/>
          <w:szCs w:val="24"/>
          <w:lang w:eastAsia="en-IN"/>
        </w:rPr>
        <w:t xml:space="preserve">, there were no instances of negative deviations indicating that farmers </w:t>
      </w:r>
    </w:p>
    <w:p w14:paraId="355FDBCF" w14:textId="3F3FF2BC" w:rsidR="00755952" w:rsidRPr="00755952" w:rsidRDefault="00755952" w:rsidP="00AD3FCD">
      <w:pPr>
        <w:spacing w:after="0" w:line="276" w:lineRule="auto"/>
        <w:ind w:right="-378" w:firstLine="284"/>
        <w:jc w:val="both"/>
        <w:rPr>
          <w:rFonts w:ascii="Times New Roman" w:eastAsia="Times New Roman" w:hAnsi="Times New Roman" w:cs="Times New Roman"/>
          <w:sz w:val="24"/>
          <w:szCs w:val="24"/>
          <w:lang w:eastAsia="en-IN"/>
        </w:rPr>
        <w:sectPr w:rsidR="00755952" w:rsidRPr="00755952" w:rsidSect="00AD3FCD">
          <w:type w:val="continuous"/>
          <w:pgSz w:w="11906" w:h="16838"/>
          <w:pgMar w:top="1440" w:right="1440" w:bottom="1418" w:left="1440" w:header="709" w:footer="709" w:gutter="0"/>
          <w:cols w:space="709"/>
          <w:docGrid w:linePitch="360"/>
        </w:sectPr>
      </w:pPr>
    </w:p>
    <w:tbl>
      <w:tblPr>
        <w:tblStyle w:val="TableGrid"/>
        <w:tblpPr w:leftFromText="180" w:rightFromText="180" w:vertAnchor="text" w:horzAnchor="margin" w:tblpY="-23"/>
        <w:tblW w:w="8496" w:type="dxa"/>
        <w:tblBorders>
          <w:left w:val="none" w:sz="0" w:space="0" w:color="auto"/>
          <w:right w:val="none" w:sz="0" w:space="0" w:color="auto"/>
          <w:insideH w:val="none" w:sz="0" w:space="0" w:color="auto"/>
        </w:tblBorders>
        <w:tblLook w:val="04A0" w:firstRow="1" w:lastRow="0" w:firstColumn="1" w:lastColumn="0" w:noHBand="0" w:noVBand="1"/>
      </w:tblPr>
      <w:tblGrid>
        <w:gridCol w:w="2124"/>
        <w:gridCol w:w="2124"/>
        <w:gridCol w:w="2124"/>
        <w:gridCol w:w="2124"/>
      </w:tblGrid>
      <w:tr w:rsidR="00B677B3" w:rsidRPr="00FF19F1" w14:paraId="062186FA" w14:textId="77777777" w:rsidTr="00B677B3">
        <w:trPr>
          <w:trHeight w:val="674"/>
        </w:trPr>
        <w:tc>
          <w:tcPr>
            <w:tcW w:w="8496" w:type="dxa"/>
            <w:gridSpan w:val="4"/>
            <w:tcBorders>
              <w:top w:val="nil"/>
              <w:left w:val="nil"/>
              <w:bottom w:val="single" w:sz="4" w:space="0" w:color="auto"/>
              <w:right w:val="nil"/>
            </w:tcBorders>
            <w:vAlign w:val="center"/>
          </w:tcPr>
          <w:p w14:paraId="76F09217" w14:textId="3DA67193" w:rsidR="00B677B3" w:rsidRPr="00B677B3" w:rsidRDefault="00B677B3" w:rsidP="00AD3FCD">
            <w:pPr>
              <w:tabs>
                <w:tab w:val="center" w:pos="4513"/>
              </w:tabs>
              <w:spacing w:after="100" w:afterAutospacing="1" w:line="276" w:lineRule="auto"/>
              <w:ind w:left="-108"/>
              <w:jc w:val="both"/>
              <w:rPr>
                <w:rFonts w:ascii="Times New Roman" w:eastAsia="Times New Roman" w:hAnsi="Times New Roman" w:cs="Times New Roman"/>
                <w:b/>
                <w:sz w:val="24"/>
                <w:szCs w:val="24"/>
                <w:lang w:eastAsia="en-IN"/>
              </w:rPr>
            </w:pPr>
            <w:r w:rsidRPr="00FF19F1">
              <w:rPr>
                <w:rFonts w:ascii="Times New Roman" w:eastAsia="Times New Roman" w:hAnsi="Times New Roman" w:cs="Times New Roman"/>
                <w:b/>
                <w:sz w:val="24"/>
                <w:szCs w:val="24"/>
                <w:lang w:eastAsia="en-IN"/>
              </w:rPr>
              <w:lastRenderedPageBreak/>
              <w:t xml:space="preserve">Table </w:t>
            </w:r>
            <w:r>
              <w:rPr>
                <w:rFonts w:ascii="Times New Roman" w:eastAsia="Times New Roman" w:hAnsi="Times New Roman" w:cs="Times New Roman"/>
                <w:b/>
                <w:sz w:val="24"/>
                <w:szCs w:val="24"/>
                <w:lang w:eastAsia="en-IN"/>
              </w:rPr>
              <w:t>3</w:t>
            </w:r>
            <w:r w:rsidRPr="00FF19F1">
              <w:rPr>
                <w:rFonts w:ascii="Times New Roman" w:eastAsia="Times New Roman" w:hAnsi="Times New Roman" w:cs="Times New Roman"/>
                <w:b/>
                <w:sz w:val="24"/>
                <w:szCs w:val="24"/>
                <w:lang w:eastAsia="en-IN"/>
              </w:rPr>
              <w:t xml:space="preserve">: Gap between farm harvest price </w:t>
            </w:r>
            <w:r>
              <w:rPr>
                <w:rFonts w:ascii="Times New Roman" w:eastAsia="Times New Roman" w:hAnsi="Times New Roman" w:cs="Times New Roman"/>
                <w:b/>
                <w:sz w:val="24"/>
                <w:szCs w:val="24"/>
                <w:lang w:eastAsia="en-IN"/>
              </w:rPr>
              <w:t xml:space="preserve">and </w:t>
            </w:r>
            <w:r w:rsidRPr="00FF19F1">
              <w:rPr>
                <w:rFonts w:ascii="Times New Roman" w:eastAsia="Times New Roman" w:hAnsi="Times New Roman" w:cs="Times New Roman"/>
                <w:b/>
                <w:sz w:val="24"/>
                <w:szCs w:val="24"/>
                <w:lang w:eastAsia="en-IN"/>
              </w:rPr>
              <w:t xml:space="preserve">minimum support price </w:t>
            </w:r>
            <w:proofErr w:type="gramStart"/>
            <w:r w:rsidRPr="00FF19F1">
              <w:rPr>
                <w:rFonts w:ascii="Times New Roman" w:eastAsia="Times New Roman" w:hAnsi="Times New Roman" w:cs="Times New Roman"/>
                <w:b/>
                <w:sz w:val="24"/>
                <w:szCs w:val="24"/>
                <w:lang w:eastAsia="en-IN"/>
              </w:rPr>
              <w:t>of  paddy</w:t>
            </w:r>
            <w:proofErr w:type="gramEnd"/>
            <w:r w:rsidRPr="00FF19F1">
              <w:rPr>
                <w:rFonts w:ascii="Times New Roman" w:eastAsia="Times New Roman" w:hAnsi="Times New Roman" w:cs="Times New Roman"/>
                <w:b/>
                <w:sz w:val="24"/>
                <w:szCs w:val="24"/>
                <w:lang w:eastAsia="en-IN"/>
              </w:rPr>
              <w:t xml:space="preserve"> in Gujarat during 2002-03 to 2021-22                          </w:t>
            </w:r>
          </w:p>
        </w:tc>
      </w:tr>
      <w:tr w:rsidR="00B677B3" w:rsidRPr="00FF19F1" w14:paraId="76D22BFE" w14:textId="77777777" w:rsidTr="00B677B3">
        <w:trPr>
          <w:trHeight w:val="674"/>
        </w:trPr>
        <w:tc>
          <w:tcPr>
            <w:tcW w:w="2124" w:type="dxa"/>
            <w:tcBorders>
              <w:top w:val="single" w:sz="4" w:space="0" w:color="auto"/>
              <w:left w:val="nil"/>
              <w:bottom w:val="single" w:sz="4" w:space="0" w:color="auto"/>
              <w:right w:val="nil"/>
            </w:tcBorders>
            <w:vAlign w:val="center"/>
            <w:hideMark/>
          </w:tcPr>
          <w:p w14:paraId="4F43D9C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Year</w:t>
            </w:r>
          </w:p>
        </w:tc>
        <w:tc>
          <w:tcPr>
            <w:tcW w:w="2124" w:type="dxa"/>
            <w:tcBorders>
              <w:top w:val="single" w:sz="4" w:space="0" w:color="auto"/>
              <w:left w:val="nil"/>
              <w:bottom w:val="single" w:sz="4" w:space="0" w:color="auto"/>
              <w:right w:val="nil"/>
            </w:tcBorders>
            <w:vAlign w:val="center"/>
            <w:hideMark/>
          </w:tcPr>
          <w:p w14:paraId="79072AB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 xml:space="preserve"> </w:t>
            </w:r>
            <w:proofErr w:type="gramStart"/>
            <w:r w:rsidRPr="00FF19F1">
              <w:rPr>
                <w:rFonts w:ascii="Times New Roman" w:eastAsia="Times New Roman" w:hAnsi="Times New Roman" w:cs="Times New Roman"/>
                <w:b/>
                <w:szCs w:val="24"/>
                <w:lang w:eastAsia="en-IN"/>
              </w:rPr>
              <w:t>FHP  (</w:t>
            </w:r>
            <w:proofErr w:type="gramEnd"/>
            <w:r w:rsidRPr="00FF19F1">
              <w:rPr>
                <w:rFonts w:ascii="Times New Roman" w:eastAsia="Times New Roman" w:hAnsi="Times New Roman" w:cs="Times New Roman"/>
                <w:b/>
                <w:szCs w:val="24"/>
                <w:lang w:eastAsia="en-IN"/>
              </w:rPr>
              <w:t>₹/</w:t>
            </w:r>
            <w:proofErr w:type="spell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
        </w:tc>
        <w:tc>
          <w:tcPr>
            <w:tcW w:w="2124" w:type="dxa"/>
            <w:tcBorders>
              <w:top w:val="single" w:sz="4" w:space="0" w:color="auto"/>
              <w:left w:val="nil"/>
              <w:bottom w:val="single" w:sz="4" w:space="0" w:color="auto"/>
              <w:right w:val="nil"/>
            </w:tcBorders>
            <w:vAlign w:val="center"/>
            <w:hideMark/>
          </w:tcPr>
          <w:p w14:paraId="22FDC25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 xml:space="preserve"> </w:t>
            </w:r>
            <w:proofErr w:type="gramStart"/>
            <w:r w:rsidRPr="00FF19F1">
              <w:rPr>
                <w:rFonts w:ascii="Times New Roman" w:eastAsia="Times New Roman" w:hAnsi="Times New Roman" w:cs="Times New Roman"/>
                <w:b/>
                <w:szCs w:val="24"/>
                <w:lang w:eastAsia="en-IN"/>
              </w:rPr>
              <w:t>MSP  (</w:t>
            </w:r>
            <w:proofErr w:type="gramEnd"/>
            <w:r w:rsidRPr="00FF19F1">
              <w:rPr>
                <w:rFonts w:ascii="Times New Roman" w:eastAsia="Times New Roman" w:hAnsi="Times New Roman" w:cs="Times New Roman"/>
                <w:b/>
                <w:szCs w:val="24"/>
                <w:lang w:eastAsia="en-IN"/>
              </w:rPr>
              <w:t>₹/</w:t>
            </w:r>
            <w:proofErr w:type="spell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
        </w:tc>
        <w:tc>
          <w:tcPr>
            <w:tcW w:w="2124" w:type="dxa"/>
            <w:tcBorders>
              <w:top w:val="single" w:sz="4" w:space="0" w:color="auto"/>
              <w:left w:val="nil"/>
              <w:bottom w:val="single" w:sz="4" w:space="0" w:color="auto"/>
              <w:right w:val="nil"/>
            </w:tcBorders>
            <w:vAlign w:val="center"/>
            <w:hideMark/>
          </w:tcPr>
          <w:p w14:paraId="7C16193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Gap between FHP</w:t>
            </w:r>
            <w:r w:rsidRPr="009C2519">
              <w:rPr>
                <w:rFonts w:ascii="Times New Roman" w:eastAsia="Times New Roman" w:hAnsi="Times New Roman" w:cs="Times New Roman"/>
                <w:b/>
                <w:szCs w:val="24"/>
                <w:lang w:eastAsia="en-IN"/>
              </w:rPr>
              <w:t xml:space="preserve"> and MSP </w:t>
            </w:r>
            <w:r w:rsidRPr="00FF19F1">
              <w:rPr>
                <w:rFonts w:ascii="Times New Roman" w:eastAsia="Times New Roman" w:hAnsi="Times New Roman" w:cs="Times New Roman"/>
                <w:b/>
                <w:szCs w:val="24"/>
                <w:lang w:eastAsia="en-IN"/>
              </w:rPr>
              <w:t>(₹/</w:t>
            </w:r>
            <w:proofErr w:type="spellStart"/>
            <w:proofErr w:type="gram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roofErr w:type="gramEnd"/>
          </w:p>
        </w:tc>
      </w:tr>
      <w:tr w:rsidR="00B677B3" w:rsidRPr="00FF19F1" w14:paraId="54C3858B" w14:textId="77777777" w:rsidTr="00B677B3">
        <w:trPr>
          <w:trHeight w:val="233"/>
        </w:trPr>
        <w:tc>
          <w:tcPr>
            <w:tcW w:w="2124" w:type="dxa"/>
            <w:tcBorders>
              <w:top w:val="single" w:sz="4" w:space="0" w:color="auto"/>
              <w:left w:val="nil"/>
              <w:right w:val="nil"/>
            </w:tcBorders>
            <w:vAlign w:val="center"/>
            <w:hideMark/>
          </w:tcPr>
          <w:p w14:paraId="77EEA76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2002-03</w:t>
            </w:r>
          </w:p>
        </w:tc>
        <w:tc>
          <w:tcPr>
            <w:tcW w:w="2124" w:type="dxa"/>
            <w:tcBorders>
              <w:top w:val="single" w:sz="4" w:space="0" w:color="auto"/>
              <w:left w:val="nil"/>
              <w:right w:val="nil"/>
            </w:tcBorders>
            <w:vAlign w:val="center"/>
            <w:hideMark/>
          </w:tcPr>
          <w:p w14:paraId="19983B0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675</w:t>
            </w:r>
          </w:p>
        </w:tc>
        <w:tc>
          <w:tcPr>
            <w:tcW w:w="2124" w:type="dxa"/>
            <w:tcBorders>
              <w:top w:val="single" w:sz="4" w:space="0" w:color="auto"/>
              <w:left w:val="nil"/>
              <w:right w:val="nil"/>
            </w:tcBorders>
            <w:vAlign w:val="center"/>
            <w:hideMark/>
          </w:tcPr>
          <w:p w14:paraId="001D996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530</w:t>
            </w:r>
          </w:p>
        </w:tc>
        <w:tc>
          <w:tcPr>
            <w:tcW w:w="2124" w:type="dxa"/>
            <w:tcBorders>
              <w:top w:val="single" w:sz="4" w:space="0" w:color="auto"/>
              <w:left w:val="nil"/>
              <w:right w:val="nil"/>
            </w:tcBorders>
            <w:vAlign w:val="center"/>
            <w:hideMark/>
          </w:tcPr>
          <w:p w14:paraId="0A936CD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145</w:t>
            </w:r>
          </w:p>
        </w:tc>
      </w:tr>
      <w:tr w:rsidR="00B677B3" w:rsidRPr="00FF19F1" w14:paraId="1D21FA5E" w14:textId="77777777" w:rsidTr="00B677B3">
        <w:trPr>
          <w:trHeight w:val="224"/>
        </w:trPr>
        <w:tc>
          <w:tcPr>
            <w:tcW w:w="2124" w:type="dxa"/>
            <w:tcBorders>
              <w:left w:val="nil"/>
              <w:right w:val="nil"/>
            </w:tcBorders>
            <w:vAlign w:val="center"/>
            <w:hideMark/>
          </w:tcPr>
          <w:p w14:paraId="6BE6FD0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2003-04</w:t>
            </w:r>
          </w:p>
        </w:tc>
        <w:tc>
          <w:tcPr>
            <w:tcW w:w="2124" w:type="dxa"/>
            <w:tcBorders>
              <w:left w:val="nil"/>
              <w:right w:val="nil"/>
            </w:tcBorders>
            <w:vAlign w:val="center"/>
            <w:hideMark/>
          </w:tcPr>
          <w:p w14:paraId="1784DFE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646</w:t>
            </w:r>
          </w:p>
        </w:tc>
        <w:tc>
          <w:tcPr>
            <w:tcW w:w="2124" w:type="dxa"/>
            <w:tcBorders>
              <w:left w:val="nil"/>
              <w:right w:val="nil"/>
            </w:tcBorders>
            <w:vAlign w:val="center"/>
            <w:hideMark/>
          </w:tcPr>
          <w:p w14:paraId="5F8ED1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550</w:t>
            </w:r>
          </w:p>
        </w:tc>
        <w:tc>
          <w:tcPr>
            <w:tcW w:w="2124" w:type="dxa"/>
            <w:tcBorders>
              <w:left w:val="nil"/>
              <w:right w:val="nil"/>
            </w:tcBorders>
            <w:vAlign w:val="center"/>
            <w:hideMark/>
          </w:tcPr>
          <w:p w14:paraId="050EA02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96</w:t>
            </w:r>
          </w:p>
        </w:tc>
      </w:tr>
      <w:tr w:rsidR="00B677B3" w:rsidRPr="00FF19F1" w14:paraId="3A89AC1F" w14:textId="77777777" w:rsidTr="00B677B3">
        <w:trPr>
          <w:trHeight w:val="233"/>
        </w:trPr>
        <w:tc>
          <w:tcPr>
            <w:tcW w:w="2124" w:type="dxa"/>
            <w:tcBorders>
              <w:left w:val="nil"/>
              <w:right w:val="nil"/>
            </w:tcBorders>
            <w:vAlign w:val="center"/>
            <w:hideMark/>
          </w:tcPr>
          <w:p w14:paraId="3B8E9C9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2004-05</w:t>
            </w:r>
          </w:p>
        </w:tc>
        <w:tc>
          <w:tcPr>
            <w:tcW w:w="2124" w:type="dxa"/>
            <w:tcBorders>
              <w:left w:val="nil"/>
              <w:right w:val="nil"/>
            </w:tcBorders>
            <w:vAlign w:val="center"/>
            <w:hideMark/>
          </w:tcPr>
          <w:p w14:paraId="691A791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661</w:t>
            </w:r>
          </w:p>
        </w:tc>
        <w:tc>
          <w:tcPr>
            <w:tcW w:w="2124" w:type="dxa"/>
            <w:tcBorders>
              <w:left w:val="nil"/>
              <w:right w:val="nil"/>
            </w:tcBorders>
            <w:vAlign w:val="center"/>
            <w:hideMark/>
          </w:tcPr>
          <w:p w14:paraId="37A53E1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560</w:t>
            </w:r>
          </w:p>
        </w:tc>
        <w:tc>
          <w:tcPr>
            <w:tcW w:w="2124" w:type="dxa"/>
            <w:tcBorders>
              <w:left w:val="nil"/>
              <w:right w:val="nil"/>
            </w:tcBorders>
            <w:vAlign w:val="center"/>
            <w:hideMark/>
          </w:tcPr>
          <w:p w14:paraId="594B585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101</w:t>
            </w:r>
          </w:p>
        </w:tc>
      </w:tr>
      <w:tr w:rsidR="00B677B3" w:rsidRPr="00FF19F1" w14:paraId="493393ED" w14:textId="77777777" w:rsidTr="00B677B3">
        <w:trPr>
          <w:trHeight w:val="233"/>
        </w:trPr>
        <w:tc>
          <w:tcPr>
            <w:tcW w:w="2124" w:type="dxa"/>
            <w:tcBorders>
              <w:left w:val="nil"/>
              <w:right w:val="nil"/>
            </w:tcBorders>
            <w:vAlign w:val="center"/>
            <w:hideMark/>
          </w:tcPr>
          <w:p w14:paraId="4E9CEDE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2005-06</w:t>
            </w:r>
          </w:p>
        </w:tc>
        <w:tc>
          <w:tcPr>
            <w:tcW w:w="2124" w:type="dxa"/>
            <w:tcBorders>
              <w:left w:val="nil"/>
              <w:right w:val="nil"/>
            </w:tcBorders>
            <w:vAlign w:val="center"/>
            <w:hideMark/>
          </w:tcPr>
          <w:p w14:paraId="755FFCE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669</w:t>
            </w:r>
          </w:p>
        </w:tc>
        <w:tc>
          <w:tcPr>
            <w:tcW w:w="2124" w:type="dxa"/>
            <w:tcBorders>
              <w:left w:val="nil"/>
              <w:right w:val="nil"/>
            </w:tcBorders>
            <w:vAlign w:val="center"/>
            <w:hideMark/>
          </w:tcPr>
          <w:p w14:paraId="7E75198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570</w:t>
            </w:r>
          </w:p>
        </w:tc>
        <w:tc>
          <w:tcPr>
            <w:tcW w:w="2124" w:type="dxa"/>
            <w:tcBorders>
              <w:left w:val="nil"/>
              <w:right w:val="nil"/>
            </w:tcBorders>
            <w:vAlign w:val="center"/>
            <w:hideMark/>
          </w:tcPr>
          <w:p w14:paraId="6D614F7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99</w:t>
            </w:r>
          </w:p>
        </w:tc>
      </w:tr>
      <w:tr w:rsidR="00B677B3" w:rsidRPr="00FF19F1" w14:paraId="5079A721" w14:textId="77777777" w:rsidTr="00B677B3">
        <w:trPr>
          <w:trHeight w:val="233"/>
        </w:trPr>
        <w:tc>
          <w:tcPr>
            <w:tcW w:w="2124" w:type="dxa"/>
            <w:tcBorders>
              <w:left w:val="nil"/>
              <w:right w:val="nil"/>
            </w:tcBorders>
            <w:vAlign w:val="center"/>
            <w:hideMark/>
          </w:tcPr>
          <w:p w14:paraId="5ABECE6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2006-07</w:t>
            </w:r>
          </w:p>
        </w:tc>
        <w:tc>
          <w:tcPr>
            <w:tcW w:w="2124" w:type="dxa"/>
            <w:tcBorders>
              <w:left w:val="nil"/>
              <w:right w:val="nil"/>
            </w:tcBorders>
            <w:vAlign w:val="center"/>
            <w:hideMark/>
          </w:tcPr>
          <w:p w14:paraId="65002C9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751</w:t>
            </w:r>
          </w:p>
        </w:tc>
        <w:tc>
          <w:tcPr>
            <w:tcW w:w="2124" w:type="dxa"/>
            <w:tcBorders>
              <w:left w:val="nil"/>
              <w:right w:val="nil"/>
            </w:tcBorders>
            <w:vAlign w:val="center"/>
            <w:hideMark/>
          </w:tcPr>
          <w:p w14:paraId="52BA7B8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580</w:t>
            </w:r>
          </w:p>
        </w:tc>
        <w:tc>
          <w:tcPr>
            <w:tcW w:w="2124" w:type="dxa"/>
            <w:tcBorders>
              <w:left w:val="nil"/>
              <w:right w:val="nil"/>
            </w:tcBorders>
            <w:vAlign w:val="center"/>
            <w:hideMark/>
          </w:tcPr>
          <w:p w14:paraId="57220DD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171</w:t>
            </w:r>
          </w:p>
        </w:tc>
      </w:tr>
      <w:tr w:rsidR="00B677B3" w:rsidRPr="00FF19F1" w14:paraId="02B1A1C5" w14:textId="77777777" w:rsidTr="00B677B3">
        <w:trPr>
          <w:trHeight w:val="233"/>
        </w:trPr>
        <w:tc>
          <w:tcPr>
            <w:tcW w:w="2124" w:type="dxa"/>
            <w:tcBorders>
              <w:left w:val="nil"/>
              <w:right w:val="nil"/>
            </w:tcBorders>
            <w:vAlign w:val="center"/>
            <w:hideMark/>
          </w:tcPr>
          <w:p w14:paraId="660D756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2007-08</w:t>
            </w:r>
          </w:p>
        </w:tc>
        <w:tc>
          <w:tcPr>
            <w:tcW w:w="2124" w:type="dxa"/>
            <w:tcBorders>
              <w:left w:val="nil"/>
              <w:right w:val="nil"/>
            </w:tcBorders>
            <w:vAlign w:val="center"/>
            <w:hideMark/>
          </w:tcPr>
          <w:p w14:paraId="2D5DD72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813</w:t>
            </w:r>
          </w:p>
        </w:tc>
        <w:tc>
          <w:tcPr>
            <w:tcW w:w="2124" w:type="dxa"/>
            <w:tcBorders>
              <w:left w:val="nil"/>
              <w:right w:val="nil"/>
            </w:tcBorders>
            <w:vAlign w:val="center"/>
            <w:hideMark/>
          </w:tcPr>
          <w:p w14:paraId="0413816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645</w:t>
            </w:r>
          </w:p>
        </w:tc>
        <w:tc>
          <w:tcPr>
            <w:tcW w:w="2124" w:type="dxa"/>
            <w:tcBorders>
              <w:left w:val="nil"/>
              <w:right w:val="nil"/>
            </w:tcBorders>
            <w:vAlign w:val="center"/>
            <w:hideMark/>
          </w:tcPr>
          <w:p w14:paraId="7B5839E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168</w:t>
            </w:r>
          </w:p>
        </w:tc>
      </w:tr>
      <w:tr w:rsidR="00B677B3" w:rsidRPr="00FF19F1" w14:paraId="72C2737B" w14:textId="77777777" w:rsidTr="00B677B3">
        <w:trPr>
          <w:trHeight w:val="224"/>
        </w:trPr>
        <w:tc>
          <w:tcPr>
            <w:tcW w:w="2124" w:type="dxa"/>
            <w:tcBorders>
              <w:left w:val="nil"/>
              <w:right w:val="nil"/>
            </w:tcBorders>
            <w:vAlign w:val="center"/>
            <w:hideMark/>
          </w:tcPr>
          <w:p w14:paraId="7397B00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2008-09</w:t>
            </w:r>
          </w:p>
        </w:tc>
        <w:tc>
          <w:tcPr>
            <w:tcW w:w="2124" w:type="dxa"/>
            <w:tcBorders>
              <w:left w:val="nil"/>
              <w:right w:val="nil"/>
            </w:tcBorders>
            <w:vAlign w:val="center"/>
            <w:hideMark/>
          </w:tcPr>
          <w:p w14:paraId="1D49A00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901</w:t>
            </w:r>
          </w:p>
        </w:tc>
        <w:tc>
          <w:tcPr>
            <w:tcW w:w="2124" w:type="dxa"/>
            <w:tcBorders>
              <w:left w:val="nil"/>
              <w:right w:val="nil"/>
            </w:tcBorders>
            <w:vAlign w:val="center"/>
            <w:hideMark/>
          </w:tcPr>
          <w:p w14:paraId="2C8C9A5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850</w:t>
            </w:r>
          </w:p>
        </w:tc>
        <w:tc>
          <w:tcPr>
            <w:tcW w:w="2124" w:type="dxa"/>
            <w:tcBorders>
              <w:left w:val="nil"/>
              <w:right w:val="nil"/>
            </w:tcBorders>
            <w:vAlign w:val="center"/>
            <w:hideMark/>
          </w:tcPr>
          <w:p w14:paraId="2909A9C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51</w:t>
            </w:r>
          </w:p>
        </w:tc>
      </w:tr>
      <w:tr w:rsidR="00B677B3" w:rsidRPr="00FF19F1" w14:paraId="21C686BD" w14:textId="77777777" w:rsidTr="00B677B3">
        <w:trPr>
          <w:trHeight w:val="224"/>
        </w:trPr>
        <w:tc>
          <w:tcPr>
            <w:tcW w:w="2124" w:type="dxa"/>
            <w:tcBorders>
              <w:left w:val="nil"/>
              <w:right w:val="nil"/>
            </w:tcBorders>
            <w:vAlign w:val="center"/>
            <w:hideMark/>
          </w:tcPr>
          <w:p w14:paraId="28D5272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2009-10</w:t>
            </w:r>
          </w:p>
        </w:tc>
        <w:tc>
          <w:tcPr>
            <w:tcW w:w="2124" w:type="dxa"/>
            <w:tcBorders>
              <w:left w:val="nil"/>
              <w:right w:val="nil"/>
            </w:tcBorders>
            <w:vAlign w:val="center"/>
            <w:hideMark/>
          </w:tcPr>
          <w:p w14:paraId="144AD0C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1065</w:t>
            </w:r>
          </w:p>
        </w:tc>
        <w:tc>
          <w:tcPr>
            <w:tcW w:w="2124" w:type="dxa"/>
            <w:tcBorders>
              <w:left w:val="nil"/>
              <w:right w:val="nil"/>
            </w:tcBorders>
            <w:vAlign w:val="center"/>
            <w:hideMark/>
          </w:tcPr>
          <w:p w14:paraId="1537B66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950</w:t>
            </w:r>
          </w:p>
        </w:tc>
        <w:tc>
          <w:tcPr>
            <w:tcW w:w="2124" w:type="dxa"/>
            <w:tcBorders>
              <w:left w:val="nil"/>
              <w:right w:val="nil"/>
            </w:tcBorders>
            <w:vAlign w:val="center"/>
            <w:hideMark/>
          </w:tcPr>
          <w:p w14:paraId="155CBCD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115</w:t>
            </w:r>
          </w:p>
        </w:tc>
      </w:tr>
      <w:tr w:rsidR="00B677B3" w:rsidRPr="00FF19F1" w14:paraId="14CEDE75" w14:textId="77777777" w:rsidTr="00B677B3">
        <w:trPr>
          <w:trHeight w:val="224"/>
        </w:trPr>
        <w:tc>
          <w:tcPr>
            <w:tcW w:w="2124" w:type="dxa"/>
            <w:tcBorders>
              <w:left w:val="nil"/>
              <w:right w:val="nil"/>
            </w:tcBorders>
            <w:vAlign w:val="center"/>
            <w:hideMark/>
          </w:tcPr>
          <w:p w14:paraId="582BBE5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2010-11</w:t>
            </w:r>
          </w:p>
        </w:tc>
        <w:tc>
          <w:tcPr>
            <w:tcW w:w="2124" w:type="dxa"/>
            <w:tcBorders>
              <w:left w:val="nil"/>
              <w:right w:val="nil"/>
            </w:tcBorders>
            <w:vAlign w:val="center"/>
            <w:hideMark/>
          </w:tcPr>
          <w:p w14:paraId="213162C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1074</w:t>
            </w:r>
          </w:p>
        </w:tc>
        <w:tc>
          <w:tcPr>
            <w:tcW w:w="2124" w:type="dxa"/>
            <w:tcBorders>
              <w:left w:val="nil"/>
              <w:right w:val="nil"/>
            </w:tcBorders>
            <w:vAlign w:val="center"/>
            <w:hideMark/>
          </w:tcPr>
          <w:p w14:paraId="7EA8147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1000</w:t>
            </w:r>
          </w:p>
        </w:tc>
        <w:tc>
          <w:tcPr>
            <w:tcW w:w="2124" w:type="dxa"/>
            <w:tcBorders>
              <w:left w:val="nil"/>
              <w:right w:val="nil"/>
            </w:tcBorders>
            <w:vAlign w:val="center"/>
            <w:hideMark/>
          </w:tcPr>
          <w:p w14:paraId="1126B3D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74</w:t>
            </w:r>
          </w:p>
        </w:tc>
      </w:tr>
      <w:tr w:rsidR="00B677B3" w:rsidRPr="00FF19F1" w14:paraId="5DEFB26C" w14:textId="77777777" w:rsidTr="00B677B3">
        <w:trPr>
          <w:trHeight w:val="224"/>
        </w:trPr>
        <w:tc>
          <w:tcPr>
            <w:tcW w:w="2124" w:type="dxa"/>
            <w:tcBorders>
              <w:left w:val="nil"/>
              <w:right w:val="nil"/>
            </w:tcBorders>
            <w:vAlign w:val="center"/>
            <w:hideMark/>
          </w:tcPr>
          <w:p w14:paraId="5F38F8A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2011-12</w:t>
            </w:r>
          </w:p>
        </w:tc>
        <w:tc>
          <w:tcPr>
            <w:tcW w:w="2124" w:type="dxa"/>
            <w:tcBorders>
              <w:left w:val="nil"/>
              <w:right w:val="nil"/>
            </w:tcBorders>
            <w:vAlign w:val="center"/>
            <w:hideMark/>
          </w:tcPr>
          <w:p w14:paraId="27A924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1121</w:t>
            </w:r>
          </w:p>
        </w:tc>
        <w:tc>
          <w:tcPr>
            <w:tcW w:w="2124" w:type="dxa"/>
            <w:tcBorders>
              <w:left w:val="nil"/>
              <w:right w:val="nil"/>
            </w:tcBorders>
            <w:vAlign w:val="center"/>
            <w:hideMark/>
          </w:tcPr>
          <w:p w14:paraId="1EF09ED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1080</w:t>
            </w:r>
          </w:p>
        </w:tc>
        <w:tc>
          <w:tcPr>
            <w:tcW w:w="2124" w:type="dxa"/>
            <w:tcBorders>
              <w:left w:val="nil"/>
              <w:right w:val="nil"/>
            </w:tcBorders>
            <w:vAlign w:val="center"/>
            <w:hideMark/>
          </w:tcPr>
          <w:p w14:paraId="1009AAF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41</w:t>
            </w:r>
          </w:p>
        </w:tc>
      </w:tr>
      <w:tr w:rsidR="00B677B3" w:rsidRPr="00FF19F1" w14:paraId="7941B848" w14:textId="77777777" w:rsidTr="00B677B3">
        <w:trPr>
          <w:trHeight w:val="224"/>
        </w:trPr>
        <w:tc>
          <w:tcPr>
            <w:tcW w:w="2124" w:type="dxa"/>
            <w:tcBorders>
              <w:left w:val="nil"/>
              <w:right w:val="nil"/>
            </w:tcBorders>
            <w:vAlign w:val="center"/>
            <w:hideMark/>
          </w:tcPr>
          <w:p w14:paraId="4F9CAF0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2012-13</w:t>
            </w:r>
          </w:p>
        </w:tc>
        <w:tc>
          <w:tcPr>
            <w:tcW w:w="2124" w:type="dxa"/>
            <w:tcBorders>
              <w:left w:val="nil"/>
              <w:right w:val="nil"/>
            </w:tcBorders>
            <w:vAlign w:val="center"/>
            <w:hideMark/>
          </w:tcPr>
          <w:p w14:paraId="48F3788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1388</w:t>
            </w:r>
          </w:p>
        </w:tc>
        <w:tc>
          <w:tcPr>
            <w:tcW w:w="2124" w:type="dxa"/>
            <w:tcBorders>
              <w:left w:val="nil"/>
              <w:right w:val="nil"/>
            </w:tcBorders>
            <w:vAlign w:val="center"/>
            <w:hideMark/>
          </w:tcPr>
          <w:p w14:paraId="3F64D7B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1250</w:t>
            </w:r>
          </w:p>
        </w:tc>
        <w:tc>
          <w:tcPr>
            <w:tcW w:w="2124" w:type="dxa"/>
            <w:tcBorders>
              <w:left w:val="nil"/>
              <w:right w:val="nil"/>
            </w:tcBorders>
            <w:vAlign w:val="center"/>
            <w:hideMark/>
          </w:tcPr>
          <w:p w14:paraId="1AB3A80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138</w:t>
            </w:r>
          </w:p>
        </w:tc>
      </w:tr>
      <w:tr w:rsidR="00B677B3" w:rsidRPr="00FF19F1" w14:paraId="42AEAB19" w14:textId="77777777" w:rsidTr="00B677B3">
        <w:trPr>
          <w:trHeight w:val="224"/>
        </w:trPr>
        <w:tc>
          <w:tcPr>
            <w:tcW w:w="2124" w:type="dxa"/>
            <w:tcBorders>
              <w:left w:val="nil"/>
              <w:right w:val="nil"/>
            </w:tcBorders>
            <w:vAlign w:val="center"/>
            <w:hideMark/>
          </w:tcPr>
          <w:p w14:paraId="694794A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2013-14</w:t>
            </w:r>
          </w:p>
        </w:tc>
        <w:tc>
          <w:tcPr>
            <w:tcW w:w="2124" w:type="dxa"/>
            <w:tcBorders>
              <w:left w:val="nil"/>
              <w:right w:val="nil"/>
            </w:tcBorders>
            <w:vAlign w:val="center"/>
            <w:hideMark/>
          </w:tcPr>
          <w:p w14:paraId="7A1E6CC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1433</w:t>
            </w:r>
          </w:p>
        </w:tc>
        <w:tc>
          <w:tcPr>
            <w:tcW w:w="2124" w:type="dxa"/>
            <w:tcBorders>
              <w:left w:val="nil"/>
              <w:right w:val="nil"/>
            </w:tcBorders>
            <w:vAlign w:val="center"/>
            <w:hideMark/>
          </w:tcPr>
          <w:p w14:paraId="7C3F411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1310</w:t>
            </w:r>
          </w:p>
        </w:tc>
        <w:tc>
          <w:tcPr>
            <w:tcW w:w="2124" w:type="dxa"/>
            <w:tcBorders>
              <w:left w:val="nil"/>
              <w:right w:val="nil"/>
            </w:tcBorders>
            <w:vAlign w:val="center"/>
            <w:hideMark/>
          </w:tcPr>
          <w:p w14:paraId="21B1F27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123</w:t>
            </w:r>
          </w:p>
        </w:tc>
      </w:tr>
      <w:tr w:rsidR="00B677B3" w:rsidRPr="00FF19F1" w14:paraId="75E3D3CF" w14:textId="77777777" w:rsidTr="00B677B3">
        <w:trPr>
          <w:trHeight w:val="224"/>
        </w:trPr>
        <w:tc>
          <w:tcPr>
            <w:tcW w:w="2124" w:type="dxa"/>
            <w:tcBorders>
              <w:left w:val="nil"/>
              <w:right w:val="nil"/>
            </w:tcBorders>
            <w:vAlign w:val="center"/>
            <w:hideMark/>
          </w:tcPr>
          <w:p w14:paraId="41E6B3F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2014-15</w:t>
            </w:r>
          </w:p>
        </w:tc>
        <w:tc>
          <w:tcPr>
            <w:tcW w:w="2124" w:type="dxa"/>
            <w:tcBorders>
              <w:left w:val="nil"/>
              <w:right w:val="nil"/>
            </w:tcBorders>
            <w:vAlign w:val="center"/>
            <w:hideMark/>
          </w:tcPr>
          <w:p w14:paraId="4A92514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1442</w:t>
            </w:r>
          </w:p>
        </w:tc>
        <w:tc>
          <w:tcPr>
            <w:tcW w:w="2124" w:type="dxa"/>
            <w:tcBorders>
              <w:left w:val="nil"/>
              <w:right w:val="nil"/>
            </w:tcBorders>
            <w:vAlign w:val="center"/>
            <w:hideMark/>
          </w:tcPr>
          <w:p w14:paraId="6A4444F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1360</w:t>
            </w:r>
          </w:p>
        </w:tc>
        <w:tc>
          <w:tcPr>
            <w:tcW w:w="2124" w:type="dxa"/>
            <w:tcBorders>
              <w:left w:val="nil"/>
              <w:right w:val="nil"/>
            </w:tcBorders>
            <w:vAlign w:val="center"/>
            <w:hideMark/>
          </w:tcPr>
          <w:p w14:paraId="5816987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82</w:t>
            </w:r>
          </w:p>
        </w:tc>
      </w:tr>
      <w:tr w:rsidR="00B677B3" w:rsidRPr="00FF19F1" w14:paraId="53E93DEA" w14:textId="77777777" w:rsidTr="00B677B3">
        <w:trPr>
          <w:trHeight w:val="224"/>
        </w:trPr>
        <w:tc>
          <w:tcPr>
            <w:tcW w:w="2124" w:type="dxa"/>
            <w:tcBorders>
              <w:left w:val="nil"/>
              <w:right w:val="nil"/>
            </w:tcBorders>
            <w:vAlign w:val="center"/>
            <w:hideMark/>
          </w:tcPr>
          <w:p w14:paraId="4041B07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2015-16</w:t>
            </w:r>
          </w:p>
        </w:tc>
        <w:tc>
          <w:tcPr>
            <w:tcW w:w="2124" w:type="dxa"/>
            <w:tcBorders>
              <w:left w:val="nil"/>
              <w:right w:val="nil"/>
            </w:tcBorders>
            <w:vAlign w:val="center"/>
            <w:hideMark/>
          </w:tcPr>
          <w:p w14:paraId="331AF62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1437</w:t>
            </w:r>
          </w:p>
        </w:tc>
        <w:tc>
          <w:tcPr>
            <w:tcW w:w="2124" w:type="dxa"/>
            <w:tcBorders>
              <w:left w:val="nil"/>
              <w:right w:val="nil"/>
            </w:tcBorders>
            <w:vAlign w:val="center"/>
            <w:hideMark/>
          </w:tcPr>
          <w:p w14:paraId="2C632AB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1410</w:t>
            </w:r>
          </w:p>
        </w:tc>
        <w:tc>
          <w:tcPr>
            <w:tcW w:w="2124" w:type="dxa"/>
            <w:tcBorders>
              <w:left w:val="nil"/>
              <w:right w:val="nil"/>
            </w:tcBorders>
            <w:vAlign w:val="center"/>
            <w:hideMark/>
          </w:tcPr>
          <w:p w14:paraId="736A667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27</w:t>
            </w:r>
          </w:p>
        </w:tc>
      </w:tr>
      <w:tr w:rsidR="00B677B3" w:rsidRPr="00FF19F1" w14:paraId="6735612D" w14:textId="77777777" w:rsidTr="00B677B3">
        <w:trPr>
          <w:trHeight w:val="224"/>
        </w:trPr>
        <w:tc>
          <w:tcPr>
            <w:tcW w:w="2124" w:type="dxa"/>
            <w:tcBorders>
              <w:left w:val="nil"/>
              <w:right w:val="nil"/>
            </w:tcBorders>
            <w:vAlign w:val="center"/>
            <w:hideMark/>
          </w:tcPr>
          <w:p w14:paraId="35F928D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2016-17</w:t>
            </w:r>
          </w:p>
        </w:tc>
        <w:tc>
          <w:tcPr>
            <w:tcW w:w="2124" w:type="dxa"/>
            <w:tcBorders>
              <w:left w:val="nil"/>
              <w:right w:val="nil"/>
            </w:tcBorders>
            <w:vAlign w:val="center"/>
            <w:hideMark/>
          </w:tcPr>
          <w:p w14:paraId="32A0194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1604</w:t>
            </w:r>
          </w:p>
        </w:tc>
        <w:tc>
          <w:tcPr>
            <w:tcW w:w="2124" w:type="dxa"/>
            <w:tcBorders>
              <w:left w:val="nil"/>
              <w:right w:val="nil"/>
            </w:tcBorders>
            <w:vAlign w:val="center"/>
            <w:hideMark/>
          </w:tcPr>
          <w:p w14:paraId="42F728A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1470</w:t>
            </w:r>
          </w:p>
        </w:tc>
        <w:tc>
          <w:tcPr>
            <w:tcW w:w="2124" w:type="dxa"/>
            <w:tcBorders>
              <w:left w:val="nil"/>
              <w:right w:val="nil"/>
            </w:tcBorders>
            <w:vAlign w:val="center"/>
            <w:hideMark/>
          </w:tcPr>
          <w:p w14:paraId="1EDEDF9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134</w:t>
            </w:r>
          </w:p>
        </w:tc>
      </w:tr>
      <w:tr w:rsidR="00B677B3" w:rsidRPr="00FF19F1" w14:paraId="330082D3" w14:textId="77777777" w:rsidTr="00B677B3">
        <w:trPr>
          <w:trHeight w:val="224"/>
        </w:trPr>
        <w:tc>
          <w:tcPr>
            <w:tcW w:w="2124" w:type="dxa"/>
            <w:tcBorders>
              <w:left w:val="nil"/>
              <w:right w:val="nil"/>
            </w:tcBorders>
            <w:vAlign w:val="center"/>
            <w:hideMark/>
          </w:tcPr>
          <w:p w14:paraId="05DDDEB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2017-18</w:t>
            </w:r>
          </w:p>
        </w:tc>
        <w:tc>
          <w:tcPr>
            <w:tcW w:w="2124" w:type="dxa"/>
            <w:tcBorders>
              <w:left w:val="nil"/>
              <w:right w:val="nil"/>
            </w:tcBorders>
            <w:vAlign w:val="center"/>
            <w:hideMark/>
          </w:tcPr>
          <w:p w14:paraId="2BB573B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1551</w:t>
            </w:r>
          </w:p>
        </w:tc>
        <w:tc>
          <w:tcPr>
            <w:tcW w:w="2124" w:type="dxa"/>
            <w:tcBorders>
              <w:left w:val="nil"/>
              <w:right w:val="nil"/>
            </w:tcBorders>
            <w:vAlign w:val="center"/>
            <w:hideMark/>
          </w:tcPr>
          <w:p w14:paraId="6B23E7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1550</w:t>
            </w:r>
          </w:p>
        </w:tc>
        <w:tc>
          <w:tcPr>
            <w:tcW w:w="2124" w:type="dxa"/>
            <w:tcBorders>
              <w:left w:val="nil"/>
              <w:right w:val="nil"/>
            </w:tcBorders>
            <w:vAlign w:val="center"/>
            <w:hideMark/>
          </w:tcPr>
          <w:p w14:paraId="5B7BAF4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w:t>
            </w:r>
          </w:p>
        </w:tc>
      </w:tr>
      <w:tr w:rsidR="00B677B3" w:rsidRPr="00FF19F1" w14:paraId="1184A066" w14:textId="77777777" w:rsidTr="00B677B3">
        <w:trPr>
          <w:trHeight w:val="224"/>
        </w:trPr>
        <w:tc>
          <w:tcPr>
            <w:tcW w:w="2124" w:type="dxa"/>
            <w:tcBorders>
              <w:left w:val="nil"/>
              <w:right w:val="nil"/>
            </w:tcBorders>
            <w:vAlign w:val="center"/>
            <w:hideMark/>
          </w:tcPr>
          <w:p w14:paraId="35A7A36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2018-19</w:t>
            </w:r>
          </w:p>
        </w:tc>
        <w:tc>
          <w:tcPr>
            <w:tcW w:w="2124" w:type="dxa"/>
            <w:tcBorders>
              <w:left w:val="nil"/>
              <w:right w:val="nil"/>
            </w:tcBorders>
            <w:vAlign w:val="center"/>
            <w:hideMark/>
          </w:tcPr>
          <w:p w14:paraId="7B35977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1623</w:t>
            </w:r>
          </w:p>
        </w:tc>
        <w:tc>
          <w:tcPr>
            <w:tcW w:w="2124" w:type="dxa"/>
            <w:tcBorders>
              <w:left w:val="nil"/>
              <w:right w:val="nil"/>
            </w:tcBorders>
            <w:vAlign w:val="center"/>
            <w:hideMark/>
          </w:tcPr>
          <w:p w14:paraId="51FF93C8"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1750</w:t>
            </w:r>
          </w:p>
        </w:tc>
        <w:tc>
          <w:tcPr>
            <w:tcW w:w="2124" w:type="dxa"/>
            <w:tcBorders>
              <w:left w:val="nil"/>
              <w:right w:val="nil"/>
            </w:tcBorders>
            <w:vAlign w:val="center"/>
            <w:hideMark/>
          </w:tcPr>
          <w:p w14:paraId="54D52F4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-127</w:t>
            </w:r>
          </w:p>
        </w:tc>
      </w:tr>
      <w:tr w:rsidR="00B677B3" w:rsidRPr="00FF19F1" w14:paraId="6351C0CA" w14:textId="77777777" w:rsidTr="00B677B3">
        <w:trPr>
          <w:trHeight w:val="224"/>
        </w:trPr>
        <w:tc>
          <w:tcPr>
            <w:tcW w:w="2124" w:type="dxa"/>
            <w:tcBorders>
              <w:left w:val="nil"/>
              <w:right w:val="nil"/>
            </w:tcBorders>
            <w:vAlign w:val="center"/>
            <w:hideMark/>
          </w:tcPr>
          <w:p w14:paraId="280A337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2019-20</w:t>
            </w:r>
          </w:p>
        </w:tc>
        <w:tc>
          <w:tcPr>
            <w:tcW w:w="2124" w:type="dxa"/>
            <w:tcBorders>
              <w:left w:val="nil"/>
              <w:right w:val="nil"/>
            </w:tcBorders>
            <w:vAlign w:val="center"/>
            <w:hideMark/>
          </w:tcPr>
          <w:p w14:paraId="2A64F78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1523</w:t>
            </w:r>
          </w:p>
        </w:tc>
        <w:tc>
          <w:tcPr>
            <w:tcW w:w="2124" w:type="dxa"/>
            <w:tcBorders>
              <w:left w:val="nil"/>
              <w:right w:val="nil"/>
            </w:tcBorders>
            <w:vAlign w:val="center"/>
            <w:hideMark/>
          </w:tcPr>
          <w:p w14:paraId="7E77EE3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1815</w:t>
            </w:r>
          </w:p>
        </w:tc>
        <w:tc>
          <w:tcPr>
            <w:tcW w:w="2124" w:type="dxa"/>
            <w:tcBorders>
              <w:left w:val="nil"/>
              <w:right w:val="nil"/>
            </w:tcBorders>
            <w:vAlign w:val="center"/>
            <w:hideMark/>
          </w:tcPr>
          <w:p w14:paraId="59F9E84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-292</w:t>
            </w:r>
          </w:p>
        </w:tc>
      </w:tr>
      <w:tr w:rsidR="00B677B3" w:rsidRPr="00FF19F1" w14:paraId="115DF260" w14:textId="77777777" w:rsidTr="00B677B3">
        <w:trPr>
          <w:trHeight w:val="224"/>
        </w:trPr>
        <w:tc>
          <w:tcPr>
            <w:tcW w:w="2124" w:type="dxa"/>
            <w:tcBorders>
              <w:left w:val="nil"/>
              <w:right w:val="nil"/>
            </w:tcBorders>
            <w:vAlign w:val="center"/>
            <w:hideMark/>
          </w:tcPr>
          <w:p w14:paraId="525DF80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2020-21</w:t>
            </w:r>
          </w:p>
        </w:tc>
        <w:tc>
          <w:tcPr>
            <w:tcW w:w="2124" w:type="dxa"/>
            <w:tcBorders>
              <w:left w:val="nil"/>
              <w:right w:val="nil"/>
            </w:tcBorders>
            <w:vAlign w:val="center"/>
            <w:hideMark/>
          </w:tcPr>
          <w:p w14:paraId="7A00D49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1562</w:t>
            </w:r>
          </w:p>
        </w:tc>
        <w:tc>
          <w:tcPr>
            <w:tcW w:w="2124" w:type="dxa"/>
            <w:tcBorders>
              <w:left w:val="nil"/>
              <w:right w:val="nil"/>
            </w:tcBorders>
            <w:vAlign w:val="center"/>
            <w:hideMark/>
          </w:tcPr>
          <w:p w14:paraId="0CE7CF7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1868</w:t>
            </w:r>
          </w:p>
        </w:tc>
        <w:tc>
          <w:tcPr>
            <w:tcW w:w="2124" w:type="dxa"/>
            <w:tcBorders>
              <w:left w:val="nil"/>
              <w:right w:val="nil"/>
            </w:tcBorders>
            <w:vAlign w:val="center"/>
            <w:hideMark/>
          </w:tcPr>
          <w:p w14:paraId="340DD2D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-306</w:t>
            </w:r>
          </w:p>
        </w:tc>
      </w:tr>
      <w:tr w:rsidR="00B677B3" w:rsidRPr="00FF19F1" w14:paraId="32E28CDF" w14:textId="77777777" w:rsidTr="00B677B3">
        <w:trPr>
          <w:trHeight w:val="127"/>
        </w:trPr>
        <w:tc>
          <w:tcPr>
            <w:tcW w:w="2124" w:type="dxa"/>
            <w:tcBorders>
              <w:left w:val="nil"/>
              <w:bottom w:val="single" w:sz="4" w:space="0" w:color="auto"/>
              <w:right w:val="nil"/>
            </w:tcBorders>
            <w:vAlign w:val="center"/>
            <w:hideMark/>
          </w:tcPr>
          <w:p w14:paraId="5C27FAC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2021-22</w:t>
            </w:r>
          </w:p>
        </w:tc>
        <w:tc>
          <w:tcPr>
            <w:tcW w:w="2124" w:type="dxa"/>
            <w:tcBorders>
              <w:left w:val="nil"/>
              <w:bottom w:val="single" w:sz="4" w:space="0" w:color="auto"/>
              <w:right w:val="nil"/>
            </w:tcBorders>
            <w:vAlign w:val="center"/>
            <w:hideMark/>
          </w:tcPr>
          <w:p w14:paraId="04CD97F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1681</w:t>
            </w:r>
          </w:p>
        </w:tc>
        <w:tc>
          <w:tcPr>
            <w:tcW w:w="2124" w:type="dxa"/>
            <w:tcBorders>
              <w:left w:val="nil"/>
              <w:bottom w:val="single" w:sz="4" w:space="0" w:color="auto"/>
              <w:right w:val="nil"/>
            </w:tcBorders>
            <w:vAlign w:val="center"/>
            <w:hideMark/>
          </w:tcPr>
          <w:p w14:paraId="5E4AA9A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1940</w:t>
            </w:r>
          </w:p>
        </w:tc>
        <w:tc>
          <w:tcPr>
            <w:tcW w:w="2124" w:type="dxa"/>
            <w:tcBorders>
              <w:left w:val="nil"/>
              <w:bottom w:val="single" w:sz="4" w:space="0" w:color="auto"/>
              <w:right w:val="nil"/>
            </w:tcBorders>
            <w:vAlign w:val="center"/>
            <w:hideMark/>
          </w:tcPr>
          <w:p w14:paraId="715A5E5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-259</w:t>
            </w:r>
          </w:p>
        </w:tc>
      </w:tr>
      <w:tr w:rsidR="00B677B3" w:rsidRPr="00FF19F1" w14:paraId="68548CAE" w14:textId="77777777" w:rsidTr="00B677B3">
        <w:trPr>
          <w:trHeight w:val="127"/>
        </w:trPr>
        <w:tc>
          <w:tcPr>
            <w:tcW w:w="8496" w:type="dxa"/>
            <w:gridSpan w:val="4"/>
            <w:tcBorders>
              <w:top w:val="single" w:sz="4" w:space="0" w:color="auto"/>
              <w:left w:val="nil"/>
              <w:bottom w:val="nil"/>
              <w:right w:val="nil"/>
            </w:tcBorders>
            <w:vAlign w:val="center"/>
          </w:tcPr>
          <w:p w14:paraId="213AD044" w14:textId="2B4A9CD1" w:rsidR="00B677B3" w:rsidRPr="00B677B3" w:rsidRDefault="00B677B3" w:rsidP="00AD3FCD">
            <w:pPr>
              <w:tabs>
                <w:tab w:val="center" w:pos="4513"/>
              </w:tabs>
              <w:spacing w:after="100" w:afterAutospacing="1" w:line="276" w:lineRule="auto"/>
              <w:jc w:val="both"/>
              <w:rPr>
                <w:rFonts w:ascii="Times New Roman" w:eastAsia="Times New Roman" w:hAnsi="Times New Roman" w:cs="Times New Roman"/>
                <w:i/>
                <w:szCs w:val="24"/>
                <w:lang w:eastAsia="en-IN"/>
              </w:rPr>
            </w:pPr>
            <w:proofErr w:type="gramStart"/>
            <w:r w:rsidRPr="00DA35CB">
              <w:rPr>
                <w:rFonts w:ascii="Times New Roman" w:eastAsia="Times New Roman" w:hAnsi="Times New Roman" w:cs="Times New Roman"/>
                <w:b/>
                <w:i/>
                <w:szCs w:val="24"/>
                <w:lang w:eastAsia="en-IN"/>
              </w:rPr>
              <w:t>Note</w:t>
            </w:r>
            <w:r w:rsidRPr="00FF19F1">
              <w:rPr>
                <w:rFonts w:ascii="Times New Roman" w:eastAsia="Times New Roman" w:hAnsi="Times New Roman" w:cs="Times New Roman"/>
                <w:i/>
                <w:szCs w:val="24"/>
                <w:lang w:eastAsia="en-IN"/>
              </w:rPr>
              <w:t xml:space="preserve"> :</w:t>
            </w:r>
            <w:proofErr w:type="gramEnd"/>
            <w:r w:rsidRPr="00FF19F1">
              <w:rPr>
                <w:rFonts w:ascii="Times New Roman" w:eastAsia="Times New Roman" w:hAnsi="Times New Roman" w:cs="Times New Roman"/>
                <w:i/>
                <w:szCs w:val="24"/>
                <w:lang w:eastAsia="en-IN"/>
              </w:rPr>
              <w:t xml:space="preserve"> Positive variations mean that the FHP is higher than MSP</w:t>
            </w:r>
            <w:r w:rsidRPr="009C2519">
              <w:rPr>
                <w:rFonts w:ascii="Times New Roman" w:eastAsia="Times New Roman" w:hAnsi="Times New Roman" w:cs="Times New Roman"/>
                <w:i/>
                <w:szCs w:val="24"/>
                <w:lang w:eastAsia="en-IN"/>
              </w:rPr>
              <w:t>.</w:t>
            </w:r>
            <w:r w:rsidRPr="009C2519">
              <w:rPr>
                <w:sz w:val="20"/>
              </w:rPr>
              <w:t xml:space="preserve"> </w:t>
            </w:r>
            <w:r w:rsidRPr="009C2519">
              <w:rPr>
                <w:rFonts w:ascii="Times New Roman" w:eastAsia="Times New Roman" w:hAnsi="Times New Roman" w:cs="Times New Roman"/>
                <w:i/>
                <w:szCs w:val="24"/>
                <w:lang w:eastAsia="en-IN"/>
              </w:rPr>
              <w:t>FHP- Farm Harvest Price; MSP- Minimum Support Price.</w:t>
            </w:r>
          </w:p>
        </w:tc>
      </w:tr>
    </w:tbl>
    <w:p w14:paraId="5C632604" w14:textId="040FDEB6" w:rsidR="00B677B3" w:rsidRDefault="00B677B3" w:rsidP="00AD3FCD">
      <w:pPr>
        <w:spacing w:before="100" w:beforeAutospacing="1" w:after="0" w:line="276" w:lineRule="auto"/>
        <w:ind w:right="-378" w:firstLine="284"/>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anchor distT="0" distB="0" distL="114300" distR="114300" simplePos="0" relativeHeight="251667456" behindDoc="1" locked="0" layoutInCell="1" allowOverlap="1" wp14:anchorId="77DAFF5A" wp14:editId="590B7BF1">
            <wp:simplePos x="0" y="0"/>
            <wp:positionH relativeFrom="column">
              <wp:posOffset>373380</wp:posOffset>
            </wp:positionH>
            <wp:positionV relativeFrom="paragraph">
              <wp:posOffset>5128895</wp:posOffset>
            </wp:positionV>
            <wp:extent cx="5100320" cy="2821305"/>
            <wp:effectExtent l="0" t="0" r="5080" b="0"/>
            <wp:wrapTight wrapText="bothSides">
              <wp:wrapPolygon edited="0">
                <wp:start x="0" y="0"/>
                <wp:lineTo x="0" y="21440"/>
                <wp:lineTo x="21541" y="21440"/>
                <wp:lineTo x="215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0320" cy="2821305"/>
                    </a:xfrm>
                    <a:prstGeom prst="rect">
                      <a:avLst/>
                    </a:prstGeom>
                    <a:noFill/>
                  </pic:spPr>
                </pic:pic>
              </a:graphicData>
            </a:graphic>
            <wp14:sizeRelH relativeFrom="margin">
              <wp14:pctWidth>0</wp14:pctWidth>
            </wp14:sizeRelH>
            <wp14:sizeRelV relativeFrom="margin">
              <wp14:pctHeight>0</wp14:pctHeight>
            </wp14:sizeRelV>
          </wp:anchor>
        </w:drawing>
      </w:r>
    </w:p>
    <w:p w14:paraId="504AA6AA" w14:textId="73CC6A1D" w:rsidR="00B677B3" w:rsidRDefault="00B677B3" w:rsidP="00AD3FCD">
      <w:pPr>
        <w:jc w:val="both"/>
      </w:pPr>
    </w:p>
    <w:p w14:paraId="4A43C10C"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0D4008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685978A"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4D7D2617"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392AB12"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028F25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121056B9"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5FF67B57"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58F22EA"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379003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01748E2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4CE7844E"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44F3804"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4F98985"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5AE8B441" w14:textId="4E24CDD7" w:rsidR="00B677B3" w:rsidRDefault="00B677B3" w:rsidP="00AD3FCD">
      <w:pPr>
        <w:spacing w:after="0" w:line="240" w:lineRule="auto"/>
        <w:jc w:val="both"/>
        <w:rPr>
          <w:rFonts w:ascii="Times New Roman" w:eastAsia="Times New Roman" w:hAnsi="Times New Roman" w:cs="Times New Roman"/>
          <w:b/>
          <w:sz w:val="24"/>
          <w:szCs w:val="24"/>
          <w:lang w:eastAsia="en-IN"/>
        </w:rPr>
      </w:pPr>
      <w:r w:rsidRPr="009C2519">
        <w:rPr>
          <w:rFonts w:ascii="Times New Roman" w:eastAsia="Times New Roman" w:hAnsi="Times New Roman" w:cs="Times New Roman"/>
          <w:b/>
          <w:sz w:val="24"/>
          <w:szCs w:val="24"/>
          <w:lang w:eastAsia="en-IN"/>
        </w:rPr>
        <w:t xml:space="preserve">Figure 5: Gap between minimum support price and farmer harvest price of </w:t>
      </w:r>
    </w:p>
    <w:p w14:paraId="2C57FC0E" w14:textId="77777777" w:rsidR="00B677B3" w:rsidRPr="009C2519" w:rsidRDefault="00B677B3" w:rsidP="00AD3FCD">
      <w:pPr>
        <w:spacing w:after="0" w:line="240" w:lineRule="auto"/>
        <w:jc w:val="both"/>
        <w:rPr>
          <w:rFonts w:ascii="Times New Roman" w:eastAsia="Times New Roman" w:hAnsi="Times New Roman" w:cs="Times New Roman"/>
          <w:b/>
          <w:i/>
          <w:sz w:val="24"/>
          <w:szCs w:val="24"/>
          <w:lang w:eastAsia="en-IN"/>
        </w:rPr>
      </w:pPr>
      <w:r w:rsidRPr="009C2519">
        <w:rPr>
          <w:rFonts w:ascii="Times New Roman" w:eastAsia="Times New Roman" w:hAnsi="Times New Roman" w:cs="Times New Roman"/>
          <w:b/>
          <w:sz w:val="24"/>
          <w:szCs w:val="24"/>
          <w:lang w:eastAsia="en-IN"/>
        </w:rPr>
        <w:t>paddy in Gujarat from 2002-2022</w:t>
      </w:r>
    </w:p>
    <w:p w14:paraId="466D61C7" w14:textId="77777777" w:rsidR="00B677B3" w:rsidRDefault="00B677B3" w:rsidP="00AD3FCD">
      <w:pPr>
        <w:spacing w:after="100" w:afterAutospacing="1" w:line="276" w:lineRule="auto"/>
        <w:ind w:right="-237" w:firstLine="720"/>
        <w:jc w:val="both"/>
        <w:rPr>
          <w:rFonts w:ascii="Times New Roman" w:eastAsia="Times New Roman" w:hAnsi="Times New Roman" w:cs="Times New Roman"/>
          <w:sz w:val="24"/>
          <w:szCs w:val="24"/>
          <w:lang w:eastAsia="en-IN"/>
        </w:rPr>
        <w:sectPr w:rsidR="00B677B3" w:rsidSect="00AD3FCD">
          <w:type w:val="continuous"/>
          <w:pgSz w:w="11906" w:h="16838"/>
          <w:pgMar w:top="1440" w:right="1440" w:bottom="1440" w:left="1440" w:header="709" w:footer="709" w:gutter="0"/>
          <w:cols w:space="709"/>
          <w:docGrid w:linePitch="360"/>
        </w:sectPr>
      </w:pPr>
    </w:p>
    <w:p w14:paraId="2E034DA6" w14:textId="77777777" w:rsidR="00A22067" w:rsidRDefault="00A22067" w:rsidP="00AD3FCD">
      <w:pPr>
        <w:spacing w:before="100" w:beforeAutospacing="1" w:after="0" w:line="276" w:lineRule="auto"/>
        <w:ind w:left="-567" w:right="-378"/>
        <w:jc w:val="both"/>
        <w:rPr>
          <w:rFonts w:ascii="Times New Roman" w:eastAsia="Times New Roman" w:hAnsi="Times New Roman" w:cs="Times New Roman"/>
          <w:sz w:val="24"/>
          <w:szCs w:val="24"/>
          <w:lang w:eastAsia="en-IN"/>
        </w:rPr>
      </w:pPr>
    </w:p>
    <w:p w14:paraId="7000BDCD" w14:textId="7B0FF3A7" w:rsidR="00FF19F1" w:rsidRDefault="00A22067" w:rsidP="00AD3FCD">
      <w:pPr>
        <w:spacing w:before="100" w:beforeAutospacing="1" w:after="0" w:line="276" w:lineRule="auto"/>
        <w:ind w:left="-567" w:right="-7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consistently received prices higher than the MSP in the    </w:t>
      </w:r>
      <w:r w:rsidR="00FF19F1">
        <w:rPr>
          <w:rFonts w:ascii="Times New Roman" w:eastAsia="Times New Roman" w:hAnsi="Times New Roman" w:cs="Times New Roman"/>
          <w:sz w:val="24"/>
          <w:szCs w:val="24"/>
          <w:lang w:eastAsia="en-IN"/>
        </w:rPr>
        <w:t xml:space="preserve">market. All ten observations (100 per cent) in this period showed </w:t>
      </w:r>
      <w:r w:rsidR="00FF19F1">
        <w:rPr>
          <w:rFonts w:ascii="Times New Roman" w:eastAsia="Times New Roman" w:hAnsi="Times New Roman" w:cs="Times New Roman"/>
          <w:bCs/>
          <w:sz w:val="24"/>
          <w:szCs w:val="24"/>
          <w:lang w:eastAsia="en-IN"/>
        </w:rPr>
        <w:t>positive deviations</w:t>
      </w:r>
      <w:r w:rsidR="00FF19F1">
        <w:rPr>
          <w:rFonts w:ascii="Times New Roman" w:eastAsia="Times New Roman" w:hAnsi="Times New Roman" w:cs="Times New Roman"/>
          <w:sz w:val="24"/>
          <w:szCs w:val="24"/>
          <w:lang w:eastAsia="en-IN"/>
        </w:rPr>
        <w:t xml:space="preserve"> with the </w:t>
      </w:r>
      <w:r w:rsidR="00FF19F1">
        <w:rPr>
          <w:rFonts w:ascii="Times New Roman" w:eastAsia="Times New Roman" w:hAnsi="Times New Roman" w:cs="Times New Roman"/>
          <w:bCs/>
          <w:sz w:val="24"/>
          <w:szCs w:val="24"/>
          <w:lang w:eastAsia="en-IN"/>
        </w:rPr>
        <w:t>Mean Absolute Positive Deviation (MAPD)</w:t>
      </w:r>
      <w:r w:rsidR="00FF19F1">
        <w:rPr>
          <w:rFonts w:ascii="Times New Roman" w:eastAsia="Times New Roman" w:hAnsi="Times New Roman" w:cs="Times New Roman"/>
          <w:sz w:val="24"/>
          <w:szCs w:val="24"/>
          <w:lang w:eastAsia="en-IN"/>
        </w:rPr>
        <w:t xml:space="preserve"> being ₹102.35 per quintal. The range of positive deviations during this time spanned from ₹41 to ₹171 per quintal and the </w:t>
      </w:r>
      <w:r w:rsidR="00FF19F1">
        <w:rPr>
          <w:rFonts w:ascii="Times New Roman" w:eastAsia="Times New Roman" w:hAnsi="Times New Roman" w:cs="Times New Roman"/>
          <w:bCs/>
          <w:sz w:val="24"/>
          <w:szCs w:val="24"/>
          <w:lang w:eastAsia="en-IN"/>
        </w:rPr>
        <w:t>Adjusted Mean Positive Deviation (AMPD)</w:t>
      </w:r>
      <w:r w:rsidR="00FF19F1">
        <w:rPr>
          <w:rFonts w:ascii="Times New Roman" w:eastAsia="Times New Roman" w:hAnsi="Times New Roman" w:cs="Times New Roman"/>
          <w:sz w:val="24"/>
          <w:szCs w:val="24"/>
          <w:lang w:eastAsia="en-IN"/>
        </w:rPr>
        <w:t xml:space="preserve"> was 15.70 per cent suggesting that farmers were relatively well-compensated compared to the MSP.</w:t>
      </w:r>
    </w:p>
    <w:p w14:paraId="7148B8C3" w14:textId="2E2BD954" w:rsidR="00B677B3" w:rsidRDefault="00B677B3" w:rsidP="00AD3FCD">
      <w:pPr>
        <w:spacing w:after="0" w:line="276" w:lineRule="auto"/>
        <w:ind w:left="-567" w:right="-73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In contrast, during </w:t>
      </w:r>
      <w:r>
        <w:rPr>
          <w:rFonts w:ascii="Times New Roman" w:eastAsia="Times New Roman" w:hAnsi="Times New Roman" w:cs="Times New Roman"/>
          <w:bCs/>
          <w:sz w:val="24"/>
          <w:szCs w:val="24"/>
          <w:lang w:eastAsia="en-IN"/>
        </w:rPr>
        <w:t>Period II (2012–2022)</w:t>
      </w:r>
      <w:r>
        <w:rPr>
          <w:rFonts w:ascii="Times New Roman" w:eastAsia="Times New Roman" w:hAnsi="Times New Roman" w:cs="Times New Roman"/>
          <w:sz w:val="24"/>
          <w:szCs w:val="24"/>
          <w:lang w:eastAsia="en-IN"/>
        </w:rPr>
        <w:t xml:space="preserve"> the scenario changed. Out of 10 years, </w:t>
      </w:r>
      <w:r>
        <w:rPr>
          <w:rFonts w:ascii="Times New Roman" w:eastAsia="Times New Roman" w:hAnsi="Times New Roman" w:cs="Times New Roman"/>
          <w:bCs/>
          <w:sz w:val="24"/>
          <w:szCs w:val="24"/>
          <w:lang w:eastAsia="en-IN"/>
        </w:rPr>
        <w:t>4 years (40 per cent)</w:t>
      </w:r>
      <w:r>
        <w:rPr>
          <w:rFonts w:ascii="Times New Roman" w:eastAsia="Times New Roman" w:hAnsi="Times New Roman" w:cs="Times New Roman"/>
          <w:sz w:val="24"/>
          <w:szCs w:val="24"/>
          <w:lang w:eastAsia="en-IN"/>
        </w:rPr>
        <w:t xml:space="preserve"> recorded </w:t>
      </w:r>
      <w:r>
        <w:rPr>
          <w:rFonts w:ascii="Times New Roman" w:eastAsia="Times New Roman" w:hAnsi="Times New Roman" w:cs="Times New Roman"/>
          <w:bCs/>
          <w:sz w:val="24"/>
          <w:szCs w:val="24"/>
          <w:lang w:eastAsia="en-IN"/>
        </w:rPr>
        <w:t>negative deviations</w:t>
      </w:r>
      <w:r>
        <w:rPr>
          <w:rFonts w:ascii="Times New Roman" w:eastAsia="Times New Roman" w:hAnsi="Times New Roman" w:cs="Times New Roman"/>
          <w:sz w:val="24"/>
          <w:szCs w:val="24"/>
          <w:lang w:eastAsia="en-IN"/>
        </w:rPr>
        <w:t xml:space="preserve"> where the FHP fell below the MSP. The </w:t>
      </w:r>
      <w:r>
        <w:rPr>
          <w:rFonts w:ascii="Times New Roman" w:eastAsia="Times New Roman" w:hAnsi="Times New Roman" w:cs="Times New Roman"/>
          <w:bCs/>
          <w:sz w:val="24"/>
          <w:szCs w:val="24"/>
          <w:lang w:eastAsia="en-IN"/>
        </w:rPr>
        <w:t>Mean Absolute Negative Deviation (MAND)</w:t>
      </w:r>
      <w:r>
        <w:rPr>
          <w:rFonts w:ascii="Times New Roman" w:eastAsia="Times New Roman" w:hAnsi="Times New Roman" w:cs="Times New Roman"/>
          <w:sz w:val="24"/>
          <w:szCs w:val="24"/>
          <w:lang w:eastAsia="en-IN"/>
        </w:rPr>
        <w:t xml:space="preserve"> was ₹246 per quintal with a range of deviations from ₹-127 to ₹-306. The </w:t>
      </w:r>
      <w:r>
        <w:rPr>
          <w:rFonts w:ascii="Times New Roman" w:eastAsia="Times New Roman" w:hAnsi="Times New Roman" w:cs="Times New Roman"/>
          <w:bCs/>
          <w:sz w:val="24"/>
          <w:szCs w:val="24"/>
          <w:lang w:eastAsia="en-IN"/>
        </w:rPr>
        <w:t>Adjusted Mean Negative Deviation (AMND)</w:t>
      </w:r>
      <w:r>
        <w:rPr>
          <w:rFonts w:ascii="Times New Roman" w:eastAsia="Times New Roman" w:hAnsi="Times New Roman" w:cs="Times New Roman"/>
          <w:sz w:val="24"/>
          <w:szCs w:val="24"/>
          <w:lang w:eastAsia="en-IN"/>
        </w:rPr>
        <w:t xml:space="preserve"> stood at   -13.26 per cent, indicating a considerable shortfall in the prices actually received by farmers as compared to the support price. At the same time, </w:t>
      </w:r>
      <w:r>
        <w:rPr>
          <w:rFonts w:ascii="Times New Roman" w:eastAsia="Times New Roman" w:hAnsi="Times New Roman" w:cs="Times New Roman"/>
          <w:bCs/>
          <w:sz w:val="24"/>
          <w:szCs w:val="24"/>
          <w:lang w:eastAsia="en-IN"/>
        </w:rPr>
        <w:t>6 years (60 per cent)</w:t>
      </w:r>
      <w:r>
        <w:rPr>
          <w:rFonts w:ascii="Times New Roman" w:eastAsia="Times New Roman" w:hAnsi="Times New Roman" w:cs="Times New Roman"/>
          <w:sz w:val="24"/>
          <w:szCs w:val="24"/>
          <w:lang w:eastAsia="en-IN"/>
        </w:rPr>
        <w:t xml:space="preserve"> still showed positive deviations but the MAPD dropped to ₹84.16 per quintal with a narrower </w:t>
      </w:r>
      <w:proofErr w:type="gramStart"/>
      <w:r>
        <w:rPr>
          <w:rFonts w:ascii="Times New Roman" w:eastAsia="Times New Roman" w:hAnsi="Times New Roman" w:cs="Times New Roman"/>
          <w:sz w:val="24"/>
          <w:szCs w:val="24"/>
          <w:lang w:eastAsia="en-IN"/>
        </w:rPr>
        <w:t>range  of</w:t>
      </w:r>
      <w:proofErr w:type="gramEnd"/>
      <w:r>
        <w:rPr>
          <w:rFonts w:ascii="Times New Roman" w:eastAsia="Times New Roman" w:hAnsi="Times New Roman" w:cs="Times New Roman"/>
          <w:sz w:val="24"/>
          <w:szCs w:val="24"/>
          <w:lang w:eastAsia="en-IN"/>
        </w:rPr>
        <w:t xml:space="preserve"> ₹1 to ₹138 and an AMPD of only 6.25 per cent suggesting weaker market benefits for farmers compared to the earlier decade.</w:t>
      </w:r>
    </w:p>
    <w:p w14:paraId="4E8BBBD5" w14:textId="4F1FE9FC" w:rsidR="003F0EBA" w:rsidRPr="00AD3FCD" w:rsidRDefault="00B677B3" w:rsidP="00AD3FCD">
      <w:pPr>
        <w:ind w:left="-567" w:right="-600" w:firstLine="283"/>
        <w:jc w:val="both"/>
        <w:rPr>
          <w:rFonts w:ascii="Times New Roman" w:hAnsi="Times New Roman" w:cs="Times New Roman"/>
          <w:sz w:val="24"/>
          <w:szCs w:val="24"/>
        </w:rPr>
        <w:sectPr w:rsidR="003F0EBA" w:rsidRPr="00AD3FCD" w:rsidSect="00AD3FCD">
          <w:type w:val="continuous"/>
          <w:pgSz w:w="11906" w:h="16838"/>
          <w:pgMar w:top="1440" w:right="1440" w:bottom="1440" w:left="2160" w:header="709" w:footer="709" w:gutter="0"/>
          <w:pgNumType w:start="53"/>
          <w:cols w:space="1568"/>
          <w:docGrid w:linePitch="360"/>
        </w:sectPr>
      </w:pPr>
      <w:r>
        <w:rPr>
          <w:rFonts w:ascii="Times New Roman" w:eastAsia="Times New Roman" w:hAnsi="Times New Roman" w:cs="Times New Roman"/>
          <w:sz w:val="24"/>
          <w:szCs w:val="24"/>
          <w:lang w:eastAsia="en-IN"/>
        </w:rPr>
        <w:t xml:space="preserve">Considering the </w:t>
      </w:r>
      <w:r>
        <w:rPr>
          <w:rFonts w:ascii="Times New Roman" w:eastAsia="Times New Roman" w:hAnsi="Times New Roman" w:cs="Times New Roman"/>
          <w:bCs/>
          <w:sz w:val="24"/>
          <w:szCs w:val="24"/>
          <w:lang w:eastAsia="en-IN"/>
        </w:rPr>
        <w:t>overall period (2002–2022)</w:t>
      </w:r>
      <w:r>
        <w:rPr>
          <w:rFonts w:ascii="Times New Roman" w:eastAsia="Times New Roman" w:hAnsi="Times New Roman" w:cs="Times New Roman"/>
          <w:sz w:val="24"/>
          <w:szCs w:val="24"/>
          <w:lang w:eastAsia="en-IN"/>
        </w:rPr>
        <w:t xml:space="preserve"> out of 20 years, </w:t>
      </w:r>
      <w:r>
        <w:rPr>
          <w:rFonts w:ascii="Times New Roman" w:eastAsia="Times New Roman" w:hAnsi="Times New Roman" w:cs="Times New Roman"/>
          <w:bCs/>
          <w:sz w:val="24"/>
          <w:szCs w:val="24"/>
          <w:lang w:eastAsia="en-IN"/>
        </w:rPr>
        <w:t>4 years (20 per cent)</w:t>
      </w:r>
      <w:r>
        <w:rPr>
          <w:rFonts w:ascii="Times New Roman" w:eastAsia="Times New Roman" w:hAnsi="Times New Roman" w:cs="Times New Roman"/>
          <w:sz w:val="24"/>
          <w:szCs w:val="24"/>
          <w:lang w:eastAsia="en-IN"/>
        </w:rPr>
        <w:t xml:space="preserve"> showed negative deviations with a MAND of ₹246 and an AMND of -13.26 per cent while </w:t>
      </w:r>
      <w:r>
        <w:rPr>
          <w:rFonts w:ascii="Times New Roman" w:eastAsia="Times New Roman" w:hAnsi="Times New Roman" w:cs="Times New Roman"/>
          <w:bCs/>
          <w:sz w:val="24"/>
          <w:szCs w:val="24"/>
          <w:lang w:eastAsia="en-IN"/>
        </w:rPr>
        <w:t>16 years (80 per cent)</w:t>
      </w:r>
      <w:r>
        <w:rPr>
          <w:rFonts w:ascii="Times New Roman" w:eastAsia="Times New Roman" w:hAnsi="Times New Roman" w:cs="Times New Roman"/>
          <w:sz w:val="24"/>
          <w:szCs w:val="24"/>
          <w:lang w:eastAsia="en-IN"/>
        </w:rPr>
        <w:t xml:space="preserve"> recorded positive deviations. The MAPD during this full period was ₹95.53, with a deviation range of ₹1 to ₹171 and the AMPD was 12.61per cent </w:t>
      </w:r>
      <w:r>
        <w:rPr>
          <w:rFonts w:ascii="Times New Roman" w:hAnsi="Times New Roman" w:cs="Times New Roman"/>
          <w:sz w:val="24"/>
          <w:szCs w:val="24"/>
        </w:rPr>
        <w:t>indicating that farmers mostly received prices above the MSP. Even though negative deviations emerged in the later period (2012–2022), they were limited to only 4 out of 20 years.</w:t>
      </w:r>
    </w:p>
    <w:p w14:paraId="0DE4FCBD" w14:textId="4D36E8BF" w:rsidR="003F0EBA" w:rsidRPr="00FF19F1" w:rsidRDefault="003F0EBA" w:rsidP="00AD3FCD">
      <w:pPr>
        <w:pBdr>
          <w:top w:val="single" w:sz="4" w:space="1" w:color="auto"/>
        </w:pBdr>
        <w:ind w:left="-567" w:right="-600" w:firstLine="283"/>
        <w:jc w:val="both"/>
        <w:rPr>
          <w:rFonts w:ascii="Times New Roman" w:eastAsia="Times New Roman" w:hAnsi="Times New Roman" w:cs="Times New Roman"/>
          <w:sz w:val="24"/>
          <w:szCs w:val="24"/>
          <w:lang w:eastAsia="en-IN"/>
        </w:rPr>
        <w:sectPr w:rsidR="003F0EBA" w:rsidRPr="00FF19F1" w:rsidSect="00AD3FCD">
          <w:type w:val="continuous"/>
          <w:pgSz w:w="11906" w:h="16838"/>
          <w:pgMar w:top="1440" w:right="1440" w:bottom="1440" w:left="2160" w:header="709" w:footer="709" w:gutter="0"/>
          <w:pgNumType w:start="53"/>
          <w:cols w:space="1568"/>
          <w:docGrid w:linePitch="360"/>
        </w:sectPr>
      </w:pPr>
    </w:p>
    <w:tbl>
      <w:tblPr>
        <w:tblStyle w:val="TableGrid2"/>
        <w:tblW w:w="905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138"/>
        <w:gridCol w:w="2138"/>
        <w:gridCol w:w="2138"/>
      </w:tblGrid>
      <w:tr w:rsidR="003F0EBA" w:rsidRPr="00CE44DE" w14:paraId="12E8EA74" w14:textId="77777777" w:rsidTr="000463BC">
        <w:trPr>
          <w:trHeight w:val="450"/>
        </w:trPr>
        <w:tc>
          <w:tcPr>
            <w:tcW w:w="9050" w:type="dxa"/>
            <w:gridSpan w:val="4"/>
            <w:tcBorders>
              <w:top w:val="nil"/>
              <w:left w:val="nil"/>
              <w:bottom w:val="single" w:sz="4" w:space="0" w:color="auto"/>
              <w:right w:val="nil"/>
            </w:tcBorders>
            <w:vAlign w:val="center"/>
          </w:tcPr>
          <w:p w14:paraId="451A0970" w14:textId="77777777" w:rsidR="003F0EBA" w:rsidRPr="003F0EBA" w:rsidRDefault="003F0EBA" w:rsidP="00AD3FCD">
            <w:pPr>
              <w:ind w:left="-108"/>
              <w:jc w:val="both"/>
              <w:rPr>
                <w:rFonts w:ascii="Times New Roman" w:eastAsia="Calibri" w:hAnsi="Times New Roman" w:cs="Times New Roman"/>
                <w:b/>
                <w:sz w:val="24"/>
              </w:rPr>
            </w:pPr>
            <w:r w:rsidRPr="00CE44DE">
              <w:rPr>
                <w:rFonts w:ascii="Times New Roman" w:eastAsia="Calibri" w:hAnsi="Times New Roman" w:cs="Times New Roman"/>
                <w:b/>
                <w:sz w:val="24"/>
              </w:rPr>
              <w:t>Table 4: Average gap between minimum support price and farmer harvest price of</w:t>
            </w:r>
            <w:r>
              <w:rPr>
                <w:rFonts w:ascii="Times New Roman" w:eastAsia="Calibri" w:hAnsi="Times New Roman" w:cs="Times New Roman"/>
                <w:b/>
                <w:sz w:val="24"/>
              </w:rPr>
              <w:t xml:space="preserve"> </w:t>
            </w:r>
            <w:r w:rsidRPr="00CE44DE">
              <w:rPr>
                <w:rFonts w:ascii="Times New Roman" w:eastAsia="Calibri" w:hAnsi="Times New Roman" w:cs="Times New Roman"/>
                <w:b/>
                <w:sz w:val="24"/>
              </w:rPr>
              <w:t>paddy</w:t>
            </w:r>
            <w:r>
              <w:rPr>
                <w:rFonts w:ascii="Times New Roman" w:eastAsia="Calibri" w:hAnsi="Times New Roman" w:cs="Times New Roman"/>
                <w:b/>
                <w:sz w:val="24"/>
              </w:rPr>
              <w:t xml:space="preserve"> </w:t>
            </w:r>
            <w:r w:rsidRPr="00CE44DE">
              <w:rPr>
                <w:rFonts w:ascii="Times New Roman" w:eastAsia="Calibri" w:hAnsi="Times New Roman" w:cs="Times New Roman"/>
                <w:b/>
                <w:sz w:val="24"/>
              </w:rPr>
              <w:t xml:space="preserve">in various districts of Gujarat during 2002-03 to 2021-22                                                                                </w:t>
            </w:r>
          </w:p>
        </w:tc>
      </w:tr>
      <w:tr w:rsidR="003F0EBA" w:rsidRPr="00CE44DE" w14:paraId="1557A257" w14:textId="77777777" w:rsidTr="000463BC">
        <w:trPr>
          <w:trHeight w:val="450"/>
        </w:trPr>
        <w:tc>
          <w:tcPr>
            <w:tcW w:w="2636" w:type="dxa"/>
            <w:tcBorders>
              <w:top w:val="single" w:sz="4" w:space="0" w:color="auto"/>
              <w:left w:val="nil"/>
              <w:bottom w:val="single" w:sz="4" w:space="0" w:color="auto"/>
            </w:tcBorders>
            <w:vAlign w:val="center"/>
          </w:tcPr>
          <w:p w14:paraId="0C7712AD"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Districts</w:t>
            </w:r>
          </w:p>
        </w:tc>
        <w:tc>
          <w:tcPr>
            <w:tcW w:w="2138" w:type="dxa"/>
            <w:tcBorders>
              <w:top w:val="single" w:sz="4" w:space="0" w:color="auto"/>
              <w:bottom w:val="single" w:sz="4" w:space="0" w:color="auto"/>
            </w:tcBorders>
            <w:vAlign w:val="center"/>
          </w:tcPr>
          <w:p w14:paraId="4F14229B"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 xml:space="preserve">FHP </w:t>
            </w:r>
            <w:r w:rsidRPr="00CE44DE">
              <w:rPr>
                <w:rFonts w:ascii="Times New Roman" w:eastAsia="Calibri" w:hAnsi="Times New Roman" w:cs="Times New Roman"/>
                <w:b/>
                <w:sz w:val="24"/>
              </w:rPr>
              <w:t>(₹/</w:t>
            </w:r>
            <w:proofErr w:type="spellStart"/>
            <w:r w:rsidRPr="00CE44DE">
              <w:rPr>
                <w:rFonts w:ascii="Times New Roman" w:eastAsia="Calibri" w:hAnsi="Times New Roman" w:cs="Times New Roman"/>
                <w:b/>
                <w:sz w:val="24"/>
              </w:rPr>
              <w:t>qtl</w:t>
            </w:r>
            <w:proofErr w:type="spellEnd"/>
            <w:r w:rsidRPr="00CE44DE">
              <w:rPr>
                <w:rFonts w:ascii="Times New Roman" w:eastAsia="Calibri" w:hAnsi="Times New Roman" w:cs="Times New Roman"/>
                <w:b/>
                <w:sz w:val="24"/>
              </w:rPr>
              <w:t>)</w:t>
            </w:r>
          </w:p>
        </w:tc>
        <w:tc>
          <w:tcPr>
            <w:tcW w:w="2138" w:type="dxa"/>
            <w:tcBorders>
              <w:top w:val="single" w:sz="4" w:space="0" w:color="auto"/>
              <w:bottom w:val="single" w:sz="4" w:space="0" w:color="auto"/>
            </w:tcBorders>
            <w:vAlign w:val="center"/>
          </w:tcPr>
          <w:p w14:paraId="52807125"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 xml:space="preserve">MSP </w:t>
            </w:r>
            <w:r w:rsidRPr="00CE44DE">
              <w:rPr>
                <w:rFonts w:ascii="Times New Roman" w:eastAsia="Calibri" w:hAnsi="Times New Roman" w:cs="Times New Roman"/>
                <w:b/>
                <w:sz w:val="24"/>
              </w:rPr>
              <w:t>(₹/</w:t>
            </w:r>
            <w:proofErr w:type="spellStart"/>
            <w:r w:rsidRPr="00CE44DE">
              <w:rPr>
                <w:rFonts w:ascii="Times New Roman" w:eastAsia="Calibri" w:hAnsi="Times New Roman" w:cs="Times New Roman"/>
                <w:b/>
                <w:sz w:val="24"/>
              </w:rPr>
              <w:t>qtl</w:t>
            </w:r>
            <w:proofErr w:type="spellEnd"/>
            <w:r w:rsidRPr="00CE44DE">
              <w:rPr>
                <w:rFonts w:ascii="Times New Roman" w:eastAsia="Calibri" w:hAnsi="Times New Roman" w:cs="Times New Roman"/>
                <w:b/>
                <w:sz w:val="24"/>
              </w:rPr>
              <w:t>)</w:t>
            </w:r>
          </w:p>
        </w:tc>
        <w:tc>
          <w:tcPr>
            <w:tcW w:w="2138" w:type="dxa"/>
            <w:tcBorders>
              <w:top w:val="single" w:sz="4" w:space="0" w:color="auto"/>
              <w:bottom w:val="single" w:sz="4" w:space="0" w:color="auto"/>
              <w:right w:val="nil"/>
            </w:tcBorders>
            <w:vAlign w:val="center"/>
          </w:tcPr>
          <w:p w14:paraId="2481744E"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Gap</w:t>
            </w:r>
          </w:p>
        </w:tc>
      </w:tr>
      <w:tr w:rsidR="003F0EBA" w:rsidRPr="00CE44DE" w14:paraId="23E9F573" w14:textId="77777777" w:rsidTr="000463BC">
        <w:trPr>
          <w:trHeight w:val="250"/>
        </w:trPr>
        <w:tc>
          <w:tcPr>
            <w:tcW w:w="2636" w:type="dxa"/>
            <w:tcBorders>
              <w:top w:val="single" w:sz="4" w:space="0" w:color="auto"/>
              <w:left w:val="nil"/>
            </w:tcBorders>
            <w:vAlign w:val="center"/>
          </w:tcPr>
          <w:p w14:paraId="5DFB9A74"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Sabarkantha</w:t>
            </w:r>
            <w:proofErr w:type="spellEnd"/>
          </w:p>
        </w:tc>
        <w:tc>
          <w:tcPr>
            <w:tcW w:w="2138" w:type="dxa"/>
            <w:tcBorders>
              <w:top w:val="single" w:sz="4" w:space="0" w:color="auto"/>
            </w:tcBorders>
            <w:vAlign w:val="center"/>
          </w:tcPr>
          <w:p w14:paraId="18612C7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1127.08</w:t>
            </w:r>
          </w:p>
        </w:tc>
        <w:tc>
          <w:tcPr>
            <w:tcW w:w="2138" w:type="dxa"/>
            <w:tcBorders>
              <w:top w:val="single" w:sz="4" w:space="0" w:color="auto"/>
            </w:tcBorders>
            <w:vAlign w:val="center"/>
          </w:tcPr>
          <w:p w14:paraId="62F44A7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top w:val="single" w:sz="4" w:space="0" w:color="auto"/>
              <w:right w:val="nil"/>
            </w:tcBorders>
            <w:vAlign w:val="center"/>
          </w:tcPr>
          <w:p w14:paraId="50D8B0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-26.82</w:t>
            </w:r>
          </w:p>
        </w:tc>
      </w:tr>
      <w:tr w:rsidR="003F0EBA" w:rsidRPr="00CE44DE" w14:paraId="3BF58353" w14:textId="77777777" w:rsidTr="000463BC">
        <w:trPr>
          <w:trHeight w:val="250"/>
        </w:trPr>
        <w:tc>
          <w:tcPr>
            <w:tcW w:w="2636" w:type="dxa"/>
            <w:tcBorders>
              <w:left w:val="nil"/>
            </w:tcBorders>
            <w:vAlign w:val="center"/>
          </w:tcPr>
          <w:p w14:paraId="617A023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Aravalli</w:t>
            </w:r>
          </w:p>
        </w:tc>
        <w:tc>
          <w:tcPr>
            <w:tcW w:w="2138" w:type="dxa"/>
            <w:vAlign w:val="center"/>
          </w:tcPr>
          <w:p w14:paraId="20B4A04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1133.54</w:t>
            </w:r>
          </w:p>
        </w:tc>
        <w:tc>
          <w:tcPr>
            <w:tcW w:w="2138" w:type="dxa"/>
            <w:vAlign w:val="center"/>
          </w:tcPr>
          <w:p w14:paraId="4C7472A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A5FE58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-20.36</w:t>
            </w:r>
          </w:p>
        </w:tc>
      </w:tr>
      <w:tr w:rsidR="003F0EBA" w:rsidRPr="00CE44DE" w14:paraId="47E9EE83" w14:textId="77777777" w:rsidTr="000463BC">
        <w:trPr>
          <w:trHeight w:val="29"/>
        </w:trPr>
        <w:tc>
          <w:tcPr>
            <w:tcW w:w="2636" w:type="dxa"/>
            <w:tcBorders>
              <w:left w:val="nil"/>
            </w:tcBorders>
            <w:vAlign w:val="center"/>
          </w:tcPr>
          <w:p w14:paraId="54BBD6B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Mehsana</w:t>
            </w:r>
          </w:p>
        </w:tc>
        <w:tc>
          <w:tcPr>
            <w:tcW w:w="2138" w:type="dxa"/>
            <w:vAlign w:val="center"/>
          </w:tcPr>
          <w:p w14:paraId="452973A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1491.56</w:t>
            </w:r>
          </w:p>
        </w:tc>
        <w:tc>
          <w:tcPr>
            <w:tcW w:w="2138" w:type="dxa"/>
            <w:vAlign w:val="center"/>
          </w:tcPr>
          <w:p w14:paraId="62470F4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B2224C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337.66</w:t>
            </w:r>
          </w:p>
        </w:tc>
      </w:tr>
      <w:tr w:rsidR="003F0EBA" w:rsidRPr="00CE44DE" w14:paraId="623B9391" w14:textId="77777777" w:rsidTr="000463BC">
        <w:trPr>
          <w:trHeight w:val="250"/>
        </w:trPr>
        <w:tc>
          <w:tcPr>
            <w:tcW w:w="2636" w:type="dxa"/>
            <w:tcBorders>
              <w:left w:val="nil"/>
            </w:tcBorders>
            <w:vAlign w:val="center"/>
          </w:tcPr>
          <w:p w14:paraId="746FF9F8"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Gandhinagar</w:t>
            </w:r>
          </w:p>
        </w:tc>
        <w:tc>
          <w:tcPr>
            <w:tcW w:w="2138" w:type="dxa"/>
            <w:vAlign w:val="center"/>
          </w:tcPr>
          <w:p w14:paraId="06D58BE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1267.95</w:t>
            </w:r>
          </w:p>
        </w:tc>
        <w:tc>
          <w:tcPr>
            <w:tcW w:w="2138" w:type="dxa"/>
            <w:vAlign w:val="center"/>
          </w:tcPr>
          <w:p w14:paraId="496479C7"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EA099D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114.05</w:t>
            </w:r>
          </w:p>
        </w:tc>
      </w:tr>
      <w:tr w:rsidR="003F0EBA" w:rsidRPr="00CE44DE" w14:paraId="683B9595" w14:textId="77777777" w:rsidTr="000463BC">
        <w:trPr>
          <w:trHeight w:val="250"/>
        </w:trPr>
        <w:tc>
          <w:tcPr>
            <w:tcW w:w="2636" w:type="dxa"/>
            <w:tcBorders>
              <w:left w:val="nil"/>
            </w:tcBorders>
            <w:vAlign w:val="center"/>
          </w:tcPr>
          <w:p w14:paraId="22990B2D"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Ahmedabad</w:t>
            </w:r>
          </w:p>
        </w:tc>
        <w:tc>
          <w:tcPr>
            <w:tcW w:w="2138" w:type="dxa"/>
            <w:vAlign w:val="center"/>
          </w:tcPr>
          <w:p w14:paraId="644E8D9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1230.42</w:t>
            </w:r>
          </w:p>
        </w:tc>
        <w:tc>
          <w:tcPr>
            <w:tcW w:w="2138" w:type="dxa"/>
            <w:vAlign w:val="center"/>
          </w:tcPr>
          <w:p w14:paraId="349AEEA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36C2BF8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76.52</w:t>
            </w:r>
          </w:p>
        </w:tc>
      </w:tr>
      <w:tr w:rsidR="003F0EBA" w:rsidRPr="00CE44DE" w14:paraId="0445737E" w14:textId="77777777" w:rsidTr="000463BC">
        <w:trPr>
          <w:trHeight w:val="250"/>
        </w:trPr>
        <w:tc>
          <w:tcPr>
            <w:tcW w:w="2636" w:type="dxa"/>
            <w:tcBorders>
              <w:left w:val="nil"/>
            </w:tcBorders>
            <w:vAlign w:val="center"/>
          </w:tcPr>
          <w:p w14:paraId="50E65DA7"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Anand</w:t>
            </w:r>
          </w:p>
        </w:tc>
        <w:tc>
          <w:tcPr>
            <w:tcW w:w="2138" w:type="dxa"/>
            <w:vAlign w:val="center"/>
          </w:tcPr>
          <w:p w14:paraId="30A3B86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1204.21</w:t>
            </w:r>
          </w:p>
        </w:tc>
        <w:tc>
          <w:tcPr>
            <w:tcW w:w="2138" w:type="dxa"/>
            <w:vAlign w:val="center"/>
          </w:tcPr>
          <w:p w14:paraId="13E6B82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533EE3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50.31</w:t>
            </w:r>
          </w:p>
        </w:tc>
      </w:tr>
      <w:tr w:rsidR="003F0EBA" w:rsidRPr="00CE44DE" w14:paraId="26AD1AD8" w14:textId="77777777" w:rsidTr="000463BC">
        <w:trPr>
          <w:trHeight w:val="250"/>
        </w:trPr>
        <w:tc>
          <w:tcPr>
            <w:tcW w:w="2636" w:type="dxa"/>
            <w:tcBorders>
              <w:left w:val="nil"/>
            </w:tcBorders>
            <w:vAlign w:val="center"/>
          </w:tcPr>
          <w:p w14:paraId="776C6A42"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Kheda</w:t>
            </w:r>
          </w:p>
        </w:tc>
        <w:tc>
          <w:tcPr>
            <w:tcW w:w="2138" w:type="dxa"/>
            <w:vAlign w:val="center"/>
          </w:tcPr>
          <w:p w14:paraId="15355CB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1198.32</w:t>
            </w:r>
          </w:p>
        </w:tc>
        <w:tc>
          <w:tcPr>
            <w:tcW w:w="2138" w:type="dxa"/>
            <w:vAlign w:val="center"/>
          </w:tcPr>
          <w:p w14:paraId="3B3394C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44DE7EA3"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44.42</w:t>
            </w:r>
          </w:p>
        </w:tc>
      </w:tr>
      <w:tr w:rsidR="003F0EBA" w:rsidRPr="00CE44DE" w14:paraId="382B69C0" w14:textId="77777777" w:rsidTr="000463BC">
        <w:trPr>
          <w:trHeight w:val="250"/>
        </w:trPr>
        <w:tc>
          <w:tcPr>
            <w:tcW w:w="2636" w:type="dxa"/>
            <w:tcBorders>
              <w:left w:val="nil"/>
            </w:tcBorders>
            <w:vAlign w:val="center"/>
          </w:tcPr>
          <w:p w14:paraId="59EB8BF6"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Panchmahals</w:t>
            </w:r>
            <w:proofErr w:type="spellEnd"/>
          </w:p>
        </w:tc>
        <w:tc>
          <w:tcPr>
            <w:tcW w:w="2138" w:type="dxa"/>
            <w:vAlign w:val="center"/>
          </w:tcPr>
          <w:p w14:paraId="3C653EC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1084.37</w:t>
            </w:r>
          </w:p>
        </w:tc>
        <w:tc>
          <w:tcPr>
            <w:tcW w:w="2138" w:type="dxa"/>
            <w:vAlign w:val="center"/>
          </w:tcPr>
          <w:p w14:paraId="1325123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0376507"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-69.53</w:t>
            </w:r>
          </w:p>
        </w:tc>
      </w:tr>
      <w:tr w:rsidR="003F0EBA" w:rsidRPr="00CE44DE" w14:paraId="6C39E8B5" w14:textId="77777777" w:rsidTr="000463BC">
        <w:trPr>
          <w:trHeight w:val="250"/>
        </w:trPr>
        <w:tc>
          <w:tcPr>
            <w:tcW w:w="2636" w:type="dxa"/>
            <w:tcBorders>
              <w:left w:val="nil"/>
            </w:tcBorders>
            <w:vAlign w:val="center"/>
          </w:tcPr>
          <w:p w14:paraId="7484CB08"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Mahisagar</w:t>
            </w:r>
            <w:proofErr w:type="spellEnd"/>
          </w:p>
        </w:tc>
        <w:tc>
          <w:tcPr>
            <w:tcW w:w="2138" w:type="dxa"/>
            <w:vAlign w:val="center"/>
          </w:tcPr>
          <w:p w14:paraId="256DDB6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1143.58</w:t>
            </w:r>
          </w:p>
        </w:tc>
        <w:tc>
          <w:tcPr>
            <w:tcW w:w="2138" w:type="dxa"/>
            <w:vAlign w:val="center"/>
          </w:tcPr>
          <w:p w14:paraId="0286F50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0E72FBF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-10.32</w:t>
            </w:r>
          </w:p>
        </w:tc>
      </w:tr>
      <w:tr w:rsidR="003F0EBA" w:rsidRPr="00CE44DE" w14:paraId="6C6E41C6" w14:textId="77777777" w:rsidTr="000463BC">
        <w:trPr>
          <w:trHeight w:val="240"/>
        </w:trPr>
        <w:tc>
          <w:tcPr>
            <w:tcW w:w="2636" w:type="dxa"/>
            <w:tcBorders>
              <w:left w:val="nil"/>
            </w:tcBorders>
            <w:vAlign w:val="center"/>
          </w:tcPr>
          <w:p w14:paraId="04A169C2"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Dahod</w:t>
            </w:r>
            <w:proofErr w:type="spellEnd"/>
          </w:p>
        </w:tc>
        <w:tc>
          <w:tcPr>
            <w:tcW w:w="2138" w:type="dxa"/>
            <w:vAlign w:val="center"/>
          </w:tcPr>
          <w:p w14:paraId="3F62F0A6"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1116.26</w:t>
            </w:r>
          </w:p>
        </w:tc>
        <w:tc>
          <w:tcPr>
            <w:tcW w:w="2138" w:type="dxa"/>
            <w:vAlign w:val="center"/>
          </w:tcPr>
          <w:p w14:paraId="51B6DA7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6EE89A24"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-37.64</w:t>
            </w:r>
          </w:p>
        </w:tc>
      </w:tr>
      <w:tr w:rsidR="003F0EBA" w:rsidRPr="00CE44DE" w14:paraId="3B32F0B7" w14:textId="77777777" w:rsidTr="000463BC">
        <w:trPr>
          <w:trHeight w:val="250"/>
        </w:trPr>
        <w:tc>
          <w:tcPr>
            <w:tcW w:w="2636" w:type="dxa"/>
            <w:tcBorders>
              <w:left w:val="nil"/>
            </w:tcBorders>
            <w:vAlign w:val="center"/>
          </w:tcPr>
          <w:p w14:paraId="5CDE3BF1"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Vadodara</w:t>
            </w:r>
          </w:p>
        </w:tc>
        <w:tc>
          <w:tcPr>
            <w:tcW w:w="2138" w:type="dxa"/>
            <w:vAlign w:val="center"/>
          </w:tcPr>
          <w:p w14:paraId="54AE85D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1312.34</w:t>
            </w:r>
          </w:p>
        </w:tc>
        <w:tc>
          <w:tcPr>
            <w:tcW w:w="2138" w:type="dxa"/>
            <w:vAlign w:val="center"/>
          </w:tcPr>
          <w:p w14:paraId="465225A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87C7F7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158.44</w:t>
            </w:r>
          </w:p>
        </w:tc>
      </w:tr>
      <w:tr w:rsidR="003F0EBA" w:rsidRPr="00CE44DE" w14:paraId="034A8C68" w14:textId="77777777" w:rsidTr="000463BC">
        <w:trPr>
          <w:trHeight w:val="250"/>
        </w:trPr>
        <w:tc>
          <w:tcPr>
            <w:tcW w:w="2636" w:type="dxa"/>
            <w:tcBorders>
              <w:left w:val="nil"/>
            </w:tcBorders>
            <w:vAlign w:val="center"/>
          </w:tcPr>
          <w:p w14:paraId="2C497951"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Chhotaudepur</w:t>
            </w:r>
            <w:proofErr w:type="spellEnd"/>
          </w:p>
        </w:tc>
        <w:tc>
          <w:tcPr>
            <w:tcW w:w="2138" w:type="dxa"/>
            <w:vAlign w:val="center"/>
          </w:tcPr>
          <w:p w14:paraId="19BFF44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1252.36</w:t>
            </w:r>
          </w:p>
        </w:tc>
        <w:tc>
          <w:tcPr>
            <w:tcW w:w="2138" w:type="dxa"/>
            <w:vAlign w:val="center"/>
          </w:tcPr>
          <w:p w14:paraId="740B88E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98F234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98.46</w:t>
            </w:r>
          </w:p>
        </w:tc>
      </w:tr>
      <w:tr w:rsidR="003F0EBA" w:rsidRPr="00CE44DE" w14:paraId="60AD9188" w14:textId="77777777" w:rsidTr="000463BC">
        <w:trPr>
          <w:trHeight w:val="250"/>
        </w:trPr>
        <w:tc>
          <w:tcPr>
            <w:tcW w:w="2636" w:type="dxa"/>
            <w:tcBorders>
              <w:left w:val="nil"/>
            </w:tcBorders>
            <w:vAlign w:val="center"/>
          </w:tcPr>
          <w:p w14:paraId="5DF92B40"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Narmada</w:t>
            </w:r>
          </w:p>
        </w:tc>
        <w:tc>
          <w:tcPr>
            <w:tcW w:w="2138" w:type="dxa"/>
            <w:vAlign w:val="center"/>
          </w:tcPr>
          <w:p w14:paraId="3AFD1C4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1381.00</w:t>
            </w:r>
          </w:p>
        </w:tc>
        <w:tc>
          <w:tcPr>
            <w:tcW w:w="2138" w:type="dxa"/>
            <w:vAlign w:val="center"/>
          </w:tcPr>
          <w:p w14:paraId="1B33B5F4"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9D80E6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227.10</w:t>
            </w:r>
          </w:p>
        </w:tc>
      </w:tr>
      <w:tr w:rsidR="003F0EBA" w:rsidRPr="00CE44DE" w14:paraId="74B6FB7A" w14:textId="77777777" w:rsidTr="000463BC">
        <w:trPr>
          <w:trHeight w:val="250"/>
        </w:trPr>
        <w:tc>
          <w:tcPr>
            <w:tcW w:w="2636" w:type="dxa"/>
            <w:tcBorders>
              <w:left w:val="nil"/>
            </w:tcBorders>
            <w:vAlign w:val="center"/>
          </w:tcPr>
          <w:p w14:paraId="7DB501DE"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Bharuch</w:t>
            </w:r>
          </w:p>
        </w:tc>
        <w:tc>
          <w:tcPr>
            <w:tcW w:w="2138" w:type="dxa"/>
            <w:vAlign w:val="center"/>
          </w:tcPr>
          <w:p w14:paraId="24159E5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1297.32</w:t>
            </w:r>
          </w:p>
        </w:tc>
        <w:tc>
          <w:tcPr>
            <w:tcW w:w="2138" w:type="dxa"/>
            <w:vAlign w:val="center"/>
          </w:tcPr>
          <w:p w14:paraId="6C67DFF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6807222D"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143.42</w:t>
            </w:r>
          </w:p>
        </w:tc>
      </w:tr>
      <w:tr w:rsidR="003F0EBA" w:rsidRPr="00CE44DE" w14:paraId="29567440" w14:textId="77777777" w:rsidTr="000463BC">
        <w:trPr>
          <w:trHeight w:val="250"/>
        </w:trPr>
        <w:tc>
          <w:tcPr>
            <w:tcW w:w="2636" w:type="dxa"/>
            <w:tcBorders>
              <w:left w:val="nil"/>
            </w:tcBorders>
            <w:vAlign w:val="center"/>
          </w:tcPr>
          <w:p w14:paraId="2ADA5D13"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Surat</w:t>
            </w:r>
          </w:p>
        </w:tc>
        <w:tc>
          <w:tcPr>
            <w:tcW w:w="2138" w:type="dxa"/>
            <w:vAlign w:val="center"/>
          </w:tcPr>
          <w:p w14:paraId="16316F2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1337.16</w:t>
            </w:r>
          </w:p>
        </w:tc>
        <w:tc>
          <w:tcPr>
            <w:tcW w:w="2138" w:type="dxa"/>
            <w:vAlign w:val="center"/>
          </w:tcPr>
          <w:p w14:paraId="01820F6D"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5967D6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183.26</w:t>
            </w:r>
          </w:p>
        </w:tc>
      </w:tr>
      <w:tr w:rsidR="003F0EBA" w:rsidRPr="00CE44DE" w14:paraId="2A6AA7B5" w14:textId="77777777" w:rsidTr="000463BC">
        <w:trPr>
          <w:trHeight w:val="240"/>
        </w:trPr>
        <w:tc>
          <w:tcPr>
            <w:tcW w:w="2636" w:type="dxa"/>
            <w:tcBorders>
              <w:left w:val="nil"/>
            </w:tcBorders>
            <w:vAlign w:val="center"/>
          </w:tcPr>
          <w:p w14:paraId="74B67C5C"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Dang</w:t>
            </w:r>
          </w:p>
        </w:tc>
        <w:tc>
          <w:tcPr>
            <w:tcW w:w="2138" w:type="dxa"/>
            <w:vAlign w:val="center"/>
          </w:tcPr>
          <w:p w14:paraId="17CDCFB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1087.05</w:t>
            </w:r>
          </w:p>
        </w:tc>
        <w:tc>
          <w:tcPr>
            <w:tcW w:w="2138" w:type="dxa"/>
            <w:vAlign w:val="center"/>
          </w:tcPr>
          <w:p w14:paraId="4DA61703"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7CDBA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-66.85</w:t>
            </w:r>
          </w:p>
        </w:tc>
      </w:tr>
      <w:tr w:rsidR="003F0EBA" w:rsidRPr="00CE44DE" w14:paraId="39530B64" w14:textId="77777777" w:rsidTr="000463BC">
        <w:trPr>
          <w:trHeight w:val="250"/>
        </w:trPr>
        <w:tc>
          <w:tcPr>
            <w:tcW w:w="2636" w:type="dxa"/>
            <w:tcBorders>
              <w:left w:val="nil"/>
            </w:tcBorders>
            <w:vAlign w:val="center"/>
          </w:tcPr>
          <w:p w14:paraId="58B0A03F"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Navsari</w:t>
            </w:r>
          </w:p>
        </w:tc>
        <w:tc>
          <w:tcPr>
            <w:tcW w:w="2138" w:type="dxa"/>
            <w:vAlign w:val="center"/>
          </w:tcPr>
          <w:p w14:paraId="0B00746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1273.97</w:t>
            </w:r>
          </w:p>
        </w:tc>
        <w:tc>
          <w:tcPr>
            <w:tcW w:w="2138" w:type="dxa"/>
            <w:vAlign w:val="center"/>
          </w:tcPr>
          <w:p w14:paraId="2B7E029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C3506D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120.07</w:t>
            </w:r>
          </w:p>
        </w:tc>
      </w:tr>
      <w:tr w:rsidR="003F0EBA" w:rsidRPr="00CE44DE" w14:paraId="1AD49F53" w14:textId="77777777" w:rsidTr="000463BC">
        <w:trPr>
          <w:trHeight w:val="250"/>
        </w:trPr>
        <w:tc>
          <w:tcPr>
            <w:tcW w:w="2636" w:type="dxa"/>
            <w:tcBorders>
              <w:left w:val="nil"/>
            </w:tcBorders>
            <w:vAlign w:val="center"/>
          </w:tcPr>
          <w:p w14:paraId="41E8CD26"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Valsad</w:t>
            </w:r>
          </w:p>
        </w:tc>
        <w:tc>
          <w:tcPr>
            <w:tcW w:w="2138" w:type="dxa"/>
            <w:vAlign w:val="center"/>
          </w:tcPr>
          <w:p w14:paraId="1B1312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1217.89</w:t>
            </w:r>
          </w:p>
        </w:tc>
        <w:tc>
          <w:tcPr>
            <w:tcW w:w="2138" w:type="dxa"/>
            <w:vAlign w:val="center"/>
          </w:tcPr>
          <w:p w14:paraId="45AB6856"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BCE77B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63.99</w:t>
            </w:r>
          </w:p>
        </w:tc>
      </w:tr>
      <w:tr w:rsidR="003F0EBA" w:rsidRPr="00CE44DE" w14:paraId="3A9A7BCE" w14:textId="77777777" w:rsidTr="000463BC">
        <w:trPr>
          <w:trHeight w:val="250"/>
        </w:trPr>
        <w:tc>
          <w:tcPr>
            <w:tcW w:w="2636" w:type="dxa"/>
            <w:tcBorders>
              <w:left w:val="nil"/>
            </w:tcBorders>
            <w:vAlign w:val="center"/>
          </w:tcPr>
          <w:p w14:paraId="69F0EAD2"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Tapi</w:t>
            </w:r>
            <w:proofErr w:type="spellEnd"/>
          </w:p>
        </w:tc>
        <w:tc>
          <w:tcPr>
            <w:tcW w:w="2138" w:type="dxa"/>
            <w:vAlign w:val="center"/>
          </w:tcPr>
          <w:p w14:paraId="5A6D78E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1174.37</w:t>
            </w:r>
          </w:p>
        </w:tc>
        <w:tc>
          <w:tcPr>
            <w:tcW w:w="2138" w:type="dxa"/>
            <w:vAlign w:val="center"/>
          </w:tcPr>
          <w:p w14:paraId="34C4A82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774101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21</w:t>
            </w:r>
          </w:p>
        </w:tc>
      </w:tr>
      <w:tr w:rsidR="003F0EBA" w:rsidRPr="00CE44DE" w14:paraId="0B0F1B49" w14:textId="77777777" w:rsidTr="000463BC">
        <w:trPr>
          <w:trHeight w:val="250"/>
        </w:trPr>
        <w:tc>
          <w:tcPr>
            <w:tcW w:w="2636" w:type="dxa"/>
            <w:tcBorders>
              <w:left w:val="nil"/>
              <w:bottom w:val="single" w:sz="4" w:space="0" w:color="auto"/>
            </w:tcBorders>
            <w:vAlign w:val="center"/>
          </w:tcPr>
          <w:p w14:paraId="538C56E4" w14:textId="77777777" w:rsidR="003F0EBA" w:rsidRPr="00CE44DE" w:rsidRDefault="003F0EBA" w:rsidP="00AD3FCD">
            <w:pPr>
              <w:jc w:val="both"/>
              <w:rPr>
                <w:rFonts w:ascii="Times New Roman" w:eastAsia="Calibri" w:hAnsi="Times New Roman" w:cs="Times New Roman"/>
                <w:b/>
                <w:bCs/>
                <w:sz w:val="24"/>
                <w:szCs w:val="24"/>
              </w:rPr>
            </w:pPr>
            <w:r w:rsidRPr="00CE44DE">
              <w:rPr>
                <w:rFonts w:ascii="Times New Roman" w:eastAsia="Calibri" w:hAnsi="Times New Roman" w:cs="Times New Roman"/>
                <w:b/>
                <w:bCs/>
                <w:sz w:val="24"/>
                <w:szCs w:val="24"/>
              </w:rPr>
              <w:t>Gujarat</w:t>
            </w:r>
          </w:p>
        </w:tc>
        <w:tc>
          <w:tcPr>
            <w:tcW w:w="2138" w:type="dxa"/>
            <w:tcBorders>
              <w:bottom w:val="single" w:sz="4" w:space="0" w:color="auto"/>
            </w:tcBorders>
            <w:vAlign w:val="center"/>
          </w:tcPr>
          <w:p w14:paraId="49EE467D"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1207.76</w:t>
            </w:r>
          </w:p>
        </w:tc>
        <w:tc>
          <w:tcPr>
            <w:tcW w:w="2138" w:type="dxa"/>
            <w:tcBorders>
              <w:bottom w:val="single" w:sz="4" w:space="0" w:color="auto"/>
            </w:tcBorders>
            <w:vAlign w:val="center"/>
          </w:tcPr>
          <w:p w14:paraId="55130532"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1153.90</w:t>
            </w:r>
          </w:p>
        </w:tc>
        <w:tc>
          <w:tcPr>
            <w:tcW w:w="2138" w:type="dxa"/>
            <w:tcBorders>
              <w:bottom w:val="single" w:sz="4" w:space="0" w:color="auto"/>
              <w:right w:val="nil"/>
            </w:tcBorders>
            <w:vAlign w:val="center"/>
          </w:tcPr>
          <w:p w14:paraId="55BB3C8F"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53.86</w:t>
            </w:r>
          </w:p>
        </w:tc>
      </w:tr>
      <w:tr w:rsidR="003F0EBA" w:rsidRPr="00CE44DE" w14:paraId="6F7E958A" w14:textId="77777777" w:rsidTr="000463BC">
        <w:trPr>
          <w:trHeight w:val="250"/>
        </w:trPr>
        <w:tc>
          <w:tcPr>
            <w:tcW w:w="9050" w:type="dxa"/>
            <w:gridSpan w:val="4"/>
            <w:tcBorders>
              <w:top w:val="single" w:sz="4" w:space="0" w:color="auto"/>
              <w:left w:val="nil"/>
              <w:bottom w:val="nil"/>
              <w:right w:val="nil"/>
            </w:tcBorders>
            <w:vAlign w:val="center"/>
          </w:tcPr>
          <w:p w14:paraId="5D96711F" w14:textId="77777777" w:rsidR="003F0EBA" w:rsidRPr="003F0EBA" w:rsidRDefault="003F0EBA" w:rsidP="00AD3FCD">
            <w:pPr>
              <w:tabs>
                <w:tab w:val="center" w:pos="4513"/>
              </w:tabs>
              <w:spacing w:after="100" w:afterAutospacing="1" w:line="276" w:lineRule="auto"/>
              <w:jc w:val="both"/>
              <w:rPr>
                <w:rFonts w:ascii="Times New Roman" w:eastAsia="Times New Roman" w:hAnsi="Times New Roman" w:cs="Times New Roman"/>
                <w:i/>
                <w:szCs w:val="24"/>
              </w:rPr>
            </w:pPr>
            <w:proofErr w:type="gramStart"/>
            <w:r w:rsidRPr="00DA35CB">
              <w:rPr>
                <w:rFonts w:ascii="Times New Roman" w:eastAsia="Times New Roman" w:hAnsi="Times New Roman" w:cs="Times New Roman"/>
                <w:b/>
                <w:i/>
                <w:szCs w:val="24"/>
              </w:rPr>
              <w:t>Note</w:t>
            </w:r>
            <w:r w:rsidRPr="00FF19F1">
              <w:rPr>
                <w:rFonts w:ascii="Times New Roman" w:eastAsia="Times New Roman" w:hAnsi="Times New Roman" w:cs="Times New Roman"/>
                <w:i/>
                <w:szCs w:val="24"/>
              </w:rPr>
              <w:t xml:space="preserve"> :</w:t>
            </w:r>
            <w:proofErr w:type="gramEnd"/>
            <w:r w:rsidRPr="00FF19F1">
              <w:rPr>
                <w:rFonts w:ascii="Times New Roman" w:eastAsia="Times New Roman" w:hAnsi="Times New Roman" w:cs="Times New Roman"/>
                <w:i/>
                <w:szCs w:val="24"/>
              </w:rPr>
              <w:t xml:space="preserve"> Positive variations mean that the FHP is higher than MSP</w:t>
            </w:r>
            <w:r w:rsidRPr="009C2519">
              <w:rPr>
                <w:rFonts w:ascii="Times New Roman" w:eastAsia="Times New Roman" w:hAnsi="Times New Roman" w:cs="Times New Roman"/>
                <w:i/>
                <w:szCs w:val="24"/>
              </w:rPr>
              <w:t>.</w:t>
            </w:r>
            <w:r w:rsidRPr="009C2519">
              <w:t xml:space="preserve"> </w:t>
            </w:r>
            <w:r w:rsidRPr="009C2519">
              <w:rPr>
                <w:rFonts w:ascii="Times New Roman" w:eastAsia="Times New Roman" w:hAnsi="Times New Roman" w:cs="Times New Roman"/>
                <w:i/>
                <w:szCs w:val="24"/>
              </w:rPr>
              <w:t>FHP- Farm Harvest Price; MSP- Minimum Support Price.</w:t>
            </w:r>
          </w:p>
        </w:tc>
      </w:tr>
    </w:tbl>
    <w:p w14:paraId="4000F7C8" w14:textId="090A3D21" w:rsidR="00541F35" w:rsidRPr="00541F35" w:rsidRDefault="00541F35" w:rsidP="00AD3FCD">
      <w:pPr>
        <w:spacing w:after="0" w:line="276" w:lineRule="auto"/>
        <w:ind w:firstLine="720"/>
        <w:jc w:val="both"/>
        <w:rPr>
          <w:rFonts w:ascii="Times New Roman" w:eastAsia="Times New Roman" w:hAnsi="Times New Roman" w:cs="Times New Roman"/>
          <w:sz w:val="24"/>
          <w:szCs w:val="24"/>
          <w:lang w:eastAsia="en-IN"/>
        </w:rPr>
        <w:sectPr w:rsidR="00541F35" w:rsidRPr="00541F35" w:rsidSect="00AD3FCD">
          <w:type w:val="continuous"/>
          <w:pgSz w:w="11906" w:h="16838"/>
          <w:pgMar w:top="1440" w:right="1440" w:bottom="1440" w:left="1440" w:header="709" w:footer="709" w:gutter="0"/>
          <w:cols w:space="709"/>
          <w:docGrid w:linePitch="360"/>
        </w:sectPr>
      </w:pPr>
    </w:p>
    <w:tbl>
      <w:tblPr>
        <w:tblStyle w:val="TableGrid"/>
        <w:tblW w:w="905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78"/>
        <w:gridCol w:w="1744"/>
        <w:gridCol w:w="934"/>
        <w:gridCol w:w="952"/>
        <w:gridCol w:w="1473"/>
      </w:tblGrid>
      <w:tr w:rsidR="003F0EBA" w14:paraId="3F2992C8" w14:textId="77777777" w:rsidTr="000463BC">
        <w:trPr>
          <w:trHeight w:val="409"/>
        </w:trPr>
        <w:tc>
          <w:tcPr>
            <w:tcW w:w="9056" w:type="dxa"/>
            <w:gridSpan w:val="6"/>
            <w:tcBorders>
              <w:top w:val="nil"/>
              <w:left w:val="nil"/>
              <w:bottom w:val="single" w:sz="4" w:space="0" w:color="auto"/>
              <w:right w:val="nil"/>
            </w:tcBorders>
            <w:vAlign w:val="center"/>
          </w:tcPr>
          <w:p w14:paraId="4103859C" w14:textId="77777777" w:rsidR="003F0EBA" w:rsidRDefault="003F0EBA" w:rsidP="00AD3FCD">
            <w:pPr>
              <w:ind w:left="-108"/>
              <w:jc w:val="both"/>
              <w:rPr>
                <w:rFonts w:ascii="Times New Roman" w:hAnsi="Times New Roman" w:cs="Times New Roman"/>
                <w:b/>
                <w:sz w:val="24"/>
                <w:szCs w:val="24"/>
              </w:rPr>
            </w:pPr>
            <w:r>
              <w:rPr>
                <w:rFonts w:ascii="Times New Roman" w:hAnsi="Times New Roman" w:cs="Times New Roman"/>
                <w:b/>
                <w:sz w:val="24"/>
              </w:rPr>
              <w:lastRenderedPageBreak/>
              <w:t>Table 5: Significance of gap between FHP and MSP of paddy in various districts of Gujarat (2002-03 to 2021-22)</w:t>
            </w:r>
          </w:p>
        </w:tc>
      </w:tr>
      <w:tr w:rsidR="003F0EBA" w14:paraId="07D691B2" w14:textId="77777777" w:rsidTr="000463BC">
        <w:trPr>
          <w:trHeight w:val="409"/>
        </w:trPr>
        <w:tc>
          <w:tcPr>
            <w:tcW w:w="2475" w:type="dxa"/>
            <w:tcBorders>
              <w:top w:val="single" w:sz="4" w:space="0" w:color="auto"/>
              <w:left w:val="nil"/>
              <w:bottom w:val="single" w:sz="4" w:space="0" w:color="auto"/>
            </w:tcBorders>
            <w:vAlign w:val="center"/>
          </w:tcPr>
          <w:p w14:paraId="38F0C5B8" w14:textId="77777777" w:rsidR="003F0EBA" w:rsidRDefault="003F0EBA" w:rsidP="00AD3FCD">
            <w:pPr>
              <w:jc w:val="both"/>
              <w:rPr>
                <w:rFonts w:ascii="Times New Roman" w:hAnsi="Times New Roman" w:cs="Times New Roman"/>
                <w:b/>
                <w:sz w:val="24"/>
                <w:szCs w:val="24"/>
              </w:rPr>
            </w:pPr>
            <w:bookmarkStart w:id="6" w:name="_Hlk204353672"/>
            <w:r>
              <w:rPr>
                <w:rFonts w:ascii="Times New Roman" w:hAnsi="Times New Roman" w:cs="Times New Roman"/>
                <w:b/>
                <w:sz w:val="24"/>
                <w:szCs w:val="24"/>
              </w:rPr>
              <w:t>Districts</w:t>
            </w:r>
          </w:p>
        </w:tc>
        <w:tc>
          <w:tcPr>
            <w:tcW w:w="1478" w:type="dxa"/>
            <w:tcBorders>
              <w:top w:val="single" w:sz="4" w:space="0" w:color="auto"/>
              <w:bottom w:val="single" w:sz="4" w:space="0" w:color="auto"/>
            </w:tcBorders>
            <w:vAlign w:val="center"/>
          </w:tcPr>
          <w:p w14:paraId="07DDED21" w14:textId="77777777" w:rsidR="003F0EBA" w:rsidRPr="007524BC" w:rsidRDefault="003F0EBA" w:rsidP="00AD3FCD">
            <w:pPr>
              <w:jc w:val="both"/>
              <w:rPr>
                <w:rFonts w:ascii="Times New Roman" w:hAnsi="Times New Roman" w:cs="Times New Roman"/>
                <w:b/>
                <w:sz w:val="24"/>
                <w:szCs w:val="24"/>
              </w:rPr>
            </w:pPr>
            <w:r w:rsidRPr="007524BC">
              <w:rPr>
                <w:rFonts w:ascii="Times New Roman" w:hAnsi="Times New Roman" w:cs="Times New Roman"/>
                <w:b/>
                <w:sz w:val="24"/>
              </w:rPr>
              <w:t>Mean FHP</w:t>
            </w:r>
          </w:p>
        </w:tc>
        <w:tc>
          <w:tcPr>
            <w:tcW w:w="1744" w:type="dxa"/>
            <w:tcBorders>
              <w:top w:val="single" w:sz="4" w:space="0" w:color="auto"/>
              <w:bottom w:val="single" w:sz="4" w:space="0" w:color="auto"/>
            </w:tcBorders>
            <w:vAlign w:val="center"/>
          </w:tcPr>
          <w:p w14:paraId="67DEB0D3" w14:textId="77777777" w:rsidR="003F0EBA" w:rsidRDefault="003F0EBA" w:rsidP="00AD3FCD">
            <w:pPr>
              <w:jc w:val="both"/>
              <w:rPr>
                <w:rFonts w:ascii="Times New Roman" w:hAnsi="Times New Roman" w:cs="Times New Roman"/>
                <w:b/>
                <w:sz w:val="24"/>
                <w:szCs w:val="24"/>
              </w:rPr>
            </w:pPr>
            <w:r>
              <w:rPr>
                <w:rFonts w:ascii="Times New Roman" w:hAnsi="Times New Roman" w:cs="Times New Roman"/>
                <w:b/>
                <w:sz w:val="24"/>
                <w:szCs w:val="24"/>
              </w:rPr>
              <w:t>Mean MSP</w:t>
            </w:r>
          </w:p>
        </w:tc>
        <w:tc>
          <w:tcPr>
            <w:tcW w:w="934" w:type="dxa"/>
            <w:tcBorders>
              <w:top w:val="single" w:sz="4" w:space="0" w:color="auto"/>
              <w:bottom w:val="single" w:sz="4" w:space="0" w:color="auto"/>
            </w:tcBorders>
            <w:vAlign w:val="center"/>
          </w:tcPr>
          <w:p w14:paraId="65328470" w14:textId="77777777" w:rsidR="003F0EBA" w:rsidRDefault="003F0EBA" w:rsidP="00AD3FCD">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t</w:t>
            </w:r>
            <w:r>
              <w:rPr>
                <w:rFonts w:ascii="Times New Roman" w:hAnsi="Times New Roman" w:cs="Times New Roman"/>
                <w:b/>
                <w:sz w:val="24"/>
                <w:szCs w:val="24"/>
                <w:vertAlign w:val="subscript"/>
              </w:rPr>
              <w:t>cal</w:t>
            </w:r>
            <w:proofErr w:type="spellEnd"/>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5%)</w:t>
            </w:r>
          </w:p>
        </w:tc>
        <w:tc>
          <w:tcPr>
            <w:tcW w:w="952" w:type="dxa"/>
            <w:tcBorders>
              <w:top w:val="single" w:sz="4" w:space="0" w:color="auto"/>
              <w:bottom w:val="single" w:sz="4" w:space="0" w:color="auto"/>
            </w:tcBorders>
            <w:vAlign w:val="center"/>
          </w:tcPr>
          <w:p w14:paraId="5E0FAB35" w14:textId="77777777" w:rsidR="003F0EBA" w:rsidRDefault="003F0EBA" w:rsidP="00AD3FCD">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t</w:t>
            </w:r>
            <w:r>
              <w:rPr>
                <w:rFonts w:ascii="Times New Roman" w:hAnsi="Times New Roman" w:cs="Times New Roman"/>
                <w:b/>
                <w:sz w:val="24"/>
                <w:szCs w:val="24"/>
                <w:vertAlign w:val="subscript"/>
              </w:rPr>
              <w:t>tab</w:t>
            </w:r>
            <w:proofErr w:type="spellEnd"/>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5%)</w:t>
            </w:r>
          </w:p>
        </w:tc>
        <w:tc>
          <w:tcPr>
            <w:tcW w:w="1473" w:type="dxa"/>
            <w:tcBorders>
              <w:top w:val="single" w:sz="4" w:space="0" w:color="auto"/>
              <w:bottom w:val="single" w:sz="4" w:space="0" w:color="auto"/>
              <w:right w:val="nil"/>
            </w:tcBorders>
            <w:vAlign w:val="center"/>
          </w:tcPr>
          <w:p w14:paraId="1A27E706" w14:textId="77777777" w:rsidR="003F0EBA" w:rsidRDefault="003F0EBA" w:rsidP="00AD3FCD">
            <w:pPr>
              <w:jc w:val="both"/>
              <w:rPr>
                <w:rFonts w:ascii="Times New Roman" w:hAnsi="Times New Roman" w:cs="Times New Roman"/>
                <w:b/>
                <w:sz w:val="24"/>
                <w:szCs w:val="24"/>
              </w:rPr>
            </w:pPr>
            <w:r>
              <w:rPr>
                <w:rFonts w:ascii="Times New Roman" w:hAnsi="Times New Roman" w:cs="Times New Roman"/>
                <w:b/>
                <w:sz w:val="24"/>
                <w:szCs w:val="24"/>
              </w:rPr>
              <w:t>Degrees of freedom</w:t>
            </w:r>
          </w:p>
        </w:tc>
      </w:tr>
      <w:tr w:rsidR="003F0EBA" w14:paraId="72207E31" w14:textId="77777777" w:rsidTr="000463BC">
        <w:trPr>
          <w:trHeight w:val="211"/>
        </w:trPr>
        <w:tc>
          <w:tcPr>
            <w:tcW w:w="2475" w:type="dxa"/>
            <w:tcBorders>
              <w:top w:val="single" w:sz="4" w:space="0" w:color="auto"/>
              <w:left w:val="nil"/>
            </w:tcBorders>
            <w:vAlign w:val="center"/>
          </w:tcPr>
          <w:p w14:paraId="4DA01C33"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Sabarkantha</w:t>
            </w:r>
            <w:proofErr w:type="spellEnd"/>
          </w:p>
        </w:tc>
        <w:tc>
          <w:tcPr>
            <w:tcW w:w="1478" w:type="dxa"/>
            <w:tcBorders>
              <w:top w:val="single" w:sz="4" w:space="0" w:color="auto"/>
            </w:tcBorders>
          </w:tcPr>
          <w:p w14:paraId="1266B5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1106.12</w:t>
            </w:r>
          </w:p>
        </w:tc>
        <w:tc>
          <w:tcPr>
            <w:tcW w:w="1744" w:type="dxa"/>
            <w:tcBorders>
              <w:top w:val="single" w:sz="4" w:space="0" w:color="auto"/>
            </w:tcBorders>
          </w:tcPr>
          <w:p w14:paraId="0957962B"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tcBorders>
              <w:top w:val="single" w:sz="4" w:space="0" w:color="auto"/>
            </w:tcBorders>
            <w:vAlign w:val="center"/>
          </w:tcPr>
          <w:p w14:paraId="0028961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0.72</w:t>
            </w:r>
          </w:p>
        </w:tc>
        <w:tc>
          <w:tcPr>
            <w:tcW w:w="952" w:type="dxa"/>
            <w:tcBorders>
              <w:top w:val="single" w:sz="4" w:space="0" w:color="auto"/>
            </w:tcBorders>
          </w:tcPr>
          <w:p w14:paraId="30119E42"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top w:val="single" w:sz="4" w:space="0" w:color="auto"/>
              <w:right w:val="nil"/>
            </w:tcBorders>
          </w:tcPr>
          <w:p w14:paraId="2EF1178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2538602B" w14:textId="77777777" w:rsidTr="000463BC">
        <w:trPr>
          <w:trHeight w:val="211"/>
        </w:trPr>
        <w:tc>
          <w:tcPr>
            <w:tcW w:w="2475" w:type="dxa"/>
            <w:tcBorders>
              <w:left w:val="nil"/>
            </w:tcBorders>
            <w:vAlign w:val="center"/>
          </w:tcPr>
          <w:p w14:paraId="63960A1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Aravalli</w:t>
            </w:r>
          </w:p>
        </w:tc>
        <w:tc>
          <w:tcPr>
            <w:tcW w:w="1478" w:type="dxa"/>
          </w:tcPr>
          <w:p w14:paraId="0E0D408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1112.27</w:t>
            </w:r>
          </w:p>
        </w:tc>
        <w:tc>
          <w:tcPr>
            <w:tcW w:w="1744" w:type="dxa"/>
          </w:tcPr>
          <w:p w14:paraId="2D70B19D"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575AAD9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0.76</w:t>
            </w:r>
          </w:p>
        </w:tc>
        <w:tc>
          <w:tcPr>
            <w:tcW w:w="952" w:type="dxa"/>
          </w:tcPr>
          <w:p w14:paraId="4CC1BC90"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F6BCA30"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1154866E" w14:textId="77777777" w:rsidTr="000463BC">
        <w:trPr>
          <w:trHeight w:val="25"/>
        </w:trPr>
        <w:tc>
          <w:tcPr>
            <w:tcW w:w="2475" w:type="dxa"/>
            <w:tcBorders>
              <w:left w:val="nil"/>
            </w:tcBorders>
            <w:vAlign w:val="center"/>
          </w:tcPr>
          <w:p w14:paraId="7ECE0518"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Mehsana</w:t>
            </w:r>
          </w:p>
        </w:tc>
        <w:tc>
          <w:tcPr>
            <w:tcW w:w="1478" w:type="dxa"/>
          </w:tcPr>
          <w:p w14:paraId="40A661C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1491.56</w:t>
            </w:r>
          </w:p>
        </w:tc>
        <w:tc>
          <w:tcPr>
            <w:tcW w:w="1744" w:type="dxa"/>
          </w:tcPr>
          <w:p w14:paraId="4A0102A7"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23CF9CD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0.94</w:t>
            </w:r>
          </w:p>
        </w:tc>
        <w:tc>
          <w:tcPr>
            <w:tcW w:w="952" w:type="dxa"/>
          </w:tcPr>
          <w:p w14:paraId="6EC05AE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646BA98E"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0D7BAEDF" w14:textId="77777777" w:rsidTr="000463BC">
        <w:trPr>
          <w:trHeight w:val="211"/>
        </w:trPr>
        <w:tc>
          <w:tcPr>
            <w:tcW w:w="2475" w:type="dxa"/>
            <w:tcBorders>
              <w:left w:val="nil"/>
            </w:tcBorders>
            <w:vAlign w:val="center"/>
          </w:tcPr>
          <w:p w14:paraId="72B5D544"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Gandhinagar</w:t>
            </w:r>
          </w:p>
        </w:tc>
        <w:tc>
          <w:tcPr>
            <w:tcW w:w="1478" w:type="dxa"/>
          </w:tcPr>
          <w:p w14:paraId="44C391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1241.56</w:t>
            </w:r>
          </w:p>
        </w:tc>
        <w:tc>
          <w:tcPr>
            <w:tcW w:w="1744" w:type="dxa"/>
          </w:tcPr>
          <w:p w14:paraId="1DB003CE"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48EC89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0.52</w:t>
            </w:r>
          </w:p>
        </w:tc>
        <w:tc>
          <w:tcPr>
            <w:tcW w:w="952" w:type="dxa"/>
          </w:tcPr>
          <w:p w14:paraId="74B0DDCD"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403A091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E210221" w14:textId="77777777" w:rsidTr="000463BC">
        <w:trPr>
          <w:trHeight w:val="211"/>
        </w:trPr>
        <w:tc>
          <w:tcPr>
            <w:tcW w:w="2475" w:type="dxa"/>
            <w:tcBorders>
              <w:left w:val="nil"/>
            </w:tcBorders>
            <w:vAlign w:val="center"/>
          </w:tcPr>
          <w:p w14:paraId="5CF0499F"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Ahmedabad</w:t>
            </w:r>
          </w:p>
        </w:tc>
        <w:tc>
          <w:tcPr>
            <w:tcW w:w="1478" w:type="dxa"/>
          </w:tcPr>
          <w:p w14:paraId="094543D7"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1201.90</w:t>
            </w:r>
          </w:p>
        </w:tc>
        <w:tc>
          <w:tcPr>
            <w:tcW w:w="1744" w:type="dxa"/>
          </w:tcPr>
          <w:p w14:paraId="414831DF"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9AE1CA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0.74</w:t>
            </w:r>
          </w:p>
        </w:tc>
        <w:tc>
          <w:tcPr>
            <w:tcW w:w="952" w:type="dxa"/>
          </w:tcPr>
          <w:p w14:paraId="778D973E"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0DF0134C"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75C4922" w14:textId="77777777" w:rsidTr="000463BC">
        <w:trPr>
          <w:trHeight w:val="211"/>
        </w:trPr>
        <w:tc>
          <w:tcPr>
            <w:tcW w:w="2475" w:type="dxa"/>
            <w:tcBorders>
              <w:left w:val="nil"/>
            </w:tcBorders>
            <w:vAlign w:val="center"/>
          </w:tcPr>
          <w:p w14:paraId="635B9CAE"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Anand</w:t>
            </w:r>
          </w:p>
        </w:tc>
        <w:tc>
          <w:tcPr>
            <w:tcW w:w="1478" w:type="dxa"/>
          </w:tcPr>
          <w:p w14:paraId="4C96A03E"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1177.75</w:t>
            </w:r>
          </w:p>
        </w:tc>
        <w:tc>
          <w:tcPr>
            <w:tcW w:w="1744" w:type="dxa"/>
          </w:tcPr>
          <w:p w14:paraId="498E4CFB"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32C069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0.86</w:t>
            </w:r>
          </w:p>
        </w:tc>
        <w:tc>
          <w:tcPr>
            <w:tcW w:w="952" w:type="dxa"/>
          </w:tcPr>
          <w:p w14:paraId="7B057451"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1B4C40BD"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6519C033" w14:textId="77777777" w:rsidTr="000463BC">
        <w:trPr>
          <w:trHeight w:val="211"/>
        </w:trPr>
        <w:tc>
          <w:tcPr>
            <w:tcW w:w="2475" w:type="dxa"/>
            <w:tcBorders>
              <w:left w:val="nil"/>
            </w:tcBorders>
            <w:vAlign w:val="center"/>
          </w:tcPr>
          <w:p w14:paraId="0A6E7938"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Kheda</w:t>
            </w:r>
          </w:p>
        </w:tc>
        <w:tc>
          <w:tcPr>
            <w:tcW w:w="1478" w:type="dxa"/>
          </w:tcPr>
          <w:p w14:paraId="4B2D00FB"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1171.80</w:t>
            </w:r>
          </w:p>
        </w:tc>
        <w:tc>
          <w:tcPr>
            <w:tcW w:w="1744" w:type="dxa"/>
          </w:tcPr>
          <w:p w14:paraId="188B7A66"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39E34D08"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0.90</w:t>
            </w:r>
          </w:p>
        </w:tc>
        <w:tc>
          <w:tcPr>
            <w:tcW w:w="952" w:type="dxa"/>
          </w:tcPr>
          <w:p w14:paraId="600F0BAA"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C3F57D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27298471" w14:textId="77777777" w:rsidTr="000463BC">
        <w:trPr>
          <w:trHeight w:val="211"/>
        </w:trPr>
        <w:tc>
          <w:tcPr>
            <w:tcW w:w="2475" w:type="dxa"/>
            <w:tcBorders>
              <w:left w:val="nil"/>
            </w:tcBorders>
            <w:vAlign w:val="center"/>
          </w:tcPr>
          <w:p w14:paraId="27EF505A"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Panchmahals</w:t>
            </w:r>
            <w:proofErr w:type="spellEnd"/>
          </w:p>
        </w:tc>
        <w:tc>
          <w:tcPr>
            <w:tcW w:w="1478" w:type="dxa"/>
          </w:tcPr>
          <w:p w14:paraId="22EA4EC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1055.40</w:t>
            </w:r>
          </w:p>
        </w:tc>
        <w:tc>
          <w:tcPr>
            <w:tcW w:w="1744" w:type="dxa"/>
          </w:tcPr>
          <w:p w14:paraId="11DD3071"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D98141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0.47</w:t>
            </w:r>
          </w:p>
        </w:tc>
        <w:tc>
          <w:tcPr>
            <w:tcW w:w="952" w:type="dxa"/>
          </w:tcPr>
          <w:p w14:paraId="7E47F3FF"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296873A7"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C04C06D" w14:textId="77777777" w:rsidTr="000463BC">
        <w:trPr>
          <w:trHeight w:val="211"/>
        </w:trPr>
        <w:tc>
          <w:tcPr>
            <w:tcW w:w="2475" w:type="dxa"/>
            <w:tcBorders>
              <w:left w:val="nil"/>
            </w:tcBorders>
            <w:vAlign w:val="center"/>
          </w:tcPr>
          <w:p w14:paraId="7ECAB46B"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Mahisagar</w:t>
            </w:r>
            <w:proofErr w:type="spellEnd"/>
          </w:p>
        </w:tc>
        <w:tc>
          <w:tcPr>
            <w:tcW w:w="1478" w:type="dxa"/>
          </w:tcPr>
          <w:p w14:paraId="4178771D"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1115.72</w:t>
            </w:r>
          </w:p>
        </w:tc>
        <w:tc>
          <w:tcPr>
            <w:tcW w:w="1744" w:type="dxa"/>
          </w:tcPr>
          <w:p w14:paraId="457E7252"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EF4850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0.79</w:t>
            </w:r>
          </w:p>
        </w:tc>
        <w:tc>
          <w:tcPr>
            <w:tcW w:w="952" w:type="dxa"/>
          </w:tcPr>
          <w:p w14:paraId="259F9A09"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6E50BDB"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3EFCF952" w14:textId="77777777" w:rsidTr="000463BC">
        <w:trPr>
          <w:trHeight w:val="203"/>
        </w:trPr>
        <w:tc>
          <w:tcPr>
            <w:tcW w:w="2475" w:type="dxa"/>
            <w:tcBorders>
              <w:left w:val="nil"/>
            </w:tcBorders>
            <w:vAlign w:val="center"/>
          </w:tcPr>
          <w:p w14:paraId="6D56F6C7"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Dahod</w:t>
            </w:r>
            <w:proofErr w:type="spellEnd"/>
          </w:p>
        </w:tc>
        <w:tc>
          <w:tcPr>
            <w:tcW w:w="1478" w:type="dxa"/>
          </w:tcPr>
          <w:p w14:paraId="3C4620B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1082.40</w:t>
            </w:r>
          </w:p>
        </w:tc>
        <w:tc>
          <w:tcPr>
            <w:tcW w:w="1744" w:type="dxa"/>
          </w:tcPr>
          <w:p w14:paraId="6960C51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40761CA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0.65</w:t>
            </w:r>
          </w:p>
        </w:tc>
        <w:tc>
          <w:tcPr>
            <w:tcW w:w="952" w:type="dxa"/>
          </w:tcPr>
          <w:p w14:paraId="0E364B4D"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3F37C86"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48AB65C" w14:textId="77777777" w:rsidTr="000463BC">
        <w:trPr>
          <w:trHeight w:val="211"/>
        </w:trPr>
        <w:tc>
          <w:tcPr>
            <w:tcW w:w="2475" w:type="dxa"/>
            <w:tcBorders>
              <w:left w:val="nil"/>
            </w:tcBorders>
            <w:vAlign w:val="center"/>
          </w:tcPr>
          <w:p w14:paraId="09F5941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Vadodara</w:t>
            </w:r>
          </w:p>
        </w:tc>
        <w:tc>
          <w:tcPr>
            <w:tcW w:w="1478" w:type="dxa"/>
          </w:tcPr>
          <w:p w14:paraId="2D3DD20D"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1277.88</w:t>
            </w:r>
          </w:p>
        </w:tc>
        <w:tc>
          <w:tcPr>
            <w:tcW w:w="1744" w:type="dxa"/>
          </w:tcPr>
          <w:p w14:paraId="37B004F4"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6BAE25F"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0.41</w:t>
            </w:r>
          </w:p>
        </w:tc>
        <w:tc>
          <w:tcPr>
            <w:tcW w:w="952" w:type="dxa"/>
          </w:tcPr>
          <w:p w14:paraId="7A8B5FA1"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4FE08CE9"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9835EEF" w14:textId="77777777" w:rsidTr="000463BC">
        <w:trPr>
          <w:trHeight w:val="211"/>
        </w:trPr>
        <w:tc>
          <w:tcPr>
            <w:tcW w:w="2475" w:type="dxa"/>
            <w:tcBorders>
              <w:left w:val="nil"/>
            </w:tcBorders>
            <w:vAlign w:val="center"/>
          </w:tcPr>
          <w:p w14:paraId="0882E0F6"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Chhotaudepur</w:t>
            </w:r>
            <w:proofErr w:type="spellEnd"/>
          </w:p>
        </w:tc>
        <w:tc>
          <w:tcPr>
            <w:tcW w:w="1478" w:type="dxa"/>
          </w:tcPr>
          <w:p w14:paraId="1FFCE2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1205.15</w:t>
            </w:r>
          </w:p>
        </w:tc>
        <w:tc>
          <w:tcPr>
            <w:tcW w:w="1744" w:type="dxa"/>
          </w:tcPr>
          <w:p w14:paraId="438878F9"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595B3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0.72</w:t>
            </w:r>
          </w:p>
        </w:tc>
        <w:tc>
          <w:tcPr>
            <w:tcW w:w="952" w:type="dxa"/>
          </w:tcPr>
          <w:p w14:paraId="3B1288E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11A503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64D8BB3" w14:textId="77777777" w:rsidTr="000463BC">
        <w:trPr>
          <w:trHeight w:val="211"/>
        </w:trPr>
        <w:tc>
          <w:tcPr>
            <w:tcW w:w="2475" w:type="dxa"/>
            <w:tcBorders>
              <w:left w:val="nil"/>
            </w:tcBorders>
            <w:vAlign w:val="center"/>
          </w:tcPr>
          <w:p w14:paraId="3FDDEFAF"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Narmada</w:t>
            </w:r>
          </w:p>
        </w:tc>
        <w:tc>
          <w:tcPr>
            <w:tcW w:w="1478" w:type="dxa"/>
          </w:tcPr>
          <w:p w14:paraId="4040E5F7"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1331.95</w:t>
            </w:r>
          </w:p>
        </w:tc>
        <w:tc>
          <w:tcPr>
            <w:tcW w:w="1744" w:type="dxa"/>
          </w:tcPr>
          <w:p w14:paraId="14C302F5"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8553C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0.23</w:t>
            </w:r>
          </w:p>
        </w:tc>
        <w:tc>
          <w:tcPr>
            <w:tcW w:w="952" w:type="dxa"/>
          </w:tcPr>
          <w:p w14:paraId="1908AA75"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C800505"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6032ACC" w14:textId="77777777" w:rsidTr="000463BC">
        <w:trPr>
          <w:trHeight w:val="211"/>
        </w:trPr>
        <w:tc>
          <w:tcPr>
            <w:tcW w:w="2475" w:type="dxa"/>
            <w:tcBorders>
              <w:left w:val="nil"/>
            </w:tcBorders>
            <w:vAlign w:val="center"/>
          </w:tcPr>
          <w:p w14:paraId="77F527AB"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Bharuch</w:t>
            </w:r>
          </w:p>
        </w:tc>
        <w:tc>
          <w:tcPr>
            <w:tcW w:w="1478" w:type="dxa"/>
          </w:tcPr>
          <w:p w14:paraId="12FFBC9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1263.95</w:t>
            </w:r>
          </w:p>
        </w:tc>
        <w:tc>
          <w:tcPr>
            <w:tcW w:w="1744" w:type="dxa"/>
          </w:tcPr>
          <w:p w14:paraId="77F1BA73"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F8ABB5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0.50</w:t>
            </w:r>
          </w:p>
        </w:tc>
        <w:tc>
          <w:tcPr>
            <w:tcW w:w="952" w:type="dxa"/>
          </w:tcPr>
          <w:p w14:paraId="58412835"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6B056EA"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3693C75" w14:textId="77777777" w:rsidTr="000463BC">
        <w:trPr>
          <w:trHeight w:val="211"/>
        </w:trPr>
        <w:tc>
          <w:tcPr>
            <w:tcW w:w="2475" w:type="dxa"/>
            <w:tcBorders>
              <w:left w:val="nil"/>
            </w:tcBorders>
            <w:vAlign w:val="center"/>
          </w:tcPr>
          <w:p w14:paraId="028D9B25"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Surat</w:t>
            </w:r>
          </w:p>
        </w:tc>
        <w:tc>
          <w:tcPr>
            <w:tcW w:w="1478" w:type="dxa"/>
          </w:tcPr>
          <w:p w14:paraId="0D85956A"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1411.45</w:t>
            </w:r>
          </w:p>
        </w:tc>
        <w:tc>
          <w:tcPr>
            <w:tcW w:w="1744" w:type="dxa"/>
          </w:tcPr>
          <w:p w14:paraId="58C1B51D"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A4DED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0.20</w:t>
            </w:r>
          </w:p>
        </w:tc>
        <w:tc>
          <w:tcPr>
            <w:tcW w:w="952" w:type="dxa"/>
          </w:tcPr>
          <w:p w14:paraId="3A9B65C4"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69BD5E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046C399D" w14:textId="77777777" w:rsidTr="000463BC">
        <w:trPr>
          <w:trHeight w:val="203"/>
        </w:trPr>
        <w:tc>
          <w:tcPr>
            <w:tcW w:w="2475" w:type="dxa"/>
            <w:tcBorders>
              <w:left w:val="nil"/>
            </w:tcBorders>
            <w:vAlign w:val="center"/>
          </w:tcPr>
          <w:p w14:paraId="07412A0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Dang</w:t>
            </w:r>
          </w:p>
        </w:tc>
        <w:tc>
          <w:tcPr>
            <w:tcW w:w="1478" w:type="dxa"/>
          </w:tcPr>
          <w:p w14:paraId="69F4FF2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1063.95</w:t>
            </w:r>
          </w:p>
        </w:tc>
        <w:tc>
          <w:tcPr>
            <w:tcW w:w="1744" w:type="dxa"/>
          </w:tcPr>
          <w:p w14:paraId="76ECEA4E"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9E5B78E"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0.51</w:t>
            </w:r>
          </w:p>
        </w:tc>
        <w:tc>
          <w:tcPr>
            <w:tcW w:w="952" w:type="dxa"/>
          </w:tcPr>
          <w:p w14:paraId="7CBFC149"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636713B7"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9D6FA85" w14:textId="77777777" w:rsidTr="000463BC">
        <w:trPr>
          <w:trHeight w:val="211"/>
        </w:trPr>
        <w:tc>
          <w:tcPr>
            <w:tcW w:w="2475" w:type="dxa"/>
            <w:tcBorders>
              <w:left w:val="nil"/>
            </w:tcBorders>
            <w:vAlign w:val="center"/>
          </w:tcPr>
          <w:p w14:paraId="46EADF4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Navsari</w:t>
            </w:r>
          </w:p>
        </w:tc>
        <w:tc>
          <w:tcPr>
            <w:tcW w:w="1478" w:type="dxa"/>
          </w:tcPr>
          <w:p w14:paraId="3B83825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1259.47</w:t>
            </w:r>
          </w:p>
        </w:tc>
        <w:tc>
          <w:tcPr>
            <w:tcW w:w="1744" w:type="dxa"/>
          </w:tcPr>
          <w:p w14:paraId="3F2B8F75"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52B452A"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0.43</w:t>
            </w:r>
          </w:p>
        </w:tc>
        <w:tc>
          <w:tcPr>
            <w:tcW w:w="952" w:type="dxa"/>
          </w:tcPr>
          <w:p w14:paraId="6808FE9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C1B2E96"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5057E65" w14:textId="77777777" w:rsidTr="000463BC">
        <w:trPr>
          <w:trHeight w:val="211"/>
        </w:trPr>
        <w:tc>
          <w:tcPr>
            <w:tcW w:w="2475" w:type="dxa"/>
            <w:tcBorders>
              <w:left w:val="nil"/>
            </w:tcBorders>
            <w:vAlign w:val="center"/>
          </w:tcPr>
          <w:p w14:paraId="4755ABD7"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Valsad</w:t>
            </w:r>
          </w:p>
        </w:tc>
        <w:tc>
          <w:tcPr>
            <w:tcW w:w="1478" w:type="dxa"/>
          </w:tcPr>
          <w:p w14:paraId="3CAE23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1182.30</w:t>
            </w:r>
          </w:p>
        </w:tc>
        <w:tc>
          <w:tcPr>
            <w:tcW w:w="1744" w:type="dxa"/>
          </w:tcPr>
          <w:p w14:paraId="7F9E9C5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2E0D82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0.85</w:t>
            </w:r>
          </w:p>
        </w:tc>
        <w:tc>
          <w:tcPr>
            <w:tcW w:w="952" w:type="dxa"/>
          </w:tcPr>
          <w:p w14:paraId="06D01CB8"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8EA713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1EBAD543" w14:textId="77777777" w:rsidTr="000463BC">
        <w:trPr>
          <w:trHeight w:val="211"/>
        </w:trPr>
        <w:tc>
          <w:tcPr>
            <w:tcW w:w="2475" w:type="dxa"/>
            <w:tcBorders>
              <w:left w:val="nil"/>
            </w:tcBorders>
            <w:vAlign w:val="center"/>
          </w:tcPr>
          <w:p w14:paraId="4ECEC155"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Tapi</w:t>
            </w:r>
            <w:proofErr w:type="spellEnd"/>
          </w:p>
        </w:tc>
        <w:tc>
          <w:tcPr>
            <w:tcW w:w="1478" w:type="dxa"/>
          </w:tcPr>
          <w:p w14:paraId="6CDBAF2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1174.37</w:t>
            </w:r>
          </w:p>
        </w:tc>
        <w:tc>
          <w:tcPr>
            <w:tcW w:w="1744" w:type="dxa"/>
          </w:tcPr>
          <w:p w14:paraId="42DB136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9844516"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0.90</w:t>
            </w:r>
          </w:p>
        </w:tc>
        <w:tc>
          <w:tcPr>
            <w:tcW w:w="952" w:type="dxa"/>
          </w:tcPr>
          <w:p w14:paraId="125B41B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1F4284C"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D3869A3" w14:textId="77777777" w:rsidTr="000463BC">
        <w:trPr>
          <w:trHeight w:val="211"/>
        </w:trPr>
        <w:tc>
          <w:tcPr>
            <w:tcW w:w="2475" w:type="dxa"/>
            <w:tcBorders>
              <w:left w:val="nil"/>
              <w:bottom w:val="single" w:sz="4" w:space="0" w:color="auto"/>
            </w:tcBorders>
            <w:vAlign w:val="center"/>
          </w:tcPr>
          <w:p w14:paraId="0094232A" w14:textId="77777777" w:rsidR="003F0EBA" w:rsidRPr="00F214E0" w:rsidRDefault="003F0EBA" w:rsidP="00AD3FCD">
            <w:pPr>
              <w:jc w:val="both"/>
              <w:rPr>
                <w:rFonts w:ascii="Times New Roman" w:hAnsi="Times New Roman" w:cs="Times New Roman"/>
                <w:b/>
                <w:bCs/>
                <w:sz w:val="24"/>
                <w:szCs w:val="24"/>
              </w:rPr>
            </w:pPr>
            <w:r w:rsidRPr="00F214E0">
              <w:rPr>
                <w:rFonts w:ascii="Times New Roman" w:hAnsi="Times New Roman" w:cs="Times New Roman"/>
                <w:b/>
                <w:bCs/>
                <w:sz w:val="24"/>
                <w:szCs w:val="24"/>
              </w:rPr>
              <w:t>Gujarat</w:t>
            </w:r>
          </w:p>
        </w:tc>
        <w:tc>
          <w:tcPr>
            <w:tcW w:w="1478" w:type="dxa"/>
            <w:tcBorders>
              <w:bottom w:val="single" w:sz="4" w:space="0" w:color="auto"/>
            </w:tcBorders>
          </w:tcPr>
          <w:p w14:paraId="4E15C219"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color w:val="000000"/>
                <w:sz w:val="24"/>
                <w:szCs w:val="24"/>
              </w:rPr>
              <w:t>1181.12</w:t>
            </w:r>
          </w:p>
        </w:tc>
        <w:tc>
          <w:tcPr>
            <w:tcW w:w="1744" w:type="dxa"/>
            <w:tcBorders>
              <w:bottom w:val="single" w:sz="4" w:space="0" w:color="auto"/>
            </w:tcBorders>
          </w:tcPr>
          <w:p w14:paraId="33C409A2"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bCs/>
                <w:sz w:val="24"/>
                <w:szCs w:val="24"/>
              </w:rPr>
              <w:t>1153.90</w:t>
            </w:r>
          </w:p>
        </w:tc>
        <w:tc>
          <w:tcPr>
            <w:tcW w:w="934" w:type="dxa"/>
            <w:tcBorders>
              <w:bottom w:val="single" w:sz="4" w:space="0" w:color="auto"/>
            </w:tcBorders>
            <w:vAlign w:val="center"/>
          </w:tcPr>
          <w:p w14:paraId="02B254E9"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0.84</w:t>
            </w:r>
          </w:p>
        </w:tc>
        <w:tc>
          <w:tcPr>
            <w:tcW w:w="952" w:type="dxa"/>
            <w:tcBorders>
              <w:bottom w:val="single" w:sz="4" w:space="0" w:color="auto"/>
            </w:tcBorders>
          </w:tcPr>
          <w:p w14:paraId="0E7025F2"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2.02</w:t>
            </w:r>
          </w:p>
        </w:tc>
        <w:tc>
          <w:tcPr>
            <w:tcW w:w="1473" w:type="dxa"/>
            <w:tcBorders>
              <w:bottom w:val="single" w:sz="4" w:space="0" w:color="auto"/>
              <w:right w:val="nil"/>
            </w:tcBorders>
          </w:tcPr>
          <w:p w14:paraId="7F6C6A56"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38</w:t>
            </w:r>
          </w:p>
        </w:tc>
      </w:tr>
      <w:tr w:rsidR="003F0EBA" w14:paraId="53796734" w14:textId="77777777" w:rsidTr="000463BC">
        <w:trPr>
          <w:trHeight w:val="211"/>
        </w:trPr>
        <w:tc>
          <w:tcPr>
            <w:tcW w:w="9056" w:type="dxa"/>
            <w:gridSpan w:val="6"/>
            <w:tcBorders>
              <w:top w:val="single" w:sz="4" w:space="0" w:color="auto"/>
              <w:left w:val="nil"/>
              <w:bottom w:val="nil"/>
              <w:right w:val="nil"/>
            </w:tcBorders>
            <w:vAlign w:val="center"/>
          </w:tcPr>
          <w:p w14:paraId="783990EA" w14:textId="77777777" w:rsidR="003F0EBA" w:rsidRPr="00F214E0" w:rsidRDefault="003F0EBA" w:rsidP="00AD3FCD">
            <w:pPr>
              <w:jc w:val="both"/>
              <w:rPr>
                <w:rFonts w:ascii="Times New Roman" w:hAnsi="Times New Roman" w:cs="Times New Roman"/>
                <w:b/>
                <w:sz w:val="24"/>
                <w:szCs w:val="24"/>
              </w:rPr>
            </w:pPr>
            <w:r w:rsidRPr="00DA35CB">
              <w:rPr>
                <w:rFonts w:ascii="Times New Roman" w:hAnsi="Times New Roman" w:cs="Times New Roman"/>
                <w:b/>
                <w:i/>
              </w:rPr>
              <w:t>Note</w:t>
            </w:r>
            <w:r w:rsidRPr="00DA35CB">
              <w:rPr>
                <w:rFonts w:ascii="Times New Roman" w:hAnsi="Times New Roman" w:cs="Times New Roman"/>
                <w:i/>
              </w:rPr>
              <w:t xml:space="preserve">: </w:t>
            </w:r>
            <w:proofErr w:type="spellStart"/>
            <w:r w:rsidRPr="00DA35CB">
              <w:rPr>
                <w:rFonts w:ascii="Times New Roman" w:hAnsi="Times New Roman" w:cs="Times New Roman"/>
                <w:i/>
              </w:rPr>
              <w:t>t</w:t>
            </w:r>
            <w:r w:rsidRPr="00DA35CB">
              <w:rPr>
                <w:rFonts w:ascii="Times New Roman" w:hAnsi="Times New Roman" w:cs="Times New Roman"/>
                <w:i/>
                <w:vertAlign w:val="subscript"/>
              </w:rPr>
              <w:t>cal</w:t>
            </w:r>
            <w:proofErr w:type="spellEnd"/>
            <w:r w:rsidRPr="00DA35CB">
              <w:rPr>
                <w:rFonts w:ascii="Times New Roman" w:hAnsi="Times New Roman" w:cs="Times New Roman"/>
                <w:i/>
              </w:rPr>
              <w:t xml:space="preserve"> &lt; </w:t>
            </w:r>
            <w:proofErr w:type="spellStart"/>
            <w:r w:rsidRPr="00DA35CB">
              <w:rPr>
                <w:rFonts w:ascii="Times New Roman" w:hAnsi="Times New Roman" w:cs="Times New Roman"/>
                <w:i/>
              </w:rPr>
              <w:t>t</w:t>
            </w:r>
            <w:r w:rsidRPr="00DA35CB">
              <w:rPr>
                <w:rFonts w:ascii="Times New Roman" w:hAnsi="Times New Roman" w:cs="Times New Roman"/>
                <w:i/>
                <w:vertAlign w:val="subscript"/>
              </w:rPr>
              <w:t>tab</w:t>
            </w:r>
            <w:proofErr w:type="spellEnd"/>
            <w:r w:rsidRPr="00DA35CB">
              <w:rPr>
                <w:rFonts w:ascii="Times New Roman" w:hAnsi="Times New Roman" w:cs="Times New Roman"/>
                <w:i/>
              </w:rPr>
              <w:t xml:space="preserve"> that means H</w:t>
            </w:r>
            <w:r w:rsidRPr="00DA35CB">
              <w:rPr>
                <w:rFonts w:ascii="Times New Roman" w:hAnsi="Times New Roman" w:cs="Times New Roman"/>
                <w:i/>
                <w:vertAlign w:val="subscript"/>
              </w:rPr>
              <w:t>0</w:t>
            </w:r>
            <w:r w:rsidRPr="00DA35CB">
              <w:rPr>
                <w:rFonts w:ascii="Times New Roman" w:hAnsi="Times New Roman" w:cs="Times New Roman"/>
                <w:i/>
              </w:rPr>
              <w:t xml:space="preserve"> is accepted at (5 %) level of significance and conclude that the gap between FHP and MSP do not differ significantly</w:t>
            </w:r>
            <w:r>
              <w:rPr>
                <w:rFonts w:ascii="Times New Roman" w:hAnsi="Times New Roman" w:cs="Times New Roman"/>
                <w:i/>
              </w:rPr>
              <w:t>.</w:t>
            </w:r>
          </w:p>
        </w:tc>
      </w:tr>
    </w:tbl>
    <w:tbl>
      <w:tblPr>
        <w:tblStyle w:val="TableGrid3"/>
        <w:tblpPr w:leftFromText="180" w:rightFromText="180" w:vertAnchor="text" w:horzAnchor="margin" w:tblpXSpec="center" w:tblpY="342"/>
        <w:tblW w:w="10192" w:type="dxa"/>
        <w:tblLayout w:type="fixed"/>
        <w:tblLook w:val="04A0" w:firstRow="1" w:lastRow="0" w:firstColumn="1" w:lastColumn="0" w:noHBand="0" w:noVBand="1"/>
      </w:tblPr>
      <w:tblGrid>
        <w:gridCol w:w="1168"/>
        <w:gridCol w:w="1276"/>
        <w:gridCol w:w="993"/>
        <w:gridCol w:w="710"/>
        <w:gridCol w:w="995"/>
        <w:gridCol w:w="436"/>
        <w:gridCol w:w="1280"/>
        <w:gridCol w:w="995"/>
        <w:gridCol w:w="854"/>
        <w:gridCol w:w="995"/>
        <w:gridCol w:w="460"/>
        <w:gridCol w:w="30"/>
      </w:tblGrid>
      <w:tr w:rsidR="001452B5" w:rsidRPr="00176932" w14:paraId="71129BC7" w14:textId="77777777" w:rsidTr="001452B5">
        <w:trPr>
          <w:trHeight w:val="332"/>
        </w:trPr>
        <w:tc>
          <w:tcPr>
            <w:tcW w:w="10192" w:type="dxa"/>
            <w:gridSpan w:val="12"/>
            <w:tcBorders>
              <w:top w:val="nil"/>
              <w:left w:val="nil"/>
              <w:bottom w:val="single" w:sz="4" w:space="0" w:color="auto"/>
              <w:right w:val="nil"/>
            </w:tcBorders>
            <w:vAlign w:val="center"/>
          </w:tcPr>
          <w:bookmarkEnd w:id="6"/>
          <w:p w14:paraId="6DB26D28" w14:textId="77777777" w:rsidR="001452B5" w:rsidRPr="00176932" w:rsidRDefault="001452B5" w:rsidP="00AD3FCD">
            <w:pPr>
              <w:ind w:left="-66"/>
              <w:jc w:val="both"/>
              <w:rPr>
                <w:rFonts w:ascii="Times New Roman" w:eastAsia="Calibri" w:hAnsi="Times New Roman" w:cs="Times New Roman"/>
                <w:b/>
              </w:rPr>
            </w:pPr>
            <w:r>
              <w:rPr>
                <w:rFonts w:ascii="Times New Roman" w:eastAsia="Calibri" w:hAnsi="Times New Roman" w:cs="Times New Roman"/>
                <w:b/>
                <w:sz w:val="24"/>
              </w:rPr>
              <w:t>T</w:t>
            </w:r>
            <w:r w:rsidRPr="00176932">
              <w:rPr>
                <w:rFonts w:ascii="Times New Roman" w:eastAsia="Calibri" w:hAnsi="Times New Roman" w:cs="Times New Roman"/>
                <w:b/>
                <w:sz w:val="24"/>
              </w:rPr>
              <w:t xml:space="preserve">able </w:t>
            </w:r>
            <w:r>
              <w:rPr>
                <w:rFonts w:ascii="Times New Roman" w:eastAsia="Calibri" w:hAnsi="Times New Roman" w:cs="Times New Roman"/>
                <w:b/>
                <w:sz w:val="24"/>
              </w:rPr>
              <w:t>6</w:t>
            </w:r>
            <w:r w:rsidRPr="00176932">
              <w:rPr>
                <w:rFonts w:ascii="Times New Roman" w:eastAsia="Calibri" w:hAnsi="Times New Roman" w:cs="Times New Roman"/>
                <w:b/>
                <w:sz w:val="24"/>
              </w:rPr>
              <w:t>: Deviations of farm harvest prices from minimum support prices of paddy in Gujarat</w:t>
            </w:r>
          </w:p>
        </w:tc>
      </w:tr>
      <w:tr w:rsidR="001452B5" w:rsidRPr="00176932" w14:paraId="3891DB26" w14:textId="77777777" w:rsidTr="001452B5">
        <w:trPr>
          <w:trHeight w:val="332"/>
        </w:trPr>
        <w:tc>
          <w:tcPr>
            <w:tcW w:w="1170" w:type="dxa"/>
            <w:vMerge w:val="restart"/>
            <w:tcBorders>
              <w:top w:val="single" w:sz="4" w:space="0" w:color="auto"/>
              <w:left w:val="nil"/>
              <w:bottom w:val="single" w:sz="4" w:space="0" w:color="auto"/>
              <w:right w:val="nil"/>
            </w:tcBorders>
            <w:vAlign w:val="center"/>
          </w:tcPr>
          <w:p w14:paraId="71EF120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Period</w:t>
            </w:r>
          </w:p>
        </w:tc>
        <w:tc>
          <w:tcPr>
            <w:tcW w:w="4412" w:type="dxa"/>
            <w:gridSpan w:val="5"/>
            <w:tcBorders>
              <w:top w:val="single" w:sz="4" w:space="0" w:color="auto"/>
              <w:left w:val="nil"/>
              <w:bottom w:val="single" w:sz="4" w:space="0" w:color="auto"/>
              <w:right w:val="nil"/>
            </w:tcBorders>
            <w:vAlign w:val="center"/>
          </w:tcPr>
          <w:p w14:paraId="7B94B185"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Negative deviations</w:t>
            </w:r>
          </w:p>
        </w:tc>
        <w:tc>
          <w:tcPr>
            <w:tcW w:w="4610" w:type="dxa"/>
            <w:gridSpan w:val="6"/>
            <w:tcBorders>
              <w:top w:val="single" w:sz="4" w:space="0" w:color="auto"/>
              <w:left w:val="nil"/>
              <w:bottom w:val="single" w:sz="4" w:space="0" w:color="auto"/>
              <w:right w:val="nil"/>
            </w:tcBorders>
            <w:vAlign w:val="center"/>
          </w:tcPr>
          <w:p w14:paraId="126B4710"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Positive deviations</w:t>
            </w:r>
          </w:p>
        </w:tc>
      </w:tr>
      <w:tr w:rsidR="001452B5" w:rsidRPr="00176932" w14:paraId="5E7DFD5B" w14:textId="77777777" w:rsidTr="001452B5">
        <w:trPr>
          <w:gridAfter w:val="1"/>
          <w:wAfter w:w="30" w:type="dxa"/>
          <w:trHeight w:val="549"/>
        </w:trPr>
        <w:tc>
          <w:tcPr>
            <w:tcW w:w="1170" w:type="dxa"/>
            <w:vMerge/>
            <w:tcBorders>
              <w:top w:val="single" w:sz="4" w:space="0" w:color="auto"/>
              <w:left w:val="nil"/>
              <w:bottom w:val="single" w:sz="4" w:space="0" w:color="auto"/>
              <w:right w:val="nil"/>
            </w:tcBorders>
            <w:vAlign w:val="center"/>
          </w:tcPr>
          <w:p w14:paraId="4E910C55" w14:textId="77777777" w:rsidR="001452B5" w:rsidRPr="00176932" w:rsidRDefault="001452B5" w:rsidP="00AD3FCD">
            <w:pPr>
              <w:jc w:val="both"/>
              <w:rPr>
                <w:rFonts w:ascii="Times New Roman" w:eastAsia="Calibri" w:hAnsi="Times New Roman" w:cs="Times New Roman"/>
                <w:b/>
                <w:sz w:val="22"/>
                <w:szCs w:val="22"/>
              </w:rPr>
            </w:pPr>
          </w:p>
        </w:tc>
        <w:tc>
          <w:tcPr>
            <w:tcW w:w="1278" w:type="dxa"/>
            <w:tcBorders>
              <w:top w:val="single" w:sz="4" w:space="0" w:color="auto"/>
              <w:left w:val="nil"/>
              <w:bottom w:val="single" w:sz="4" w:space="0" w:color="auto"/>
              <w:right w:val="nil"/>
            </w:tcBorders>
            <w:vAlign w:val="center"/>
          </w:tcPr>
          <w:p w14:paraId="2D92F651"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Frequency</w:t>
            </w:r>
          </w:p>
        </w:tc>
        <w:tc>
          <w:tcPr>
            <w:tcW w:w="993" w:type="dxa"/>
            <w:tcBorders>
              <w:top w:val="single" w:sz="4" w:space="0" w:color="auto"/>
              <w:left w:val="nil"/>
              <w:bottom w:val="single" w:sz="4" w:space="0" w:color="auto"/>
              <w:right w:val="nil"/>
            </w:tcBorders>
            <w:vAlign w:val="center"/>
          </w:tcPr>
          <w:p w14:paraId="7A00484E"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MAND</w:t>
            </w:r>
          </w:p>
          <w:p w14:paraId="77E2D21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710" w:type="dxa"/>
            <w:tcBorders>
              <w:top w:val="single" w:sz="4" w:space="0" w:color="auto"/>
              <w:left w:val="nil"/>
              <w:bottom w:val="single" w:sz="4" w:space="0" w:color="auto"/>
              <w:right w:val="nil"/>
            </w:tcBorders>
            <w:vAlign w:val="center"/>
          </w:tcPr>
          <w:p w14:paraId="53A2C300" w14:textId="77777777" w:rsidR="001452B5" w:rsidRPr="00176932" w:rsidRDefault="001452B5" w:rsidP="00AD3FCD">
            <w:pPr>
              <w:ind w:right="-110"/>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Range</w:t>
            </w:r>
          </w:p>
          <w:p w14:paraId="261FC093"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995" w:type="dxa"/>
            <w:tcBorders>
              <w:top w:val="single" w:sz="4" w:space="0" w:color="auto"/>
              <w:left w:val="nil"/>
              <w:bottom w:val="single" w:sz="4" w:space="0" w:color="auto"/>
              <w:right w:val="nil"/>
            </w:tcBorders>
            <w:vAlign w:val="center"/>
          </w:tcPr>
          <w:p w14:paraId="2B2B9E9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AMND</w:t>
            </w:r>
          </w:p>
          <w:p w14:paraId="4370FDB9"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434" w:type="dxa"/>
            <w:tcBorders>
              <w:top w:val="single" w:sz="4" w:space="0" w:color="auto"/>
              <w:left w:val="nil"/>
              <w:bottom w:val="single" w:sz="4" w:space="0" w:color="auto"/>
              <w:right w:val="nil"/>
            </w:tcBorders>
            <w:vAlign w:val="center"/>
          </w:tcPr>
          <w:p w14:paraId="60C27261" w14:textId="77777777" w:rsidR="001452B5" w:rsidRPr="00176932" w:rsidRDefault="001452B5" w:rsidP="00AD3FCD">
            <w:pPr>
              <w:jc w:val="both"/>
              <w:rPr>
                <w:rFonts w:ascii="Times New Roman" w:eastAsia="Calibri" w:hAnsi="Times New Roman" w:cs="Times New Roman"/>
                <w:b/>
                <w:sz w:val="22"/>
                <w:szCs w:val="22"/>
              </w:rPr>
            </w:pPr>
            <w:r>
              <w:rPr>
                <w:rFonts w:ascii="Times New Roman" w:eastAsia="Calibri" w:hAnsi="Times New Roman" w:cs="Times New Roman"/>
                <w:b/>
                <w:sz w:val="22"/>
                <w:szCs w:val="22"/>
              </w:rPr>
              <w:t>%</w:t>
            </w:r>
          </w:p>
        </w:tc>
        <w:tc>
          <w:tcPr>
            <w:tcW w:w="1281" w:type="dxa"/>
            <w:tcBorders>
              <w:top w:val="single" w:sz="4" w:space="0" w:color="auto"/>
              <w:left w:val="nil"/>
              <w:bottom w:val="single" w:sz="4" w:space="0" w:color="auto"/>
              <w:right w:val="nil"/>
            </w:tcBorders>
            <w:vAlign w:val="center"/>
          </w:tcPr>
          <w:p w14:paraId="1EAADAB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Frequency</w:t>
            </w:r>
          </w:p>
        </w:tc>
        <w:tc>
          <w:tcPr>
            <w:tcW w:w="995" w:type="dxa"/>
            <w:tcBorders>
              <w:top w:val="single" w:sz="4" w:space="0" w:color="auto"/>
              <w:left w:val="nil"/>
              <w:bottom w:val="single" w:sz="4" w:space="0" w:color="auto"/>
              <w:right w:val="nil"/>
            </w:tcBorders>
            <w:vAlign w:val="center"/>
          </w:tcPr>
          <w:p w14:paraId="1B95726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MAPD</w:t>
            </w:r>
          </w:p>
          <w:p w14:paraId="4F529DAD"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854" w:type="dxa"/>
            <w:tcBorders>
              <w:top w:val="single" w:sz="4" w:space="0" w:color="auto"/>
              <w:left w:val="nil"/>
              <w:bottom w:val="single" w:sz="4" w:space="0" w:color="auto"/>
              <w:right w:val="nil"/>
            </w:tcBorders>
            <w:vAlign w:val="center"/>
          </w:tcPr>
          <w:p w14:paraId="2F77E1E5"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Range</w:t>
            </w:r>
          </w:p>
          <w:p w14:paraId="2521E52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995" w:type="dxa"/>
            <w:tcBorders>
              <w:top w:val="single" w:sz="4" w:space="0" w:color="auto"/>
              <w:left w:val="nil"/>
              <w:bottom w:val="single" w:sz="4" w:space="0" w:color="auto"/>
              <w:right w:val="nil"/>
            </w:tcBorders>
            <w:vAlign w:val="center"/>
          </w:tcPr>
          <w:p w14:paraId="2062117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AMPD</w:t>
            </w:r>
          </w:p>
          <w:p w14:paraId="6D45EB4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457" w:type="dxa"/>
            <w:tcBorders>
              <w:top w:val="single" w:sz="4" w:space="0" w:color="auto"/>
              <w:left w:val="nil"/>
              <w:bottom w:val="single" w:sz="4" w:space="0" w:color="auto"/>
              <w:right w:val="nil"/>
            </w:tcBorders>
            <w:vAlign w:val="center"/>
          </w:tcPr>
          <w:p w14:paraId="2E611C0D" w14:textId="77777777" w:rsidR="001452B5" w:rsidRPr="00176932" w:rsidRDefault="001452B5" w:rsidP="00AD3FCD">
            <w:pPr>
              <w:jc w:val="both"/>
              <w:rPr>
                <w:rFonts w:ascii="Times New Roman" w:eastAsia="Calibri" w:hAnsi="Times New Roman" w:cs="Times New Roman"/>
                <w:b/>
                <w:sz w:val="22"/>
                <w:szCs w:val="22"/>
              </w:rPr>
            </w:pPr>
            <w:r>
              <w:rPr>
                <w:rFonts w:ascii="Times New Roman" w:eastAsia="Calibri" w:hAnsi="Times New Roman" w:cs="Times New Roman"/>
                <w:b/>
                <w:sz w:val="22"/>
                <w:szCs w:val="22"/>
              </w:rPr>
              <w:t>%</w:t>
            </w:r>
          </w:p>
        </w:tc>
      </w:tr>
      <w:tr w:rsidR="001452B5" w:rsidRPr="00176932" w14:paraId="76DD32A4" w14:textId="77777777" w:rsidTr="001452B5">
        <w:trPr>
          <w:gridAfter w:val="1"/>
          <w:wAfter w:w="30" w:type="dxa"/>
          <w:trHeight w:val="408"/>
        </w:trPr>
        <w:tc>
          <w:tcPr>
            <w:tcW w:w="1170" w:type="dxa"/>
            <w:tcBorders>
              <w:top w:val="single" w:sz="4" w:space="0" w:color="auto"/>
              <w:left w:val="nil"/>
              <w:bottom w:val="nil"/>
              <w:right w:val="nil"/>
            </w:tcBorders>
            <w:vAlign w:val="center"/>
          </w:tcPr>
          <w:p w14:paraId="226D75B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 I (2002-2012)</w:t>
            </w:r>
          </w:p>
        </w:tc>
        <w:tc>
          <w:tcPr>
            <w:tcW w:w="1278" w:type="dxa"/>
            <w:tcBorders>
              <w:top w:val="single" w:sz="4" w:space="0" w:color="auto"/>
              <w:left w:val="nil"/>
              <w:bottom w:val="nil"/>
              <w:right w:val="nil"/>
            </w:tcBorders>
            <w:vAlign w:val="center"/>
          </w:tcPr>
          <w:p w14:paraId="5C497EF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0</w:t>
            </w:r>
          </w:p>
        </w:tc>
        <w:tc>
          <w:tcPr>
            <w:tcW w:w="993" w:type="dxa"/>
            <w:tcBorders>
              <w:top w:val="single" w:sz="4" w:space="0" w:color="auto"/>
              <w:left w:val="nil"/>
              <w:bottom w:val="nil"/>
              <w:right w:val="nil"/>
            </w:tcBorders>
            <w:vAlign w:val="center"/>
          </w:tcPr>
          <w:p w14:paraId="0A97A365"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710" w:type="dxa"/>
            <w:tcBorders>
              <w:top w:val="single" w:sz="4" w:space="0" w:color="auto"/>
              <w:left w:val="nil"/>
              <w:bottom w:val="nil"/>
              <w:right w:val="nil"/>
            </w:tcBorders>
            <w:vAlign w:val="center"/>
          </w:tcPr>
          <w:p w14:paraId="766403D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995" w:type="dxa"/>
            <w:tcBorders>
              <w:top w:val="single" w:sz="4" w:space="0" w:color="auto"/>
              <w:left w:val="nil"/>
              <w:bottom w:val="nil"/>
              <w:right w:val="nil"/>
            </w:tcBorders>
            <w:vAlign w:val="center"/>
          </w:tcPr>
          <w:p w14:paraId="75F58C54"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434" w:type="dxa"/>
            <w:tcBorders>
              <w:top w:val="single" w:sz="4" w:space="0" w:color="auto"/>
              <w:left w:val="nil"/>
              <w:bottom w:val="nil"/>
              <w:right w:val="nil"/>
            </w:tcBorders>
            <w:vAlign w:val="center"/>
          </w:tcPr>
          <w:p w14:paraId="68155857"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1281" w:type="dxa"/>
            <w:tcBorders>
              <w:top w:val="single" w:sz="4" w:space="0" w:color="auto"/>
              <w:left w:val="nil"/>
              <w:bottom w:val="nil"/>
              <w:right w:val="nil"/>
            </w:tcBorders>
            <w:vAlign w:val="center"/>
          </w:tcPr>
          <w:p w14:paraId="15EAFC1E"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w:t>
            </w:r>
          </w:p>
        </w:tc>
        <w:tc>
          <w:tcPr>
            <w:tcW w:w="995" w:type="dxa"/>
            <w:tcBorders>
              <w:top w:val="single" w:sz="4" w:space="0" w:color="auto"/>
              <w:left w:val="nil"/>
              <w:bottom w:val="nil"/>
              <w:right w:val="nil"/>
            </w:tcBorders>
            <w:vAlign w:val="center"/>
          </w:tcPr>
          <w:p w14:paraId="72D6BDB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102.35</w:t>
            </w:r>
          </w:p>
        </w:tc>
        <w:tc>
          <w:tcPr>
            <w:tcW w:w="854" w:type="dxa"/>
            <w:tcBorders>
              <w:top w:val="single" w:sz="4" w:space="0" w:color="auto"/>
              <w:left w:val="nil"/>
              <w:bottom w:val="nil"/>
              <w:right w:val="nil"/>
            </w:tcBorders>
            <w:vAlign w:val="center"/>
          </w:tcPr>
          <w:p w14:paraId="33385BB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41 to 171</w:t>
            </w:r>
          </w:p>
        </w:tc>
        <w:tc>
          <w:tcPr>
            <w:tcW w:w="995" w:type="dxa"/>
            <w:tcBorders>
              <w:top w:val="single" w:sz="4" w:space="0" w:color="auto"/>
              <w:left w:val="nil"/>
              <w:bottom w:val="nil"/>
              <w:right w:val="nil"/>
            </w:tcBorders>
            <w:vAlign w:val="center"/>
          </w:tcPr>
          <w:p w14:paraId="14232D5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15.70</w:t>
            </w:r>
          </w:p>
        </w:tc>
        <w:tc>
          <w:tcPr>
            <w:tcW w:w="457" w:type="dxa"/>
            <w:tcBorders>
              <w:top w:val="single" w:sz="4" w:space="0" w:color="auto"/>
              <w:left w:val="nil"/>
              <w:bottom w:val="nil"/>
              <w:right w:val="nil"/>
            </w:tcBorders>
            <w:vAlign w:val="center"/>
          </w:tcPr>
          <w:p w14:paraId="248E018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100</w:t>
            </w:r>
          </w:p>
        </w:tc>
      </w:tr>
      <w:tr w:rsidR="001452B5" w:rsidRPr="00176932" w14:paraId="3A3E8127" w14:textId="77777777" w:rsidTr="001452B5">
        <w:trPr>
          <w:gridAfter w:val="1"/>
          <w:wAfter w:w="30" w:type="dxa"/>
          <w:trHeight w:val="408"/>
        </w:trPr>
        <w:tc>
          <w:tcPr>
            <w:tcW w:w="1170" w:type="dxa"/>
            <w:tcBorders>
              <w:top w:val="nil"/>
              <w:left w:val="nil"/>
              <w:bottom w:val="nil"/>
              <w:right w:val="nil"/>
            </w:tcBorders>
            <w:vAlign w:val="center"/>
          </w:tcPr>
          <w:p w14:paraId="1EECA9E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 II (2012-2022)</w:t>
            </w:r>
          </w:p>
        </w:tc>
        <w:tc>
          <w:tcPr>
            <w:tcW w:w="1278" w:type="dxa"/>
            <w:tcBorders>
              <w:top w:val="nil"/>
              <w:left w:val="nil"/>
              <w:bottom w:val="nil"/>
              <w:right w:val="nil"/>
            </w:tcBorders>
            <w:vAlign w:val="center"/>
          </w:tcPr>
          <w:p w14:paraId="783FB5B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w:t>
            </w:r>
          </w:p>
        </w:tc>
        <w:tc>
          <w:tcPr>
            <w:tcW w:w="993" w:type="dxa"/>
            <w:tcBorders>
              <w:top w:val="nil"/>
              <w:left w:val="nil"/>
              <w:bottom w:val="nil"/>
              <w:right w:val="nil"/>
            </w:tcBorders>
            <w:vAlign w:val="center"/>
          </w:tcPr>
          <w:p w14:paraId="3F2C599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-246</w:t>
            </w:r>
          </w:p>
        </w:tc>
        <w:tc>
          <w:tcPr>
            <w:tcW w:w="710" w:type="dxa"/>
            <w:tcBorders>
              <w:top w:val="nil"/>
              <w:left w:val="nil"/>
              <w:bottom w:val="nil"/>
              <w:right w:val="nil"/>
            </w:tcBorders>
            <w:vAlign w:val="center"/>
          </w:tcPr>
          <w:p w14:paraId="2376FEB5" w14:textId="77777777" w:rsidR="001452B5"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-127 to </w:t>
            </w:r>
          </w:p>
          <w:p w14:paraId="27162658"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-306</w:t>
            </w:r>
          </w:p>
        </w:tc>
        <w:tc>
          <w:tcPr>
            <w:tcW w:w="995" w:type="dxa"/>
            <w:tcBorders>
              <w:top w:val="nil"/>
              <w:left w:val="nil"/>
              <w:bottom w:val="nil"/>
              <w:right w:val="nil"/>
            </w:tcBorders>
            <w:vAlign w:val="center"/>
          </w:tcPr>
          <w:p w14:paraId="17C9C77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-13.26</w:t>
            </w:r>
          </w:p>
        </w:tc>
        <w:tc>
          <w:tcPr>
            <w:tcW w:w="434" w:type="dxa"/>
            <w:tcBorders>
              <w:top w:val="nil"/>
              <w:left w:val="nil"/>
              <w:bottom w:val="nil"/>
              <w:right w:val="nil"/>
            </w:tcBorders>
            <w:vAlign w:val="center"/>
          </w:tcPr>
          <w:p w14:paraId="32F64E11"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40</w:t>
            </w:r>
          </w:p>
        </w:tc>
        <w:tc>
          <w:tcPr>
            <w:tcW w:w="1281" w:type="dxa"/>
            <w:tcBorders>
              <w:top w:val="nil"/>
              <w:left w:val="nil"/>
              <w:bottom w:val="nil"/>
              <w:right w:val="nil"/>
            </w:tcBorders>
            <w:vAlign w:val="center"/>
          </w:tcPr>
          <w:p w14:paraId="2E1DA53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w:t>
            </w:r>
          </w:p>
        </w:tc>
        <w:tc>
          <w:tcPr>
            <w:tcW w:w="995" w:type="dxa"/>
            <w:tcBorders>
              <w:top w:val="nil"/>
              <w:left w:val="nil"/>
              <w:bottom w:val="nil"/>
              <w:right w:val="nil"/>
            </w:tcBorders>
            <w:vAlign w:val="center"/>
          </w:tcPr>
          <w:p w14:paraId="4258DE71"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84.16</w:t>
            </w:r>
          </w:p>
        </w:tc>
        <w:tc>
          <w:tcPr>
            <w:tcW w:w="854" w:type="dxa"/>
            <w:tcBorders>
              <w:top w:val="nil"/>
              <w:left w:val="nil"/>
              <w:bottom w:val="nil"/>
              <w:right w:val="nil"/>
            </w:tcBorders>
            <w:vAlign w:val="center"/>
          </w:tcPr>
          <w:p w14:paraId="665A614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 to 138</w:t>
            </w:r>
          </w:p>
        </w:tc>
        <w:tc>
          <w:tcPr>
            <w:tcW w:w="995" w:type="dxa"/>
            <w:tcBorders>
              <w:top w:val="nil"/>
              <w:left w:val="nil"/>
              <w:bottom w:val="nil"/>
              <w:right w:val="nil"/>
            </w:tcBorders>
            <w:vAlign w:val="center"/>
          </w:tcPr>
          <w:p w14:paraId="3451CA0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6.25</w:t>
            </w:r>
          </w:p>
        </w:tc>
        <w:tc>
          <w:tcPr>
            <w:tcW w:w="457" w:type="dxa"/>
            <w:tcBorders>
              <w:top w:val="nil"/>
              <w:left w:val="nil"/>
              <w:bottom w:val="nil"/>
              <w:right w:val="nil"/>
            </w:tcBorders>
            <w:vAlign w:val="center"/>
          </w:tcPr>
          <w:p w14:paraId="40C0A9C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60</w:t>
            </w:r>
          </w:p>
        </w:tc>
      </w:tr>
      <w:tr w:rsidR="001452B5" w:rsidRPr="00176932" w14:paraId="68ACC847" w14:textId="77777777" w:rsidTr="001452B5">
        <w:trPr>
          <w:gridAfter w:val="1"/>
          <w:wAfter w:w="30" w:type="dxa"/>
          <w:trHeight w:val="408"/>
        </w:trPr>
        <w:tc>
          <w:tcPr>
            <w:tcW w:w="1170" w:type="dxa"/>
            <w:tcBorders>
              <w:top w:val="nil"/>
              <w:left w:val="nil"/>
              <w:bottom w:val="single" w:sz="4" w:space="0" w:color="auto"/>
              <w:right w:val="nil"/>
            </w:tcBorders>
            <w:vAlign w:val="center"/>
          </w:tcPr>
          <w:p w14:paraId="0AED75A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Overall </w:t>
            </w:r>
          </w:p>
          <w:p w14:paraId="52C87D1C"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(2002-2022)</w:t>
            </w:r>
          </w:p>
          <w:p w14:paraId="70748066" w14:textId="77777777" w:rsidR="001452B5" w:rsidRPr="00176932" w:rsidRDefault="001452B5" w:rsidP="00AD3FCD">
            <w:pPr>
              <w:jc w:val="both"/>
              <w:rPr>
                <w:rFonts w:ascii="Times New Roman" w:eastAsia="Calibri" w:hAnsi="Times New Roman" w:cs="Times New Roman"/>
                <w:sz w:val="22"/>
                <w:szCs w:val="22"/>
              </w:rPr>
            </w:pPr>
          </w:p>
        </w:tc>
        <w:tc>
          <w:tcPr>
            <w:tcW w:w="1278" w:type="dxa"/>
            <w:tcBorders>
              <w:top w:val="nil"/>
              <w:left w:val="nil"/>
              <w:bottom w:val="single" w:sz="4" w:space="0" w:color="auto"/>
              <w:right w:val="nil"/>
            </w:tcBorders>
            <w:vAlign w:val="center"/>
          </w:tcPr>
          <w:p w14:paraId="406EB21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w:t>
            </w:r>
          </w:p>
        </w:tc>
        <w:tc>
          <w:tcPr>
            <w:tcW w:w="993" w:type="dxa"/>
            <w:tcBorders>
              <w:top w:val="nil"/>
              <w:left w:val="nil"/>
              <w:bottom w:val="single" w:sz="4" w:space="0" w:color="auto"/>
              <w:right w:val="nil"/>
            </w:tcBorders>
            <w:vAlign w:val="center"/>
          </w:tcPr>
          <w:p w14:paraId="71B382C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-246</w:t>
            </w:r>
          </w:p>
        </w:tc>
        <w:tc>
          <w:tcPr>
            <w:tcW w:w="710" w:type="dxa"/>
            <w:tcBorders>
              <w:top w:val="nil"/>
              <w:left w:val="nil"/>
              <w:bottom w:val="single" w:sz="4" w:space="0" w:color="auto"/>
              <w:right w:val="nil"/>
            </w:tcBorders>
            <w:vAlign w:val="center"/>
          </w:tcPr>
          <w:p w14:paraId="0EAC3B39" w14:textId="77777777" w:rsidR="001452B5"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-127 to </w:t>
            </w:r>
          </w:p>
          <w:p w14:paraId="0068BF2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-306</w:t>
            </w:r>
          </w:p>
        </w:tc>
        <w:tc>
          <w:tcPr>
            <w:tcW w:w="995" w:type="dxa"/>
            <w:tcBorders>
              <w:top w:val="nil"/>
              <w:left w:val="nil"/>
              <w:bottom w:val="single" w:sz="4" w:space="0" w:color="auto"/>
              <w:right w:val="nil"/>
            </w:tcBorders>
            <w:vAlign w:val="center"/>
          </w:tcPr>
          <w:p w14:paraId="4D7A96B5"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-13.26</w:t>
            </w:r>
          </w:p>
        </w:tc>
        <w:tc>
          <w:tcPr>
            <w:tcW w:w="434" w:type="dxa"/>
            <w:tcBorders>
              <w:top w:val="nil"/>
              <w:left w:val="nil"/>
              <w:bottom w:val="single" w:sz="4" w:space="0" w:color="auto"/>
              <w:right w:val="nil"/>
            </w:tcBorders>
            <w:vAlign w:val="center"/>
          </w:tcPr>
          <w:p w14:paraId="72F47F89"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20</w:t>
            </w:r>
          </w:p>
        </w:tc>
        <w:tc>
          <w:tcPr>
            <w:tcW w:w="1281" w:type="dxa"/>
            <w:tcBorders>
              <w:top w:val="nil"/>
              <w:left w:val="nil"/>
              <w:bottom w:val="single" w:sz="4" w:space="0" w:color="auto"/>
              <w:right w:val="nil"/>
            </w:tcBorders>
            <w:vAlign w:val="center"/>
          </w:tcPr>
          <w:p w14:paraId="28CD949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16</w:t>
            </w:r>
          </w:p>
        </w:tc>
        <w:tc>
          <w:tcPr>
            <w:tcW w:w="995" w:type="dxa"/>
            <w:tcBorders>
              <w:top w:val="nil"/>
              <w:left w:val="nil"/>
              <w:bottom w:val="single" w:sz="4" w:space="0" w:color="auto"/>
              <w:right w:val="nil"/>
            </w:tcBorders>
            <w:vAlign w:val="center"/>
          </w:tcPr>
          <w:p w14:paraId="71C96AC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95.53</w:t>
            </w:r>
          </w:p>
        </w:tc>
        <w:tc>
          <w:tcPr>
            <w:tcW w:w="854" w:type="dxa"/>
            <w:tcBorders>
              <w:top w:val="nil"/>
              <w:left w:val="nil"/>
              <w:bottom w:val="single" w:sz="4" w:space="0" w:color="auto"/>
              <w:right w:val="nil"/>
            </w:tcBorders>
            <w:vAlign w:val="center"/>
          </w:tcPr>
          <w:p w14:paraId="5712F21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 to 171</w:t>
            </w:r>
          </w:p>
        </w:tc>
        <w:tc>
          <w:tcPr>
            <w:tcW w:w="995" w:type="dxa"/>
            <w:tcBorders>
              <w:top w:val="nil"/>
              <w:left w:val="nil"/>
              <w:bottom w:val="single" w:sz="4" w:space="0" w:color="auto"/>
              <w:right w:val="nil"/>
            </w:tcBorders>
            <w:vAlign w:val="center"/>
          </w:tcPr>
          <w:p w14:paraId="0CDD6DF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12.61</w:t>
            </w:r>
          </w:p>
        </w:tc>
        <w:tc>
          <w:tcPr>
            <w:tcW w:w="457" w:type="dxa"/>
            <w:tcBorders>
              <w:top w:val="nil"/>
              <w:left w:val="nil"/>
              <w:bottom w:val="single" w:sz="4" w:space="0" w:color="auto"/>
              <w:right w:val="nil"/>
            </w:tcBorders>
            <w:vAlign w:val="center"/>
          </w:tcPr>
          <w:p w14:paraId="25D1476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80</w:t>
            </w:r>
          </w:p>
        </w:tc>
      </w:tr>
      <w:tr w:rsidR="001452B5" w:rsidRPr="00176932" w14:paraId="53828348" w14:textId="77777777" w:rsidTr="001452B5">
        <w:trPr>
          <w:gridAfter w:val="1"/>
          <w:wAfter w:w="25" w:type="dxa"/>
          <w:trHeight w:val="408"/>
        </w:trPr>
        <w:tc>
          <w:tcPr>
            <w:tcW w:w="10167" w:type="dxa"/>
            <w:gridSpan w:val="11"/>
            <w:tcBorders>
              <w:top w:val="single" w:sz="4" w:space="0" w:color="auto"/>
              <w:left w:val="nil"/>
              <w:bottom w:val="nil"/>
              <w:right w:val="nil"/>
            </w:tcBorders>
            <w:vAlign w:val="center"/>
          </w:tcPr>
          <w:p w14:paraId="478C3CC9" w14:textId="77777777" w:rsidR="001452B5" w:rsidRDefault="001452B5" w:rsidP="00AD3FCD">
            <w:pPr>
              <w:pStyle w:val="ListParagraph"/>
              <w:spacing w:line="276" w:lineRule="auto"/>
              <w:ind w:left="0"/>
              <w:jc w:val="both"/>
              <w:rPr>
                <w:rFonts w:ascii="Times New Roman" w:eastAsia="Calibri" w:hAnsi="Times New Roman" w:cs="Times New Roman"/>
                <w:i/>
              </w:rPr>
            </w:pPr>
            <w:r w:rsidRPr="00DA35CB">
              <w:rPr>
                <w:rFonts w:ascii="Times New Roman" w:eastAsia="Calibri" w:hAnsi="Times New Roman" w:cs="Times New Roman"/>
                <w:b/>
                <w:i/>
              </w:rPr>
              <w:t>Note</w:t>
            </w:r>
            <w:r w:rsidRPr="00176932">
              <w:rPr>
                <w:rFonts w:ascii="Times New Roman" w:eastAsia="Calibri" w:hAnsi="Times New Roman" w:cs="Times New Roman"/>
                <w:i/>
              </w:rPr>
              <w:t xml:space="preserve">: Zero </w:t>
            </w:r>
            <w:proofErr w:type="gramStart"/>
            <w:r w:rsidRPr="00176932">
              <w:rPr>
                <w:rFonts w:ascii="Times New Roman" w:eastAsia="Calibri" w:hAnsi="Times New Roman" w:cs="Times New Roman"/>
                <w:i/>
              </w:rPr>
              <w:t>deviations  were</w:t>
            </w:r>
            <w:proofErr w:type="gramEnd"/>
            <w:r w:rsidRPr="00176932">
              <w:rPr>
                <w:rFonts w:ascii="Times New Roman" w:eastAsia="Calibri" w:hAnsi="Times New Roman" w:cs="Times New Roman"/>
                <w:i/>
              </w:rPr>
              <w:t xml:space="preserve"> considered positive deviations indicating success of the MSP policy, Average= Average of the difference of FHP from MSP (+</w:t>
            </w:r>
            <w:proofErr w:type="spellStart"/>
            <w:r w:rsidRPr="00176932">
              <w:rPr>
                <w:rFonts w:ascii="Times New Roman" w:eastAsia="Calibri" w:hAnsi="Times New Roman" w:cs="Times New Roman"/>
                <w:i/>
              </w:rPr>
              <w:t>ve</w:t>
            </w:r>
            <w:proofErr w:type="spellEnd"/>
            <w:r w:rsidRPr="00176932">
              <w:rPr>
                <w:rFonts w:ascii="Times New Roman" w:eastAsia="Calibri" w:hAnsi="Times New Roman" w:cs="Times New Roman"/>
                <w:i/>
              </w:rPr>
              <w:t xml:space="preserve"> or –</w:t>
            </w:r>
            <w:proofErr w:type="spellStart"/>
            <w:r w:rsidRPr="00176932">
              <w:rPr>
                <w:rFonts w:ascii="Times New Roman" w:eastAsia="Calibri" w:hAnsi="Times New Roman" w:cs="Times New Roman"/>
                <w:i/>
              </w:rPr>
              <w:t>ve</w:t>
            </w:r>
            <w:proofErr w:type="spellEnd"/>
            <w:r w:rsidRPr="00176932">
              <w:rPr>
                <w:rFonts w:ascii="Times New Roman" w:eastAsia="Calibri" w:hAnsi="Times New Roman" w:cs="Times New Roman"/>
                <w:i/>
              </w:rPr>
              <w:t>) , per cent= Percentage of average positive or negative deviations over MSP, MAND/MAPD = Mean Absolute Negative/Positive Deviation and AMND/AMPD =Adjusted  Mean Negative/Positive Deviation</w:t>
            </w:r>
          </w:p>
          <w:p w14:paraId="6A04C18F" w14:textId="44792670" w:rsidR="001452B5" w:rsidRPr="00176932" w:rsidRDefault="001452B5" w:rsidP="00AD3FCD">
            <w:pPr>
              <w:jc w:val="both"/>
              <w:rPr>
                <w:rFonts w:ascii="Times New Roman" w:eastAsia="Calibri" w:hAnsi="Times New Roman" w:cs="Times New Roman"/>
              </w:rPr>
            </w:pPr>
          </w:p>
        </w:tc>
      </w:tr>
    </w:tbl>
    <w:p w14:paraId="41DCD850" w14:textId="0B9E7359" w:rsidR="00CE44DE" w:rsidRDefault="00CE44DE" w:rsidP="00AD3FCD">
      <w:pPr>
        <w:spacing w:after="100" w:afterAutospacing="1" w:line="276" w:lineRule="auto"/>
        <w:ind w:right="-237" w:firstLine="720"/>
        <w:jc w:val="both"/>
        <w:rPr>
          <w:rFonts w:ascii="Times New Roman" w:eastAsia="Times New Roman" w:hAnsi="Times New Roman" w:cs="Times New Roman"/>
          <w:sz w:val="24"/>
          <w:szCs w:val="24"/>
          <w:lang w:eastAsia="en-IN"/>
        </w:rPr>
        <w:sectPr w:rsidR="00CE44DE" w:rsidSect="00AD3FCD">
          <w:headerReference w:type="even" r:id="rId23"/>
          <w:headerReference w:type="default" r:id="rId24"/>
          <w:footerReference w:type="default" r:id="rId25"/>
          <w:headerReference w:type="first" r:id="rId26"/>
          <w:footerReference w:type="first" r:id="rId27"/>
          <w:type w:val="nextColumn"/>
          <w:pgSz w:w="11906" w:h="16838"/>
          <w:pgMar w:top="1440" w:right="1440" w:bottom="1440" w:left="1440" w:header="709" w:footer="709" w:gutter="0"/>
          <w:cols w:space="709"/>
          <w:docGrid w:linePitch="360"/>
        </w:sectPr>
      </w:pPr>
    </w:p>
    <w:p w14:paraId="03B4A131" w14:textId="50F3566B" w:rsidR="001452B5" w:rsidRPr="001452B5" w:rsidRDefault="001452B5" w:rsidP="00AD3FCD">
      <w:pPr>
        <w:jc w:val="both"/>
        <w:rPr>
          <w:rFonts w:ascii="Times New Roman" w:eastAsia="Times New Roman" w:hAnsi="Times New Roman" w:cs="Times New Roman"/>
          <w:sz w:val="24"/>
          <w:szCs w:val="24"/>
          <w:lang w:eastAsia="en-IN"/>
        </w:rPr>
        <w:sectPr w:rsidR="001452B5" w:rsidRPr="001452B5" w:rsidSect="00AD3FCD">
          <w:type w:val="continuous"/>
          <w:pgSz w:w="11906" w:h="16838"/>
          <w:pgMar w:top="1440" w:right="1440" w:bottom="1440" w:left="1440" w:header="709" w:footer="709" w:gutter="0"/>
          <w:cols w:space="709"/>
          <w:docGrid w:linePitch="360"/>
        </w:sectPr>
      </w:pPr>
    </w:p>
    <w:p w14:paraId="4BF4B47E" w14:textId="77777777" w:rsidR="00AD3FCD" w:rsidRDefault="00AD3FCD" w:rsidP="00AD3FCD">
      <w:pPr>
        <w:spacing w:after="0"/>
        <w:ind w:right="-237" w:hanging="142"/>
        <w:jc w:val="both"/>
        <w:rPr>
          <w:rFonts w:ascii="Times New Roman" w:hAnsi="Times New Roman" w:cs="Times New Roman"/>
          <w:b/>
          <w:sz w:val="24"/>
        </w:rPr>
      </w:pPr>
    </w:p>
    <w:p w14:paraId="43EB5647" w14:textId="77777777" w:rsidR="00AD3FCD" w:rsidRDefault="00AD3FCD" w:rsidP="00AD3FCD">
      <w:pPr>
        <w:spacing w:after="0"/>
        <w:ind w:right="-237" w:hanging="142"/>
        <w:jc w:val="both"/>
        <w:rPr>
          <w:rFonts w:ascii="Times New Roman" w:hAnsi="Times New Roman" w:cs="Times New Roman"/>
          <w:b/>
          <w:sz w:val="24"/>
        </w:rPr>
      </w:pPr>
    </w:p>
    <w:p w14:paraId="287DAA2F" w14:textId="77777777" w:rsidR="00AD3FCD" w:rsidRDefault="00AD3FCD" w:rsidP="00AD3FCD">
      <w:pPr>
        <w:spacing w:after="0"/>
        <w:ind w:right="-237" w:hanging="142"/>
        <w:jc w:val="both"/>
        <w:rPr>
          <w:rFonts w:ascii="Times New Roman" w:hAnsi="Times New Roman" w:cs="Times New Roman"/>
          <w:b/>
          <w:sz w:val="24"/>
        </w:rPr>
      </w:pPr>
    </w:p>
    <w:p w14:paraId="4B267F6C" w14:textId="77777777" w:rsidR="00AD3FCD" w:rsidRDefault="00AD3FCD" w:rsidP="00AD3FCD">
      <w:pPr>
        <w:spacing w:after="0"/>
        <w:ind w:right="-237" w:hanging="142"/>
        <w:jc w:val="both"/>
        <w:rPr>
          <w:rFonts w:ascii="Times New Roman" w:hAnsi="Times New Roman" w:cs="Times New Roman"/>
          <w:b/>
          <w:sz w:val="24"/>
        </w:rPr>
      </w:pPr>
    </w:p>
    <w:p w14:paraId="5A127582" w14:textId="77F69E5E" w:rsidR="001452B5" w:rsidRDefault="001452B5" w:rsidP="00AD3FCD">
      <w:pPr>
        <w:spacing w:after="0"/>
        <w:ind w:right="-237" w:hanging="142"/>
        <w:jc w:val="both"/>
        <w:rPr>
          <w:rFonts w:ascii="Times New Roman" w:hAnsi="Times New Roman" w:cs="Times New Roman"/>
          <w:b/>
          <w:sz w:val="24"/>
        </w:rPr>
      </w:pPr>
      <w:r w:rsidRPr="009A6AEE">
        <w:rPr>
          <w:rFonts w:ascii="Times New Roman" w:hAnsi="Times New Roman" w:cs="Times New Roman"/>
          <w:b/>
          <w:sz w:val="24"/>
        </w:rPr>
        <w:lastRenderedPageBreak/>
        <w:t>CONCLUSIONS</w:t>
      </w:r>
    </w:p>
    <w:p w14:paraId="53EDDE5B" w14:textId="14B90AF7" w:rsidR="00AD3FCD" w:rsidRDefault="001452B5" w:rsidP="00AD3FCD">
      <w:pPr>
        <w:spacing w:after="0" w:line="276" w:lineRule="auto"/>
        <w:ind w:right="-237"/>
        <w:jc w:val="both"/>
        <w:rPr>
          <w:rFonts w:ascii="Times New Roman" w:hAnsi="Times New Roman" w:cs="Times New Roman"/>
          <w:sz w:val="24"/>
        </w:rPr>
      </w:pPr>
      <w:r>
        <w:rPr>
          <w:rFonts w:ascii="Times New Roman" w:hAnsi="Times New Roman" w:cs="Times New Roman"/>
          <w:sz w:val="24"/>
          <w:lang w:val="en-US"/>
        </w:rPr>
        <w:tab/>
      </w:r>
      <w:r w:rsidRPr="006F2710">
        <w:rPr>
          <w:rFonts w:ascii="Times New Roman" w:hAnsi="Times New Roman" w:cs="Times New Roman"/>
          <w:sz w:val="24"/>
          <w:lang w:val="en-US"/>
        </w:rPr>
        <w:t>This study set out to assess the performance and effectiveness of the Minimum Support Price (MSP) policy for paddy in Gujarat over the two-decade period from 2002 to 2022.</w:t>
      </w:r>
      <w:r w:rsidRPr="001452B5">
        <w:rPr>
          <w:rFonts w:ascii="Times New Roman" w:hAnsi="Times New Roman" w:cs="Times New Roman"/>
          <w:sz w:val="24"/>
        </w:rPr>
        <w:t xml:space="preserve"> </w:t>
      </w:r>
      <w:r w:rsidRPr="00E83196">
        <w:rPr>
          <w:rFonts w:ascii="Times New Roman" w:hAnsi="Times New Roman" w:cs="Times New Roman"/>
          <w:sz w:val="24"/>
        </w:rPr>
        <w:t xml:space="preserve">It examined trends in MSP and Farm Harvest Price (FHP), as well as the </w:t>
      </w:r>
      <w:r>
        <w:rPr>
          <w:rFonts w:ascii="Times New Roman" w:hAnsi="Times New Roman" w:cs="Times New Roman"/>
          <w:sz w:val="24"/>
        </w:rPr>
        <w:t>deviations of FHPs f</w:t>
      </w:r>
      <w:r w:rsidR="005C52AB" w:rsidRPr="005C52AB">
        <w:rPr>
          <w:rFonts w:ascii="Times New Roman" w:hAnsi="Times New Roman" w:cs="Times New Roman"/>
          <w:sz w:val="24"/>
        </w:rPr>
        <w:t xml:space="preserve"> </w:t>
      </w:r>
      <w:r w:rsidR="005C52AB">
        <w:rPr>
          <w:rFonts w:ascii="Times New Roman" w:hAnsi="Times New Roman" w:cs="Times New Roman"/>
          <w:sz w:val="24"/>
        </w:rPr>
        <w:t>MSP</w:t>
      </w:r>
      <w:r w:rsidR="005C52AB" w:rsidRPr="00E83196">
        <w:rPr>
          <w:rFonts w:ascii="Times New Roman" w:hAnsi="Times New Roman" w:cs="Times New Roman"/>
          <w:sz w:val="24"/>
        </w:rPr>
        <w:t xml:space="preserve"> across various districts.</w:t>
      </w:r>
      <w:r w:rsidR="005C52AB">
        <w:rPr>
          <w:rFonts w:ascii="Times New Roman" w:hAnsi="Times New Roman" w:cs="Times New Roman"/>
          <w:sz w:val="24"/>
        </w:rPr>
        <w:t xml:space="preserve"> </w:t>
      </w:r>
      <w:r w:rsidR="005C52AB" w:rsidRPr="0095121C">
        <w:rPr>
          <w:rFonts w:ascii="Times New Roman" w:hAnsi="Times New Roman" w:cs="Times New Roman"/>
          <w:sz w:val="24"/>
        </w:rPr>
        <w:t>The analysis revealed that the Minimum Support Price (MSP) for both common and</w:t>
      </w:r>
      <w:r w:rsidR="00D44B6C">
        <w:rPr>
          <w:rFonts w:ascii="Times New Roman" w:hAnsi="Times New Roman" w:cs="Times New Roman"/>
          <w:sz w:val="24"/>
        </w:rPr>
        <w:t xml:space="preserve"> “A” grad</w:t>
      </w:r>
      <w:r w:rsidR="00AD3FCD" w:rsidRPr="00AD3FCD">
        <w:rPr>
          <w:rFonts w:ascii="Times New Roman" w:hAnsi="Times New Roman" w:cs="Times New Roman"/>
          <w:sz w:val="24"/>
        </w:rPr>
        <w:t xml:space="preserve"> </w:t>
      </w:r>
      <w:r w:rsidR="00AD3FCD" w:rsidRPr="0095121C">
        <w:rPr>
          <w:rFonts w:ascii="Times New Roman" w:hAnsi="Times New Roman" w:cs="Times New Roman"/>
          <w:sz w:val="24"/>
        </w:rPr>
        <w:t xml:space="preserve">paddy in Gujarat showed a steady increase over the study period from 2002 to 2022, with a higher growth rate during the first decade (2002–2012) and a slower increase in the second (2012–2022). In contrast, the Farm Harvest Price (FHP) also increased but exhibited fluctuations, especially in the second period with a noticeable decline in the growth rate. </w:t>
      </w:r>
      <w:r w:rsidR="00AD3FCD">
        <w:rPr>
          <w:rFonts w:ascii="Times New Roman" w:hAnsi="Times New Roman" w:cs="Times New Roman"/>
          <w:sz w:val="24"/>
        </w:rPr>
        <w:t>In nutshell, compound growth rate of MSP and FHP for paddy were found to be positive and highly significant.</w:t>
      </w:r>
    </w:p>
    <w:p w14:paraId="67783B19" w14:textId="77777777" w:rsidR="00AD3FCD" w:rsidRDefault="00AD3FCD" w:rsidP="00AD3FCD">
      <w:pPr>
        <w:spacing w:line="276" w:lineRule="auto"/>
        <w:ind w:right="-237"/>
        <w:jc w:val="both"/>
        <w:rPr>
          <w:rFonts w:ascii="Times New Roman" w:hAnsi="Times New Roman" w:cs="Times New Roman"/>
          <w:sz w:val="24"/>
        </w:rPr>
      </w:pPr>
      <w:r>
        <w:rPr>
          <w:rFonts w:ascii="Times New Roman" w:hAnsi="Times New Roman" w:cs="Times New Roman"/>
          <w:sz w:val="24"/>
        </w:rPr>
        <w:tab/>
        <w:t xml:space="preserve">Gap analysis between FHP and </w:t>
      </w:r>
      <w:proofErr w:type="gramStart"/>
      <w:r>
        <w:rPr>
          <w:rFonts w:ascii="Times New Roman" w:hAnsi="Times New Roman" w:cs="Times New Roman"/>
          <w:sz w:val="24"/>
        </w:rPr>
        <w:t>MSP  f</w:t>
      </w:r>
      <w:r w:rsidRPr="00A57385">
        <w:rPr>
          <w:rFonts w:ascii="Times New Roman" w:hAnsi="Times New Roman" w:cs="Times New Roman"/>
          <w:sz w:val="24"/>
        </w:rPr>
        <w:t>rom</w:t>
      </w:r>
      <w:proofErr w:type="gramEnd"/>
      <w:r w:rsidRPr="00A57385">
        <w:rPr>
          <w:rFonts w:ascii="Times New Roman" w:hAnsi="Times New Roman" w:cs="Times New Roman"/>
          <w:sz w:val="24"/>
        </w:rPr>
        <w:t xml:space="preserve"> 2002</w:t>
      </w:r>
      <w:r>
        <w:rPr>
          <w:rFonts w:ascii="Times New Roman" w:hAnsi="Times New Roman" w:cs="Times New Roman"/>
          <w:sz w:val="24"/>
        </w:rPr>
        <w:t>-</w:t>
      </w:r>
      <w:r w:rsidRPr="00A57385">
        <w:rPr>
          <w:rFonts w:ascii="Times New Roman" w:hAnsi="Times New Roman" w:cs="Times New Roman"/>
          <w:sz w:val="24"/>
        </w:rPr>
        <w:t>03 to 2016</w:t>
      </w:r>
      <w:r>
        <w:rPr>
          <w:rFonts w:ascii="Times New Roman" w:hAnsi="Times New Roman" w:cs="Times New Roman"/>
          <w:sz w:val="24"/>
        </w:rPr>
        <w:t>-</w:t>
      </w:r>
      <w:r w:rsidRPr="00A57385">
        <w:rPr>
          <w:rFonts w:ascii="Times New Roman" w:hAnsi="Times New Roman" w:cs="Times New Roman"/>
          <w:sz w:val="24"/>
        </w:rPr>
        <w:t>17</w:t>
      </w:r>
      <w:r>
        <w:rPr>
          <w:rFonts w:ascii="Times New Roman" w:hAnsi="Times New Roman" w:cs="Times New Roman"/>
          <w:sz w:val="24"/>
        </w:rPr>
        <w:t xml:space="preserve"> reveals that</w:t>
      </w:r>
      <w:r w:rsidRPr="00A57385">
        <w:rPr>
          <w:rFonts w:ascii="Times New Roman" w:hAnsi="Times New Roman" w:cs="Times New Roman"/>
          <w:sz w:val="24"/>
        </w:rPr>
        <w:t>, FHPs generally remained above MSPs,</w:t>
      </w:r>
      <w:r>
        <w:rPr>
          <w:rFonts w:ascii="Times New Roman" w:hAnsi="Times New Roman" w:cs="Times New Roman"/>
          <w:sz w:val="24"/>
        </w:rPr>
        <w:t xml:space="preserve"> </w:t>
      </w:r>
      <w:r w:rsidRPr="00A57385">
        <w:rPr>
          <w:rFonts w:ascii="Times New Roman" w:hAnsi="Times New Roman" w:cs="Times New Roman"/>
          <w:sz w:val="24"/>
        </w:rPr>
        <w:t>reflecting favourable market conditions. However, from 2017–18 onwards FHPs fell below MSPs, with the largest negative gap in 2020–</w:t>
      </w:r>
      <w:proofErr w:type="gramStart"/>
      <w:r w:rsidRPr="00A57385">
        <w:rPr>
          <w:rFonts w:ascii="Times New Roman" w:hAnsi="Times New Roman" w:cs="Times New Roman"/>
          <w:sz w:val="24"/>
        </w:rPr>
        <w:t>21</w:t>
      </w:r>
      <w:r>
        <w:rPr>
          <w:rFonts w:ascii="Times New Roman" w:hAnsi="Times New Roman" w:cs="Times New Roman"/>
          <w:sz w:val="24"/>
        </w:rPr>
        <w:t>.</w:t>
      </w:r>
      <w:r w:rsidRPr="0095121C">
        <w:rPr>
          <w:rFonts w:ascii="Times New Roman" w:hAnsi="Times New Roman" w:cs="Times New Roman"/>
          <w:sz w:val="24"/>
        </w:rPr>
        <w:t>These</w:t>
      </w:r>
      <w:proofErr w:type="gramEnd"/>
      <w:r w:rsidRPr="0095121C">
        <w:rPr>
          <w:rFonts w:ascii="Times New Roman" w:hAnsi="Times New Roman" w:cs="Times New Roman"/>
          <w:sz w:val="24"/>
        </w:rPr>
        <w:t xml:space="preserve"> deviations varied across districts with some regions like Narmada, </w:t>
      </w:r>
      <w:proofErr w:type="spellStart"/>
      <w:r w:rsidRPr="0095121C">
        <w:rPr>
          <w:rFonts w:ascii="Times New Roman" w:hAnsi="Times New Roman" w:cs="Times New Roman"/>
          <w:sz w:val="24"/>
        </w:rPr>
        <w:t>Dahod</w:t>
      </w:r>
      <w:proofErr w:type="spellEnd"/>
      <w:r w:rsidRPr="0095121C">
        <w:rPr>
          <w:rFonts w:ascii="Times New Roman" w:hAnsi="Times New Roman" w:cs="Times New Roman"/>
          <w:sz w:val="24"/>
        </w:rPr>
        <w:t xml:space="preserve"> and Valsad showing higher FHP growth,</w:t>
      </w:r>
      <w:r>
        <w:rPr>
          <w:rFonts w:ascii="Times New Roman" w:hAnsi="Times New Roman" w:cs="Times New Roman"/>
          <w:sz w:val="24"/>
        </w:rPr>
        <w:t xml:space="preserve"> </w:t>
      </w:r>
      <w:r w:rsidRPr="0095121C">
        <w:rPr>
          <w:rFonts w:ascii="Times New Roman" w:hAnsi="Times New Roman" w:cs="Times New Roman"/>
          <w:sz w:val="24"/>
        </w:rPr>
        <w:t xml:space="preserve">while others such as Navsari, </w:t>
      </w:r>
      <w:r>
        <w:rPr>
          <w:rFonts w:ascii="Times New Roman" w:hAnsi="Times New Roman" w:cs="Times New Roman"/>
          <w:sz w:val="24"/>
        </w:rPr>
        <w:t>Mehsana</w:t>
      </w:r>
      <w:r w:rsidRPr="0095121C">
        <w:rPr>
          <w:rFonts w:ascii="Times New Roman" w:hAnsi="Times New Roman" w:cs="Times New Roman"/>
          <w:sz w:val="24"/>
        </w:rPr>
        <w:t xml:space="preserve"> and Gandhinagar recorded lower growth.</w:t>
      </w:r>
    </w:p>
    <w:p w14:paraId="0A801975" w14:textId="77777777" w:rsidR="00AD3FCD" w:rsidRDefault="00AD3FCD" w:rsidP="00AD3FCD">
      <w:pPr>
        <w:spacing w:after="0" w:line="276" w:lineRule="auto"/>
        <w:ind w:right="-237"/>
        <w:jc w:val="both"/>
        <w:rPr>
          <w:rFonts w:ascii="Times New Roman" w:hAnsi="Times New Roman" w:cs="Times New Roman"/>
          <w:b/>
          <w:sz w:val="24"/>
        </w:rPr>
      </w:pPr>
      <w:r>
        <w:rPr>
          <w:rFonts w:ascii="Times New Roman" w:hAnsi="Times New Roman" w:cs="Times New Roman"/>
          <w:b/>
          <w:sz w:val="24"/>
        </w:rPr>
        <w:t>REFERENCES</w:t>
      </w:r>
    </w:p>
    <w:p w14:paraId="6F5D5C24" w14:textId="6A36D6D4" w:rsidR="00AD3FCD" w:rsidRDefault="00AD3FCD" w:rsidP="00AD3FCD">
      <w:pPr>
        <w:spacing w:after="0" w:line="240" w:lineRule="auto"/>
        <w:ind w:left="284" w:right="-237" w:hanging="284"/>
        <w:jc w:val="both"/>
        <w:rPr>
          <w:rFonts w:ascii="Times New Roman" w:hAnsi="Times New Roman" w:cs="Times New Roman"/>
          <w:sz w:val="24"/>
        </w:rPr>
      </w:pPr>
      <w:r w:rsidRPr="00E610B8">
        <w:rPr>
          <w:rFonts w:ascii="Times New Roman" w:hAnsi="Times New Roman" w:cs="Times New Roman"/>
          <w:sz w:val="24"/>
        </w:rPr>
        <w:t xml:space="preserve">Acharya, S.S. (1997). Agricultural price policy and development: Some facts </w:t>
      </w:r>
      <w:proofErr w:type="gramStart"/>
      <w:r w:rsidRPr="00E610B8">
        <w:rPr>
          <w:rFonts w:ascii="Times New Roman" w:hAnsi="Times New Roman" w:cs="Times New Roman"/>
          <w:sz w:val="24"/>
        </w:rPr>
        <w:t>and  emerging</w:t>
      </w:r>
      <w:proofErr w:type="gramEnd"/>
      <w:r w:rsidRPr="00E610B8">
        <w:rPr>
          <w:rFonts w:ascii="Times New Roman" w:hAnsi="Times New Roman" w:cs="Times New Roman"/>
          <w:sz w:val="24"/>
        </w:rPr>
        <w:t xml:space="preserve"> issues. </w:t>
      </w:r>
      <w:r w:rsidRPr="00E610B8">
        <w:rPr>
          <w:rFonts w:ascii="Times New Roman" w:hAnsi="Times New Roman" w:cs="Times New Roman"/>
          <w:i/>
          <w:sz w:val="24"/>
        </w:rPr>
        <w:t>Indian Journal of Agricultural Economics</w:t>
      </w:r>
      <w:r w:rsidRPr="00E610B8">
        <w:rPr>
          <w:rFonts w:ascii="Times New Roman" w:hAnsi="Times New Roman" w:cs="Times New Roman"/>
          <w:sz w:val="24"/>
        </w:rPr>
        <w:t xml:space="preserve">, </w:t>
      </w:r>
      <w:r w:rsidRPr="00E610B8">
        <w:rPr>
          <w:rFonts w:ascii="Times New Roman" w:hAnsi="Times New Roman" w:cs="Times New Roman"/>
          <w:b/>
          <w:sz w:val="24"/>
        </w:rPr>
        <w:t>52</w:t>
      </w:r>
      <w:r w:rsidRPr="00E610B8">
        <w:rPr>
          <w:rFonts w:ascii="Times New Roman" w:hAnsi="Times New Roman" w:cs="Times New Roman"/>
          <w:sz w:val="24"/>
        </w:rPr>
        <w:t>(1): 1-47.</w:t>
      </w:r>
    </w:p>
    <w:p w14:paraId="6BA4CB95" w14:textId="77777777" w:rsidR="00AD3FCD" w:rsidRDefault="00AD3FCD" w:rsidP="00AD3FCD">
      <w:pPr>
        <w:spacing w:line="240" w:lineRule="auto"/>
        <w:ind w:left="284" w:right="-378" w:hanging="284"/>
        <w:jc w:val="both"/>
        <w:rPr>
          <w:rFonts w:ascii="Times New Roman" w:hAnsi="Times New Roman" w:cs="Times New Roman"/>
          <w:sz w:val="24"/>
          <w:lang w:val="en-US"/>
        </w:rPr>
      </w:pPr>
      <w:r w:rsidRPr="00E610B8">
        <w:rPr>
          <w:rFonts w:ascii="Times New Roman" w:hAnsi="Times New Roman" w:cs="Times New Roman"/>
          <w:sz w:val="24"/>
        </w:rPr>
        <w:t xml:space="preserve">Ali, S. Z.; Sidhu, R. S. and   </w:t>
      </w:r>
      <w:proofErr w:type="spellStart"/>
      <w:r w:rsidRPr="00E610B8">
        <w:rPr>
          <w:rFonts w:ascii="Times New Roman" w:hAnsi="Times New Roman" w:cs="Times New Roman"/>
          <w:sz w:val="24"/>
        </w:rPr>
        <w:t>Vatta</w:t>
      </w:r>
      <w:proofErr w:type="spellEnd"/>
      <w:r w:rsidRPr="00E610B8">
        <w:rPr>
          <w:rFonts w:ascii="Times New Roman" w:hAnsi="Times New Roman" w:cs="Times New Roman"/>
          <w:sz w:val="24"/>
        </w:rPr>
        <w:t>, K.  (2012). Effectiveness of minimum support price policy for paddy in India with a case study of Punjab.</w:t>
      </w:r>
      <w:r w:rsidRPr="00E610B8">
        <w:rPr>
          <w:rFonts w:ascii="Times New Roman" w:hAnsi="Times New Roman" w:cs="Times New Roman"/>
          <w:i/>
          <w:iCs/>
          <w:sz w:val="24"/>
          <w:lang w:val="en-US"/>
        </w:rPr>
        <w:t xml:space="preserve"> Agricultural Economics Research Review, </w:t>
      </w:r>
      <w:r w:rsidRPr="00E610B8">
        <w:rPr>
          <w:rFonts w:ascii="Times New Roman" w:hAnsi="Times New Roman" w:cs="Times New Roman"/>
          <w:b/>
          <w:iCs/>
          <w:sz w:val="24"/>
          <w:lang w:val="en-US"/>
        </w:rPr>
        <w:t>25</w:t>
      </w:r>
      <w:r w:rsidRPr="00E610B8">
        <w:rPr>
          <w:rFonts w:ascii="Times New Roman" w:hAnsi="Times New Roman" w:cs="Times New Roman"/>
          <w:iCs/>
          <w:sz w:val="24"/>
          <w:lang w:val="en-US"/>
        </w:rPr>
        <w:t>(2)</w:t>
      </w:r>
      <w:r w:rsidRPr="00E610B8">
        <w:rPr>
          <w:rFonts w:ascii="Times New Roman" w:hAnsi="Times New Roman" w:cs="Times New Roman"/>
          <w:sz w:val="24"/>
          <w:lang w:val="en-US"/>
        </w:rPr>
        <w:t>: 231-242.</w:t>
      </w:r>
    </w:p>
    <w:p w14:paraId="2C2312BC" w14:textId="77777777" w:rsidR="00AD3FCD" w:rsidRPr="00733FD7" w:rsidRDefault="00AD3FCD" w:rsidP="00AD3FCD">
      <w:pPr>
        <w:spacing w:after="0" w:line="240" w:lineRule="auto"/>
        <w:ind w:left="284" w:right="-378" w:hanging="284"/>
        <w:jc w:val="both"/>
        <w:rPr>
          <w:rFonts w:ascii="Times New Roman" w:hAnsi="Times New Roman" w:cs="Times New Roman"/>
          <w:sz w:val="24"/>
        </w:rPr>
      </w:pPr>
      <w:proofErr w:type="spellStart"/>
      <w:r w:rsidRPr="00733FD7">
        <w:rPr>
          <w:rFonts w:ascii="Times New Roman" w:hAnsi="Times New Roman" w:cs="Times New Roman"/>
          <w:sz w:val="24"/>
        </w:rPr>
        <w:t>Basantaray</w:t>
      </w:r>
      <w:proofErr w:type="spellEnd"/>
      <w:r w:rsidRPr="00733FD7">
        <w:rPr>
          <w:rFonts w:ascii="Times New Roman" w:hAnsi="Times New Roman" w:cs="Times New Roman"/>
          <w:sz w:val="24"/>
        </w:rPr>
        <w:t>, K. A. (2023). Is Minimum Support Price effective in India? Evidence from state-wise paddy procurement. </w:t>
      </w:r>
      <w:r w:rsidRPr="00733FD7">
        <w:rPr>
          <w:rFonts w:ascii="Times New Roman" w:hAnsi="Times New Roman" w:cs="Times New Roman"/>
          <w:i/>
          <w:iCs/>
          <w:sz w:val="24"/>
        </w:rPr>
        <w:t>Asian Journal of Agricultural Extension, Economics &amp; Sociology</w:t>
      </w:r>
      <w:r w:rsidRPr="00733FD7">
        <w:rPr>
          <w:rFonts w:ascii="Times New Roman" w:hAnsi="Times New Roman" w:cs="Times New Roman"/>
          <w:sz w:val="24"/>
        </w:rPr>
        <w:t>, </w:t>
      </w:r>
      <w:r w:rsidRPr="00733FD7">
        <w:rPr>
          <w:rFonts w:ascii="Times New Roman" w:hAnsi="Times New Roman" w:cs="Times New Roman"/>
          <w:b/>
          <w:iCs/>
          <w:sz w:val="24"/>
        </w:rPr>
        <w:t>41</w:t>
      </w:r>
      <w:r w:rsidRPr="00733FD7">
        <w:rPr>
          <w:rFonts w:ascii="Times New Roman" w:hAnsi="Times New Roman" w:cs="Times New Roman"/>
          <w:sz w:val="24"/>
        </w:rPr>
        <w:t>(1): 53–65.</w:t>
      </w:r>
    </w:p>
    <w:p w14:paraId="589276A9" w14:textId="77777777" w:rsidR="00AD3FCD" w:rsidRPr="00733FD7" w:rsidRDefault="00AD3FCD" w:rsidP="00AD3FCD">
      <w:pPr>
        <w:spacing w:after="0" w:line="240" w:lineRule="auto"/>
        <w:ind w:left="284" w:right="-378" w:hanging="284"/>
        <w:jc w:val="both"/>
        <w:rPr>
          <w:rFonts w:ascii="Times New Roman" w:hAnsi="Times New Roman" w:cs="Times New Roman"/>
          <w:sz w:val="24"/>
        </w:rPr>
      </w:pPr>
      <w:r w:rsidRPr="00733FD7">
        <w:rPr>
          <w:rFonts w:ascii="Times New Roman" w:hAnsi="Times New Roman" w:cs="Times New Roman"/>
          <w:sz w:val="24"/>
        </w:rPr>
        <w:t>Dev, K. (2023). Institutional arrangements to enforce the Minimum Support Price (MSP) Policy effectively in India: A case study of wheat and paddy production in Punjab. </w:t>
      </w:r>
      <w:r w:rsidRPr="00733FD7">
        <w:rPr>
          <w:rFonts w:ascii="Times New Roman" w:hAnsi="Times New Roman" w:cs="Times New Roman"/>
          <w:i/>
          <w:iCs/>
          <w:sz w:val="24"/>
        </w:rPr>
        <w:t>Advances in Research</w:t>
      </w:r>
      <w:r w:rsidRPr="00733FD7">
        <w:rPr>
          <w:rFonts w:ascii="Times New Roman" w:hAnsi="Times New Roman" w:cs="Times New Roman"/>
          <w:sz w:val="24"/>
        </w:rPr>
        <w:t>, </w:t>
      </w:r>
      <w:r w:rsidRPr="00733FD7">
        <w:rPr>
          <w:rFonts w:ascii="Times New Roman" w:hAnsi="Times New Roman" w:cs="Times New Roman"/>
          <w:b/>
          <w:iCs/>
          <w:sz w:val="24"/>
        </w:rPr>
        <w:t>24</w:t>
      </w:r>
      <w:r w:rsidRPr="00733FD7">
        <w:rPr>
          <w:rFonts w:ascii="Times New Roman" w:hAnsi="Times New Roman" w:cs="Times New Roman"/>
          <w:sz w:val="24"/>
        </w:rPr>
        <w:t>(5): 60-70.</w:t>
      </w:r>
    </w:p>
    <w:p w14:paraId="05DF0C5D" w14:textId="77777777" w:rsidR="00AD3FCD" w:rsidRDefault="00AD3FCD" w:rsidP="00AD3FCD">
      <w:pPr>
        <w:spacing w:after="0" w:line="240" w:lineRule="auto"/>
        <w:ind w:left="284" w:right="-378" w:hanging="284"/>
        <w:jc w:val="both"/>
        <w:rPr>
          <w:rFonts w:ascii="Times New Roman" w:hAnsi="Times New Roman" w:cs="Times New Roman"/>
          <w:sz w:val="24"/>
        </w:rPr>
      </w:pPr>
      <w:r w:rsidRPr="00EF1196">
        <w:rPr>
          <w:rFonts w:ascii="Times New Roman" w:hAnsi="Times New Roman" w:cs="Times New Roman"/>
          <w:sz w:val="24"/>
        </w:rPr>
        <w:t xml:space="preserve">Devi, G.; </w:t>
      </w:r>
      <w:proofErr w:type="spellStart"/>
      <w:r w:rsidRPr="00EF1196">
        <w:rPr>
          <w:rFonts w:ascii="Times New Roman" w:hAnsi="Times New Roman" w:cs="Times New Roman"/>
          <w:sz w:val="24"/>
        </w:rPr>
        <w:t>Zala</w:t>
      </w:r>
      <w:proofErr w:type="spellEnd"/>
      <w:r w:rsidRPr="00EF1196">
        <w:rPr>
          <w:rFonts w:ascii="Times New Roman" w:hAnsi="Times New Roman" w:cs="Times New Roman"/>
          <w:sz w:val="24"/>
        </w:rPr>
        <w:t xml:space="preserve">, Y. C.; Bansal, R. </w:t>
      </w:r>
      <w:proofErr w:type="gramStart"/>
      <w:r w:rsidRPr="00EF1196">
        <w:rPr>
          <w:rFonts w:ascii="Times New Roman" w:hAnsi="Times New Roman" w:cs="Times New Roman"/>
          <w:sz w:val="24"/>
        </w:rPr>
        <w:t>and  Jadav</w:t>
      </w:r>
      <w:proofErr w:type="gramEnd"/>
      <w:r w:rsidRPr="00EF1196">
        <w:rPr>
          <w:rFonts w:ascii="Times New Roman" w:hAnsi="Times New Roman" w:cs="Times New Roman"/>
          <w:sz w:val="24"/>
        </w:rPr>
        <w:t>, S. K. (2016). A Study of minimum support price, farm harvest price and their effect on area of major food-grain crops of Gujarat. </w:t>
      </w:r>
      <w:r w:rsidRPr="00EF1196">
        <w:rPr>
          <w:rFonts w:ascii="Times New Roman" w:hAnsi="Times New Roman" w:cs="Times New Roman"/>
          <w:i/>
          <w:iCs/>
          <w:sz w:val="24"/>
        </w:rPr>
        <w:t>Indian Journal of Economics and Development</w:t>
      </w:r>
      <w:r w:rsidRPr="00EF1196">
        <w:rPr>
          <w:rFonts w:ascii="Times New Roman" w:hAnsi="Times New Roman" w:cs="Times New Roman"/>
          <w:sz w:val="24"/>
        </w:rPr>
        <w:t>, </w:t>
      </w:r>
      <w:r w:rsidRPr="00EF1196">
        <w:rPr>
          <w:rFonts w:ascii="Times New Roman" w:hAnsi="Times New Roman" w:cs="Times New Roman"/>
          <w:b/>
          <w:iCs/>
          <w:sz w:val="24"/>
        </w:rPr>
        <w:t>12</w:t>
      </w:r>
      <w:r w:rsidRPr="00EF1196">
        <w:rPr>
          <w:rFonts w:ascii="Times New Roman" w:hAnsi="Times New Roman" w:cs="Times New Roman"/>
          <w:sz w:val="24"/>
        </w:rPr>
        <w:t>(1a): 555-558.</w:t>
      </w:r>
    </w:p>
    <w:p w14:paraId="58E9EC87" w14:textId="77777777" w:rsidR="00AD3FCD" w:rsidRPr="00733FD7" w:rsidRDefault="00AD3FCD" w:rsidP="00AD3FCD">
      <w:pPr>
        <w:spacing w:after="0" w:line="240" w:lineRule="auto"/>
        <w:ind w:left="284" w:right="-378" w:hanging="284"/>
        <w:jc w:val="both"/>
        <w:rPr>
          <w:rFonts w:ascii="Times New Roman" w:hAnsi="Times New Roman" w:cs="Times New Roman"/>
          <w:sz w:val="24"/>
        </w:rPr>
      </w:pPr>
      <w:proofErr w:type="spellStart"/>
      <w:r w:rsidRPr="00733FD7">
        <w:rPr>
          <w:rFonts w:ascii="Times New Roman" w:hAnsi="Times New Roman" w:cs="Times New Roman"/>
          <w:sz w:val="24"/>
        </w:rPr>
        <w:t>Divya</w:t>
      </w:r>
      <w:proofErr w:type="spellEnd"/>
      <w:r w:rsidRPr="00733FD7">
        <w:rPr>
          <w:rFonts w:ascii="Times New Roman" w:hAnsi="Times New Roman" w:cs="Times New Roman"/>
          <w:sz w:val="24"/>
        </w:rPr>
        <w:t xml:space="preserve">, M. K. and Nithya, K. E. (2023). How effective the </w:t>
      </w:r>
      <w:r>
        <w:rPr>
          <w:rFonts w:ascii="Times New Roman" w:hAnsi="Times New Roman" w:cs="Times New Roman"/>
          <w:sz w:val="24"/>
        </w:rPr>
        <w:t xml:space="preserve">MSP </w:t>
      </w:r>
      <w:r w:rsidRPr="00733FD7">
        <w:rPr>
          <w:rFonts w:ascii="Times New Roman" w:hAnsi="Times New Roman" w:cs="Times New Roman"/>
          <w:sz w:val="24"/>
        </w:rPr>
        <w:t>is? Empirical evidence from Kerala. </w:t>
      </w:r>
      <w:r w:rsidRPr="00733FD7">
        <w:rPr>
          <w:rFonts w:ascii="Times New Roman" w:hAnsi="Times New Roman" w:cs="Times New Roman"/>
          <w:i/>
          <w:iCs/>
          <w:sz w:val="24"/>
        </w:rPr>
        <w:t>Indian Journal of Agricultural Marketing</w:t>
      </w:r>
      <w:r w:rsidRPr="00733FD7">
        <w:rPr>
          <w:rFonts w:ascii="Times New Roman" w:hAnsi="Times New Roman" w:cs="Times New Roman"/>
          <w:sz w:val="24"/>
        </w:rPr>
        <w:t>, </w:t>
      </w:r>
      <w:r w:rsidRPr="00733FD7">
        <w:rPr>
          <w:rFonts w:ascii="Times New Roman" w:hAnsi="Times New Roman" w:cs="Times New Roman"/>
          <w:b/>
          <w:iCs/>
          <w:sz w:val="24"/>
        </w:rPr>
        <w:t>37</w:t>
      </w:r>
      <w:r w:rsidRPr="00733FD7">
        <w:rPr>
          <w:rFonts w:ascii="Times New Roman" w:hAnsi="Times New Roman" w:cs="Times New Roman"/>
          <w:sz w:val="24"/>
        </w:rPr>
        <w:t>(3): 61-67.</w:t>
      </w:r>
    </w:p>
    <w:p w14:paraId="2123DF58" w14:textId="77777777" w:rsidR="00AD3FCD" w:rsidRDefault="00AD3FCD" w:rsidP="00AD3FCD">
      <w:pPr>
        <w:spacing w:after="0" w:line="240" w:lineRule="auto"/>
        <w:ind w:left="284" w:right="-378" w:hanging="284"/>
        <w:jc w:val="both"/>
        <w:rPr>
          <w:rFonts w:ascii="Times New Roman" w:hAnsi="Times New Roman" w:cs="Times New Roman"/>
          <w:sz w:val="24"/>
        </w:rPr>
      </w:pPr>
      <w:r w:rsidRPr="00EF1196">
        <w:rPr>
          <w:rFonts w:ascii="Times New Roman" w:hAnsi="Times New Roman" w:cs="Times New Roman"/>
          <w:sz w:val="24"/>
        </w:rPr>
        <w:t>Jha, B. and Mohapatra, B. B. (2003). Liberalisation and agricultural prices: some disconcerting trends. </w:t>
      </w:r>
      <w:r w:rsidRPr="00EF1196">
        <w:rPr>
          <w:rFonts w:ascii="Times New Roman" w:hAnsi="Times New Roman" w:cs="Times New Roman"/>
          <w:i/>
          <w:iCs/>
          <w:sz w:val="24"/>
        </w:rPr>
        <w:t>Indian Journal</w:t>
      </w:r>
      <w:r>
        <w:rPr>
          <w:rFonts w:ascii="Times New Roman" w:hAnsi="Times New Roman" w:cs="Times New Roman"/>
          <w:i/>
          <w:iCs/>
          <w:sz w:val="24"/>
        </w:rPr>
        <w:t xml:space="preserve"> </w:t>
      </w:r>
      <w:r w:rsidRPr="00EF1196">
        <w:rPr>
          <w:rFonts w:ascii="Times New Roman" w:hAnsi="Times New Roman" w:cs="Times New Roman"/>
          <w:i/>
          <w:iCs/>
          <w:sz w:val="24"/>
        </w:rPr>
        <w:t>of Agricultural Economics</w:t>
      </w:r>
      <w:r w:rsidRPr="00EF1196">
        <w:rPr>
          <w:rFonts w:ascii="Times New Roman" w:hAnsi="Times New Roman" w:cs="Times New Roman"/>
          <w:sz w:val="24"/>
        </w:rPr>
        <w:t>, </w:t>
      </w:r>
      <w:r w:rsidRPr="00EF1196">
        <w:rPr>
          <w:rFonts w:ascii="Times New Roman" w:hAnsi="Times New Roman" w:cs="Times New Roman"/>
          <w:b/>
          <w:iCs/>
          <w:sz w:val="24"/>
        </w:rPr>
        <w:t>58</w:t>
      </w:r>
      <w:r w:rsidRPr="00EF1196">
        <w:rPr>
          <w:rFonts w:ascii="Times New Roman" w:hAnsi="Times New Roman" w:cs="Times New Roman"/>
          <w:sz w:val="24"/>
        </w:rPr>
        <w:t>(3): 375-386.</w:t>
      </w:r>
    </w:p>
    <w:p w14:paraId="783C06CF" w14:textId="77777777" w:rsidR="00AD3FCD" w:rsidRDefault="00AD3FCD" w:rsidP="00AD3FCD">
      <w:pPr>
        <w:spacing w:after="0" w:line="240" w:lineRule="auto"/>
        <w:ind w:left="284" w:right="-378" w:hanging="284"/>
        <w:jc w:val="both"/>
        <w:rPr>
          <w:rFonts w:ascii="Times New Roman" w:hAnsi="Times New Roman" w:cs="Times New Roman"/>
          <w:sz w:val="24"/>
        </w:rPr>
      </w:pPr>
      <w:proofErr w:type="spellStart"/>
      <w:r w:rsidRPr="00EF1196">
        <w:rPr>
          <w:rFonts w:ascii="Times New Roman" w:hAnsi="Times New Roman" w:cs="Times New Roman"/>
          <w:sz w:val="24"/>
        </w:rPr>
        <w:t>Khowajazada</w:t>
      </w:r>
      <w:proofErr w:type="spellEnd"/>
      <w:r w:rsidRPr="00EF1196">
        <w:rPr>
          <w:rFonts w:ascii="Times New Roman" w:hAnsi="Times New Roman" w:cs="Times New Roman"/>
          <w:sz w:val="24"/>
        </w:rPr>
        <w:t xml:space="preserve">, K. H.; </w:t>
      </w:r>
      <w:proofErr w:type="spellStart"/>
      <w:r w:rsidRPr="00EF1196">
        <w:rPr>
          <w:rFonts w:ascii="Times New Roman" w:hAnsi="Times New Roman" w:cs="Times New Roman"/>
          <w:sz w:val="24"/>
        </w:rPr>
        <w:t>Sekhon</w:t>
      </w:r>
      <w:proofErr w:type="spellEnd"/>
      <w:r w:rsidRPr="00EF1196">
        <w:rPr>
          <w:rFonts w:ascii="Times New Roman" w:hAnsi="Times New Roman" w:cs="Times New Roman"/>
          <w:sz w:val="24"/>
        </w:rPr>
        <w:t>, M. K. and Bhardwaj, S. (2022). Growth, impact and effectiveness of administered prices for major crops in Punjab. </w:t>
      </w:r>
      <w:r w:rsidRPr="00EF1196">
        <w:rPr>
          <w:rFonts w:ascii="Times New Roman" w:hAnsi="Times New Roman" w:cs="Times New Roman"/>
          <w:i/>
          <w:iCs/>
          <w:sz w:val="24"/>
        </w:rPr>
        <w:t>Journal of Agricultural Development and Policy</w:t>
      </w:r>
      <w:r w:rsidRPr="00EF1196">
        <w:rPr>
          <w:rFonts w:ascii="Times New Roman" w:hAnsi="Times New Roman" w:cs="Times New Roman"/>
          <w:sz w:val="24"/>
        </w:rPr>
        <w:t>, </w:t>
      </w:r>
      <w:r w:rsidRPr="00EF1196">
        <w:rPr>
          <w:rFonts w:ascii="Times New Roman" w:hAnsi="Times New Roman" w:cs="Times New Roman"/>
          <w:b/>
          <w:iCs/>
          <w:sz w:val="24"/>
        </w:rPr>
        <w:t>32</w:t>
      </w:r>
      <w:r w:rsidRPr="00EF1196">
        <w:rPr>
          <w:rFonts w:ascii="Times New Roman" w:hAnsi="Times New Roman" w:cs="Times New Roman"/>
          <w:sz w:val="24"/>
        </w:rPr>
        <w:t>(1):117-124.</w:t>
      </w:r>
    </w:p>
    <w:p w14:paraId="31DE3D38" w14:textId="77777777" w:rsidR="00AD3FCD" w:rsidRPr="00EF1196" w:rsidRDefault="00AD3FCD" w:rsidP="00AD3FCD">
      <w:pPr>
        <w:spacing w:after="0" w:line="240" w:lineRule="auto"/>
        <w:ind w:left="284" w:right="-378" w:hanging="284"/>
        <w:jc w:val="both"/>
        <w:rPr>
          <w:rFonts w:ascii="Times New Roman" w:hAnsi="Times New Roman" w:cs="Times New Roman"/>
          <w:sz w:val="24"/>
        </w:rPr>
      </w:pPr>
      <w:proofErr w:type="spellStart"/>
      <w:r w:rsidRPr="00EF1196">
        <w:rPr>
          <w:rFonts w:ascii="Times New Roman" w:hAnsi="Times New Roman" w:cs="Times New Roman"/>
          <w:sz w:val="24"/>
        </w:rPr>
        <w:t>Latika</w:t>
      </w:r>
      <w:proofErr w:type="spellEnd"/>
      <w:r w:rsidRPr="00EF1196">
        <w:rPr>
          <w:rFonts w:ascii="Times New Roman" w:hAnsi="Times New Roman" w:cs="Times New Roman"/>
          <w:sz w:val="24"/>
        </w:rPr>
        <w:t xml:space="preserve">, S.; </w:t>
      </w:r>
      <w:proofErr w:type="spellStart"/>
      <w:r w:rsidRPr="00EF1196">
        <w:rPr>
          <w:rFonts w:ascii="Times New Roman" w:hAnsi="Times New Roman" w:cs="Times New Roman"/>
          <w:sz w:val="24"/>
        </w:rPr>
        <w:t>Nitu</w:t>
      </w:r>
      <w:proofErr w:type="spellEnd"/>
      <w:r w:rsidRPr="00EF1196">
        <w:rPr>
          <w:rFonts w:ascii="Times New Roman" w:hAnsi="Times New Roman" w:cs="Times New Roman"/>
          <w:sz w:val="24"/>
        </w:rPr>
        <w:t xml:space="preserve">, M. and </w:t>
      </w:r>
      <w:proofErr w:type="spellStart"/>
      <w:r w:rsidRPr="00EF1196">
        <w:rPr>
          <w:rFonts w:ascii="Times New Roman" w:hAnsi="Times New Roman" w:cs="Times New Roman"/>
          <w:sz w:val="24"/>
        </w:rPr>
        <w:t>Burark</w:t>
      </w:r>
      <w:proofErr w:type="spellEnd"/>
      <w:r w:rsidRPr="00EF1196">
        <w:rPr>
          <w:rFonts w:ascii="Times New Roman" w:hAnsi="Times New Roman" w:cs="Times New Roman"/>
          <w:sz w:val="24"/>
        </w:rPr>
        <w:t>, S. S. (2012). Effectiveness of price in the production of major cereals crops in Rajasthan. </w:t>
      </w:r>
      <w:r w:rsidRPr="00EF1196">
        <w:rPr>
          <w:rFonts w:ascii="Times New Roman" w:hAnsi="Times New Roman" w:cs="Times New Roman"/>
          <w:i/>
          <w:iCs/>
          <w:sz w:val="24"/>
        </w:rPr>
        <w:t>Indian Journal of Agricultural Marketing</w:t>
      </w:r>
      <w:r w:rsidRPr="00EF1196">
        <w:rPr>
          <w:rFonts w:ascii="Times New Roman" w:hAnsi="Times New Roman" w:cs="Times New Roman"/>
          <w:sz w:val="24"/>
        </w:rPr>
        <w:t>, </w:t>
      </w:r>
      <w:r w:rsidRPr="00EF1196">
        <w:rPr>
          <w:rFonts w:ascii="Times New Roman" w:hAnsi="Times New Roman" w:cs="Times New Roman"/>
          <w:b/>
          <w:iCs/>
          <w:sz w:val="24"/>
        </w:rPr>
        <w:t>26</w:t>
      </w:r>
      <w:r w:rsidRPr="00EF1196">
        <w:rPr>
          <w:rFonts w:ascii="Times New Roman" w:hAnsi="Times New Roman" w:cs="Times New Roman"/>
          <w:sz w:val="24"/>
        </w:rPr>
        <w:t>(3): 162-163.</w:t>
      </w:r>
    </w:p>
    <w:p w14:paraId="35DF574D" w14:textId="77777777" w:rsidR="00AD3FCD" w:rsidRDefault="00AD3FCD" w:rsidP="00AD3FCD">
      <w:pPr>
        <w:spacing w:after="0" w:line="240" w:lineRule="auto"/>
        <w:ind w:left="284" w:right="-378" w:hanging="284"/>
        <w:jc w:val="both"/>
        <w:rPr>
          <w:rFonts w:ascii="Times New Roman" w:hAnsi="Times New Roman" w:cs="Times New Roman"/>
          <w:sz w:val="24"/>
        </w:rPr>
      </w:pPr>
      <w:proofErr w:type="spellStart"/>
      <w:proofErr w:type="gramStart"/>
      <w:r w:rsidRPr="00EF1196">
        <w:rPr>
          <w:rFonts w:ascii="Times New Roman" w:hAnsi="Times New Roman" w:cs="Times New Roman"/>
          <w:sz w:val="24"/>
        </w:rPr>
        <w:t>Ritu</w:t>
      </w:r>
      <w:proofErr w:type="spellEnd"/>
      <w:r w:rsidRPr="00EF1196">
        <w:rPr>
          <w:rFonts w:ascii="Times New Roman" w:hAnsi="Times New Roman" w:cs="Times New Roman"/>
          <w:sz w:val="24"/>
        </w:rPr>
        <w:t xml:space="preserve"> ;</w:t>
      </w:r>
      <w:proofErr w:type="gramEnd"/>
      <w:r w:rsidRPr="00EF1196">
        <w:rPr>
          <w:rFonts w:ascii="Times New Roman" w:hAnsi="Times New Roman" w:cs="Times New Roman"/>
          <w:sz w:val="24"/>
        </w:rPr>
        <w:t xml:space="preserve"> Mehta, V. P.; Malik, D. P. and  Kumar, R. (2020). Impact of agricultural price policy on major food crops in Haryana. </w:t>
      </w:r>
      <w:r w:rsidRPr="00EF1196">
        <w:rPr>
          <w:rFonts w:ascii="Times New Roman" w:hAnsi="Times New Roman" w:cs="Times New Roman"/>
          <w:i/>
          <w:iCs/>
          <w:sz w:val="24"/>
        </w:rPr>
        <w:t>Economic Affairs</w:t>
      </w:r>
      <w:r w:rsidRPr="00EF1196">
        <w:rPr>
          <w:rFonts w:ascii="Times New Roman" w:hAnsi="Times New Roman" w:cs="Times New Roman"/>
          <w:sz w:val="24"/>
        </w:rPr>
        <w:t>, </w:t>
      </w:r>
      <w:r w:rsidRPr="00EF1196">
        <w:rPr>
          <w:rFonts w:ascii="Times New Roman" w:hAnsi="Times New Roman" w:cs="Times New Roman"/>
          <w:b/>
          <w:iCs/>
          <w:sz w:val="24"/>
        </w:rPr>
        <w:t>65</w:t>
      </w:r>
      <w:r w:rsidRPr="00EF1196">
        <w:rPr>
          <w:rFonts w:ascii="Times New Roman" w:hAnsi="Times New Roman" w:cs="Times New Roman"/>
          <w:sz w:val="24"/>
        </w:rPr>
        <w:t>(2): 267-274.</w:t>
      </w:r>
    </w:p>
    <w:p w14:paraId="5424E32A" w14:textId="77777777" w:rsidR="00AD3FCD" w:rsidRDefault="00AD3FCD" w:rsidP="00AD3FCD">
      <w:pPr>
        <w:spacing w:after="0" w:line="240" w:lineRule="auto"/>
        <w:ind w:left="284" w:right="-378" w:hanging="284"/>
        <w:jc w:val="both"/>
        <w:rPr>
          <w:rFonts w:ascii="Times New Roman" w:hAnsi="Times New Roman" w:cs="Times New Roman"/>
          <w:sz w:val="24"/>
        </w:rPr>
      </w:pPr>
      <w:r w:rsidRPr="0002055D">
        <w:rPr>
          <w:rFonts w:ascii="Times New Roman" w:hAnsi="Times New Roman" w:cs="Times New Roman"/>
          <w:sz w:val="24"/>
        </w:rPr>
        <w:t xml:space="preserve">Singh, A. (2021). Effectiveness of minimum support price policy for wheat: A study of the </w:t>
      </w:r>
      <w:proofErr w:type="spellStart"/>
      <w:r w:rsidRPr="0002055D">
        <w:rPr>
          <w:rFonts w:ascii="Times New Roman" w:hAnsi="Times New Roman" w:cs="Times New Roman"/>
          <w:sz w:val="24"/>
        </w:rPr>
        <w:t>bimaru</w:t>
      </w:r>
      <w:proofErr w:type="spellEnd"/>
      <w:r w:rsidRPr="0002055D">
        <w:rPr>
          <w:rFonts w:ascii="Times New Roman" w:hAnsi="Times New Roman" w:cs="Times New Roman"/>
          <w:sz w:val="24"/>
        </w:rPr>
        <w:t xml:space="preserve"> states of India. </w:t>
      </w:r>
      <w:r w:rsidRPr="0002055D">
        <w:rPr>
          <w:rFonts w:ascii="Times New Roman" w:hAnsi="Times New Roman" w:cs="Times New Roman"/>
          <w:i/>
          <w:iCs/>
          <w:sz w:val="24"/>
        </w:rPr>
        <w:t>Indian Journal of Agricultural Marketing</w:t>
      </w:r>
      <w:r w:rsidRPr="0002055D">
        <w:rPr>
          <w:rFonts w:ascii="Times New Roman" w:hAnsi="Times New Roman" w:cs="Times New Roman"/>
          <w:sz w:val="24"/>
        </w:rPr>
        <w:t>, </w:t>
      </w:r>
      <w:r w:rsidRPr="0002055D">
        <w:rPr>
          <w:rFonts w:ascii="Times New Roman" w:hAnsi="Times New Roman" w:cs="Times New Roman"/>
          <w:b/>
          <w:iCs/>
          <w:sz w:val="24"/>
        </w:rPr>
        <w:t>35</w:t>
      </w:r>
      <w:r w:rsidRPr="0002055D">
        <w:rPr>
          <w:rFonts w:ascii="Times New Roman" w:hAnsi="Times New Roman" w:cs="Times New Roman"/>
          <w:sz w:val="24"/>
        </w:rPr>
        <w:t>(1): 182-195.</w:t>
      </w:r>
    </w:p>
    <w:p w14:paraId="262B92F5" w14:textId="77777777" w:rsidR="00AD3FCD" w:rsidRDefault="00AD3FCD" w:rsidP="00AD3FCD">
      <w:pPr>
        <w:spacing w:after="0" w:line="240" w:lineRule="auto"/>
        <w:ind w:left="284" w:right="-378" w:hanging="284"/>
        <w:jc w:val="both"/>
        <w:rPr>
          <w:rFonts w:ascii="Times New Roman" w:hAnsi="Times New Roman" w:cs="Times New Roman"/>
          <w:sz w:val="24"/>
        </w:rPr>
      </w:pPr>
      <w:r w:rsidRPr="00EF1196">
        <w:rPr>
          <w:rFonts w:ascii="Times New Roman" w:hAnsi="Times New Roman" w:cs="Times New Roman"/>
          <w:sz w:val="24"/>
        </w:rPr>
        <w:t xml:space="preserve">Singh, I.P.; Bal, H.S.; Singh, B. and Kumar, N. (1986). Price policy for wheat and paddy vis-a-vis equity in Punjab, </w:t>
      </w:r>
      <w:r w:rsidRPr="00EF1196">
        <w:rPr>
          <w:rFonts w:ascii="Times New Roman" w:hAnsi="Times New Roman" w:cs="Times New Roman"/>
          <w:i/>
          <w:sz w:val="24"/>
        </w:rPr>
        <w:t>Indian Journal of Agricultural Economics</w:t>
      </w:r>
      <w:r w:rsidRPr="00EF1196">
        <w:rPr>
          <w:rFonts w:ascii="Times New Roman" w:hAnsi="Times New Roman" w:cs="Times New Roman"/>
          <w:sz w:val="24"/>
        </w:rPr>
        <w:t xml:space="preserve">, </w:t>
      </w:r>
      <w:r w:rsidRPr="00EF1196">
        <w:rPr>
          <w:rFonts w:ascii="Times New Roman" w:hAnsi="Times New Roman" w:cs="Times New Roman"/>
          <w:b/>
          <w:sz w:val="24"/>
        </w:rPr>
        <w:t>41</w:t>
      </w:r>
      <w:r w:rsidRPr="00EF1196">
        <w:rPr>
          <w:rFonts w:ascii="Times New Roman" w:hAnsi="Times New Roman" w:cs="Times New Roman"/>
          <w:sz w:val="24"/>
        </w:rPr>
        <w:t>(4): 611-616</w:t>
      </w:r>
      <w:r>
        <w:rPr>
          <w:rFonts w:ascii="Times New Roman" w:hAnsi="Times New Roman" w:cs="Times New Roman"/>
          <w:sz w:val="24"/>
        </w:rPr>
        <w:t>.</w:t>
      </w:r>
    </w:p>
    <w:p w14:paraId="1F7F8811" w14:textId="7C380F1D" w:rsidR="00CE44DE" w:rsidRPr="00AD3FCD" w:rsidRDefault="00AD3FCD" w:rsidP="00AD3FCD">
      <w:pPr>
        <w:spacing w:line="240" w:lineRule="auto"/>
        <w:ind w:left="284" w:right="-378" w:hanging="284"/>
        <w:jc w:val="both"/>
        <w:rPr>
          <w:rFonts w:ascii="Times New Roman" w:hAnsi="Times New Roman" w:cs="Times New Roman"/>
          <w:sz w:val="24"/>
        </w:rPr>
        <w:sectPr w:rsidR="00CE44DE" w:rsidRPr="00AD3FCD" w:rsidSect="00AD3FCD">
          <w:type w:val="continuous"/>
          <w:pgSz w:w="11906" w:h="16838"/>
          <w:pgMar w:top="1440" w:right="1440" w:bottom="1440" w:left="1440" w:header="709" w:footer="709" w:gutter="0"/>
          <w:cols w:space="709"/>
          <w:docGrid w:linePitch="360"/>
        </w:sectPr>
      </w:pPr>
      <w:r w:rsidRPr="00E610B8">
        <w:rPr>
          <w:rFonts w:ascii="Times New Roman" w:hAnsi="Times New Roman" w:cs="Times New Roman"/>
          <w:sz w:val="24"/>
        </w:rPr>
        <w:t>Sudhakar, G. and Wale, Z. (2017). Minimum Support Prices and its impact on Agricultural Economy.</w:t>
      </w:r>
      <w:r>
        <w:rPr>
          <w:rFonts w:ascii="Times New Roman" w:hAnsi="Times New Roman" w:cs="Times New Roman"/>
          <w:sz w:val="24"/>
        </w:rPr>
        <w:t xml:space="preserve"> </w:t>
      </w:r>
      <w:r w:rsidRPr="00E610B8">
        <w:rPr>
          <w:rFonts w:ascii="Times New Roman" w:hAnsi="Times New Roman" w:cs="Times New Roman"/>
          <w:i/>
          <w:sz w:val="24"/>
        </w:rPr>
        <w:t>International Journal of Economics and Business Management</w:t>
      </w:r>
      <w:r w:rsidRPr="00E610B8">
        <w:rPr>
          <w:rFonts w:ascii="Times New Roman" w:hAnsi="Times New Roman" w:cs="Times New Roman"/>
          <w:sz w:val="24"/>
        </w:rPr>
        <w:t xml:space="preserve">, </w:t>
      </w:r>
      <w:r w:rsidRPr="00E610B8">
        <w:rPr>
          <w:rFonts w:ascii="Times New Roman" w:hAnsi="Times New Roman" w:cs="Times New Roman"/>
          <w:b/>
          <w:sz w:val="24"/>
        </w:rPr>
        <w:t>3</w:t>
      </w:r>
      <w:r w:rsidRPr="00E610B8">
        <w:rPr>
          <w:rFonts w:ascii="Times New Roman" w:hAnsi="Times New Roman" w:cs="Times New Roman"/>
          <w:sz w:val="24"/>
        </w:rPr>
        <w:t>(2): 38-46</w:t>
      </w:r>
      <w:r>
        <w:rPr>
          <w:rFonts w:ascii="Times New Roman" w:hAnsi="Times New Roman" w:cs="Times New Roman"/>
          <w:sz w:val="24"/>
        </w:rPr>
        <w:t>.</w:t>
      </w:r>
    </w:p>
    <w:p w14:paraId="2414182B" w14:textId="6D3EC695" w:rsidR="00B25AFE" w:rsidRPr="009A6AEE" w:rsidRDefault="00B25AFE" w:rsidP="00AD3FCD">
      <w:pPr>
        <w:jc w:val="both"/>
        <w:rPr>
          <w:rFonts w:ascii="Times New Roman" w:hAnsi="Times New Roman" w:cs="Times New Roman"/>
          <w:b/>
          <w:sz w:val="24"/>
        </w:rPr>
      </w:pPr>
    </w:p>
    <w:sectPr w:rsidR="00B25AFE" w:rsidRPr="009A6AEE" w:rsidSect="00AD3FCD">
      <w:headerReference w:type="even" r:id="rId28"/>
      <w:headerReference w:type="default" r:id="rId29"/>
      <w:headerReference w:type="first" r:id="rId30"/>
      <w:footerReference w:type="first" r:id="rId31"/>
      <w:type w:val="nextColumn"/>
      <w:pgSz w:w="11906" w:h="16838"/>
      <w:pgMar w:top="1440" w:right="1440" w:bottom="1440" w:left="144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B91CE" w14:textId="77777777" w:rsidR="002214A6" w:rsidRDefault="002214A6" w:rsidP="009C2519">
      <w:pPr>
        <w:spacing w:after="0" w:line="240" w:lineRule="auto"/>
      </w:pPr>
      <w:r>
        <w:separator/>
      </w:r>
    </w:p>
  </w:endnote>
  <w:endnote w:type="continuationSeparator" w:id="0">
    <w:p w14:paraId="4F511336" w14:textId="77777777" w:rsidR="002214A6" w:rsidRDefault="002214A6" w:rsidP="009C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0245" w14:textId="77777777" w:rsidR="00F43A81" w:rsidRDefault="00F43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8A55" w14:textId="77777777" w:rsidR="00F43A81" w:rsidRDefault="00F43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5261" w14:textId="77777777" w:rsidR="00F43A81" w:rsidRDefault="00F43A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ECD5" w14:textId="77777777" w:rsidR="000463BC" w:rsidRDefault="000463BC">
    <w:pPr>
      <w:pStyle w:val="Footer"/>
      <w:jc w:val="center"/>
      <w:rPr>
        <w:rFonts w:ascii="Times New Roman" w:hAnsi="Times New Roman" w:cs="Times New Roman"/>
        <w:b/>
        <w:sz w:val="24"/>
      </w:rPr>
    </w:pPr>
    <w:r>
      <w:rPr>
        <w:noProof/>
        <w:sz w:val="24"/>
      </w:rPr>
      <mc:AlternateContent>
        <mc:Choice Requires="wps">
          <w:drawing>
            <wp:anchor distT="0" distB="0" distL="114300" distR="114300" simplePos="0" relativeHeight="251661312" behindDoc="0" locked="0" layoutInCell="1" allowOverlap="1" wp14:anchorId="4C210506" wp14:editId="29CAA7A6">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4ED09E" w14:textId="77777777" w:rsidR="000463BC" w:rsidRPr="009E3528" w:rsidRDefault="000463BC">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210506" id="_x0000_t202" coordsize="21600,21600" o:spt="202" path="m,l,21600r21600,l21600,xe">
              <v:stroke joinstyle="miter"/>
              <v:path gradientshapeok="t" o:connecttype="rect"/>
            </v:shapetype>
            <v:shape id="Text Box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" filled="f" fillcolor="white [3201]" stroked="f" strokeweight=".5pt">
              <v:textbox style="mso-fit-shape-to-text:t" inset="0,0,0,0">
                <w:txbxContent>
                  <w:p w14:paraId="064ED09E" w14:textId="77777777" w:rsidR="000463BC" w:rsidRPr="009E3528" w:rsidRDefault="000463BC">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v:textbox>
              <w10:wrap anchorx="margin"/>
            </v:shape>
          </w:pict>
        </mc:Fallback>
      </mc:AlternateContent>
    </w:r>
  </w:p>
  <w:p w14:paraId="307B5A08" w14:textId="77777777" w:rsidR="000463BC" w:rsidRDefault="000463BC">
    <w:pPr>
      <w:pStyle w:val="Footer"/>
      <w:jc w:val="center"/>
      <w:rPr>
        <w:rFonts w:ascii="Times New Roman" w:hAnsi="Times New Roman" w:cs="Times New Roman"/>
        <w:b/>
        <w:sz w:val="24"/>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FCCB" w14:textId="086F30A0" w:rsidR="000463BC" w:rsidRDefault="000463BC">
    <w:pPr>
      <w:pStyle w:val="Footer"/>
      <w:jc w:val="center"/>
    </w:pPr>
  </w:p>
  <w:p w14:paraId="2942DB41" w14:textId="77777777" w:rsidR="000463BC" w:rsidRDefault="000463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97796"/>
      <w:docPartObj>
        <w:docPartGallery w:val="Page Numbers (Bottom of Page)"/>
        <w:docPartUnique/>
      </w:docPartObj>
    </w:sdtPr>
    <w:sdtEndPr>
      <w:rPr>
        <w:noProof/>
      </w:rPr>
    </w:sdtEndPr>
    <w:sdtContent>
      <w:p w14:paraId="17014AD6" w14:textId="77777777" w:rsidR="000463BC" w:rsidRDefault="00046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0BBAD" w14:textId="77777777" w:rsidR="000463BC" w:rsidRDefault="000463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3EAB" w14:textId="77777777" w:rsidR="000463BC" w:rsidRDefault="000463BC">
    <w:pPr>
      <w:pStyle w:val="Footer"/>
      <w:jc w:val="center"/>
      <w:rPr>
        <w:rFonts w:ascii="Times New Roman" w:hAnsi="Times New Roman" w:cs="Times New Roman"/>
        <w:b/>
        <w:sz w:val="24"/>
      </w:rPr>
    </w:pPr>
    <w:r>
      <w:rPr>
        <w:noProof/>
        <w:sz w:val="24"/>
      </w:rPr>
      <mc:AlternateContent>
        <mc:Choice Requires="wps">
          <w:drawing>
            <wp:anchor distT="0" distB="0" distL="114300" distR="114300" simplePos="0" relativeHeight="251659264" behindDoc="0" locked="0" layoutInCell="1" allowOverlap="1" wp14:anchorId="5078B59E" wp14:editId="41DC5CD8">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895943" w14:textId="77777777" w:rsidR="000463BC" w:rsidRPr="009E3528" w:rsidRDefault="000463BC">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78B59E" id="_x0000_t202" coordsize="21600,21600" o:spt="202" path="m,l,21600r21600,l21600,xe">
              <v:stroke joinstyle="miter"/>
              <v:path gradientshapeok="t" o:connecttype="rect"/>
            </v:shapetype>
            <v:shape id="Text Box 16"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V9+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FbHxX3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14:paraId="0A895943" w14:textId="77777777" w:rsidR="000463BC" w:rsidRPr="009E3528" w:rsidRDefault="000463BC">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v:textbox>
              <w10:wrap anchorx="margin"/>
            </v:shape>
          </w:pict>
        </mc:Fallback>
      </mc:AlternateContent>
    </w:r>
  </w:p>
  <w:p w14:paraId="19AA0668" w14:textId="77777777" w:rsidR="000463BC" w:rsidRDefault="000463BC">
    <w:pPr>
      <w:pStyle w:val="Footer"/>
      <w:jc w:val="center"/>
      <w:rPr>
        <w:rFonts w:ascii="Times New Roman" w:hAnsi="Times New Roman" w:cs="Times New Roman"/>
        <w:b/>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24C3C" w14:textId="77777777" w:rsidR="002214A6" w:rsidRDefault="002214A6" w:rsidP="009C2519">
      <w:pPr>
        <w:spacing w:after="0" w:line="240" w:lineRule="auto"/>
      </w:pPr>
      <w:r>
        <w:separator/>
      </w:r>
    </w:p>
  </w:footnote>
  <w:footnote w:type="continuationSeparator" w:id="0">
    <w:p w14:paraId="5D9ADF9B" w14:textId="77777777" w:rsidR="002214A6" w:rsidRDefault="002214A6" w:rsidP="009C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B255" w14:textId="79900946" w:rsidR="00F43A81" w:rsidRDefault="00F43A81">
    <w:pPr>
      <w:pStyle w:val="Header"/>
    </w:pPr>
    <w:r>
      <w:rPr>
        <w:noProof/>
      </w:rPr>
      <w:pict w14:anchorId="0A8A5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7" o:spid="_x0000_s2050"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B337" w14:textId="0801BA82" w:rsidR="00F43A81" w:rsidRDefault="00F43A81">
    <w:pPr>
      <w:pStyle w:val="Header"/>
    </w:pPr>
    <w:r>
      <w:rPr>
        <w:noProof/>
      </w:rPr>
      <w:pict w14:anchorId="0481F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6" o:spid="_x0000_s2059" type="#_x0000_t136" style="position:absolute;margin-left:0;margin-top:0;width:535.3pt;height:100.9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87F6" w14:textId="1C9B746A" w:rsidR="00F43A81" w:rsidRDefault="00F43A81">
    <w:pPr>
      <w:pStyle w:val="Header"/>
    </w:pPr>
    <w:r>
      <w:rPr>
        <w:noProof/>
      </w:rPr>
      <w:pict w14:anchorId="66B3D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7" o:spid="_x0000_s2060" type="#_x0000_t136" style="position:absolute;margin-left:0;margin-top:0;width:535.3pt;height:100.9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BC6F" w14:textId="5AEB86B8" w:rsidR="00F43A81" w:rsidRDefault="00F43A81">
    <w:pPr>
      <w:pStyle w:val="Header"/>
    </w:pPr>
    <w:r>
      <w:rPr>
        <w:noProof/>
      </w:rPr>
      <w:pict w14:anchorId="5D352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5" o:spid="_x0000_s2058" type="#_x0000_t136" style="position:absolute;margin-left:0;margin-top:0;width:535.3pt;height:100.9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401F" w14:textId="13B3FE22" w:rsidR="00F43A81" w:rsidRDefault="00F43A81">
    <w:pPr>
      <w:pStyle w:val="Header"/>
    </w:pPr>
    <w:r>
      <w:rPr>
        <w:noProof/>
      </w:rPr>
      <w:pict w14:anchorId="2BEBE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8" o:spid="_x0000_s2051"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80F8" w14:textId="7A26C4C5" w:rsidR="00F43A81" w:rsidRDefault="00F43A81">
    <w:pPr>
      <w:pStyle w:val="Header"/>
    </w:pPr>
    <w:r>
      <w:rPr>
        <w:noProof/>
      </w:rPr>
      <w:pict w14:anchorId="501CC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6" o:spid="_x0000_s2049"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1B8C" w14:textId="61E98002" w:rsidR="00F43A81" w:rsidRDefault="00F43A81">
    <w:pPr>
      <w:pStyle w:val="Header"/>
    </w:pPr>
    <w:r>
      <w:rPr>
        <w:noProof/>
      </w:rPr>
      <w:pict w14:anchorId="3F19F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0" o:spid="_x0000_s2053"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8CB2" w14:textId="53120580" w:rsidR="00F43A81" w:rsidRDefault="00F43A81">
    <w:pPr>
      <w:pStyle w:val="Header"/>
    </w:pPr>
    <w:r>
      <w:rPr>
        <w:noProof/>
      </w:rPr>
      <w:pict w14:anchorId="7AA62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1" o:spid="_x0000_s2054"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B711" w14:textId="00FE91CF" w:rsidR="00F43A81" w:rsidRDefault="00F43A81">
    <w:pPr>
      <w:pStyle w:val="Header"/>
    </w:pPr>
    <w:r>
      <w:rPr>
        <w:noProof/>
      </w:rPr>
      <w:pict w14:anchorId="33DB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9" o:spid="_x0000_s2052"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78BA" w14:textId="35B58020" w:rsidR="00F43A81" w:rsidRDefault="00F43A81">
    <w:pPr>
      <w:pStyle w:val="Header"/>
    </w:pPr>
    <w:r>
      <w:rPr>
        <w:noProof/>
      </w:rPr>
      <w:pict w14:anchorId="1BC0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3" o:spid="_x0000_s2056" type="#_x0000_t136" style="position:absolute;margin-left:0;margin-top:0;width:535.3pt;height:100.9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793E" w14:textId="0727F2EF" w:rsidR="000463BC" w:rsidRPr="003730A8" w:rsidRDefault="00F43A81">
    <w:pPr>
      <w:pStyle w:val="Header"/>
      <w:rPr>
        <w:rFonts w:ascii="Times New Roman" w:hAnsi="Times New Roman" w:cs="Times New Roman"/>
        <w:i/>
        <w:sz w:val="24"/>
      </w:rPr>
    </w:pPr>
    <w:r>
      <w:rPr>
        <w:noProof/>
      </w:rPr>
      <w:pict w14:anchorId="5C88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4" o:spid="_x0000_s2057" type="#_x0000_t136" style="position:absolute;margin-left:0;margin-top:0;width:535.3pt;height:100.9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r w:rsidR="000463BC">
      <w:tab/>
    </w:r>
    <w:r w:rsidR="000463BC">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358A" w14:textId="08CAFB9F" w:rsidR="000463BC" w:rsidRPr="008C1B5F" w:rsidRDefault="00F43A81">
    <w:pPr>
      <w:pStyle w:val="Header"/>
      <w:rPr>
        <w:rFonts w:ascii="Times New Roman" w:hAnsi="Times New Roman" w:cs="Times New Roman"/>
        <w:i/>
      </w:rPr>
    </w:pPr>
    <w:r>
      <w:rPr>
        <w:noProof/>
      </w:rPr>
      <w:pict w14:anchorId="4CAC4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2" o:spid="_x0000_s2055"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r w:rsidR="000463BC">
      <w:tab/>
    </w:r>
    <w:r w:rsidR="000463B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D751A"/>
    <w:multiLevelType w:val="hybridMultilevel"/>
    <w:tmpl w:val="8B501A74"/>
    <w:lvl w:ilvl="0" w:tplc="1172A96C">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6086947"/>
    <w:multiLevelType w:val="hybridMultilevel"/>
    <w:tmpl w:val="0300854A"/>
    <w:lvl w:ilvl="0" w:tplc="1172A96C">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284"/>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7"/>
    <w:rsid w:val="00016573"/>
    <w:rsid w:val="0002055D"/>
    <w:rsid w:val="00037679"/>
    <w:rsid w:val="000463BC"/>
    <w:rsid w:val="00082782"/>
    <w:rsid w:val="00093B77"/>
    <w:rsid w:val="000A2115"/>
    <w:rsid w:val="000B3188"/>
    <w:rsid w:val="000F2730"/>
    <w:rsid w:val="00107068"/>
    <w:rsid w:val="00136D3C"/>
    <w:rsid w:val="001452B5"/>
    <w:rsid w:val="00176932"/>
    <w:rsid w:val="001C2207"/>
    <w:rsid w:val="001C3933"/>
    <w:rsid w:val="002214A6"/>
    <w:rsid w:val="00243389"/>
    <w:rsid w:val="0027206D"/>
    <w:rsid w:val="002E167B"/>
    <w:rsid w:val="00334B15"/>
    <w:rsid w:val="003927F4"/>
    <w:rsid w:val="003A38B2"/>
    <w:rsid w:val="003C016F"/>
    <w:rsid w:val="003F0EBA"/>
    <w:rsid w:val="003F4536"/>
    <w:rsid w:val="00420580"/>
    <w:rsid w:val="00431660"/>
    <w:rsid w:val="0043497A"/>
    <w:rsid w:val="004B0341"/>
    <w:rsid w:val="004E7C0D"/>
    <w:rsid w:val="004F0495"/>
    <w:rsid w:val="00541F35"/>
    <w:rsid w:val="00596156"/>
    <w:rsid w:val="005B0237"/>
    <w:rsid w:val="005C52AB"/>
    <w:rsid w:val="005C7661"/>
    <w:rsid w:val="005E4BC4"/>
    <w:rsid w:val="00615DB2"/>
    <w:rsid w:val="00651C13"/>
    <w:rsid w:val="006E4BE8"/>
    <w:rsid w:val="006F78F2"/>
    <w:rsid w:val="0072669A"/>
    <w:rsid w:val="00733FD7"/>
    <w:rsid w:val="007461D7"/>
    <w:rsid w:val="007524BC"/>
    <w:rsid w:val="00755952"/>
    <w:rsid w:val="007A6717"/>
    <w:rsid w:val="007C2DF5"/>
    <w:rsid w:val="00807A24"/>
    <w:rsid w:val="00870B07"/>
    <w:rsid w:val="008E17A5"/>
    <w:rsid w:val="0091693C"/>
    <w:rsid w:val="009756CE"/>
    <w:rsid w:val="009A6AEE"/>
    <w:rsid w:val="009B30CE"/>
    <w:rsid w:val="009C1EF7"/>
    <w:rsid w:val="009C2519"/>
    <w:rsid w:val="00A04583"/>
    <w:rsid w:val="00A22067"/>
    <w:rsid w:val="00A442D4"/>
    <w:rsid w:val="00A70749"/>
    <w:rsid w:val="00AD3FCD"/>
    <w:rsid w:val="00AD6F94"/>
    <w:rsid w:val="00B212DB"/>
    <w:rsid w:val="00B25AFE"/>
    <w:rsid w:val="00B47642"/>
    <w:rsid w:val="00B52085"/>
    <w:rsid w:val="00B61CFC"/>
    <w:rsid w:val="00B677B3"/>
    <w:rsid w:val="00B91553"/>
    <w:rsid w:val="00BB0AFE"/>
    <w:rsid w:val="00BB3700"/>
    <w:rsid w:val="00C45CC4"/>
    <w:rsid w:val="00C532F2"/>
    <w:rsid w:val="00C8007B"/>
    <w:rsid w:val="00C900E0"/>
    <w:rsid w:val="00CD7942"/>
    <w:rsid w:val="00CD7D8F"/>
    <w:rsid w:val="00CE44DE"/>
    <w:rsid w:val="00D44B6C"/>
    <w:rsid w:val="00D50270"/>
    <w:rsid w:val="00D76DCC"/>
    <w:rsid w:val="00D802F2"/>
    <w:rsid w:val="00DA35CB"/>
    <w:rsid w:val="00E23424"/>
    <w:rsid w:val="00E610B8"/>
    <w:rsid w:val="00E94D52"/>
    <w:rsid w:val="00EC2020"/>
    <w:rsid w:val="00EF1196"/>
    <w:rsid w:val="00EF7890"/>
    <w:rsid w:val="00F214E0"/>
    <w:rsid w:val="00F43A81"/>
    <w:rsid w:val="00F840D9"/>
    <w:rsid w:val="00FD23C4"/>
    <w:rsid w:val="00FF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B4E737F"/>
  <w15:chartTrackingRefBased/>
  <w15:docId w15:val="{41DE348C-240F-448E-B6EA-5C8BA51D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933"/>
    <w:pPr>
      <w:ind w:left="720"/>
      <w:contextualSpacing/>
    </w:pPr>
  </w:style>
  <w:style w:type="paragraph" w:styleId="NormalWeb">
    <w:name w:val="Normal (Web)"/>
    <w:basedOn w:val="Normal"/>
    <w:uiPriority w:val="99"/>
    <w:semiHidden/>
    <w:unhideWhenUsed/>
    <w:rsid w:val="00FD23C4"/>
    <w:rPr>
      <w:rFonts w:ascii="Times New Roman" w:hAnsi="Times New Roman" w:cs="Times New Roman"/>
      <w:sz w:val="24"/>
      <w:szCs w:val="24"/>
    </w:rPr>
  </w:style>
  <w:style w:type="paragraph" w:styleId="Footer">
    <w:name w:val="footer"/>
    <w:basedOn w:val="Normal"/>
    <w:link w:val="FooterChar"/>
    <w:uiPriority w:val="99"/>
    <w:unhideWhenUsed/>
    <w:rsid w:val="0059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156"/>
  </w:style>
  <w:style w:type="table" w:customStyle="1" w:styleId="TableGrid1">
    <w:name w:val="Table Grid1"/>
    <w:basedOn w:val="TableNormal"/>
    <w:next w:val="TableGrid"/>
    <w:uiPriority w:val="39"/>
    <w:rsid w:val="00C8007B"/>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9F1"/>
  </w:style>
  <w:style w:type="table" w:customStyle="1" w:styleId="TableGrid2">
    <w:name w:val="Table Grid2"/>
    <w:basedOn w:val="TableNormal"/>
    <w:next w:val="TableGrid"/>
    <w:uiPriority w:val="39"/>
    <w:rsid w:val="00CE44DE"/>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76932"/>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610B8"/>
  </w:style>
  <w:style w:type="character" w:styleId="Hyperlink">
    <w:name w:val="Hyperlink"/>
    <w:basedOn w:val="DefaultParagraphFont"/>
    <w:uiPriority w:val="99"/>
    <w:unhideWhenUsed/>
    <w:rsid w:val="005E4BC4"/>
    <w:rPr>
      <w:color w:val="0563C1" w:themeColor="hyperlink"/>
      <w:u w:val="single"/>
    </w:rPr>
  </w:style>
  <w:style w:type="character" w:styleId="UnresolvedMention">
    <w:name w:val="Unresolved Mention"/>
    <w:basedOn w:val="DefaultParagraphFont"/>
    <w:uiPriority w:val="99"/>
    <w:semiHidden/>
    <w:unhideWhenUsed/>
    <w:rsid w:val="005E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643403">
      <w:bodyDiv w:val="1"/>
      <w:marLeft w:val="0"/>
      <w:marRight w:val="0"/>
      <w:marTop w:val="0"/>
      <w:marBottom w:val="0"/>
      <w:divBdr>
        <w:top w:val="none" w:sz="0" w:space="0" w:color="auto"/>
        <w:left w:val="none" w:sz="0" w:space="0" w:color="auto"/>
        <w:bottom w:val="none" w:sz="0" w:space="0" w:color="auto"/>
        <w:right w:val="none" w:sz="0" w:space="0" w:color="auto"/>
      </w:divBdr>
    </w:div>
    <w:div w:id="13671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2.png"/><Relationship Id="rId27" Type="http://schemas.openxmlformats.org/officeDocument/2006/relationships/footer" Target="footer6.xml"/><Relationship Id="rId30" Type="http://schemas.openxmlformats.org/officeDocument/2006/relationships/header" Target="header12.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790292671262796E-2"/>
          <c:y val="3.2689450222882603E-2"/>
          <c:w val="0.88663669111864296"/>
          <c:h val="0.84217921868236001"/>
        </c:manualLayout>
      </c:layout>
      <c:lineChart>
        <c:grouping val="standard"/>
        <c:varyColors val="0"/>
        <c:ser>
          <c:idx val="0"/>
          <c:order val="0"/>
          <c:tx>
            <c:strRef>
              <c:f>msp!$C$1</c:f>
              <c:strCache>
                <c:ptCount val="1"/>
                <c:pt idx="0">
                  <c:v>Common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44C7-4336-BD96-EF75F8227934}"/>
              </c:ext>
            </c:extLst>
          </c:dPt>
          <c:trendline>
            <c:spPr>
              <a:ln w="19050" cap="rnd">
                <a:solidFill>
                  <a:schemeClr val="accent1"/>
                </a:solidFill>
                <a:prstDash val="sysDash"/>
              </a:ln>
              <a:effectLst/>
            </c:spPr>
            <c:trendlineType val="linear"/>
            <c:dispRSqr val="0"/>
            <c:dispEq val="0"/>
          </c:trendline>
          <c:cat>
            <c:strRef>
              <c:f>msp!$B$2:$B$21</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msp!$C$2:$C$21</c:f>
              <c:numCache>
                <c:formatCode>General</c:formatCode>
                <c:ptCount val="20"/>
                <c:pt idx="0">
                  <c:v>530</c:v>
                </c:pt>
                <c:pt idx="1">
                  <c:v>550</c:v>
                </c:pt>
                <c:pt idx="2">
                  <c:v>560</c:v>
                </c:pt>
                <c:pt idx="3">
                  <c:v>570</c:v>
                </c:pt>
                <c:pt idx="4">
                  <c:v>620</c:v>
                </c:pt>
                <c:pt idx="5">
                  <c:v>645</c:v>
                </c:pt>
                <c:pt idx="6">
                  <c:v>850</c:v>
                </c:pt>
                <c:pt idx="7">
                  <c:v>950</c:v>
                </c:pt>
                <c:pt idx="8">
                  <c:v>1000</c:v>
                </c:pt>
                <c:pt idx="9">
                  <c:v>1080</c:v>
                </c:pt>
                <c:pt idx="10">
                  <c:v>1250</c:v>
                </c:pt>
                <c:pt idx="11">
                  <c:v>1310</c:v>
                </c:pt>
                <c:pt idx="12">
                  <c:v>1360</c:v>
                </c:pt>
                <c:pt idx="13">
                  <c:v>1410</c:v>
                </c:pt>
                <c:pt idx="14">
                  <c:v>1470</c:v>
                </c:pt>
                <c:pt idx="15">
                  <c:v>1550</c:v>
                </c:pt>
                <c:pt idx="16">
                  <c:v>1750</c:v>
                </c:pt>
                <c:pt idx="17">
                  <c:v>1815</c:v>
                </c:pt>
                <c:pt idx="18">
                  <c:v>1868</c:v>
                </c:pt>
                <c:pt idx="19">
                  <c:v>1940</c:v>
                </c:pt>
              </c:numCache>
            </c:numRef>
          </c:val>
          <c:smooth val="0"/>
          <c:extLst>
            <c:ext xmlns:c16="http://schemas.microsoft.com/office/drawing/2014/chart" uri="{C3380CC4-5D6E-409C-BE32-E72D297353CC}">
              <c16:uniqueId val="{00000002-44C7-4336-BD96-EF75F8227934}"/>
            </c:ext>
          </c:extLst>
        </c:ser>
        <c:ser>
          <c:idx val="1"/>
          <c:order val="1"/>
          <c:tx>
            <c:strRef>
              <c:f>msp!$D$1</c:f>
              <c:strCache>
                <c:ptCount val="1"/>
                <c:pt idx="0">
                  <c:v>Grade A</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msp!$B$2:$B$21</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msp!$D$2:$D$21</c:f>
              <c:numCache>
                <c:formatCode>General</c:formatCode>
                <c:ptCount val="20"/>
                <c:pt idx="0">
                  <c:v>560</c:v>
                </c:pt>
                <c:pt idx="1">
                  <c:v>580</c:v>
                </c:pt>
                <c:pt idx="2">
                  <c:v>590</c:v>
                </c:pt>
                <c:pt idx="3">
                  <c:v>600</c:v>
                </c:pt>
                <c:pt idx="4">
                  <c:v>650</c:v>
                </c:pt>
                <c:pt idx="5">
                  <c:v>675</c:v>
                </c:pt>
                <c:pt idx="6">
                  <c:v>880</c:v>
                </c:pt>
                <c:pt idx="7">
                  <c:v>980</c:v>
                </c:pt>
                <c:pt idx="8">
                  <c:v>1030</c:v>
                </c:pt>
                <c:pt idx="9">
                  <c:v>1110</c:v>
                </c:pt>
                <c:pt idx="10">
                  <c:v>1280</c:v>
                </c:pt>
                <c:pt idx="11">
                  <c:v>1345</c:v>
                </c:pt>
                <c:pt idx="12">
                  <c:v>1400</c:v>
                </c:pt>
                <c:pt idx="13">
                  <c:v>1450</c:v>
                </c:pt>
                <c:pt idx="14">
                  <c:v>1510</c:v>
                </c:pt>
                <c:pt idx="15">
                  <c:v>1590</c:v>
                </c:pt>
                <c:pt idx="16">
                  <c:v>1770</c:v>
                </c:pt>
                <c:pt idx="17">
                  <c:v>1835</c:v>
                </c:pt>
                <c:pt idx="18">
                  <c:v>1888</c:v>
                </c:pt>
                <c:pt idx="19">
                  <c:v>1960</c:v>
                </c:pt>
              </c:numCache>
            </c:numRef>
          </c:val>
          <c:smooth val="0"/>
          <c:extLst>
            <c:ext xmlns:c16="http://schemas.microsoft.com/office/drawing/2014/chart" uri="{C3380CC4-5D6E-409C-BE32-E72D297353CC}">
              <c16:uniqueId val="{00000003-44C7-4336-BD96-EF75F8227934}"/>
            </c:ext>
          </c:extLst>
        </c:ser>
        <c:dLbls>
          <c:showLegendKey val="0"/>
          <c:showVal val="0"/>
          <c:showCatName val="0"/>
          <c:showSerName val="0"/>
          <c:showPercent val="0"/>
          <c:showBubbleSize val="0"/>
        </c:dLbls>
        <c:marker val="1"/>
        <c:smooth val="0"/>
        <c:axId val="2112430144"/>
        <c:axId val="2114519360"/>
      </c:lineChart>
      <c:catAx>
        <c:axId val="2112430144"/>
        <c:scaling>
          <c:orientation val="minMax"/>
        </c:scaling>
        <c:delete val="0"/>
        <c:axPos val="b"/>
        <c:minorGridlines>
          <c:spPr>
            <a:ln>
              <a:solidFill>
                <a:schemeClr val="tx1">
                  <a:lumMod val="5000"/>
                  <a:lumOff val="95000"/>
                </a:schemeClr>
              </a:solidFill>
            </a:ln>
            <a:effectLst/>
          </c:spPr>
        </c:minorGridlines>
        <c:title>
          <c:tx>
            <c:rich>
              <a:bodyPr rot="0" spcFirstLastPara="1" vertOverflow="ellipsis" vert="horz" wrap="square" anchor="ctr" anchorCtr="1"/>
              <a:lstStyle/>
              <a:p>
                <a:pPr>
                  <a:defRPr lang="en-GB" sz="800" b="0" i="0" u="none" strike="noStrike" kern="1200" cap="all" baseline="0">
                    <a:solidFill>
                      <a:schemeClr val="tx1">
                        <a:lumMod val="65000"/>
                        <a:lumOff val="35000"/>
                      </a:schemeClr>
                    </a:solidFill>
                    <a:latin typeface="+mn-lt"/>
                    <a:ea typeface="+mn-ea"/>
                    <a:cs typeface="+mn-cs"/>
                  </a:defRPr>
                </a:pPr>
                <a:r>
                  <a:rPr lang="en-IN" sz="800" b="1">
                    <a:solidFill>
                      <a:sysClr val="windowText" lastClr="000000"/>
                    </a:solidFill>
                    <a:latin typeface="Times New Roman" panose="02020603050405020304" charset="0"/>
                    <a:cs typeface="Times New Roman" panose="02020603050405020304" charset="0"/>
                  </a:rPr>
                  <a:t>Year</a:t>
                </a:r>
              </a:p>
            </c:rich>
          </c:tx>
          <c:overlay val="0"/>
          <c:spPr>
            <a:noFill/>
            <a:ln>
              <a:noFill/>
            </a:ln>
            <a:effectLst/>
          </c:spPr>
          <c:txPr>
            <a:bodyPr rot="0" spcFirstLastPara="1" vertOverflow="ellipsis" vert="horz" wrap="square" anchor="ctr" anchorCtr="1"/>
            <a:lstStyle/>
            <a:p>
              <a:pPr>
                <a:defRPr lang="en-GB"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600" b="1"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endParaRPr lang="en-US"/>
          </a:p>
        </c:txPr>
        <c:crossAx val="2114519360"/>
        <c:crosses val="autoZero"/>
        <c:auto val="0"/>
        <c:lblAlgn val="ctr"/>
        <c:lblOffset val="100"/>
        <c:noMultiLvlLbl val="0"/>
      </c:catAx>
      <c:valAx>
        <c:axId val="2114519360"/>
        <c:scaling>
          <c:orientation val="minMax"/>
          <c:max val="2000"/>
          <c:min val="400"/>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lang="en-GB" sz="1000" b="0" i="0" u="none" strike="noStrike" kern="1200" cap="all" baseline="0">
                    <a:solidFill>
                      <a:schemeClr val="tx1">
                        <a:lumMod val="65000"/>
                        <a:lumOff val="35000"/>
                      </a:schemeClr>
                    </a:solidFill>
                    <a:latin typeface="+mn-lt"/>
                    <a:ea typeface="+mn-ea"/>
                    <a:cs typeface="+mn-cs"/>
                  </a:defRPr>
                </a:pPr>
                <a:r>
                  <a:rPr lang="en-IN" sz="1000" b="1" cap="none">
                    <a:solidFill>
                      <a:sysClr val="windowText" lastClr="000000"/>
                    </a:solidFill>
                    <a:latin typeface="Times New Roman" panose="02020603050405020304" charset="0"/>
                    <a:cs typeface="Times New Roman" panose="02020603050405020304" charset="0"/>
                  </a:rPr>
                  <a:t>Minimum</a:t>
                </a:r>
                <a:r>
                  <a:rPr lang="en-IN" sz="1000" b="1" cap="none" baseline="0">
                    <a:solidFill>
                      <a:sysClr val="windowText" lastClr="000000"/>
                    </a:solidFill>
                    <a:latin typeface="Times New Roman" panose="02020603050405020304" charset="0"/>
                    <a:cs typeface="Times New Roman" panose="02020603050405020304" charset="0"/>
                  </a:rPr>
                  <a:t> support price of paddy (₹/qtl</a:t>
                </a:r>
                <a:r>
                  <a:rPr lang="en-IN" sz="1000" b="1" baseline="0">
                    <a:solidFill>
                      <a:sysClr val="windowText" lastClr="000000"/>
                    </a:solidFill>
                    <a:latin typeface="Times New Roman" panose="02020603050405020304" charset="0"/>
                    <a:cs typeface="Times New Roman" panose="02020603050405020304" charset="0"/>
                  </a:rPr>
                  <a:t>)</a:t>
                </a:r>
                <a:endParaRPr lang="en-IN" sz="1000" b="1">
                  <a:solidFill>
                    <a:sysClr val="windowText" lastClr="000000"/>
                  </a:solidFill>
                  <a:latin typeface="Times New Roman" panose="02020603050405020304" charset="0"/>
                  <a:cs typeface="Times New Roman" panose="02020603050405020304" charset="0"/>
                </a:endParaRPr>
              </a:p>
            </c:rich>
          </c:tx>
          <c:layout>
            <c:manualLayout>
              <c:xMode val="edge"/>
              <c:yMode val="edge"/>
              <c:x val="1.6420164632705589E-3"/>
              <c:y val="0.1351756098607565"/>
            </c:manualLayout>
          </c:layout>
          <c:overlay val="0"/>
          <c:spPr>
            <a:noFill/>
            <a:ln>
              <a:noFill/>
            </a:ln>
            <a:effectLst/>
          </c:spPr>
          <c:txPr>
            <a:bodyPr rot="-5400000" spcFirstLastPara="1" vertOverflow="ellipsis" vert="horz" wrap="square" anchor="ctr" anchorCtr="1"/>
            <a:lstStyle/>
            <a:p>
              <a:pPr>
                <a:defRPr lang="en-GB" sz="10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8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112430144"/>
        <c:crosses val="autoZero"/>
        <c:crossBetween val="between"/>
      </c:valAx>
      <c:spPr>
        <a:noFill/>
        <a:ln>
          <a:noFill/>
        </a:ln>
        <a:effectLst/>
      </c:spPr>
    </c:plotArea>
    <c:legend>
      <c:legendPos val="r"/>
      <c:layout>
        <c:manualLayout>
          <c:xMode val="edge"/>
          <c:yMode val="edge"/>
          <c:x val="0.76043749999999999"/>
          <c:y val="0.56383202099737528"/>
          <c:w val="0.23956250000000001"/>
          <c:h val="0.2232128056361376"/>
        </c:manualLayout>
      </c:layout>
      <c:overlay val="0"/>
      <c:spPr>
        <a:noFill/>
        <a:ln>
          <a:noFill/>
        </a:ln>
        <a:effectLst/>
      </c:spPr>
      <c:txPr>
        <a:bodyPr rot="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2a04e58-dace-4595-a922-921f25b22384}"/>
      </c:ext>
    </c:extLst>
  </c:chart>
  <c:spPr>
    <a:solidFill>
      <a:schemeClr val="lt1"/>
    </a:solidFill>
    <a:ln w="9525" cap="flat" cmpd="sng" algn="ctr">
      <a:solidFill>
        <a:schemeClr val="tx1"/>
      </a:solidFill>
      <a:round/>
    </a:ln>
    <a:effectLst/>
  </c:spPr>
  <c:txPr>
    <a:bodyPr/>
    <a:lstStyle/>
    <a:p>
      <a:pPr>
        <a:defRPr lang="en-GB"/>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fhp!$C$1</c:f>
              <c:strCache>
                <c:ptCount val="1"/>
                <c:pt idx="0">
                  <c:v>Farm harvest price</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172-42C7-BCB6-1384E0E1A09F}"/>
                </c:ext>
              </c:extLst>
            </c:dLbl>
            <c:dLbl>
              <c:idx val="1"/>
              <c:delete val="1"/>
              <c:extLst>
                <c:ext xmlns:c15="http://schemas.microsoft.com/office/drawing/2012/chart" uri="{CE6537A1-D6FC-4f65-9D91-7224C49458BB}"/>
                <c:ext xmlns:c16="http://schemas.microsoft.com/office/drawing/2014/chart" uri="{C3380CC4-5D6E-409C-BE32-E72D297353CC}">
                  <c16:uniqueId val="{00000001-B172-42C7-BCB6-1384E0E1A09F}"/>
                </c:ext>
              </c:extLst>
            </c:dLbl>
            <c:dLbl>
              <c:idx val="2"/>
              <c:delete val="1"/>
              <c:extLst>
                <c:ext xmlns:c15="http://schemas.microsoft.com/office/drawing/2012/chart" uri="{CE6537A1-D6FC-4f65-9D91-7224C49458BB}"/>
                <c:ext xmlns:c16="http://schemas.microsoft.com/office/drawing/2014/chart" uri="{C3380CC4-5D6E-409C-BE32-E72D297353CC}">
                  <c16:uniqueId val="{00000002-B172-42C7-BCB6-1384E0E1A09F}"/>
                </c:ext>
              </c:extLst>
            </c:dLbl>
            <c:dLbl>
              <c:idx val="3"/>
              <c:delete val="1"/>
              <c:extLst>
                <c:ext xmlns:c15="http://schemas.microsoft.com/office/drawing/2012/chart" uri="{CE6537A1-D6FC-4f65-9D91-7224C49458BB}"/>
                <c:ext xmlns:c16="http://schemas.microsoft.com/office/drawing/2014/chart" uri="{C3380CC4-5D6E-409C-BE32-E72D297353CC}">
                  <c16:uniqueId val="{00000003-B172-42C7-BCB6-1384E0E1A09F}"/>
                </c:ext>
              </c:extLst>
            </c:dLbl>
            <c:dLbl>
              <c:idx val="4"/>
              <c:delete val="1"/>
              <c:extLst>
                <c:ext xmlns:c15="http://schemas.microsoft.com/office/drawing/2012/chart" uri="{CE6537A1-D6FC-4f65-9D91-7224C49458BB}"/>
                <c:ext xmlns:c16="http://schemas.microsoft.com/office/drawing/2014/chart" uri="{C3380CC4-5D6E-409C-BE32-E72D297353CC}">
                  <c16:uniqueId val="{00000004-B172-42C7-BCB6-1384E0E1A09F}"/>
                </c:ext>
              </c:extLst>
            </c:dLbl>
            <c:dLbl>
              <c:idx val="5"/>
              <c:delete val="1"/>
              <c:extLst>
                <c:ext xmlns:c15="http://schemas.microsoft.com/office/drawing/2012/chart" uri="{CE6537A1-D6FC-4f65-9D91-7224C49458BB}"/>
                <c:ext xmlns:c16="http://schemas.microsoft.com/office/drawing/2014/chart" uri="{C3380CC4-5D6E-409C-BE32-E72D297353CC}">
                  <c16:uniqueId val="{00000005-B172-42C7-BCB6-1384E0E1A09F}"/>
                </c:ext>
              </c:extLst>
            </c:dLbl>
            <c:dLbl>
              <c:idx val="6"/>
              <c:delete val="1"/>
              <c:extLst>
                <c:ext xmlns:c15="http://schemas.microsoft.com/office/drawing/2012/chart" uri="{CE6537A1-D6FC-4f65-9D91-7224C49458BB}"/>
                <c:ext xmlns:c16="http://schemas.microsoft.com/office/drawing/2014/chart" uri="{C3380CC4-5D6E-409C-BE32-E72D297353CC}">
                  <c16:uniqueId val="{00000006-B172-42C7-BCB6-1384E0E1A09F}"/>
                </c:ext>
              </c:extLst>
            </c:dLbl>
            <c:dLbl>
              <c:idx val="7"/>
              <c:delete val="1"/>
              <c:extLst>
                <c:ext xmlns:c15="http://schemas.microsoft.com/office/drawing/2012/chart" uri="{CE6537A1-D6FC-4f65-9D91-7224C49458BB}"/>
                <c:ext xmlns:c16="http://schemas.microsoft.com/office/drawing/2014/chart" uri="{C3380CC4-5D6E-409C-BE32-E72D297353CC}">
                  <c16:uniqueId val="{00000007-B172-42C7-BCB6-1384E0E1A09F}"/>
                </c:ext>
              </c:extLst>
            </c:dLbl>
            <c:dLbl>
              <c:idx val="8"/>
              <c:delete val="1"/>
              <c:extLst>
                <c:ext xmlns:c15="http://schemas.microsoft.com/office/drawing/2012/chart" uri="{CE6537A1-D6FC-4f65-9D91-7224C49458BB}"/>
                <c:ext xmlns:c16="http://schemas.microsoft.com/office/drawing/2014/chart" uri="{C3380CC4-5D6E-409C-BE32-E72D297353CC}">
                  <c16:uniqueId val="{00000008-B172-42C7-BCB6-1384E0E1A09F}"/>
                </c:ext>
              </c:extLst>
            </c:dLbl>
            <c:dLbl>
              <c:idx val="9"/>
              <c:delete val="1"/>
              <c:extLst>
                <c:ext xmlns:c15="http://schemas.microsoft.com/office/drawing/2012/chart" uri="{CE6537A1-D6FC-4f65-9D91-7224C49458BB}"/>
                <c:ext xmlns:c16="http://schemas.microsoft.com/office/drawing/2014/chart" uri="{C3380CC4-5D6E-409C-BE32-E72D297353CC}">
                  <c16:uniqueId val="{00000009-B172-42C7-BCB6-1384E0E1A09F}"/>
                </c:ext>
              </c:extLst>
            </c:dLbl>
            <c:dLbl>
              <c:idx val="10"/>
              <c:delete val="1"/>
              <c:extLst>
                <c:ext xmlns:c15="http://schemas.microsoft.com/office/drawing/2012/chart" uri="{CE6537A1-D6FC-4f65-9D91-7224C49458BB}"/>
                <c:ext xmlns:c16="http://schemas.microsoft.com/office/drawing/2014/chart" uri="{C3380CC4-5D6E-409C-BE32-E72D297353CC}">
                  <c16:uniqueId val="{0000000A-B172-42C7-BCB6-1384E0E1A09F}"/>
                </c:ext>
              </c:extLst>
            </c:dLbl>
            <c:dLbl>
              <c:idx val="11"/>
              <c:delete val="1"/>
              <c:extLst>
                <c:ext xmlns:c15="http://schemas.microsoft.com/office/drawing/2012/chart" uri="{CE6537A1-D6FC-4f65-9D91-7224C49458BB}"/>
                <c:ext xmlns:c16="http://schemas.microsoft.com/office/drawing/2014/chart" uri="{C3380CC4-5D6E-409C-BE32-E72D297353CC}">
                  <c16:uniqueId val="{0000000B-B172-42C7-BCB6-1384E0E1A09F}"/>
                </c:ext>
              </c:extLst>
            </c:dLbl>
            <c:dLbl>
              <c:idx val="12"/>
              <c:delete val="1"/>
              <c:extLst>
                <c:ext xmlns:c15="http://schemas.microsoft.com/office/drawing/2012/chart" uri="{CE6537A1-D6FC-4f65-9D91-7224C49458BB}"/>
                <c:ext xmlns:c16="http://schemas.microsoft.com/office/drawing/2014/chart" uri="{C3380CC4-5D6E-409C-BE32-E72D297353CC}">
                  <c16:uniqueId val="{0000000C-B172-42C7-BCB6-1384E0E1A09F}"/>
                </c:ext>
              </c:extLst>
            </c:dLbl>
            <c:dLbl>
              <c:idx val="13"/>
              <c:delete val="1"/>
              <c:extLst>
                <c:ext xmlns:c15="http://schemas.microsoft.com/office/drawing/2012/chart" uri="{CE6537A1-D6FC-4f65-9D91-7224C49458BB}"/>
                <c:ext xmlns:c16="http://schemas.microsoft.com/office/drawing/2014/chart" uri="{C3380CC4-5D6E-409C-BE32-E72D297353CC}">
                  <c16:uniqueId val="{0000000D-B172-42C7-BCB6-1384E0E1A09F}"/>
                </c:ext>
              </c:extLst>
            </c:dLbl>
            <c:dLbl>
              <c:idx val="14"/>
              <c:delete val="1"/>
              <c:extLst>
                <c:ext xmlns:c15="http://schemas.microsoft.com/office/drawing/2012/chart" uri="{CE6537A1-D6FC-4f65-9D91-7224C49458BB}"/>
                <c:ext xmlns:c16="http://schemas.microsoft.com/office/drawing/2014/chart" uri="{C3380CC4-5D6E-409C-BE32-E72D297353CC}">
                  <c16:uniqueId val="{0000000E-B172-42C7-BCB6-1384E0E1A09F}"/>
                </c:ext>
              </c:extLst>
            </c:dLbl>
            <c:dLbl>
              <c:idx val="15"/>
              <c:delete val="1"/>
              <c:extLst>
                <c:ext xmlns:c15="http://schemas.microsoft.com/office/drawing/2012/chart" uri="{CE6537A1-D6FC-4f65-9D91-7224C49458BB}"/>
                <c:ext xmlns:c16="http://schemas.microsoft.com/office/drawing/2014/chart" uri="{C3380CC4-5D6E-409C-BE32-E72D297353CC}">
                  <c16:uniqueId val="{0000000F-B172-42C7-BCB6-1384E0E1A09F}"/>
                </c:ext>
              </c:extLst>
            </c:dLbl>
            <c:dLbl>
              <c:idx val="16"/>
              <c:delete val="1"/>
              <c:extLst>
                <c:ext xmlns:c15="http://schemas.microsoft.com/office/drawing/2012/chart" uri="{CE6537A1-D6FC-4f65-9D91-7224C49458BB}"/>
                <c:ext xmlns:c16="http://schemas.microsoft.com/office/drawing/2014/chart" uri="{C3380CC4-5D6E-409C-BE32-E72D297353CC}">
                  <c16:uniqueId val="{00000010-B172-42C7-BCB6-1384E0E1A09F}"/>
                </c:ext>
              </c:extLst>
            </c:dLbl>
            <c:dLbl>
              <c:idx val="17"/>
              <c:delete val="1"/>
              <c:extLst>
                <c:ext xmlns:c15="http://schemas.microsoft.com/office/drawing/2012/chart" uri="{CE6537A1-D6FC-4f65-9D91-7224C49458BB}"/>
                <c:ext xmlns:c16="http://schemas.microsoft.com/office/drawing/2014/chart" uri="{C3380CC4-5D6E-409C-BE32-E72D297353CC}">
                  <c16:uniqueId val="{00000011-B172-42C7-BCB6-1384E0E1A09F}"/>
                </c:ext>
              </c:extLst>
            </c:dLbl>
            <c:dLbl>
              <c:idx val="18"/>
              <c:delete val="1"/>
              <c:extLst>
                <c:ext xmlns:c15="http://schemas.microsoft.com/office/drawing/2012/chart" uri="{CE6537A1-D6FC-4f65-9D91-7224C49458BB}"/>
                <c:ext xmlns:c16="http://schemas.microsoft.com/office/drawing/2014/chart" uri="{C3380CC4-5D6E-409C-BE32-E72D297353CC}">
                  <c16:uniqueId val="{00000012-B172-42C7-BCB6-1384E0E1A09F}"/>
                </c:ext>
              </c:extLst>
            </c:dLbl>
            <c:dLbl>
              <c:idx val="19"/>
              <c:delete val="1"/>
              <c:extLst>
                <c:ext xmlns:c15="http://schemas.microsoft.com/office/drawing/2012/chart" uri="{CE6537A1-D6FC-4f65-9D91-7224C49458BB}"/>
                <c:ext xmlns:c16="http://schemas.microsoft.com/office/drawing/2014/chart" uri="{C3380CC4-5D6E-409C-BE32-E72D297353CC}">
                  <c16:uniqueId val="{00000013-B172-42C7-BCB6-1384E0E1A09F}"/>
                </c:ext>
              </c:extLst>
            </c:dLbl>
            <c:dLbl>
              <c:idx val="20"/>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4-B172-42C7-BCB6-1384E0E1A09F}"/>
                </c:ext>
              </c:extLst>
            </c:dLbl>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6"/>
                </a:solidFill>
                <a:prstDash val="sysDash"/>
              </a:ln>
              <a:effectLst/>
            </c:spPr>
            <c:trendlineType val="linear"/>
            <c:dispRSqr val="0"/>
            <c:dispEq val="0"/>
          </c:trendline>
          <c:cat>
            <c:strRef>
              <c:f>fhp!$B$2:$B$22</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fhp!$C$2:$C$22</c:f>
              <c:numCache>
                <c:formatCode>General</c:formatCode>
                <c:ptCount val="21"/>
                <c:pt idx="0">
                  <c:v>675</c:v>
                </c:pt>
                <c:pt idx="1">
                  <c:v>646</c:v>
                </c:pt>
                <c:pt idx="2" formatCode="0">
                  <c:v>660.5</c:v>
                </c:pt>
                <c:pt idx="3">
                  <c:v>669</c:v>
                </c:pt>
                <c:pt idx="4">
                  <c:v>751</c:v>
                </c:pt>
                <c:pt idx="5">
                  <c:v>816</c:v>
                </c:pt>
                <c:pt idx="6">
                  <c:v>901</c:v>
                </c:pt>
                <c:pt idx="7">
                  <c:v>1065</c:v>
                </c:pt>
                <c:pt idx="8">
                  <c:v>1074</c:v>
                </c:pt>
                <c:pt idx="9">
                  <c:v>1121</c:v>
                </c:pt>
                <c:pt idx="10">
                  <c:v>1388</c:v>
                </c:pt>
                <c:pt idx="11">
                  <c:v>1433</c:v>
                </c:pt>
                <c:pt idx="12">
                  <c:v>1442</c:v>
                </c:pt>
                <c:pt idx="13">
                  <c:v>1437</c:v>
                </c:pt>
                <c:pt idx="14">
                  <c:v>1604</c:v>
                </c:pt>
                <c:pt idx="15">
                  <c:v>1551</c:v>
                </c:pt>
                <c:pt idx="16">
                  <c:v>1623</c:v>
                </c:pt>
                <c:pt idx="17">
                  <c:v>1523</c:v>
                </c:pt>
                <c:pt idx="18">
                  <c:v>1562</c:v>
                </c:pt>
                <c:pt idx="19">
                  <c:v>1681</c:v>
                </c:pt>
              </c:numCache>
            </c:numRef>
          </c:val>
          <c:smooth val="0"/>
          <c:extLst>
            <c:ext xmlns:c16="http://schemas.microsoft.com/office/drawing/2014/chart" uri="{C3380CC4-5D6E-409C-BE32-E72D297353CC}">
              <c16:uniqueId val="{00000016-B172-42C7-BCB6-1384E0E1A09F}"/>
            </c:ext>
          </c:extLst>
        </c:ser>
        <c:dLbls>
          <c:showLegendKey val="0"/>
          <c:showVal val="0"/>
          <c:showCatName val="0"/>
          <c:showSerName val="0"/>
          <c:showPercent val="0"/>
          <c:showBubbleSize val="0"/>
        </c:dLbls>
        <c:marker val="1"/>
        <c:smooth val="0"/>
        <c:axId val="1681884992"/>
        <c:axId val="1450801264"/>
      </c:lineChart>
      <c:catAx>
        <c:axId val="1681884992"/>
        <c:scaling>
          <c:orientation val="minMax"/>
        </c:scaling>
        <c:delete val="0"/>
        <c:axPos val="b"/>
        <c:minorGridlines>
          <c:spPr>
            <a:ln>
              <a:solidFill>
                <a:schemeClr val="tx1">
                  <a:lumMod val="5000"/>
                  <a:lumOff val="95000"/>
                </a:schemeClr>
              </a:solidFill>
            </a:ln>
            <a:effectLst/>
          </c:spPr>
        </c:minorGridlines>
        <c:title>
          <c:tx>
            <c:rich>
              <a:bodyPr rot="0" spcFirstLastPara="1" vertOverflow="ellipsis" vert="horz" wrap="square" anchor="ctr" anchorCtr="1"/>
              <a:lstStyle/>
              <a:p>
                <a:pPr>
                  <a:defRPr lang="en-GB" sz="1000" b="1"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IN" sz="1000" b="1">
                    <a:solidFill>
                      <a:sysClr val="windowText" lastClr="000000"/>
                    </a:solidFill>
                    <a:latin typeface="Times New Roman" panose="02020603050405020304" charset="0"/>
                    <a:cs typeface="Times New Roman" panose="02020603050405020304" charset="0"/>
                  </a:rPr>
                  <a:t>Year</a:t>
                </a:r>
              </a:p>
            </c:rich>
          </c:tx>
          <c:layout>
            <c:manualLayout>
              <c:xMode val="edge"/>
              <c:yMode val="edge"/>
              <c:x val="0.4942831059161083"/>
              <c:y val="0.91216216216216217"/>
            </c:manualLayout>
          </c:layout>
          <c:overlay val="0"/>
          <c:spPr>
            <a:noFill/>
            <a:ln>
              <a:noFill/>
            </a:ln>
            <a:effectLst/>
          </c:spPr>
          <c:txPr>
            <a:bodyPr rot="0" spcFirstLastPara="1" vertOverflow="ellipsis" vert="horz" wrap="square" anchor="ctr" anchorCtr="1"/>
            <a:lstStyle/>
            <a:p>
              <a:pPr>
                <a:defRPr lang="en-GB" sz="1000" b="1" i="0" u="none" strike="noStrike" kern="1200" cap="all"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1"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endParaRPr lang="en-US"/>
          </a:p>
        </c:txPr>
        <c:crossAx val="1450801264"/>
        <c:crosses val="autoZero"/>
        <c:auto val="1"/>
        <c:lblAlgn val="ctr"/>
        <c:lblOffset val="100"/>
        <c:noMultiLvlLbl val="0"/>
      </c:catAx>
      <c:valAx>
        <c:axId val="1450801264"/>
        <c:scaling>
          <c:orientation val="minMax"/>
          <c:min val="400"/>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lang="en-GB" sz="900" b="0" i="0" u="none" strike="noStrike" kern="1200" cap="all" baseline="0">
                    <a:solidFill>
                      <a:schemeClr val="tx1">
                        <a:lumMod val="65000"/>
                        <a:lumOff val="35000"/>
                      </a:schemeClr>
                    </a:solidFill>
                    <a:latin typeface="+mn-lt"/>
                    <a:ea typeface="+mn-ea"/>
                    <a:cs typeface="+mn-cs"/>
                  </a:defRPr>
                </a:pPr>
                <a:r>
                  <a:rPr lang="en-US" sz="1200" b="1" cap="none">
                    <a:solidFill>
                      <a:sysClr val="windowText" lastClr="000000"/>
                    </a:solidFill>
                    <a:latin typeface="Times New Roman" panose="02020603050405020304" charset="0"/>
                    <a:cs typeface="Times New Roman" panose="02020603050405020304" charset="0"/>
                  </a:rPr>
                  <a:t>Farm harvest price (₹/qtl)</a:t>
                </a:r>
              </a:p>
            </c:rich>
          </c:tx>
          <c:layout>
            <c:manualLayout>
              <c:xMode val="edge"/>
              <c:yMode val="edge"/>
              <c:x val="1.7607146932720367E-2"/>
              <c:y val="0.1456802865857984"/>
            </c:manualLayout>
          </c:layout>
          <c:overlay val="0"/>
          <c:spPr>
            <a:noFill/>
            <a:ln>
              <a:noFill/>
            </a:ln>
            <a:effectLst/>
          </c:spPr>
          <c:txPr>
            <a:bodyPr rot="-5400000" spcFirstLastPara="1" vertOverflow="ellipsis" vert="horz" wrap="square" anchor="ctr" anchorCtr="1"/>
            <a:lstStyle/>
            <a:p>
              <a:pPr>
                <a:defRPr lang="en-GB"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681884992"/>
        <c:crosses val="autoZero"/>
        <c:crossBetween val="between"/>
      </c:valAx>
      <c:spPr>
        <a:noFill/>
        <a:ln>
          <a:noFill/>
        </a:ln>
        <a:effectLst/>
      </c:spPr>
    </c:plotArea>
    <c:legend>
      <c:legendPos val="t"/>
      <c:layout>
        <c:manualLayout>
          <c:xMode val="edge"/>
          <c:yMode val="edge"/>
          <c:x val="0.57827472652874901"/>
          <c:y val="3.9276087110732785E-2"/>
          <c:w val="0.33993609494465371"/>
          <c:h val="6.0556619611737701E-2"/>
        </c:manualLayout>
      </c:layout>
      <c:overlay val="0"/>
      <c:spPr>
        <a:noFill/>
        <a:ln>
          <a:noFill/>
        </a:ln>
        <a:effectLst/>
      </c:spPr>
      <c:txPr>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bd931ba-5e26-499a-b6af-f4c4327b9e81}"/>
      </c:ext>
    </c:extLst>
  </c:chart>
  <c:spPr>
    <a:solidFill>
      <a:schemeClr val="lt1"/>
    </a:solidFill>
    <a:ln w="9525" cap="flat" cmpd="sng" algn="ctr">
      <a:solidFill>
        <a:schemeClr val="tx1"/>
      </a:solidFill>
      <a:round/>
    </a:ln>
    <a:effectLst/>
  </c:spPr>
  <c:txPr>
    <a:bodyPr/>
    <a:lstStyle/>
    <a:p>
      <a:pPr>
        <a:defRPr lang="en-GB"/>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42429658461674"/>
          <c:y val="5.0761421319796954E-2"/>
          <c:w val="0.85706708634938922"/>
          <c:h val="0.60835198582410699"/>
        </c:manualLayout>
      </c:layout>
      <c:barChart>
        <c:barDir val="col"/>
        <c:grouping val="clustered"/>
        <c:varyColors val="0"/>
        <c:ser>
          <c:idx val="0"/>
          <c:order val="0"/>
          <c:tx>
            <c:strRef>
              <c:f>Sheet5!$C$5:$C$6</c:f>
              <c:strCache>
                <c:ptCount val="1"/>
                <c:pt idx="0">
                  <c:v>MSP (common)</c:v>
                </c:pt>
              </c:strCache>
            </c:strRef>
          </c:tx>
          <c:spPr>
            <a:solidFill>
              <a:srgbClr val="FF9900"/>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Sheet5!$C$7:$C$12</c:f>
              <c:numCache>
                <c:formatCode>General</c:formatCode>
                <c:ptCount val="6"/>
                <c:pt idx="0">
                  <c:v>9.17</c:v>
                </c:pt>
                <c:pt idx="2">
                  <c:v>5.34</c:v>
                </c:pt>
                <c:pt idx="4">
                  <c:v>7.93</c:v>
                </c:pt>
              </c:numCache>
            </c:numRef>
          </c:val>
          <c:extLst>
            <c:ext xmlns:c16="http://schemas.microsoft.com/office/drawing/2014/chart" uri="{C3380CC4-5D6E-409C-BE32-E72D297353CC}">
              <c16:uniqueId val="{00000000-B26C-4CB6-82A1-F1B671A8E727}"/>
            </c:ext>
          </c:extLst>
        </c:ser>
        <c:ser>
          <c:idx val="1"/>
          <c:order val="1"/>
          <c:tx>
            <c:strRef>
              <c:f>Sheet5!$D$5:$D$6</c:f>
              <c:strCache>
                <c:ptCount val="1"/>
                <c:pt idx="0">
                  <c:v>MSP (Grade 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Sheet5!$D$7:$D$12</c:f>
              <c:numCache>
                <c:formatCode>General</c:formatCode>
                <c:ptCount val="6"/>
                <c:pt idx="0">
                  <c:v>8.7899999999999991</c:v>
                </c:pt>
                <c:pt idx="2">
                  <c:v>5.0999999999999996</c:v>
                </c:pt>
                <c:pt idx="4">
                  <c:v>7.67</c:v>
                </c:pt>
              </c:numCache>
            </c:numRef>
          </c:val>
          <c:extLst>
            <c:ext xmlns:c16="http://schemas.microsoft.com/office/drawing/2014/chart" uri="{C3380CC4-5D6E-409C-BE32-E72D297353CC}">
              <c16:uniqueId val="{00000001-B26C-4CB6-82A1-F1B671A8E727}"/>
            </c:ext>
          </c:extLst>
        </c:ser>
        <c:ser>
          <c:idx val="2"/>
          <c:order val="2"/>
          <c:tx>
            <c:strRef>
              <c:f>Sheet5!$E$5:$E$6</c:f>
              <c:strCache>
                <c:ptCount val="1"/>
                <c:pt idx="0">
                  <c:v>FHP</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Sheet5!$E$7:$E$12</c:f>
              <c:numCache>
                <c:formatCode>General</c:formatCode>
                <c:ptCount val="6"/>
                <c:pt idx="0">
                  <c:v>7.21</c:v>
                </c:pt>
                <c:pt idx="2">
                  <c:v>1.79</c:v>
                </c:pt>
                <c:pt idx="4">
                  <c:v>5.91</c:v>
                </c:pt>
              </c:numCache>
            </c:numRef>
          </c:val>
          <c:extLst>
            <c:ext xmlns:c16="http://schemas.microsoft.com/office/drawing/2014/chart" uri="{C3380CC4-5D6E-409C-BE32-E72D297353CC}">
              <c16:uniqueId val="{00000002-B26C-4CB6-82A1-F1B671A8E727}"/>
            </c:ext>
          </c:extLst>
        </c:ser>
        <c:dLbls>
          <c:showLegendKey val="0"/>
          <c:showVal val="1"/>
          <c:showCatName val="0"/>
          <c:showSerName val="0"/>
          <c:showPercent val="0"/>
          <c:showBubbleSize val="0"/>
        </c:dLbls>
        <c:gapWidth val="100"/>
        <c:overlap val="-24"/>
        <c:axId val="208074560"/>
        <c:axId val="312144944"/>
      </c:barChart>
      <c:catAx>
        <c:axId val="208074560"/>
        <c:scaling>
          <c:orientation val="minMax"/>
        </c:scaling>
        <c:delete val="0"/>
        <c:axPos val="b"/>
        <c:title>
          <c:tx>
            <c:rich>
              <a:bodyPr rot="0" spcFirstLastPara="1" vertOverflow="ellipsis" vert="horz" wrap="square" anchor="ctr" anchorCtr="1"/>
              <a:lstStyle/>
              <a:p>
                <a:pPr>
                  <a:defRPr lang="en-GB"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100"/>
                  <a:t>Period of study</a:t>
                </a:r>
              </a:p>
            </c:rich>
          </c:tx>
          <c:layout>
            <c:manualLayout>
              <c:xMode val="edge"/>
              <c:yMode val="edge"/>
              <c:x val="0.41646424731963855"/>
              <c:y val="0.82684792342133706"/>
            </c:manualLayout>
          </c:layout>
          <c:overlay val="0"/>
          <c:spPr>
            <a:noFill/>
            <a:ln>
              <a:noFill/>
            </a:ln>
            <a:effectLst/>
          </c:spPr>
          <c:txPr>
            <a:bodyPr rot="0" spcFirstLastPara="1" vertOverflow="ellipsis" vert="horz" wrap="square" anchor="ctr" anchorCtr="1"/>
            <a:lstStyle/>
            <a:p>
              <a:pPr>
                <a:defRPr lang="en-GB"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12144944"/>
        <c:crosses val="autoZero"/>
        <c:auto val="1"/>
        <c:lblAlgn val="ctr"/>
        <c:lblOffset val="100"/>
        <c:noMultiLvlLbl val="0"/>
      </c:catAx>
      <c:valAx>
        <c:axId val="312144944"/>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000"/>
                  <a:t>Compound annual</a:t>
                </a:r>
                <a:r>
                  <a:rPr lang="en-IN" sz="1000" baseline="0"/>
                  <a:t> growth rate</a:t>
                </a:r>
              </a:p>
              <a:p>
                <a:pPr>
                  <a:defRPr sz="1000"/>
                </a:pPr>
                <a:r>
                  <a:rPr lang="en-IN" sz="1000" baseline="0"/>
                  <a:t> (% per annum)</a:t>
                </a:r>
                <a:endParaRPr lang="en-IN" sz="1000"/>
              </a:p>
            </c:rich>
          </c:tx>
          <c:overlay val="0"/>
          <c:spPr>
            <a:noFill/>
            <a:ln>
              <a:noFill/>
            </a:ln>
            <a:effectLst/>
          </c:spPr>
          <c:txPr>
            <a:bodyPr rot="-54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807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4ad95d8-d09c-4817-aabe-7854d73873fb}"/>
      </c:ext>
    </c:extLst>
  </c:chart>
  <c:spPr>
    <a:solidFill>
      <a:schemeClr val="bg1"/>
    </a:solidFill>
    <a:ln w="9525" cap="flat" cmpd="sng" algn="ctr">
      <a:solidFill>
        <a:sysClr val="windowText" lastClr="000000"/>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3678-3A20-4CE3-A640-596FD44C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mekha vinod</dc:creator>
  <cp:keywords/>
  <dc:description/>
  <cp:lastModifiedBy>SDI 1084</cp:lastModifiedBy>
  <cp:revision>7</cp:revision>
  <dcterms:created xsi:type="dcterms:W3CDTF">2026-01-17T14:06:00Z</dcterms:created>
  <dcterms:modified xsi:type="dcterms:W3CDTF">2026-01-19T08:39:00Z</dcterms:modified>
</cp:coreProperties>
</file>