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713EC" w14:textId="76791698" w:rsidR="00C20442" w:rsidRDefault="00786C09" w:rsidP="00811732">
      <w:pPr>
        <w:jc w:val="both"/>
        <w:rPr>
          <w:rFonts w:ascii="Times New Roman" w:hAnsi="Times New Roman" w:cs="Times New Roman"/>
          <w:b/>
          <w:bCs/>
          <w:sz w:val="24"/>
          <w:szCs w:val="24"/>
        </w:rPr>
      </w:pPr>
      <w:r w:rsidRPr="00786C09">
        <w:rPr>
          <w:rFonts w:ascii="Times New Roman" w:hAnsi="Times New Roman" w:cs="Times New Roman"/>
          <w:b/>
          <w:bCs/>
          <w:sz w:val="24"/>
          <w:szCs w:val="24"/>
        </w:rPr>
        <w:t>Performance of Single-Cut Fodder Oat (</w:t>
      </w:r>
      <w:r w:rsidRPr="00811732">
        <w:rPr>
          <w:rFonts w:ascii="Times New Roman" w:hAnsi="Times New Roman" w:cs="Times New Roman"/>
          <w:b/>
          <w:bCs/>
          <w:i/>
          <w:iCs/>
          <w:sz w:val="24"/>
          <w:szCs w:val="24"/>
        </w:rPr>
        <w:t>Avena sativa</w:t>
      </w:r>
      <w:r w:rsidRPr="00786C09">
        <w:rPr>
          <w:rFonts w:ascii="Times New Roman" w:hAnsi="Times New Roman" w:cs="Times New Roman"/>
          <w:b/>
          <w:bCs/>
          <w:sz w:val="24"/>
          <w:szCs w:val="24"/>
        </w:rPr>
        <w:t xml:space="preserve"> L.) Genotypes for Yield, Quality and Attributing Traits Using Multivariate Analysis</w:t>
      </w:r>
    </w:p>
    <w:p w14:paraId="617D0481" w14:textId="77777777" w:rsidR="00C20442" w:rsidRDefault="00C20442" w:rsidP="00FB0538">
      <w:pPr>
        <w:rPr>
          <w:rFonts w:ascii="Times New Roman" w:hAnsi="Times New Roman" w:cs="Times New Roman"/>
          <w:b/>
          <w:bCs/>
          <w:sz w:val="24"/>
          <w:szCs w:val="24"/>
        </w:rPr>
      </w:pPr>
      <w:bookmarkStart w:id="0" w:name="_GoBack"/>
      <w:bookmarkEnd w:id="0"/>
    </w:p>
    <w:p w14:paraId="624D3378" w14:textId="77777777" w:rsidR="00C20442" w:rsidRPr="00C20442" w:rsidRDefault="00C20442" w:rsidP="00C20442">
      <w:pPr>
        <w:rPr>
          <w:rFonts w:ascii="Times New Roman" w:hAnsi="Times New Roman" w:cs="Times New Roman"/>
          <w:b/>
          <w:bCs/>
          <w:sz w:val="24"/>
          <w:szCs w:val="24"/>
        </w:rPr>
      </w:pPr>
      <w:r w:rsidRPr="00C20442">
        <w:rPr>
          <w:rFonts w:ascii="Times New Roman" w:hAnsi="Times New Roman" w:cs="Times New Roman"/>
          <w:b/>
          <w:bCs/>
          <w:sz w:val="24"/>
          <w:szCs w:val="24"/>
        </w:rPr>
        <w:t>Abstract</w:t>
      </w:r>
    </w:p>
    <w:p w14:paraId="46BC5E88" w14:textId="4C749734" w:rsidR="00C20442" w:rsidRDefault="00C20442" w:rsidP="00C20442">
      <w:pPr>
        <w:spacing w:line="360" w:lineRule="auto"/>
        <w:jc w:val="both"/>
        <w:rPr>
          <w:rFonts w:ascii="Times New Roman" w:hAnsi="Times New Roman" w:cs="Times New Roman"/>
          <w:szCs w:val="22"/>
        </w:rPr>
      </w:pPr>
      <w:r w:rsidRPr="00C20442">
        <w:rPr>
          <w:rFonts w:ascii="Times New Roman" w:hAnsi="Times New Roman" w:cs="Times New Roman"/>
          <w:szCs w:val="22"/>
        </w:rPr>
        <w:t>The present investigation was conducted to evaluate the performance of twelve single-cut oat (</w:t>
      </w:r>
      <w:r w:rsidRPr="00C20442">
        <w:rPr>
          <w:rFonts w:ascii="Times New Roman" w:hAnsi="Times New Roman" w:cs="Times New Roman"/>
          <w:i/>
          <w:iCs/>
          <w:szCs w:val="22"/>
        </w:rPr>
        <w:t>Avena sativa</w:t>
      </w:r>
      <w:r w:rsidRPr="00C20442">
        <w:rPr>
          <w:rFonts w:ascii="Times New Roman" w:hAnsi="Times New Roman" w:cs="Times New Roman"/>
          <w:szCs w:val="22"/>
        </w:rPr>
        <w:t xml:space="preserve"> L.) genotypes for yield, quality, and associated traits and to identify key selection criteria for fodder improvement. The experiment was carried out during the Rabi season (2022</w:t>
      </w:r>
      <w:r w:rsidR="00C515F7">
        <w:rPr>
          <w:rFonts w:ascii="Times New Roman" w:hAnsi="Times New Roman" w:cs="Times New Roman"/>
          <w:szCs w:val="22"/>
        </w:rPr>
        <w:t>-</w:t>
      </w:r>
      <w:r w:rsidRPr="00C20442">
        <w:rPr>
          <w:rFonts w:ascii="Times New Roman" w:hAnsi="Times New Roman" w:cs="Times New Roman"/>
          <w:szCs w:val="22"/>
        </w:rPr>
        <w:t>23) at the Forage Research Area, CCS Haryana Agricultural University, Hisar. Significant variability was observed among genotypes for green fodder yield, dry matter yield, and quality traits, with green fodder yield ranging from 443.29 to 836.56 q ha⁻¹, dry matter yield from 84.22 to 200.08 q ha⁻¹, and crude protein content from 7.91 to 10.36%. Phenotypic coefficients of variation were higher than genotypic coefficients for all traits, indicating environmental influence on trait expression. High heritability was recorded for crude protein content, number of tillers per meter row length, and days to 50</w:t>
      </w:r>
      <w:r w:rsidR="007B6441">
        <w:rPr>
          <w:rFonts w:ascii="Times New Roman" w:hAnsi="Times New Roman" w:cs="Times New Roman"/>
          <w:szCs w:val="22"/>
        </w:rPr>
        <w:t xml:space="preserve"> </w:t>
      </w:r>
      <w:r w:rsidRPr="00C20442">
        <w:rPr>
          <w:rFonts w:ascii="Times New Roman" w:hAnsi="Times New Roman" w:cs="Times New Roman"/>
          <w:szCs w:val="22"/>
        </w:rPr>
        <w:t>% flowering, while leaf–stem ratio and dry matter yield exhibited high genetic advance as percent of mean, suggesting the predominance of additive gene action. Correlation and path coefficient analyses revealed that dry matter yield, per day dry matter yield, flowering duration, and leaf biomass were central to fodder productivity, with days to 50</w:t>
      </w:r>
      <w:r w:rsidR="00A60FA9">
        <w:rPr>
          <w:rFonts w:ascii="Times New Roman" w:hAnsi="Times New Roman" w:cs="Times New Roman"/>
          <w:szCs w:val="22"/>
        </w:rPr>
        <w:t xml:space="preserve"> </w:t>
      </w:r>
      <w:r w:rsidRPr="00C20442">
        <w:rPr>
          <w:rFonts w:ascii="Times New Roman" w:hAnsi="Times New Roman" w:cs="Times New Roman"/>
          <w:szCs w:val="22"/>
        </w:rPr>
        <w:t>% flowering, leaf weight, and per day dry matter yield exerting strong positive direct effects on green fodder yield. Principal component analysis further confirmed that biomass accumulation, flowering duration, daily productivity, and leafiness were the major contributors to variability. Overall, the integrated multivariate approach identified key traits and genotypes that can be effectively utilized in breeding programmes aimed at improving fodder yield and nutritional quality in oats.</w:t>
      </w:r>
    </w:p>
    <w:p w14:paraId="7D54D204" w14:textId="5060BEEB" w:rsidR="00C20442" w:rsidRPr="00C20442" w:rsidRDefault="00C20442" w:rsidP="00C20442">
      <w:pPr>
        <w:spacing w:line="360" w:lineRule="auto"/>
        <w:jc w:val="both"/>
        <w:rPr>
          <w:rFonts w:ascii="Times New Roman" w:hAnsi="Times New Roman" w:cs="Times New Roman"/>
          <w:b/>
          <w:bCs/>
          <w:szCs w:val="22"/>
        </w:rPr>
      </w:pPr>
      <w:r w:rsidRPr="00C20442">
        <w:rPr>
          <w:rFonts w:ascii="Times New Roman" w:hAnsi="Times New Roman" w:cs="Times New Roman"/>
          <w:b/>
          <w:bCs/>
          <w:szCs w:val="22"/>
        </w:rPr>
        <w:t>Keywords</w:t>
      </w:r>
      <w:r w:rsidR="009F7BA3">
        <w:rPr>
          <w:rFonts w:ascii="Times New Roman" w:hAnsi="Times New Roman" w:cs="Times New Roman"/>
          <w:b/>
          <w:bCs/>
          <w:szCs w:val="22"/>
        </w:rPr>
        <w:t xml:space="preserve">: </w:t>
      </w:r>
      <w:r w:rsidR="00B85456">
        <w:rPr>
          <w:rFonts w:ascii="Times New Roman" w:hAnsi="Times New Roman" w:cs="Times New Roman"/>
          <w:b/>
          <w:bCs/>
          <w:szCs w:val="22"/>
        </w:rPr>
        <w:t>G</w:t>
      </w:r>
      <w:r w:rsidRPr="00C20442">
        <w:rPr>
          <w:rFonts w:ascii="Times New Roman" w:hAnsi="Times New Roman" w:cs="Times New Roman"/>
          <w:b/>
          <w:bCs/>
          <w:szCs w:val="22"/>
        </w:rPr>
        <w:t xml:space="preserve">reen fodder yield, dry matter yield, correlation analysis, path coefficient analysis, principal component analysis, </w:t>
      </w:r>
      <w:r w:rsidR="00B85456">
        <w:rPr>
          <w:rFonts w:ascii="Times New Roman" w:hAnsi="Times New Roman" w:cs="Times New Roman"/>
          <w:b/>
          <w:bCs/>
          <w:sz w:val="24"/>
          <w:szCs w:val="24"/>
        </w:rPr>
        <w:t>m</w:t>
      </w:r>
      <w:r w:rsidR="00B85456" w:rsidRPr="00786C09">
        <w:rPr>
          <w:rFonts w:ascii="Times New Roman" w:hAnsi="Times New Roman" w:cs="Times New Roman"/>
          <w:b/>
          <w:bCs/>
          <w:sz w:val="24"/>
          <w:szCs w:val="24"/>
        </w:rPr>
        <w:t xml:space="preserve">ultivariate </w:t>
      </w:r>
      <w:r w:rsidR="00B85456">
        <w:rPr>
          <w:rFonts w:ascii="Times New Roman" w:hAnsi="Times New Roman" w:cs="Times New Roman"/>
          <w:b/>
          <w:bCs/>
          <w:sz w:val="24"/>
          <w:szCs w:val="24"/>
        </w:rPr>
        <w:t>a</w:t>
      </w:r>
      <w:r w:rsidR="00B85456" w:rsidRPr="00786C09">
        <w:rPr>
          <w:rFonts w:ascii="Times New Roman" w:hAnsi="Times New Roman" w:cs="Times New Roman"/>
          <w:b/>
          <w:bCs/>
          <w:sz w:val="24"/>
          <w:szCs w:val="24"/>
        </w:rPr>
        <w:t>nalysis</w:t>
      </w:r>
      <w:r w:rsidR="00B85456">
        <w:rPr>
          <w:rFonts w:ascii="Times New Roman" w:hAnsi="Times New Roman" w:cs="Times New Roman"/>
          <w:b/>
          <w:bCs/>
          <w:szCs w:val="22"/>
        </w:rPr>
        <w:t xml:space="preserve">, </w:t>
      </w:r>
      <w:r w:rsidRPr="00C20442">
        <w:rPr>
          <w:rFonts w:ascii="Times New Roman" w:hAnsi="Times New Roman" w:cs="Times New Roman"/>
          <w:b/>
          <w:bCs/>
          <w:szCs w:val="22"/>
        </w:rPr>
        <w:t>heritability, fodder oat breeding</w:t>
      </w:r>
    </w:p>
    <w:p w14:paraId="12A883F5" w14:textId="77777777" w:rsidR="00C20442" w:rsidRDefault="00C20442" w:rsidP="00FB0538">
      <w:pPr>
        <w:rPr>
          <w:rFonts w:ascii="Times New Roman" w:hAnsi="Times New Roman" w:cs="Times New Roman"/>
          <w:b/>
          <w:bCs/>
          <w:sz w:val="24"/>
          <w:szCs w:val="24"/>
        </w:rPr>
      </w:pPr>
    </w:p>
    <w:p w14:paraId="17286C30" w14:textId="77777777" w:rsidR="00792F68" w:rsidRDefault="00792F68" w:rsidP="00FB0538">
      <w:pPr>
        <w:rPr>
          <w:rFonts w:ascii="Times New Roman" w:hAnsi="Times New Roman" w:cs="Times New Roman"/>
          <w:b/>
          <w:bCs/>
          <w:sz w:val="24"/>
          <w:szCs w:val="24"/>
        </w:rPr>
      </w:pPr>
    </w:p>
    <w:p w14:paraId="042CCF78" w14:textId="77777777" w:rsidR="00792F68" w:rsidRDefault="00792F68" w:rsidP="00FB0538">
      <w:pPr>
        <w:rPr>
          <w:rFonts w:ascii="Times New Roman" w:hAnsi="Times New Roman" w:cs="Times New Roman"/>
          <w:b/>
          <w:bCs/>
          <w:sz w:val="24"/>
          <w:szCs w:val="24"/>
        </w:rPr>
      </w:pPr>
    </w:p>
    <w:p w14:paraId="22D83215" w14:textId="04CB3E97" w:rsidR="00FB0538" w:rsidRPr="00FB0538" w:rsidRDefault="00FB0538" w:rsidP="00FB0538">
      <w:pPr>
        <w:rPr>
          <w:rFonts w:ascii="Times New Roman" w:hAnsi="Times New Roman" w:cs="Times New Roman"/>
          <w:b/>
          <w:bCs/>
          <w:sz w:val="24"/>
          <w:szCs w:val="24"/>
        </w:rPr>
      </w:pPr>
      <w:r w:rsidRPr="00FB0538">
        <w:rPr>
          <w:rFonts w:ascii="Times New Roman" w:hAnsi="Times New Roman" w:cs="Times New Roman"/>
          <w:b/>
          <w:bCs/>
          <w:sz w:val="24"/>
          <w:szCs w:val="24"/>
        </w:rPr>
        <w:t xml:space="preserve">Introduction </w:t>
      </w:r>
    </w:p>
    <w:p w14:paraId="57710D24" w14:textId="491CFFA9" w:rsidR="00FB0538" w:rsidRP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Oat (</w:t>
      </w:r>
      <w:r w:rsidRPr="00FB0538">
        <w:rPr>
          <w:rFonts w:ascii="Times New Roman" w:hAnsi="Times New Roman" w:cs="Times New Roman"/>
          <w:i/>
          <w:iCs/>
        </w:rPr>
        <w:t>Avena sativa</w:t>
      </w:r>
      <w:r w:rsidRPr="00FB0538">
        <w:rPr>
          <w:rFonts w:ascii="Times New Roman" w:hAnsi="Times New Roman" w:cs="Times New Roman"/>
        </w:rPr>
        <w:t xml:space="preserve"> L.) is an important winter forage crop widely cultivated for green fodder, hay, and silage because of its high biomass production, rapid growth, and superior nutritional quality. In India, the availability of green fodder during the rabi season is increasingly constrained due to competition for land with food crops such as wheat. Under such conditions, oat plays a vital role in mitigating fodder scarcity and sustaining livestock productivity. Oat fodder is highly palatable, digestible, and rich in crude protein and fibre, making it an essential component of sustainable livestock-based production </w:t>
      </w:r>
      <w:r w:rsidRPr="00FB0538">
        <w:rPr>
          <w:rFonts w:ascii="Times New Roman" w:hAnsi="Times New Roman" w:cs="Times New Roman"/>
        </w:rPr>
        <w:lastRenderedPageBreak/>
        <w:t>systems (Suttie and Reynolds, 2004).</w:t>
      </w:r>
      <w:r>
        <w:rPr>
          <w:rFonts w:ascii="Times New Roman" w:hAnsi="Times New Roman" w:cs="Times New Roman"/>
        </w:rPr>
        <w:t xml:space="preserve"> </w:t>
      </w:r>
      <w:r w:rsidRPr="00FB0538">
        <w:rPr>
          <w:rFonts w:ascii="Times New Roman" w:hAnsi="Times New Roman" w:cs="Times New Roman"/>
        </w:rPr>
        <w:t>Improvement of fodder yield and quality in oat is challenging because these traits are quantitatively inherited and governed by multiple interrelated morphological, physiological, and quality attributes. An understanding of the extent of genetic variability present among genotypes is therefore a prerequisite for effective selection and genetic improvement. Estimates of genotypic and phenotypic coefficients of variation, heritability, and genetic advance provide valuable insight into the nature of gene action controlling important traits and help identify characters that can be improved through selection (Burton, 1952; Johnson et al., 1955).</w:t>
      </w:r>
    </w:p>
    <w:p w14:paraId="4AE7587F" w14:textId="77777777" w:rsid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 xml:space="preserve">Correlation analysis is commonly used to assess the degree and direction of association between yield and its component traits and assists in identifying characters that may serve as indirect selection criteria (Al-Jibouri et al., 1958). However, correlation coefficients alone do not reveal the </w:t>
      </w:r>
      <w:r>
        <w:rPr>
          <w:rFonts w:ascii="Times New Roman" w:hAnsi="Times New Roman" w:cs="Times New Roman"/>
        </w:rPr>
        <w:t>cause–and–effect</w:t>
      </w:r>
      <w:r w:rsidRPr="00FB0538">
        <w:rPr>
          <w:rFonts w:ascii="Times New Roman" w:hAnsi="Times New Roman" w:cs="Times New Roman"/>
        </w:rPr>
        <w:t xml:space="preserve"> relationship among traits. Path coefficient analysis further partitions these associations into direct and indirect effects, thereby elucidating the real contribution of individual traits to fodder yield (Wright, 1921; Dewey and Lu, 1959). Such analyses are particularly useful in forage crops, where green fodder yield and dry matter yield are the primary determinants of biomass availability and animal performance.</w:t>
      </w:r>
      <w:r>
        <w:rPr>
          <w:rFonts w:ascii="Times New Roman" w:hAnsi="Times New Roman" w:cs="Times New Roman"/>
        </w:rPr>
        <w:t xml:space="preserve">  </w:t>
      </w:r>
    </w:p>
    <w:p w14:paraId="43F88BBE" w14:textId="02243FD7" w:rsid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In addition to these approaches, multivariate statistical techniques such as Principal Component Analysis (PCA) provide a comprehensive understanding of complex relationships among multiple traits simultaneously. PCA reduces dimensionality by transforming correlated variables into a smaller number of independent principal components that explain most of the total variation present in the dataset, thereby facilitating identification of major yield-attributing traits and efficient grouping of genotypes (Pearson, 1901; Hotelling, 1936). This approach has been successfully employed in oat and other forage crops to identify key traits contributing to fodder and seed yield (</w:t>
      </w:r>
      <w:proofErr w:type="spellStart"/>
      <w:r w:rsidRPr="00FB0538">
        <w:rPr>
          <w:rFonts w:ascii="Times New Roman" w:hAnsi="Times New Roman" w:cs="Times New Roman"/>
        </w:rPr>
        <w:t>Vaisi</w:t>
      </w:r>
      <w:proofErr w:type="spellEnd"/>
      <w:r w:rsidRPr="00FB0538">
        <w:rPr>
          <w:rFonts w:ascii="Times New Roman" w:hAnsi="Times New Roman" w:cs="Times New Roman"/>
        </w:rPr>
        <w:t xml:space="preserve"> et al., 2013; Krishna et al., 2014).Keeping these considerations in view, the present study was undertaken to (</w:t>
      </w:r>
      <w:proofErr w:type="spellStart"/>
      <w:r w:rsidRPr="00FB0538">
        <w:rPr>
          <w:rFonts w:ascii="Times New Roman" w:hAnsi="Times New Roman" w:cs="Times New Roman"/>
        </w:rPr>
        <w:t>i</w:t>
      </w:r>
      <w:proofErr w:type="spellEnd"/>
      <w:r w:rsidRPr="00FB0538">
        <w:rPr>
          <w:rFonts w:ascii="Times New Roman" w:hAnsi="Times New Roman" w:cs="Times New Roman"/>
        </w:rPr>
        <w:t xml:space="preserve">) estimate the genetic variability for fodder yield, quality, and related morphological traits in single-cut oat genotypes, (ii) assess the nature and magnitude of association among these traits through correlation and path coefficient analysis, and (iii) identify key yield-contributing traits using principal component analysis. The findings of this study are expected to provide a scientific basis for formulating effective selection strategies aimed at improving fodder yield and quality in </w:t>
      </w:r>
      <w:r w:rsidR="008F69EA">
        <w:rPr>
          <w:rFonts w:ascii="Times New Roman" w:hAnsi="Times New Roman" w:cs="Times New Roman"/>
        </w:rPr>
        <w:t>oats</w:t>
      </w:r>
      <w:r w:rsidRPr="00FB0538">
        <w:rPr>
          <w:rFonts w:ascii="Times New Roman" w:hAnsi="Times New Roman" w:cs="Times New Roman"/>
        </w:rPr>
        <w:t>.</w:t>
      </w:r>
    </w:p>
    <w:p w14:paraId="70425EC3" w14:textId="77777777" w:rsidR="008F69EA" w:rsidRDefault="008F69EA" w:rsidP="005453C0">
      <w:pPr>
        <w:rPr>
          <w:rFonts w:ascii="Times New Roman" w:hAnsi="Times New Roman" w:cs="Times New Roman"/>
          <w:b/>
          <w:bCs/>
        </w:rPr>
      </w:pPr>
    </w:p>
    <w:p w14:paraId="59176FC9" w14:textId="157CCFF3" w:rsidR="005453C0" w:rsidRPr="005453C0" w:rsidRDefault="005453C0" w:rsidP="005453C0">
      <w:pPr>
        <w:rPr>
          <w:rFonts w:ascii="Times New Roman" w:hAnsi="Times New Roman" w:cs="Times New Roman"/>
          <w:b/>
          <w:bCs/>
        </w:rPr>
      </w:pPr>
      <w:r w:rsidRPr="005453C0">
        <w:rPr>
          <w:rFonts w:ascii="Times New Roman" w:hAnsi="Times New Roman" w:cs="Times New Roman"/>
          <w:b/>
          <w:bCs/>
        </w:rPr>
        <w:t xml:space="preserve">Material and </w:t>
      </w:r>
      <w:r>
        <w:rPr>
          <w:rFonts w:ascii="Times New Roman" w:hAnsi="Times New Roman" w:cs="Times New Roman"/>
          <w:b/>
          <w:bCs/>
        </w:rPr>
        <w:t>M</w:t>
      </w:r>
      <w:r w:rsidRPr="005453C0">
        <w:rPr>
          <w:rFonts w:ascii="Times New Roman" w:hAnsi="Times New Roman" w:cs="Times New Roman"/>
          <w:b/>
          <w:bCs/>
        </w:rPr>
        <w:t>ethods</w:t>
      </w:r>
    </w:p>
    <w:p w14:paraId="5E4B6D1A" w14:textId="77281E18" w:rsidR="005453C0" w:rsidRDefault="005453C0" w:rsidP="008F69EA">
      <w:pPr>
        <w:spacing w:line="360" w:lineRule="auto"/>
        <w:jc w:val="both"/>
        <w:rPr>
          <w:rFonts w:ascii="Times New Roman" w:hAnsi="Times New Roman" w:cs="Times New Roman"/>
        </w:rPr>
      </w:pPr>
      <w:r w:rsidRPr="005453C0">
        <w:rPr>
          <w:rFonts w:ascii="Times New Roman" w:hAnsi="Times New Roman" w:cs="Times New Roman"/>
        </w:rPr>
        <w:t>The field experiment was conducted during the Rabi (winter) season of 2022–23 at the Forage Research Area, Chaudhary Charan Singh Haryana Agricultural University (CCSHAU), Hisar, India, under semi-arid subtropical conditions. A total of twelve single-cut oat (</w:t>
      </w:r>
      <w:r w:rsidRPr="005453C0">
        <w:rPr>
          <w:rFonts w:ascii="Times New Roman" w:hAnsi="Times New Roman" w:cs="Times New Roman"/>
          <w:i/>
          <w:iCs/>
        </w:rPr>
        <w:t>Avena sativa</w:t>
      </w:r>
      <w:r w:rsidRPr="005453C0">
        <w:rPr>
          <w:rFonts w:ascii="Times New Roman" w:hAnsi="Times New Roman" w:cs="Times New Roman"/>
        </w:rPr>
        <w:t xml:space="preserve"> L.) genotypes were evaluated in a Randomized Block Design (RBD) with three replications, using a plot size of 3 m × 4 m (12 m²), and all recommended agronomic practices were uniformly followed. Observations were recorded for eleven traits, including days to 50% flowering, plant height (cm), number of tillers per meter row length, </w:t>
      </w:r>
      <w:r w:rsidRPr="005453C0">
        <w:rPr>
          <w:rFonts w:ascii="Times New Roman" w:hAnsi="Times New Roman" w:cs="Times New Roman"/>
        </w:rPr>
        <w:lastRenderedPageBreak/>
        <w:t>green fodder yield (q ha⁻¹), dry matter yield (q ha⁻¹), per day green fodder yield (q ha⁻¹ day⁻¹), per day dry matter yield (q ha⁻¹ day⁻¹), leaf length (cm), leaf width (cm), leaf–stem ratio, and crude protein content (%). Analysis of variance was performed to test the significance of genotypic differences, and genotypic and phenotypic correlation coefficients were computed following Al-Jibouri et al. (1958). Path coefficient analysis was carried out according to Wright (1921) as elaborated by Dewey and Lu (1959) to estimate direct and indirect effects of component traits on fodder yield. Principal Component Analysis (PCA) based on the correlation matrix was employed to identify major yield-attributing traits, considering principal components with eigenvalues greater than unity. All statistical analyses were performed using OPSTAT and INDOSTAT software.</w:t>
      </w:r>
    </w:p>
    <w:p w14:paraId="01F2CB0B" w14:textId="461FF34E" w:rsidR="008F69EA" w:rsidRDefault="008F69EA" w:rsidP="008F69EA">
      <w:pPr>
        <w:spacing w:line="360" w:lineRule="auto"/>
        <w:jc w:val="both"/>
        <w:rPr>
          <w:rFonts w:ascii="Times New Roman" w:hAnsi="Times New Roman" w:cs="Times New Roman"/>
          <w:b/>
          <w:bCs/>
          <w:sz w:val="24"/>
          <w:szCs w:val="24"/>
        </w:rPr>
      </w:pPr>
      <w:r w:rsidRPr="008F69EA">
        <w:rPr>
          <w:rFonts w:ascii="Times New Roman" w:hAnsi="Times New Roman" w:cs="Times New Roman"/>
          <w:b/>
          <w:bCs/>
          <w:sz w:val="24"/>
          <w:szCs w:val="24"/>
        </w:rPr>
        <w:t xml:space="preserve">Results </w:t>
      </w:r>
      <w:r w:rsidR="00CB7916">
        <w:rPr>
          <w:rFonts w:ascii="Times New Roman" w:hAnsi="Times New Roman" w:cs="Times New Roman"/>
          <w:b/>
          <w:bCs/>
          <w:sz w:val="24"/>
          <w:szCs w:val="24"/>
        </w:rPr>
        <w:t xml:space="preserve">and </w:t>
      </w:r>
      <w:r w:rsidRPr="008F69EA">
        <w:rPr>
          <w:rFonts w:ascii="Times New Roman" w:hAnsi="Times New Roman" w:cs="Times New Roman"/>
          <w:b/>
          <w:bCs/>
          <w:sz w:val="24"/>
          <w:szCs w:val="24"/>
        </w:rPr>
        <w:t xml:space="preserve">Discussion </w:t>
      </w:r>
    </w:p>
    <w:p w14:paraId="3EE87C2E" w14:textId="0A5A717C" w:rsidR="00FC2010" w:rsidRDefault="001E4071" w:rsidP="008F69EA">
      <w:pPr>
        <w:spacing w:line="360" w:lineRule="auto"/>
        <w:jc w:val="both"/>
        <w:rPr>
          <w:rFonts w:ascii="Times New Roman" w:hAnsi="Times New Roman" w:cs="Times New Roman"/>
          <w:color w:val="EE0000"/>
        </w:rPr>
      </w:pPr>
      <w:r w:rsidRPr="001E4071">
        <w:rPr>
          <w:rFonts w:ascii="Times New Roman" w:hAnsi="Times New Roman" w:cs="Times New Roman"/>
        </w:rPr>
        <w:t>The performance of twelve single-cut oat genotypes for quality, yield, and attributing traits was evaluated during the Rabi season (2022–23) at the Forage Research Area, CCSHAU, Hisar. Green fodder yield varied from 443.29 to 836.56 q ha⁻¹, while dry matter yield ranged from 84.22 to 200.08 q ha⁻¹. Crude protein content ranged from 7.91 to 10.36%, indicating substantial variability among genotypes. The genotypic coefficient of variation was lower than the corresponding phenotypic coefficient of variation for all eleven traits, suggesting considerable environmental influence on trait expression. High heritability was recorded for crude protein content, number of tillers per meter row length, and days to 50% flowering, whereas leaf–stem ratio and dry matter yield exhibited high genetic advance as percentage of mean, indicating the predominance of additive gene action.</w:t>
      </w:r>
      <w:r w:rsidRPr="006B3FE1">
        <w:rPr>
          <w:rFonts w:ascii="Times New Roman" w:hAnsi="Times New Roman" w:cs="Times New Roman"/>
          <w:color w:val="EE0000"/>
        </w:rPr>
        <w:t xml:space="preserve"> </w:t>
      </w:r>
    </w:p>
    <w:p w14:paraId="3ADE2838"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Correlation analysis is a fundamental approach in plant breeding to elucidate the nature and magnitude of relationships among yield, its component traits, and quality attributes, thereby facilitating efficient selection strategies (</w:t>
      </w:r>
      <w:proofErr w:type="spellStart"/>
      <w:r w:rsidRPr="00FC2010">
        <w:rPr>
          <w:rFonts w:ascii="Times New Roman" w:hAnsi="Times New Roman" w:cs="Times New Roman"/>
          <w:color w:val="000000" w:themeColor="text1"/>
        </w:rPr>
        <w:t>Micke</w:t>
      </w:r>
      <w:proofErr w:type="spellEnd"/>
      <w:r w:rsidRPr="00FC2010">
        <w:rPr>
          <w:rFonts w:ascii="Times New Roman" w:hAnsi="Times New Roman" w:cs="Times New Roman"/>
          <w:color w:val="000000" w:themeColor="text1"/>
        </w:rPr>
        <w:t xml:space="preserve">, 1979; </w:t>
      </w:r>
      <w:proofErr w:type="spellStart"/>
      <w:r w:rsidRPr="00FC2010">
        <w:rPr>
          <w:rFonts w:ascii="Times New Roman" w:hAnsi="Times New Roman" w:cs="Times New Roman"/>
          <w:color w:val="000000" w:themeColor="text1"/>
        </w:rPr>
        <w:t>Poonia</w:t>
      </w:r>
      <w:proofErr w:type="spellEnd"/>
      <w:r w:rsidRPr="00FC2010">
        <w:rPr>
          <w:rFonts w:ascii="Times New Roman" w:hAnsi="Times New Roman" w:cs="Times New Roman"/>
          <w:color w:val="000000" w:themeColor="text1"/>
        </w:rPr>
        <w:t xml:space="preserve"> and </w:t>
      </w:r>
      <w:proofErr w:type="spellStart"/>
      <w:r w:rsidRPr="00FC2010">
        <w:rPr>
          <w:rFonts w:ascii="Times New Roman" w:hAnsi="Times New Roman" w:cs="Times New Roman"/>
          <w:color w:val="000000" w:themeColor="text1"/>
        </w:rPr>
        <w:t>Phogat</w:t>
      </w:r>
      <w:proofErr w:type="spellEnd"/>
      <w:r w:rsidRPr="00FC2010">
        <w:rPr>
          <w:rFonts w:ascii="Times New Roman" w:hAnsi="Times New Roman" w:cs="Times New Roman"/>
          <w:color w:val="000000" w:themeColor="text1"/>
        </w:rPr>
        <w:t>, 2018). In the present investigation, both phenotypic and genotypic correlation coefficients revealed several meaningful associations among agronomic, fodder yield, and quality traits in oats, highlighting their importance for fodder-oriented improvement programmes.</w:t>
      </w:r>
    </w:p>
    <w:p w14:paraId="77B9C97A" w14:textId="4C141CE8"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Plant height (PH) exhibited a </w:t>
      </w:r>
      <w:r w:rsidRPr="00C63571">
        <w:rPr>
          <w:rFonts w:ascii="Times New Roman" w:hAnsi="Times New Roman" w:cs="Times New Roman"/>
          <w:color w:val="000000" w:themeColor="text1"/>
        </w:rPr>
        <w:t>significant positive phenotypic correlation with crude protein content (r =</w:t>
      </w:r>
      <w:r w:rsidR="003E38AF" w:rsidRPr="00C63571">
        <w:rPr>
          <w:rFonts w:ascii="Times New Roman" w:hAnsi="Times New Roman" w:cs="Times New Roman"/>
          <w:color w:val="000000" w:themeColor="text1"/>
        </w:rPr>
        <w:t xml:space="preserve"> </w:t>
      </w:r>
      <w:proofErr w:type="gramStart"/>
      <w:r w:rsidRPr="00C63571">
        <w:rPr>
          <w:rFonts w:ascii="Times New Roman" w:hAnsi="Times New Roman" w:cs="Times New Roman"/>
          <w:color w:val="000000" w:themeColor="text1"/>
        </w:rPr>
        <w:t>0.354)*</w:t>
      </w:r>
      <w:proofErr w:type="gramEnd"/>
      <w:r w:rsidRPr="00C63571">
        <w:rPr>
          <w:rFonts w:ascii="Times New Roman" w:hAnsi="Times New Roman" w:cs="Times New Roman"/>
          <w:color w:val="000000" w:themeColor="text1"/>
        </w:rPr>
        <w:t>*, while genotypic correlations revealed strong positive associations with</w:t>
      </w:r>
      <w:r w:rsidRPr="00C63571">
        <w:rPr>
          <w:rFonts w:ascii="Times New Roman" w:hAnsi="Times New Roman" w:cs="Times New Roman"/>
          <w:i/>
          <w:iCs/>
          <w:color w:val="000000" w:themeColor="text1"/>
        </w:rPr>
        <w:t xml:space="preserve"> </w:t>
      </w:r>
      <w:r w:rsidRPr="00C63571">
        <w:rPr>
          <w:rFonts w:ascii="Times New Roman" w:hAnsi="Times New Roman" w:cs="Times New Roman"/>
          <w:color w:val="000000" w:themeColor="text1"/>
        </w:rPr>
        <w:t>days to 50%</w:t>
      </w:r>
      <w:r w:rsidRPr="00C63571">
        <w:rPr>
          <w:rFonts w:ascii="Times New Roman" w:hAnsi="Times New Roman" w:cs="Times New Roman"/>
          <w:i/>
          <w:iCs/>
          <w:color w:val="000000" w:themeColor="text1"/>
        </w:rPr>
        <w:t xml:space="preserve"> </w:t>
      </w:r>
      <w:r w:rsidRPr="00C63571">
        <w:rPr>
          <w:rFonts w:ascii="Times New Roman" w:hAnsi="Times New Roman" w:cs="Times New Roman"/>
          <w:color w:val="000000" w:themeColor="text1"/>
        </w:rPr>
        <w:t>flowering (r = 0.444) and leaf weight (r = 0.364)**. These associations suggest that genetically taller</w:t>
      </w:r>
      <w:r w:rsidRPr="00FC2010">
        <w:rPr>
          <w:rFonts w:ascii="Times New Roman" w:hAnsi="Times New Roman" w:cs="Times New Roman"/>
          <w:color w:val="000000" w:themeColor="text1"/>
        </w:rPr>
        <w:t xml:space="preserve"> and relatively late-flowering genotypes tend to accumulate greater vegetative biomass and improved fodder quality, a trend also reported earlier in oats and other cereals (Ziya et al., 2001; Kumar et al., 2004; </w:t>
      </w:r>
      <w:proofErr w:type="spellStart"/>
      <w:r w:rsidRPr="00FC2010">
        <w:rPr>
          <w:rFonts w:ascii="Times New Roman" w:hAnsi="Times New Roman" w:cs="Times New Roman"/>
          <w:color w:val="000000" w:themeColor="text1"/>
        </w:rPr>
        <w:t>Lorencetti</w:t>
      </w:r>
      <w:proofErr w:type="spellEnd"/>
      <w:r w:rsidRPr="00FC2010">
        <w:rPr>
          <w:rFonts w:ascii="Times New Roman" w:hAnsi="Times New Roman" w:cs="Times New Roman"/>
          <w:color w:val="000000" w:themeColor="text1"/>
        </w:rPr>
        <w:t xml:space="preserve"> et al., 2006; Ahmed et al., 2013).</w:t>
      </w:r>
    </w:p>
    <w:p w14:paraId="2D73450F"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Tillers per meter row length (TMRL) showed a highly significant negative phenotypic correlation with days to 50% flowering (r = –0.665) and dry matter yield (r = –0.487**), along with a significant negative association with per day dry matter yield (r = –0.348*). Similar negative relationships at the genotypic </w:t>
      </w:r>
      <w:r w:rsidRPr="00FC2010">
        <w:rPr>
          <w:rFonts w:ascii="Times New Roman" w:hAnsi="Times New Roman" w:cs="Times New Roman"/>
          <w:color w:val="000000" w:themeColor="text1"/>
        </w:rPr>
        <w:lastRenderedPageBreak/>
        <w:t xml:space="preserve">level (r = –0.694 with DFF and r = –0.667 with DMY**) indicate a genetic trade-off between excessive tillering and biomass accumulation. Comparable observations highlighting the adverse effect of high tiller density on biomass partitioning have been documented earlier in oats (Iannucci et al., 2011; </w:t>
      </w:r>
      <w:proofErr w:type="spellStart"/>
      <w:r w:rsidRPr="00FC2010">
        <w:rPr>
          <w:rFonts w:ascii="Times New Roman" w:hAnsi="Times New Roman" w:cs="Times New Roman"/>
          <w:color w:val="000000" w:themeColor="text1"/>
        </w:rPr>
        <w:t>Dumlupinar</w:t>
      </w:r>
      <w:proofErr w:type="spellEnd"/>
      <w:r w:rsidRPr="00FC2010">
        <w:rPr>
          <w:rFonts w:ascii="Times New Roman" w:hAnsi="Times New Roman" w:cs="Times New Roman"/>
          <w:color w:val="000000" w:themeColor="text1"/>
        </w:rPr>
        <w:t xml:space="preserve"> et al., 2012).</w:t>
      </w:r>
    </w:p>
    <w:p w14:paraId="3A2D0E1E"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Days to 50% flowering (DFF) was positively correlated with dry matter yield at the phenotypic level (r = </w:t>
      </w:r>
      <w:proofErr w:type="gramStart"/>
      <w:r w:rsidRPr="00FC2010">
        <w:rPr>
          <w:rFonts w:ascii="Times New Roman" w:hAnsi="Times New Roman" w:cs="Times New Roman"/>
          <w:color w:val="000000" w:themeColor="text1"/>
        </w:rPr>
        <w:t>0.496)*</w:t>
      </w:r>
      <w:proofErr w:type="gramEnd"/>
      <w:r w:rsidRPr="00FC2010">
        <w:rPr>
          <w:rFonts w:ascii="Times New Roman" w:hAnsi="Times New Roman" w:cs="Times New Roman"/>
          <w:color w:val="000000" w:themeColor="text1"/>
        </w:rPr>
        <w:t xml:space="preserve">* and showed strong genotypic associations with plant height (r = 0.444**), dry matter yield (r = 0.657**), and leaf weight (r = 0.454**). This indicates that a longer vegetative phase favours biomass and leaf development, supporting earlier findings that extended growth duration enhances fodder yield potential (Kumar et al., 2016; </w:t>
      </w:r>
      <w:proofErr w:type="spellStart"/>
      <w:r w:rsidRPr="00FC2010">
        <w:rPr>
          <w:rFonts w:ascii="Times New Roman" w:hAnsi="Times New Roman" w:cs="Times New Roman"/>
          <w:color w:val="000000" w:themeColor="text1"/>
        </w:rPr>
        <w:t>Surje</w:t>
      </w:r>
      <w:proofErr w:type="spellEnd"/>
      <w:r w:rsidRPr="00FC2010">
        <w:rPr>
          <w:rFonts w:ascii="Times New Roman" w:hAnsi="Times New Roman" w:cs="Times New Roman"/>
          <w:color w:val="000000" w:themeColor="text1"/>
        </w:rPr>
        <w:t xml:space="preserve"> and De, 2014).</w:t>
      </w:r>
    </w:p>
    <w:p w14:paraId="6D835B2E"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Per day green fodder yield (PDGFY) exhibited a highly significant positive phenotypic correlation with dry matter yield (r = </w:t>
      </w:r>
      <w:proofErr w:type="gramStart"/>
      <w:r w:rsidRPr="00FC2010">
        <w:rPr>
          <w:rFonts w:ascii="Times New Roman" w:hAnsi="Times New Roman" w:cs="Times New Roman"/>
          <w:color w:val="000000" w:themeColor="text1"/>
        </w:rPr>
        <w:t>0.518)*</w:t>
      </w:r>
      <w:proofErr w:type="gramEnd"/>
      <w:r w:rsidRPr="00FC2010">
        <w:rPr>
          <w:rFonts w:ascii="Times New Roman" w:hAnsi="Times New Roman" w:cs="Times New Roman"/>
          <w:color w:val="000000" w:themeColor="text1"/>
        </w:rPr>
        <w:t>* and per day dry matter yield (r = 0.604**), emphasizing the contribution of sustained daily biomass accumulation to total fodder productivity. However, its negative genotypic association with plant height (r = –1.773) and days to 50% flowering (r = –0.</w:t>
      </w:r>
      <w:proofErr w:type="gramStart"/>
      <w:r w:rsidRPr="00FC2010">
        <w:rPr>
          <w:rFonts w:ascii="Times New Roman" w:hAnsi="Times New Roman" w:cs="Times New Roman"/>
          <w:color w:val="000000" w:themeColor="text1"/>
        </w:rPr>
        <w:t>668)*</w:t>
      </w:r>
      <w:proofErr w:type="gramEnd"/>
      <w:r w:rsidRPr="00FC2010">
        <w:rPr>
          <w:rFonts w:ascii="Times New Roman" w:hAnsi="Times New Roman" w:cs="Times New Roman"/>
          <w:color w:val="000000" w:themeColor="text1"/>
        </w:rPr>
        <w:t>* suggests that genetically shorter and early-flowering genotypes may express higher daily fodder productivity. Such contrasting associations between total biomass and daily productivity have also been reported in fodder cereals (Ahmed et al., 2013; Krishna et al., 2014).</w:t>
      </w:r>
    </w:p>
    <w:p w14:paraId="634DDC16"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Dry matter yield (DMY) showed a very strong positive phenotypic correlation with per day dry matter yield (r = 0.964), confirming that selection for higher daily dry matter accumulation would effectively enhance total biomass yield. Additionally, per day dry matter yield exhibited a *</w:t>
      </w:r>
      <w:r w:rsidRPr="00FC2010">
        <w:rPr>
          <w:rFonts w:ascii="Times New Roman" w:hAnsi="Times New Roman" w:cs="Times New Roman"/>
          <w:i/>
          <w:iCs/>
          <w:color w:val="000000" w:themeColor="text1"/>
        </w:rPr>
        <w:t>significant positive association with crude protein content (r = 0.347</w:t>
      </w:r>
      <w:r w:rsidRPr="00FC2010">
        <w:rPr>
          <w:rFonts w:ascii="Times New Roman" w:hAnsi="Times New Roman" w:cs="Times New Roman"/>
          <w:color w:val="000000" w:themeColor="text1"/>
        </w:rPr>
        <w:t xml:space="preserve">), indicating that improvement in fodder yield can be achieved without compromising nutritional quality. Leaf weight (LW) showed a strong positive genotypic correlation with leaf–stem ratio (r = </w:t>
      </w:r>
      <w:proofErr w:type="gramStart"/>
      <w:r w:rsidRPr="00FC2010">
        <w:rPr>
          <w:rFonts w:ascii="Times New Roman" w:hAnsi="Times New Roman" w:cs="Times New Roman"/>
          <w:color w:val="000000" w:themeColor="text1"/>
        </w:rPr>
        <w:t>0.983)*</w:t>
      </w:r>
      <w:proofErr w:type="gramEnd"/>
      <w:r w:rsidRPr="00FC2010">
        <w:rPr>
          <w:rFonts w:ascii="Times New Roman" w:hAnsi="Times New Roman" w:cs="Times New Roman"/>
          <w:color w:val="000000" w:themeColor="text1"/>
        </w:rPr>
        <w:t>*, underscoring the importance of leafiness as a major determinant of forage quality, as also emphasized by earlier workers (</w:t>
      </w:r>
      <w:proofErr w:type="spellStart"/>
      <w:r w:rsidRPr="00FC2010">
        <w:rPr>
          <w:rFonts w:ascii="Times New Roman" w:hAnsi="Times New Roman" w:cs="Times New Roman"/>
          <w:color w:val="000000" w:themeColor="text1"/>
        </w:rPr>
        <w:t>Lorencetti</w:t>
      </w:r>
      <w:proofErr w:type="spellEnd"/>
      <w:r w:rsidRPr="00FC2010">
        <w:rPr>
          <w:rFonts w:ascii="Times New Roman" w:hAnsi="Times New Roman" w:cs="Times New Roman"/>
          <w:color w:val="000000" w:themeColor="text1"/>
        </w:rPr>
        <w:t xml:space="preserve"> et al., 2006; Kumar et al., 2016).</w:t>
      </w:r>
    </w:p>
    <w:p w14:paraId="5FEFF214" w14:textId="5F496756"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b/>
          <w:bCs/>
          <w:color w:val="000000" w:themeColor="text1"/>
        </w:rPr>
        <w:t>Path coefficient analysis</w:t>
      </w:r>
      <w:r w:rsidRPr="00FC2010">
        <w:rPr>
          <w:rFonts w:ascii="Times New Roman" w:hAnsi="Times New Roman" w:cs="Times New Roman"/>
          <w:color w:val="000000" w:themeColor="text1"/>
        </w:rPr>
        <w:t xml:space="preserve"> was employed to partition correlation coefficients into direct and indirect effects of component traits on green fodder yield, thereby elucidating true </w:t>
      </w:r>
      <w:r>
        <w:rPr>
          <w:rFonts w:ascii="Times New Roman" w:hAnsi="Times New Roman" w:cs="Times New Roman"/>
          <w:color w:val="000000" w:themeColor="text1"/>
        </w:rPr>
        <w:t>cause–and–effect relationships and providing reliable criteria for selection in oats (Dewey and Lu, 1959; Micke,</w:t>
      </w:r>
      <w:r w:rsidRPr="00FC2010">
        <w:rPr>
          <w:rFonts w:ascii="Times New Roman" w:hAnsi="Times New Roman" w:cs="Times New Roman"/>
          <w:color w:val="000000" w:themeColor="text1"/>
        </w:rPr>
        <w:t xml:space="preserve"> 1979). The analysis revealed considerable variation in the magnitude and direction of direct and indirect effects of different traits on green fodder yield (Table 3).</w:t>
      </w:r>
    </w:p>
    <w:p w14:paraId="1326DBC2"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Among the traits studied, days to 50% flowering (DFF) exerted the highest positive direct effect on green fodder yield (1.417), indicating that flowering duration plays a decisive role in fodder productivity. The strong direct contribution of DFF was further supported by positive indirect effects via leaf weight (0.317) and per day dry matter yield (0.154), suggesting that prolonged vegetative growth enhances biomass accumulation and ultimately fodder yield. Similar associations between </w:t>
      </w:r>
      <w:r w:rsidRPr="00FC2010">
        <w:rPr>
          <w:rFonts w:ascii="Times New Roman" w:hAnsi="Times New Roman" w:cs="Times New Roman"/>
          <w:color w:val="000000" w:themeColor="text1"/>
        </w:rPr>
        <w:lastRenderedPageBreak/>
        <w:t>flowering duration and fodder yield have been reported earlier in oats (Ahmed et al. 2013; Kumar et al. 2016).</w:t>
      </w:r>
    </w:p>
    <w:p w14:paraId="54C969EE"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Leaf weight (LW) recorded a substantial positive direct effect (0.699) on green fodder yield, highlighting the importance of leaf biomass as a primary yield component. Although LW showed negative indirect effects through leaf–stem ratio (–0.940), its strong direct influence suggests that increased leaf production, when maintained at an optimum proportion, can significantly enhance fodder yield. The role of leafiness in improving forage yield and quality has also been emphasized by </w:t>
      </w:r>
      <w:proofErr w:type="spellStart"/>
      <w:r w:rsidRPr="00FC2010">
        <w:rPr>
          <w:rFonts w:ascii="Times New Roman" w:hAnsi="Times New Roman" w:cs="Times New Roman"/>
          <w:color w:val="000000" w:themeColor="text1"/>
        </w:rPr>
        <w:t>Lorencetti</w:t>
      </w:r>
      <w:proofErr w:type="spellEnd"/>
      <w:r w:rsidRPr="00FC2010">
        <w:rPr>
          <w:rFonts w:ascii="Times New Roman" w:hAnsi="Times New Roman" w:cs="Times New Roman"/>
          <w:color w:val="000000" w:themeColor="text1"/>
        </w:rPr>
        <w:t xml:space="preserve"> et al. (2006).</w:t>
      </w:r>
    </w:p>
    <w:p w14:paraId="4DF1C21A"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Per day dry matter yield (PDDMY) exhibited a moderate positive direct effect (0.389) and favourable indirect effects via DFF (0.561), indicating that sustained daily biomass accumulation contributes effectively to final fodder yield. In contrast, dry matter yield (DMY) showed a negative direct effect (–0.566) but exerted positive indirect effects through DFF (0.930) and PDDMY (0.370), suggesting that its influence on green fodder yield is largely mediated through associated growth traits rather than direct contribution. Similar compensatory effects among biomass-related traits have been reported in fodder oats and other cereals (Iannucci et al. 2011; </w:t>
      </w:r>
      <w:proofErr w:type="spellStart"/>
      <w:r w:rsidRPr="00FC2010">
        <w:rPr>
          <w:rFonts w:ascii="Times New Roman" w:hAnsi="Times New Roman" w:cs="Times New Roman"/>
          <w:color w:val="000000" w:themeColor="text1"/>
        </w:rPr>
        <w:t>Dumlupinar</w:t>
      </w:r>
      <w:proofErr w:type="spellEnd"/>
      <w:r w:rsidRPr="00FC2010">
        <w:rPr>
          <w:rFonts w:ascii="Times New Roman" w:hAnsi="Times New Roman" w:cs="Times New Roman"/>
          <w:color w:val="000000" w:themeColor="text1"/>
        </w:rPr>
        <w:t xml:space="preserve"> et al. 2012).</w:t>
      </w:r>
    </w:p>
    <w:p w14:paraId="4EB035D6"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Plant height (PH) exhibited a small negative direct effect (–0.073), but its indirect positive effects via DFF (0.630) and LW (0.255) partially offset this influence, indicating that plant height alone is not a dependable selection criterion unless combined with favourable phenology and leaf biomass. Traits such as tillers per meter row length (TPMRL) and per day green fodder yield (PDGFY) showed low to moderate direct effects (0.020 and 0.253, respectively), with their overall contribution largely governed by indirect effects through flowering and dry matter-related traits. Crude protein content (CP) had a small positive direct effect (0.089), suggesting that improvement in fodder yield can be achieved without adversely affecting nutritional quality.</w:t>
      </w:r>
    </w:p>
    <w:p w14:paraId="34D001B7" w14:textId="77777777"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Principal component analysis (PCA) was carried out to identify the major sources of variation among yield, yield-attributing, and quality traits and to reduce the dimensionality of the dataset for effective interpretation. The scree plot and eigenvalue distribution revealed that the first four principal components (PCs) with eigenvalues greater than unity collectively explained 90.51% of the total variability, indicating that most of the variation present among the genotypes could be effectively captured by a limited number of components, in accordance with the Kaiser criterion (Kaiser 1958; Jolliffe 2002). Among these, PC1 contributed 33.78% of the total variance, followed by PC2 (27.30%), PC3 (16.11%), and PC4 (13.32%), whereas the remaining PCs explained comparatively minor proportions of variability and were considered less important for selection.</w:t>
      </w:r>
    </w:p>
    <w:p w14:paraId="2ADE898C" w14:textId="77777777"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 xml:space="preserve">The loading pattern of variables indicated that PC1 was predominantly associated with biomass accumulation and phenological traits, with high loadings for green fodder yield, dry matter yield, per day dry matter yield, and days to 50% flowering, suggesting that fodder productivity in oats is largely </w:t>
      </w:r>
      <w:r w:rsidRPr="00C20442">
        <w:rPr>
          <w:rFonts w:ascii="Times New Roman" w:hAnsi="Times New Roman" w:cs="Times New Roman"/>
          <w:color w:val="000000" w:themeColor="text1"/>
        </w:rPr>
        <w:lastRenderedPageBreak/>
        <w:t>governed by growth duration and total biomass production. PC2 represented biomass partitioning and plant structural traits, as reflected by strong positive loadings for stem weight and per day dry matter yield and negative loadings for leaf weight and leaf–stem ratio, indicating differential allocation of assimilates among genotypes. The third principal component (PC3) was mainly influenced by per day green fodder yield, highlighting the importance of daily biomass productivity, while PC4 showed high association with crude protein content and tillering traits, suggesting that nutritional quality and plant architecture also contribute substantially to overall variability.</w:t>
      </w:r>
    </w:p>
    <w:p w14:paraId="364F7EF3" w14:textId="77777777"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 xml:space="preserve">The PCA biplot constructed using PC1 and PC2, which together explained 61.08% of the total variance, provided a clear visualization of trait interrelationships. Traits such as green fodder yield, dry matter yield, per day dry matter yield, and days to 50% flowering were closely clustered with small inter-vector angles, indicating strong positive associations among these characters. In contrast, tillers per meter row length was oriented in the opposite direction, suggesting a negative association with biomass-related traits. The relatively longer vectors of dry matter yield, green fodder yield, days to 50% flowering, seed yield, and plant height indicated that these traits contributed substantially to the observed genetic variability among genotypes. Similar patterns of trait association and contribution revealed through PCA and biplot analysis have been reported earlier in oats and other forage cereals (Kumar et al. 2006; Ahmed et al. 2011; </w:t>
      </w:r>
      <w:proofErr w:type="spellStart"/>
      <w:r w:rsidRPr="00C20442">
        <w:rPr>
          <w:rFonts w:ascii="Times New Roman" w:hAnsi="Times New Roman" w:cs="Times New Roman"/>
          <w:color w:val="000000" w:themeColor="text1"/>
        </w:rPr>
        <w:t>Poonia</w:t>
      </w:r>
      <w:proofErr w:type="spellEnd"/>
      <w:r w:rsidRPr="00C20442">
        <w:rPr>
          <w:rFonts w:ascii="Times New Roman" w:hAnsi="Times New Roman" w:cs="Times New Roman"/>
          <w:color w:val="000000" w:themeColor="text1"/>
        </w:rPr>
        <w:t xml:space="preserve"> et al. 2017; Singh et al. 2018).</w:t>
      </w:r>
    </w:p>
    <w:p w14:paraId="50C01A4A" w14:textId="64BD87A2" w:rsidR="00C20442" w:rsidRDefault="00C20442" w:rsidP="00FC2010">
      <w:pPr>
        <w:spacing w:line="360" w:lineRule="auto"/>
        <w:jc w:val="both"/>
        <w:rPr>
          <w:rFonts w:ascii="Times New Roman" w:hAnsi="Times New Roman" w:cs="Times New Roman"/>
          <w:b/>
          <w:bCs/>
          <w:color w:val="000000" w:themeColor="text1"/>
          <w:sz w:val="24"/>
          <w:szCs w:val="24"/>
        </w:rPr>
      </w:pPr>
      <w:r w:rsidRPr="00C20442">
        <w:rPr>
          <w:rFonts w:ascii="Times New Roman" w:hAnsi="Times New Roman" w:cs="Times New Roman"/>
          <w:b/>
          <w:bCs/>
          <w:color w:val="000000" w:themeColor="text1"/>
          <w:sz w:val="24"/>
          <w:szCs w:val="24"/>
        </w:rPr>
        <w:t xml:space="preserve">Conclusion </w:t>
      </w:r>
    </w:p>
    <w:p w14:paraId="760800C2" w14:textId="278C42F3" w:rsidR="00C20442" w:rsidRPr="00FC2010" w:rsidRDefault="00C20442" w:rsidP="00FC2010">
      <w:pPr>
        <w:spacing w:line="360" w:lineRule="auto"/>
        <w:jc w:val="both"/>
        <w:rPr>
          <w:rFonts w:ascii="Times New Roman" w:hAnsi="Times New Roman" w:cs="Times New Roman"/>
          <w:color w:val="000000" w:themeColor="text1"/>
          <w:sz w:val="24"/>
          <w:szCs w:val="24"/>
        </w:rPr>
      </w:pPr>
      <w:r w:rsidRPr="00C20442">
        <w:rPr>
          <w:rFonts w:ascii="Times New Roman" w:hAnsi="Times New Roman" w:cs="Times New Roman"/>
          <w:color w:val="000000" w:themeColor="text1"/>
          <w:sz w:val="24"/>
          <w:szCs w:val="24"/>
        </w:rPr>
        <w:t xml:space="preserve">The present study revealed substantial genetic variability among single-cut oat genotypes for fodder yield, dry matter yield, and quality traits, indicating good scope for genetic improvement. High heritability coupled with high genetic advance for traits such as leaf–stem ratio and dry matter yield suggests that these traits are governed mainly by additive gene action and can be effectively improved through direct selection. Correlation and path coefficient analyses established that dry matter yield, per day dry matter yield, days to 50% flowering, and leaf biomass are the most influential traits governing green fodder yield. The strong positive direct effects of flowering duration, leaf weight, and daily dry matter accumulation further emphasize their importance as reliable selection criteria. Principal component analysis and biplot interpretation corroborated these findings by identifying biomass accumulation, flowering duration, daily productivity, and leafiness as the principal determinants of genetic variability. Therefore, simultaneous selection for moderate tillering ability, optimal flowering duration, enhanced leaf biomass, and sustained daily dry matter production would be the most effective breeding strategy for developing high-yielding and nutritionally superior oat cultivars. Genotypes exhibiting favourable performance for these traits can be effectively utilized as </w:t>
      </w:r>
      <w:r w:rsidRPr="00C20442">
        <w:rPr>
          <w:rFonts w:ascii="Times New Roman" w:hAnsi="Times New Roman" w:cs="Times New Roman"/>
          <w:color w:val="000000" w:themeColor="text1"/>
          <w:sz w:val="24"/>
          <w:szCs w:val="24"/>
        </w:rPr>
        <w:lastRenderedPageBreak/>
        <w:t>parents in hybridization programmes to exploit genetic diversity and heterosis for fodder improvement.</w:t>
      </w:r>
    </w:p>
    <w:p w14:paraId="3115CD5E" w14:textId="5F306CB1" w:rsidR="00FB0538" w:rsidRPr="00FB0538" w:rsidRDefault="00FB0538" w:rsidP="008F69EA">
      <w:pPr>
        <w:spacing w:line="360" w:lineRule="auto"/>
        <w:jc w:val="both"/>
        <w:rPr>
          <w:rFonts w:ascii="Times New Roman" w:hAnsi="Times New Roman" w:cs="Times New Roman"/>
        </w:rPr>
      </w:pPr>
    </w:p>
    <w:p w14:paraId="0BF00C2E" w14:textId="607F87D6" w:rsidR="00FB0538" w:rsidRDefault="00CB7916" w:rsidP="00FB0538">
      <w:pPr>
        <w:rPr>
          <w:rFonts w:ascii="Times New Roman" w:hAnsi="Times New Roman" w:cs="Times New Roman"/>
          <w:b/>
          <w:bCs/>
        </w:rPr>
      </w:pPr>
      <w:r>
        <w:rPr>
          <w:rFonts w:ascii="Times New Roman" w:hAnsi="Times New Roman" w:cs="Times New Roman"/>
          <w:b/>
          <w:bCs/>
        </w:rPr>
        <w:t xml:space="preserve">Table 1 - </w:t>
      </w:r>
      <w:r w:rsidRPr="00CB7916">
        <w:rPr>
          <w:rFonts w:ascii="Times New Roman" w:hAnsi="Times New Roman" w:cs="Times New Roman"/>
          <w:b/>
          <w:bCs/>
        </w:rPr>
        <w:t xml:space="preserve">  Mean, range, phenotypic and genotypic coefficient of variation, heritability, and genetic advance as % of mean for various traits in Oats</w:t>
      </w:r>
    </w:p>
    <w:tbl>
      <w:tblPr>
        <w:tblStyle w:val="TableGrid"/>
        <w:tblW w:w="0" w:type="auto"/>
        <w:tblLook w:val="04A0" w:firstRow="1" w:lastRow="0" w:firstColumn="1" w:lastColumn="0" w:noHBand="0" w:noVBand="1"/>
      </w:tblPr>
      <w:tblGrid>
        <w:gridCol w:w="1714"/>
        <w:gridCol w:w="1191"/>
        <w:gridCol w:w="1235"/>
        <w:gridCol w:w="1125"/>
        <w:gridCol w:w="1126"/>
        <w:gridCol w:w="1488"/>
        <w:gridCol w:w="1137"/>
      </w:tblGrid>
      <w:tr w:rsidR="00CB7916" w:rsidRPr="00E475DA" w14:paraId="526755FD" w14:textId="77777777" w:rsidTr="00CB7916">
        <w:tc>
          <w:tcPr>
            <w:tcW w:w="1714" w:type="dxa"/>
          </w:tcPr>
          <w:p w14:paraId="70D8607B"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Characters</w:t>
            </w:r>
          </w:p>
        </w:tc>
        <w:tc>
          <w:tcPr>
            <w:tcW w:w="1191" w:type="dxa"/>
          </w:tcPr>
          <w:p w14:paraId="37FA4299"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Mean</w:t>
            </w:r>
          </w:p>
        </w:tc>
        <w:tc>
          <w:tcPr>
            <w:tcW w:w="1235" w:type="dxa"/>
          </w:tcPr>
          <w:p w14:paraId="16D9C16D"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Range</w:t>
            </w:r>
          </w:p>
        </w:tc>
        <w:tc>
          <w:tcPr>
            <w:tcW w:w="1125" w:type="dxa"/>
          </w:tcPr>
          <w:p w14:paraId="3ADE1DE8"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GCV</w:t>
            </w:r>
          </w:p>
        </w:tc>
        <w:tc>
          <w:tcPr>
            <w:tcW w:w="1126" w:type="dxa"/>
          </w:tcPr>
          <w:p w14:paraId="762E26AB"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PCV</w:t>
            </w:r>
          </w:p>
        </w:tc>
        <w:tc>
          <w:tcPr>
            <w:tcW w:w="1488" w:type="dxa"/>
          </w:tcPr>
          <w:p w14:paraId="638E62B5"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Heritability</w:t>
            </w:r>
          </w:p>
        </w:tc>
        <w:tc>
          <w:tcPr>
            <w:tcW w:w="1137" w:type="dxa"/>
          </w:tcPr>
          <w:p w14:paraId="686DABDE" w14:textId="77777777" w:rsidR="00CB7916" w:rsidRPr="00E475DA" w:rsidRDefault="00CB7916" w:rsidP="009E598A">
            <w:pPr>
              <w:jc w:val="center"/>
              <w:rPr>
                <w:rFonts w:ascii="Times New Roman" w:hAnsi="Times New Roman" w:cs="Times New Roman"/>
                <w:b/>
                <w:bCs/>
                <w:szCs w:val="22"/>
              </w:rPr>
            </w:pPr>
            <w:r w:rsidRPr="00E475DA">
              <w:rPr>
                <w:rFonts w:ascii="Times New Roman" w:hAnsi="Times New Roman" w:cs="Times New Roman"/>
                <w:b/>
                <w:bCs/>
                <w:szCs w:val="22"/>
              </w:rPr>
              <w:t>GA as % of mean</w:t>
            </w:r>
          </w:p>
        </w:tc>
      </w:tr>
      <w:tr w:rsidR="00CB7916" w:rsidRPr="00E475DA" w14:paraId="059C272C" w14:textId="77777777" w:rsidTr="00CB7916">
        <w:tc>
          <w:tcPr>
            <w:tcW w:w="1714" w:type="dxa"/>
          </w:tcPr>
          <w:p w14:paraId="615AABCA"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PH</w:t>
            </w:r>
          </w:p>
        </w:tc>
        <w:tc>
          <w:tcPr>
            <w:tcW w:w="1191" w:type="dxa"/>
          </w:tcPr>
          <w:p w14:paraId="6E7D5F43"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147.19</w:t>
            </w:r>
          </w:p>
        </w:tc>
        <w:tc>
          <w:tcPr>
            <w:tcW w:w="1235" w:type="dxa"/>
          </w:tcPr>
          <w:p w14:paraId="5ABC8958"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124-170</w:t>
            </w:r>
          </w:p>
        </w:tc>
        <w:tc>
          <w:tcPr>
            <w:tcW w:w="1125" w:type="dxa"/>
          </w:tcPr>
          <w:p w14:paraId="0DEDE67D"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4.86</w:t>
            </w:r>
          </w:p>
        </w:tc>
        <w:tc>
          <w:tcPr>
            <w:tcW w:w="1126" w:type="dxa"/>
          </w:tcPr>
          <w:p w14:paraId="7AB00400"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7.30</w:t>
            </w:r>
          </w:p>
        </w:tc>
        <w:tc>
          <w:tcPr>
            <w:tcW w:w="1488" w:type="dxa"/>
          </w:tcPr>
          <w:p w14:paraId="4D9675DA"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44.35</w:t>
            </w:r>
          </w:p>
        </w:tc>
        <w:tc>
          <w:tcPr>
            <w:tcW w:w="1137" w:type="dxa"/>
          </w:tcPr>
          <w:p w14:paraId="2033FDC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6.67</w:t>
            </w:r>
          </w:p>
        </w:tc>
      </w:tr>
      <w:tr w:rsidR="00CB7916" w:rsidRPr="00E475DA" w14:paraId="2CCBCE3E" w14:textId="77777777" w:rsidTr="00CB7916">
        <w:tc>
          <w:tcPr>
            <w:tcW w:w="1714" w:type="dxa"/>
          </w:tcPr>
          <w:p w14:paraId="52976EF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TILLERSPMRL</w:t>
            </w:r>
          </w:p>
        </w:tc>
        <w:tc>
          <w:tcPr>
            <w:tcW w:w="1191" w:type="dxa"/>
          </w:tcPr>
          <w:p w14:paraId="1688EB7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76.92</w:t>
            </w:r>
          </w:p>
        </w:tc>
        <w:tc>
          <w:tcPr>
            <w:tcW w:w="1235" w:type="dxa"/>
          </w:tcPr>
          <w:p w14:paraId="1DBE5075"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65-88</w:t>
            </w:r>
          </w:p>
        </w:tc>
        <w:tc>
          <w:tcPr>
            <w:tcW w:w="1125" w:type="dxa"/>
          </w:tcPr>
          <w:p w14:paraId="292167A1"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8.74</w:t>
            </w:r>
          </w:p>
        </w:tc>
        <w:tc>
          <w:tcPr>
            <w:tcW w:w="1126" w:type="dxa"/>
          </w:tcPr>
          <w:p w14:paraId="01915E23"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9.21</w:t>
            </w:r>
          </w:p>
        </w:tc>
        <w:tc>
          <w:tcPr>
            <w:tcW w:w="1488" w:type="dxa"/>
          </w:tcPr>
          <w:p w14:paraId="40D5259A"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90.08</w:t>
            </w:r>
          </w:p>
        </w:tc>
        <w:tc>
          <w:tcPr>
            <w:tcW w:w="1137" w:type="dxa"/>
          </w:tcPr>
          <w:p w14:paraId="4C106A53"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17.09</w:t>
            </w:r>
          </w:p>
        </w:tc>
      </w:tr>
      <w:tr w:rsidR="00CB7916" w:rsidRPr="00E475DA" w14:paraId="16854D41" w14:textId="77777777" w:rsidTr="00CB7916">
        <w:tc>
          <w:tcPr>
            <w:tcW w:w="1714" w:type="dxa"/>
          </w:tcPr>
          <w:p w14:paraId="21B3DD11"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DFF</w:t>
            </w:r>
          </w:p>
        </w:tc>
        <w:tc>
          <w:tcPr>
            <w:tcW w:w="1191" w:type="dxa"/>
          </w:tcPr>
          <w:p w14:paraId="0C34A60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105.78</w:t>
            </w:r>
          </w:p>
        </w:tc>
        <w:tc>
          <w:tcPr>
            <w:tcW w:w="1235" w:type="dxa"/>
          </w:tcPr>
          <w:p w14:paraId="5AD20DA5"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93-115</w:t>
            </w:r>
          </w:p>
        </w:tc>
        <w:tc>
          <w:tcPr>
            <w:tcW w:w="1125" w:type="dxa"/>
          </w:tcPr>
          <w:p w14:paraId="47624822"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4.83</w:t>
            </w:r>
          </w:p>
        </w:tc>
        <w:tc>
          <w:tcPr>
            <w:tcW w:w="1126" w:type="dxa"/>
          </w:tcPr>
          <w:p w14:paraId="20762E5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5.26</w:t>
            </w:r>
          </w:p>
        </w:tc>
        <w:tc>
          <w:tcPr>
            <w:tcW w:w="1488" w:type="dxa"/>
          </w:tcPr>
          <w:p w14:paraId="70DCD8AE"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84.31</w:t>
            </w:r>
          </w:p>
        </w:tc>
        <w:tc>
          <w:tcPr>
            <w:tcW w:w="1137" w:type="dxa"/>
          </w:tcPr>
          <w:p w14:paraId="63718EE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9.13</w:t>
            </w:r>
          </w:p>
        </w:tc>
      </w:tr>
      <w:tr w:rsidR="00CB7916" w:rsidRPr="00E475DA" w14:paraId="1478AD60" w14:textId="77777777" w:rsidTr="00CB7916">
        <w:tc>
          <w:tcPr>
            <w:tcW w:w="1714" w:type="dxa"/>
          </w:tcPr>
          <w:p w14:paraId="12F175B5"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PDGFY</w:t>
            </w:r>
          </w:p>
        </w:tc>
        <w:tc>
          <w:tcPr>
            <w:tcW w:w="1191" w:type="dxa"/>
          </w:tcPr>
          <w:p w14:paraId="543D51F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6.52</w:t>
            </w:r>
          </w:p>
        </w:tc>
        <w:tc>
          <w:tcPr>
            <w:tcW w:w="1235" w:type="dxa"/>
          </w:tcPr>
          <w:p w14:paraId="4F7EF0FC"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4.43-8.07</w:t>
            </w:r>
          </w:p>
        </w:tc>
        <w:tc>
          <w:tcPr>
            <w:tcW w:w="1125" w:type="dxa"/>
          </w:tcPr>
          <w:p w14:paraId="53EFD57A"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11.00</w:t>
            </w:r>
          </w:p>
        </w:tc>
        <w:tc>
          <w:tcPr>
            <w:tcW w:w="1126" w:type="dxa"/>
          </w:tcPr>
          <w:p w14:paraId="32DD92AC"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11.13</w:t>
            </w:r>
          </w:p>
        </w:tc>
        <w:tc>
          <w:tcPr>
            <w:tcW w:w="1488" w:type="dxa"/>
          </w:tcPr>
          <w:p w14:paraId="795092C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0.81</w:t>
            </w:r>
          </w:p>
        </w:tc>
        <w:tc>
          <w:tcPr>
            <w:tcW w:w="1137" w:type="dxa"/>
          </w:tcPr>
          <w:p w14:paraId="231C6C6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20.78</w:t>
            </w:r>
          </w:p>
        </w:tc>
      </w:tr>
      <w:tr w:rsidR="00CB7916" w:rsidRPr="00E475DA" w14:paraId="5A1906DB" w14:textId="77777777" w:rsidTr="00CB7916">
        <w:tc>
          <w:tcPr>
            <w:tcW w:w="1714" w:type="dxa"/>
          </w:tcPr>
          <w:p w14:paraId="74A0078D"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DMY</w:t>
            </w:r>
          </w:p>
        </w:tc>
        <w:tc>
          <w:tcPr>
            <w:tcW w:w="1191" w:type="dxa"/>
          </w:tcPr>
          <w:p w14:paraId="3A4E9798"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152.00</w:t>
            </w:r>
          </w:p>
        </w:tc>
        <w:tc>
          <w:tcPr>
            <w:tcW w:w="1235" w:type="dxa"/>
          </w:tcPr>
          <w:p w14:paraId="741A874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84.22-200.08</w:t>
            </w:r>
          </w:p>
        </w:tc>
        <w:tc>
          <w:tcPr>
            <w:tcW w:w="1125" w:type="dxa"/>
          </w:tcPr>
          <w:p w14:paraId="38C549B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13.45</w:t>
            </w:r>
          </w:p>
        </w:tc>
        <w:tc>
          <w:tcPr>
            <w:tcW w:w="1126" w:type="dxa"/>
          </w:tcPr>
          <w:p w14:paraId="03AA1341"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17.93</w:t>
            </w:r>
          </w:p>
        </w:tc>
        <w:tc>
          <w:tcPr>
            <w:tcW w:w="1488" w:type="dxa"/>
          </w:tcPr>
          <w:p w14:paraId="2EB15E4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0.19</w:t>
            </w:r>
          </w:p>
        </w:tc>
        <w:tc>
          <w:tcPr>
            <w:tcW w:w="1137" w:type="dxa"/>
          </w:tcPr>
          <w:p w14:paraId="657BD14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56.27</w:t>
            </w:r>
          </w:p>
        </w:tc>
      </w:tr>
      <w:tr w:rsidR="00CB7916" w:rsidRPr="00E475DA" w14:paraId="54EFD405" w14:textId="77777777" w:rsidTr="00CB7916">
        <w:tc>
          <w:tcPr>
            <w:tcW w:w="1714" w:type="dxa"/>
          </w:tcPr>
          <w:p w14:paraId="0D28ECE2"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PDDMY</w:t>
            </w:r>
          </w:p>
        </w:tc>
        <w:tc>
          <w:tcPr>
            <w:tcW w:w="1191" w:type="dxa"/>
          </w:tcPr>
          <w:p w14:paraId="76144E1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1.43</w:t>
            </w:r>
          </w:p>
        </w:tc>
        <w:tc>
          <w:tcPr>
            <w:tcW w:w="1235" w:type="dxa"/>
          </w:tcPr>
          <w:p w14:paraId="0405178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0.84-1.87</w:t>
            </w:r>
          </w:p>
        </w:tc>
        <w:tc>
          <w:tcPr>
            <w:tcW w:w="1125" w:type="dxa"/>
          </w:tcPr>
          <w:p w14:paraId="52649F63"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11.20</w:t>
            </w:r>
          </w:p>
        </w:tc>
        <w:tc>
          <w:tcPr>
            <w:tcW w:w="1126" w:type="dxa"/>
          </w:tcPr>
          <w:p w14:paraId="794370C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16.31</w:t>
            </w:r>
          </w:p>
        </w:tc>
        <w:tc>
          <w:tcPr>
            <w:tcW w:w="1488" w:type="dxa"/>
          </w:tcPr>
          <w:p w14:paraId="2B4A7E00"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47.14</w:t>
            </w:r>
          </w:p>
        </w:tc>
        <w:tc>
          <w:tcPr>
            <w:tcW w:w="1137" w:type="dxa"/>
          </w:tcPr>
          <w:p w14:paraId="63D09BA4"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15.84</w:t>
            </w:r>
          </w:p>
        </w:tc>
      </w:tr>
      <w:tr w:rsidR="00CB7916" w:rsidRPr="00E475DA" w14:paraId="104C4E09" w14:textId="77777777" w:rsidTr="00CB7916">
        <w:tc>
          <w:tcPr>
            <w:tcW w:w="1714" w:type="dxa"/>
          </w:tcPr>
          <w:p w14:paraId="0FA59DC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LW</w:t>
            </w:r>
          </w:p>
        </w:tc>
        <w:tc>
          <w:tcPr>
            <w:tcW w:w="1191" w:type="dxa"/>
          </w:tcPr>
          <w:p w14:paraId="5FA3C771"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156.92</w:t>
            </w:r>
          </w:p>
        </w:tc>
        <w:tc>
          <w:tcPr>
            <w:tcW w:w="1235" w:type="dxa"/>
          </w:tcPr>
          <w:p w14:paraId="29273190"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110-210</w:t>
            </w:r>
          </w:p>
        </w:tc>
        <w:tc>
          <w:tcPr>
            <w:tcW w:w="1125" w:type="dxa"/>
          </w:tcPr>
          <w:p w14:paraId="5FA5304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12.16</w:t>
            </w:r>
          </w:p>
        </w:tc>
        <w:tc>
          <w:tcPr>
            <w:tcW w:w="1126" w:type="dxa"/>
          </w:tcPr>
          <w:p w14:paraId="5F3A4B9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18.71</w:t>
            </w:r>
          </w:p>
        </w:tc>
        <w:tc>
          <w:tcPr>
            <w:tcW w:w="1488" w:type="dxa"/>
          </w:tcPr>
          <w:p w14:paraId="5A72CF5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42.24</w:t>
            </w:r>
          </w:p>
        </w:tc>
        <w:tc>
          <w:tcPr>
            <w:tcW w:w="1137" w:type="dxa"/>
          </w:tcPr>
          <w:p w14:paraId="01896DF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16.28</w:t>
            </w:r>
          </w:p>
        </w:tc>
      </w:tr>
      <w:tr w:rsidR="00CB7916" w:rsidRPr="00E475DA" w14:paraId="2B6A43FA" w14:textId="77777777" w:rsidTr="00CB7916">
        <w:tc>
          <w:tcPr>
            <w:tcW w:w="1714" w:type="dxa"/>
          </w:tcPr>
          <w:p w14:paraId="5A5A76AD"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SW</w:t>
            </w:r>
          </w:p>
        </w:tc>
        <w:tc>
          <w:tcPr>
            <w:tcW w:w="1191" w:type="dxa"/>
          </w:tcPr>
          <w:p w14:paraId="5B87B428"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348.50</w:t>
            </w:r>
          </w:p>
        </w:tc>
        <w:tc>
          <w:tcPr>
            <w:tcW w:w="1235" w:type="dxa"/>
          </w:tcPr>
          <w:p w14:paraId="00175AD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300-290</w:t>
            </w:r>
          </w:p>
        </w:tc>
        <w:tc>
          <w:tcPr>
            <w:tcW w:w="1125" w:type="dxa"/>
          </w:tcPr>
          <w:p w14:paraId="1B05C58D"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4.13</w:t>
            </w:r>
          </w:p>
        </w:tc>
        <w:tc>
          <w:tcPr>
            <w:tcW w:w="1126" w:type="dxa"/>
          </w:tcPr>
          <w:p w14:paraId="47786FF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7.58</w:t>
            </w:r>
          </w:p>
        </w:tc>
        <w:tc>
          <w:tcPr>
            <w:tcW w:w="1488" w:type="dxa"/>
          </w:tcPr>
          <w:p w14:paraId="726C319E"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29.74</w:t>
            </w:r>
          </w:p>
        </w:tc>
        <w:tc>
          <w:tcPr>
            <w:tcW w:w="1137" w:type="dxa"/>
          </w:tcPr>
          <w:p w14:paraId="3BB860E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4.64</w:t>
            </w:r>
          </w:p>
        </w:tc>
      </w:tr>
      <w:tr w:rsidR="00CB7916" w:rsidRPr="00E475DA" w14:paraId="569CAACE" w14:textId="77777777" w:rsidTr="00CB7916">
        <w:tc>
          <w:tcPr>
            <w:tcW w:w="1714" w:type="dxa"/>
          </w:tcPr>
          <w:p w14:paraId="26BEA14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LS</w:t>
            </w:r>
          </w:p>
        </w:tc>
        <w:tc>
          <w:tcPr>
            <w:tcW w:w="1191" w:type="dxa"/>
          </w:tcPr>
          <w:p w14:paraId="7A3E7B0E"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0.46</w:t>
            </w:r>
          </w:p>
        </w:tc>
        <w:tc>
          <w:tcPr>
            <w:tcW w:w="1235" w:type="dxa"/>
          </w:tcPr>
          <w:p w14:paraId="4A03CCDC"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0.28-0.67</w:t>
            </w:r>
          </w:p>
        </w:tc>
        <w:tc>
          <w:tcPr>
            <w:tcW w:w="1125" w:type="dxa"/>
          </w:tcPr>
          <w:p w14:paraId="0ED6E8A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16.81</w:t>
            </w:r>
          </w:p>
        </w:tc>
        <w:tc>
          <w:tcPr>
            <w:tcW w:w="1126" w:type="dxa"/>
          </w:tcPr>
          <w:p w14:paraId="65A8AC4E"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25.27</w:t>
            </w:r>
          </w:p>
        </w:tc>
        <w:tc>
          <w:tcPr>
            <w:tcW w:w="1488" w:type="dxa"/>
          </w:tcPr>
          <w:p w14:paraId="12E7116B"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44.27</w:t>
            </w:r>
          </w:p>
        </w:tc>
        <w:tc>
          <w:tcPr>
            <w:tcW w:w="1137" w:type="dxa"/>
          </w:tcPr>
          <w:p w14:paraId="4593EA9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23.04</w:t>
            </w:r>
          </w:p>
        </w:tc>
      </w:tr>
      <w:tr w:rsidR="00CB7916" w:rsidRPr="00E475DA" w14:paraId="36129116" w14:textId="77777777" w:rsidTr="00CB7916">
        <w:tc>
          <w:tcPr>
            <w:tcW w:w="1714" w:type="dxa"/>
          </w:tcPr>
          <w:p w14:paraId="535180E5"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CP</w:t>
            </w:r>
          </w:p>
        </w:tc>
        <w:tc>
          <w:tcPr>
            <w:tcW w:w="1191" w:type="dxa"/>
          </w:tcPr>
          <w:p w14:paraId="78CAA5C8"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8.97</w:t>
            </w:r>
          </w:p>
        </w:tc>
        <w:tc>
          <w:tcPr>
            <w:tcW w:w="1235" w:type="dxa"/>
          </w:tcPr>
          <w:p w14:paraId="1146ECA2"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7.91-10.36</w:t>
            </w:r>
          </w:p>
        </w:tc>
        <w:tc>
          <w:tcPr>
            <w:tcW w:w="1125" w:type="dxa"/>
          </w:tcPr>
          <w:p w14:paraId="68F0C9CE"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8.00</w:t>
            </w:r>
          </w:p>
        </w:tc>
        <w:tc>
          <w:tcPr>
            <w:tcW w:w="1126" w:type="dxa"/>
          </w:tcPr>
          <w:p w14:paraId="787AE48F"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8.21</w:t>
            </w:r>
          </w:p>
        </w:tc>
        <w:tc>
          <w:tcPr>
            <w:tcW w:w="1488" w:type="dxa"/>
          </w:tcPr>
          <w:p w14:paraId="1D9F446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95.11</w:t>
            </w:r>
          </w:p>
        </w:tc>
        <w:tc>
          <w:tcPr>
            <w:tcW w:w="1137" w:type="dxa"/>
          </w:tcPr>
          <w:p w14:paraId="020FE00A"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16.08</w:t>
            </w:r>
          </w:p>
        </w:tc>
      </w:tr>
      <w:tr w:rsidR="00CB7916" w:rsidRPr="00E475DA" w14:paraId="6EFEC9D8" w14:textId="77777777" w:rsidTr="00CB7916">
        <w:tc>
          <w:tcPr>
            <w:tcW w:w="1714" w:type="dxa"/>
          </w:tcPr>
          <w:p w14:paraId="0154CE58"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GFY</w:t>
            </w:r>
          </w:p>
        </w:tc>
        <w:tc>
          <w:tcPr>
            <w:tcW w:w="1191" w:type="dxa"/>
          </w:tcPr>
          <w:p w14:paraId="2D7CA5D1"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689.78</w:t>
            </w:r>
          </w:p>
        </w:tc>
        <w:tc>
          <w:tcPr>
            <w:tcW w:w="1235" w:type="dxa"/>
          </w:tcPr>
          <w:p w14:paraId="21F1FDF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443.29-836.56</w:t>
            </w:r>
          </w:p>
        </w:tc>
        <w:tc>
          <w:tcPr>
            <w:tcW w:w="1125" w:type="dxa"/>
          </w:tcPr>
          <w:p w14:paraId="5BA8FD87"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4.24</w:t>
            </w:r>
          </w:p>
        </w:tc>
        <w:tc>
          <w:tcPr>
            <w:tcW w:w="1126" w:type="dxa"/>
          </w:tcPr>
          <w:p w14:paraId="7D1311D9"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11.85</w:t>
            </w:r>
          </w:p>
        </w:tc>
        <w:tc>
          <w:tcPr>
            <w:tcW w:w="1488" w:type="dxa"/>
          </w:tcPr>
          <w:p w14:paraId="5FA0A645"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12.80</w:t>
            </w:r>
          </w:p>
        </w:tc>
        <w:tc>
          <w:tcPr>
            <w:tcW w:w="1137" w:type="dxa"/>
          </w:tcPr>
          <w:p w14:paraId="31178966" w14:textId="77777777" w:rsidR="00CB7916" w:rsidRPr="00E475DA" w:rsidRDefault="00CB7916" w:rsidP="009E598A">
            <w:pPr>
              <w:jc w:val="center"/>
              <w:rPr>
                <w:rFonts w:ascii="Times New Roman" w:hAnsi="Times New Roman" w:cs="Times New Roman"/>
                <w:szCs w:val="22"/>
              </w:rPr>
            </w:pPr>
            <w:r w:rsidRPr="00E475DA">
              <w:rPr>
                <w:rFonts w:ascii="Times New Roman" w:hAnsi="Times New Roman" w:cs="Times New Roman"/>
                <w:szCs w:val="22"/>
              </w:rPr>
              <w:t>3.12</w:t>
            </w:r>
          </w:p>
        </w:tc>
      </w:tr>
    </w:tbl>
    <w:p w14:paraId="696D60B3" w14:textId="477C957C" w:rsidR="00FB0538" w:rsidRDefault="00CB7916" w:rsidP="00CB7916">
      <w:pPr>
        <w:rPr>
          <w:rFonts w:ascii="Times New Roman" w:hAnsi="Times New Roman" w:cs="Times New Roman"/>
        </w:rPr>
      </w:pPr>
      <w:r>
        <w:rPr>
          <w:rFonts w:ascii="Times New Roman" w:hAnsi="Times New Roman" w:cs="Times New Roman"/>
        </w:rPr>
        <w:t>[</w:t>
      </w:r>
      <w:r w:rsidRPr="00CB7916">
        <w:rPr>
          <w:rFonts w:ascii="Times New Roman" w:hAnsi="Times New Roman" w:cs="Times New Roman"/>
        </w:rPr>
        <w:t>P</w:t>
      </w:r>
      <w:r>
        <w:rPr>
          <w:rFonts w:ascii="Times New Roman" w:hAnsi="Times New Roman" w:cs="Times New Roman"/>
        </w:rPr>
        <w:t>H</w:t>
      </w:r>
      <w:r w:rsidRPr="00CB7916">
        <w:rPr>
          <w:rFonts w:ascii="Times New Roman" w:hAnsi="Times New Roman" w:cs="Times New Roman"/>
        </w:rPr>
        <w:t xml:space="preserve">: Plant Height (cm), TILLERSPMRL: Tillers per meter row length, DFF:  Days to 50% flowering, PDGFY: Per day Green Fodder Yield (q/ha/day), DMY: Dry Matter Yield (q/ha), PDDMY:  Per day Dry Matter Yield (q/ha/day), LW: Leaf weight (g), SW: Stem weight (g), LS: Leaf Stem Ratio, CP: Crude Protein %, GFY: Green Fodder Yield (q/ha) </w:t>
      </w:r>
      <w:r>
        <w:rPr>
          <w:rFonts w:ascii="Times New Roman" w:hAnsi="Times New Roman" w:cs="Times New Roman"/>
        </w:rPr>
        <w:t>]</w:t>
      </w:r>
    </w:p>
    <w:p w14:paraId="05B51406" w14:textId="77777777" w:rsidR="003E38AF" w:rsidRDefault="00CB7916" w:rsidP="00CB7916">
      <w:pPr>
        <w:pStyle w:val="NormalWeb"/>
        <w:spacing w:before="0" w:beforeAutospacing="0" w:after="0" w:afterAutospacing="0"/>
        <w:jc w:val="both"/>
        <w:rPr>
          <w:b/>
          <w:bCs/>
        </w:rPr>
      </w:pPr>
      <w:r w:rsidRPr="00CB7916">
        <w:rPr>
          <w:b/>
          <w:bCs/>
        </w:rPr>
        <w:t xml:space="preserve"> </w:t>
      </w:r>
    </w:p>
    <w:p w14:paraId="0A334DEA" w14:textId="77777777" w:rsidR="003E38AF" w:rsidRDefault="003E38AF" w:rsidP="00CB7916">
      <w:pPr>
        <w:pStyle w:val="NormalWeb"/>
        <w:spacing w:before="0" w:beforeAutospacing="0" w:after="0" w:afterAutospacing="0"/>
        <w:jc w:val="both"/>
        <w:rPr>
          <w:b/>
          <w:bCs/>
        </w:rPr>
      </w:pPr>
    </w:p>
    <w:p w14:paraId="6886C625" w14:textId="77777777" w:rsidR="003E38AF" w:rsidRDefault="003E38AF" w:rsidP="00CB7916">
      <w:pPr>
        <w:pStyle w:val="NormalWeb"/>
        <w:spacing w:before="0" w:beforeAutospacing="0" w:after="0" w:afterAutospacing="0"/>
        <w:jc w:val="both"/>
        <w:rPr>
          <w:b/>
          <w:bCs/>
        </w:rPr>
      </w:pPr>
    </w:p>
    <w:p w14:paraId="7DBCFE06" w14:textId="77777777" w:rsidR="003E38AF" w:rsidRDefault="003E38AF" w:rsidP="00CB7916">
      <w:pPr>
        <w:pStyle w:val="NormalWeb"/>
        <w:spacing w:before="0" w:beforeAutospacing="0" w:after="0" w:afterAutospacing="0"/>
        <w:jc w:val="both"/>
        <w:rPr>
          <w:b/>
          <w:bCs/>
        </w:rPr>
      </w:pPr>
    </w:p>
    <w:p w14:paraId="4149C7F4" w14:textId="77777777" w:rsidR="003E38AF" w:rsidRDefault="003E38AF" w:rsidP="00CB7916">
      <w:pPr>
        <w:pStyle w:val="NormalWeb"/>
        <w:spacing w:before="0" w:beforeAutospacing="0" w:after="0" w:afterAutospacing="0"/>
        <w:jc w:val="both"/>
        <w:rPr>
          <w:b/>
          <w:bCs/>
        </w:rPr>
      </w:pPr>
    </w:p>
    <w:p w14:paraId="058762C8" w14:textId="77777777" w:rsidR="003E38AF" w:rsidRDefault="003E38AF" w:rsidP="00CB7916">
      <w:pPr>
        <w:pStyle w:val="NormalWeb"/>
        <w:spacing w:before="0" w:beforeAutospacing="0" w:after="0" w:afterAutospacing="0"/>
        <w:jc w:val="both"/>
        <w:rPr>
          <w:b/>
          <w:bCs/>
        </w:rPr>
      </w:pPr>
    </w:p>
    <w:p w14:paraId="38BA6CC6" w14:textId="77777777" w:rsidR="003E38AF" w:rsidRDefault="003E38AF" w:rsidP="00CB7916">
      <w:pPr>
        <w:pStyle w:val="NormalWeb"/>
        <w:spacing w:before="0" w:beforeAutospacing="0" w:after="0" w:afterAutospacing="0"/>
        <w:jc w:val="both"/>
        <w:rPr>
          <w:b/>
          <w:bCs/>
        </w:rPr>
      </w:pPr>
    </w:p>
    <w:p w14:paraId="07676BE9" w14:textId="77777777" w:rsidR="003E38AF" w:rsidRDefault="003E38AF" w:rsidP="00CB7916">
      <w:pPr>
        <w:pStyle w:val="NormalWeb"/>
        <w:spacing w:before="0" w:beforeAutospacing="0" w:after="0" w:afterAutospacing="0"/>
        <w:jc w:val="both"/>
        <w:rPr>
          <w:b/>
          <w:bCs/>
        </w:rPr>
      </w:pPr>
    </w:p>
    <w:p w14:paraId="09FB9758" w14:textId="77777777" w:rsidR="003E38AF" w:rsidRDefault="003E38AF" w:rsidP="00CB7916">
      <w:pPr>
        <w:pStyle w:val="NormalWeb"/>
        <w:spacing w:before="0" w:beforeAutospacing="0" w:after="0" w:afterAutospacing="0"/>
        <w:jc w:val="both"/>
        <w:rPr>
          <w:b/>
          <w:bCs/>
        </w:rPr>
      </w:pPr>
    </w:p>
    <w:p w14:paraId="0BB73082" w14:textId="77777777" w:rsidR="003E38AF" w:rsidRDefault="003E38AF" w:rsidP="00CB7916">
      <w:pPr>
        <w:pStyle w:val="NormalWeb"/>
        <w:spacing w:before="0" w:beforeAutospacing="0" w:after="0" w:afterAutospacing="0"/>
        <w:jc w:val="both"/>
        <w:rPr>
          <w:b/>
          <w:bCs/>
        </w:rPr>
      </w:pPr>
    </w:p>
    <w:p w14:paraId="7F5E40A2" w14:textId="77777777" w:rsidR="003E38AF" w:rsidRDefault="003E38AF" w:rsidP="00CB7916">
      <w:pPr>
        <w:pStyle w:val="NormalWeb"/>
        <w:spacing w:before="0" w:beforeAutospacing="0" w:after="0" w:afterAutospacing="0"/>
        <w:jc w:val="both"/>
        <w:rPr>
          <w:b/>
          <w:bCs/>
        </w:rPr>
      </w:pPr>
    </w:p>
    <w:p w14:paraId="5860BEDE" w14:textId="77777777" w:rsidR="003E38AF" w:rsidRDefault="003E38AF" w:rsidP="00CB7916">
      <w:pPr>
        <w:pStyle w:val="NormalWeb"/>
        <w:spacing w:before="0" w:beforeAutospacing="0" w:after="0" w:afterAutospacing="0"/>
        <w:jc w:val="both"/>
        <w:rPr>
          <w:b/>
          <w:bCs/>
        </w:rPr>
      </w:pPr>
    </w:p>
    <w:p w14:paraId="656A42C3" w14:textId="77777777" w:rsidR="003E38AF" w:rsidRDefault="003E38AF" w:rsidP="00CB7916">
      <w:pPr>
        <w:pStyle w:val="NormalWeb"/>
        <w:spacing w:before="0" w:beforeAutospacing="0" w:after="0" w:afterAutospacing="0"/>
        <w:jc w:val="both"/>
        <w:rPr>
          <w:b/>
          <w:bCs/>
        </w:rPr>
      </w:pPr>
    </w:p>
    <w:p w14:paraId="0B798769" w14:textId="77777777" w:rsidR="003E38AF" w:rsidRDefault="003E38AF" w:rsidP="00CB7916">
      <w:pPr>
        <w:pStyle w:val="NormalWeb"/>
        <w:spacing w:before="0" w:beforeAutospacing="0" w:after="0" w:afterAutospacing="0"/>
        <w:jc w:val="both"/>
        <w:rPr>
          <w:b/>
          <w:bCs/>
        </w:rPr>
      </w:pPr>
    </w:p>
    <w:p w14:paraId="200922F2" w14:textId="77777777" w:rsidR="003E38AF" w:rsidRDefault="003E38AF" w:rsidP="00CB7916">
      <w:pPr>
        <w:pStyle w:val="NormalWeb"/>
        <w:spacing w:before="0" w:beforeAutospacing="0" w:after="0" w:afterAutospacing="0"/>
        <w:jc w:val="both"/>
        <w:rPr>
          <w:b/>
          <w:bCs/>
        </w:rPr>
      </w:pPr>
    </w:p>
    <w:p w14:paraId="06FCF6AA" w14:textId="77777777" w:rsidR="003E38AF" w:rsidRDefault="003E38AF" w:rsidP="00CB7916">
      <w:pPr>
        <w:pStyle w:val="NormalWeb"/>
        <w:spacing w:before="0" w:beforeAutospacing="0" w:after="0" w:afterAutospacing="0"/>
        <w:jc w:val="both"/>
        <w:rPr>
          <w:b/>
          <w:bCs/>
        </w:rPr>
      </w:pPr>
    </w:p>
    <w:p w14:paraId="1EF87169" w14:textId="198E6673" w:rsidR="00CB7916" w:rsidRPr="00CB7916" w:rsidRDefault="00CB7916" w:rsidP="00CB7916">
      <w:pPr>
        <w:pStyle w:val="NormalWeb"/>
        <w:spacing w:before="0" w:beforeAutospacing="0" w:after="0" w:afterAutospacing="0"/>
        <w:jc w:val="both"/>
        <w:rPr>
          <w:b/>
          <w:bCs/>
          <w:color w:val="000000" w:themeColor="text1"/>
          <w:sz w:val="22"/>
          <w:szCs w:val="22"/>
        </w:rPr>
      </w:pPr>
      <w:r w:rsidRPr="00CB7916">
        <w:rPr>
          <w:rFonts w:eastAsiaTheme="minorEastAsia"/>
          <w:b/>
          <w:bCs/>
          <w:color w:val="000000" w:themeColor="text1"/>
          <w:kern w:val="24"/>
          <w:sz w:val="22"/>
          <w:szCs w:val="22"/>
        </w:rPr>
        <w:t xml:space="preserve">Table 2 - Estimation of Phenotypic Correlation (above diagonal) and genotypic correlation (below diagonal) </w:t>
      </w:r>
      <w:r>
        <w:rPr>
          <w:rFonts w:eastAsiaTheme="minorEastAsia"/>
          <w:b/>
          <w:bCs/>
          <w:color w:val="000000" w:themeColor="text1"/>
          <w:kern w:val="24"/>
          <w:sz w:val="22"/>
          <w:szCs w:val="22"/>
        </w:rPr>
        <w:t>coefficients</w:t>
      </w:r>
      <w:r w:rsidRPr="00CB7916">
        <w:rPr>
          <w:rFonts w:eastAsiaTheme="minorEastAsia"/>
          <w:b/>
          <w:bCs/>
          <w:color w:val="000000" w:themeColor="text1"/>
          <w:kern w:val="24"/>
          <w:sz w:val="22"/>
          <w:szCs w:val="22"/>
        </w:rPr>
        <w:t xml:space="preserve"> for different traits in Oats </w:t>
      </w:r>
    </w:p>
    <w:p w14:paraId="674DF4D4" w14:textId="3C238A68" w:rsidR="00CB7916" w:rsidRPr="00CB7916" w:rsidRDefault="00CB7916" w:rsidP="00CB7916">
      <w:pPr>
        <w:rPr>
          <w:rFonts w:ascii="Times New Roman" w:hAnsi="Times New Roman" w:cs="Times New Roman"/>
          <w:b/>
          <w:bCs/>
        </w:rPr>
      </w:pPr>
      <w:r w:rsidRPr="00CB7916">
        <w:rPr>
          <w:rFonts w:ascii="Times New Roman" w:hAnsi="Times New Roman" w:cs="Times New Roman"/>
          <w:b/>
          <w:bCs/>
        </w:rPr>
        <w:tab/>
      </w:r>
    </w:p>
    <w:tbl>
      <w:tblPr>
        <w:tblW w:w="-32356" w:type="dxa"/>
        <w:tblCellMar>
          <w:left w:w="0" w:type="dxa"/>
          <w:right w:w="0" w:type="dxa"/>
        </w:tblCellMar>
        <w:tblLook w:val="0600" w:firstRow="0" w:lastRow="0" w:firstColumn="0" w:lastColumn="0" w:noHBand="1" w:noVBand="1"/>
      </w:tblPr>
      <w:tblGrid>
        <w:gridCol w:w="910"/>
        <w:gridCol w:w="789"/>
        <w:gridCol w:w="788"/>
        <w:gridCol w:w="788"/>
        <w:gridCol w:w="856"/>
        <w:gridCol w:w="788"/>
        <w:gridCol w:w="909"/>
        <w:gridCol w:w="788"/>
        <w:gridCol w:w="788"/>
        <w:gridCol w:w="788"/>
        <w:gridCol w:w="788"/>
      </w:tblGrid>
      <w:tr w:rsidR="00CB7916" w:rsidRPr="00CB7916" w14:paraId="7C658486" w14:textId="77777777" w:rsidTr="009E598A">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19A9477" w14:textId="30180BCA" w:rsidR="00CB7916" w:rsidRPr="00733161" w:rsidRDefault="00CB7916" w:rsidP="00CB7916">
            <w:pPr>
              <w:jc w:val="center"/>
              <w:rPr>
                <w:rFonts w:ascii="Times New Roman" w:hAnsi="Times New Roman" w:cs="Times New Roman"/>
                <w:sz w:val="20"/>
              </w:rPr>
            </w:pP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3E4A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PH</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B2C8B1" w14:textId="77777777" w:rsidR="00CB7916" w:rsidRPr="00733161" w:rsidRDefault="00CB7916" w:rsidP="00CB7916">
            <w:pPr>
              <w:jc w:val="center"/>
              <w:rPr>
                <w:rFonts w:ascii="Times New Roman" w:hAnsi="Times New Roman" w:cs="Times New Roman"/>
                <w:b/>
                <w:bCs/>
                <w:sz w:val="20"/>
              </w:rPr>
            </w:pPr>
            <w:r w:rsidRPr="00733161">
              <w:rPr>
                <w:rFonts w:ascii="Times New Roman" w:hAnsi="Times New Roman" w:cs="Times New Roman"/>
                <w:b/>
                <w:bCs/>
                <w:sz w:val="20"/>
              </w:rPr>
              <w:t>TMRL</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7CA006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DFF</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B7D9C1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PDGFY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DA458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CA9E26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5E354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2F75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SW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C8425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A52AB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CP</w:t>
            </w:r>
          </w:p>
        </w:tc>
      </w:tr>
      <w:tr w:rsidR="00CB7916" w:rsidRPr="00CB7916" w14:paraId="6EAA9D62"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9A102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lastRenderedPageBreak/>
              <w:t>PH</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A6A6B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FA07FB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-0.106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B505B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0.286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4DFD7B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-0.050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6453F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5F4F5B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182DA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3FAA2C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-0.160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42D57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0.198</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C0388F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0.354</w:t>
            </w:r>
            <w:r w:rsidRPr="00733161">
              <w:rPr>
                <w:rFonts w:ascii="Times New Roman" w:hAnsi="Times New Roman" w:cs="Times New Roman"/>
                <w:sz w:val="20"/>
                <w:vertAlign w:val="superscript"/>
              </w:rPr>
              <w:t>*</w:t>
            </w:r>
          </w:p>
        </w:tc>
      </w:tr>
      <w:tr w:rsidR="00CB7916" w:rsidRPr="00CB7916" w14:paraId="3991B685" w14:textId="77777777" w:rsidTr="009E598A">
        <w:trPr>
          <w:trHeight w:val="1014"/>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64AC2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TPMRL</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B2CBE8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-0.215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9594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7BA92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21483E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15D74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-0.487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F0201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-0.348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0B409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BA73F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-0.208</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500B08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8078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r>
      <w:tr w:rsidR="00CB7916" w:rsidRPr="00CB7916" w14:paraId="5A9646F3"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613D79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DFF</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243B74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0.444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DB8B7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-0.694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383330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4A17C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7EB42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0.496</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BD3643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7B75BA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0.304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044FEA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-0.122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EAEBD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0.242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67864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r>
      <w:tr w:rsidR="00CB7916" w:rsidRPr="00CB7916" w14:paraId="1EA20E08"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2CC24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PDGFY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A26DEA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-1.773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37E4C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0.949</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51D1F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F182E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837569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0.518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00EEB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0.604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D1B30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CCD16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-0.114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B8A446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6F9B3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-0.063</w:t>
            </w:r>
            <w:r w:rsidRPr="00733161">
              <w:rPr>
                <w:rFonts w:ascii="Times New Roman" w:hAnsi="Times New Roman" w:cs="Times New Roman"/>
                <w:sz w:val="20"/>
                <w:vertAlign w:val="superscript"/>
              </w:rPr>
              <w:t>NS</w:t>
            </w:r>
          </w:p>
        </w:tc>
      </w:tr>
      <w:tr w:rsidR="00CB7916" w:rsidRPr="00CB7916" w14:paraId="155441B8"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01113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FE295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0.326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840D6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03D1E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0.657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097A94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-0.423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463BB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26DF8C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0.964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ECE81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8FB9D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D9CCB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8E7CB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0.274</w:t>
            </w:r>
            <w:r w:rsidRPr="00733161">
              <w:rPr>
                <w:rFonts w:ascii="Times New Roman" w:hAnsi="Times New Roman" w:cs="Times New Roman"/>
                <w:sz w:val="20"/>
                <w:vertAlign w:val="superscript"/>
              </w:rPr>
              <w:t>NS</w:t>
            </w:r>
          </w:p>
        </w:tc>
      </w:tr>
      <w:tr w:rsidR="00CB7916" w:rsidRPr="00CB7916" w14:paraId="3FAADB4C" w14:textId="77777777" w:rsidTr="009E598A">
        <w:trPr>
          <w:trHeight w:val="935"/>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69E84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60049E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0.237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420DF0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-0.540</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19699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0.396</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F4690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-0.145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C6CDFD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0.952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7D3455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F171FF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3179D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1C927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2B92C8"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0.347</w:t>
            </w:r>
            <w:r w:rsidRPr="00733161">
              <w:rPr>
                <w:rFonts w:ascii="Times New Roman" w:hAnsi="Times New Roman" w:cs="Times New Roman"/>
                <w:sz w:val="20"/>
                <w:vertAlign w:val="superscript"/>
              </w:rPr>
              <w:t>*</w:t>
            </w:r>
          </w:p>
        </w:tc>
      </w:tr>
      <w:tr w:rsidR="00CB7916" w:rsidRPr="00CB7916" w14:paraId="6CDF189E"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8ABC7E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11FD15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0.364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AEBED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0.072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6DBF57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0.454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F652C1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-0.422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758BE2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284A60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E33B88"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96F9F1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36B7D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0.983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03719A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-0.080</w:t>
            </w:r>
            <w:r w:rsidRPr="00733161">
              <w:rPr>
                <w:rFonts w:ascii="Times New Roman" w:hAnsi="Times New Roman" w:cs="Times New Roman"/>
                <w:sz w:val="20"/>
                <w:vertAlign w:val="superscript"/>
              </w:rPr>
              <w:t>NS</w:t>
            </w:r>
          </w:p>
        </w:tc>
      </w:tr>
      <w:tr w:rsidR="00CB7916" w:rsidRPr="00CB7916" w14:paraId="24B64101"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5C04B2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SW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0FE46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-0.056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5BAC12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8FC3F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-0.243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5D9E5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1.235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8F5D1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0.152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EF443F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0.331</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E0C6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-1.040</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9219B4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94FB91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-0.938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7D1C5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-0.006</w:t>
            </w:r>
            <w:r w:rsidRPr="00733161">
              <w:rPr>
                <w:rFonts w:ascii="Times New Roman" w:hAnsi="Times New Roman" w:cs="Times New Roman"/>
                <w:sz w:val="20"/>
                <w:vertAlign w:val="superscript"/>
              </w:rPr>
              <w:t>NS</w:t>
            </w:r>
          </w:p>
        </w:tc>
      </w:tr>
      <w:tr w:rsidR="00CB7916" w:rsidRPr="00CB7916" w14:paraId="27CC1F20"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EE88AB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A1DA58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0.225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E6333C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C66B6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0.365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132FE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-0.373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421707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-0.019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1E4138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5CE899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0.998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F808A5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-1.027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1491A4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82FA6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-0.070</w:t>
            </w:r>
            <w:r w:rsidRPr="00733161">
              <w:rPr>
                <w:rFonts w:ascii="Times New Roman" w:hAnsi="Times New Roman" w:cs="Times New Roman"/>
                <w:sz w:val="20"/>
                <w:vertAlign w:val="superscript"/>
              </w:rPr>
              <w:t>NS</w:t>
            </w:r>
          </w:p>
        </w:tc>
      </w:tr>
      <w:tr w:rsidR="00CB7916" w:rsidRPr="00CB7916" w14:paraId="6DE26D98" w14:textId="77777777" w:rsidTr="009E598A">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D2D7D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CP</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AECB9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0.593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C6199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D030E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-0.119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F134E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-0.313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E8889F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0.382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720C99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0.518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E203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-0.120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A3184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-0.001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7E7ECF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-0.106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77B3D1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r>
    </w:tbl>
    <w:p w14:paraId="1AF96BAF" w14:textId="77777777" w:rsidR="00CB7916" w:rsidRPr="00CB7916" w:rsidRDefault="00CB7916" w:rsidP="00CB7916">
      <w:pPr>
        <w:jc w:val="center"/>
        <w:rPr>
          <w:rFonts w:ascii="Times New Roman" w:hAnsi="Times New Roman" w:cs="Times New Roman"/>
          <w:b/>
          <w:bCs/>
          <w:sz w:val="20"/>
        </w:rPr>
      </w:pPr>
    </w:p>
    <w:p w14:paraId="69BAFB87" w14:textId="77777777" w:rsidR="003E38AF" w:rsidRDefault="003E38AF" w:rsidP="00CB7916">
      <w:pPr>
        <w:jc w:val="center"/>
        <w:rPr>
          <w:rFonts w:ascii="Times New Roman" w:hAnsi="Times New Roman" w:cs="Times New Roman"/>
          <w:b/>
          <w:bCs/>
          <w:sz w:val="20"/>
        </w:rPr>
      </w:pPr>
    </w:p>
    <w:p w14:paraId="381A2F4B" w14:textId="77777777" w:rsidR="003E38AF" w:rsidRDefault="003E38AF" w:rsidP="00CB7916">
      <w:pPr>
        <w:jc w:val="center"/>
        <w:rPr>
          <w:rFonts w:ascii="Times New Roman" w:hAnsi="Times New Roman" w:cs="Times New Roman"/>
          <w:b/>
          <w:bCs/>
          <w:sz w:val="20"/>
        </w:rPr>
      </w:pPr>
    </w:p>
    <w:p w14:paraId="77EF85FF" w14:textId="77777777" w:rsidR="003E38AF" w:rsidRDefault="003E38AF" w:rsidP="00CB7916">
      <w:pPr>
        <w:jc w:val="center"/>
        <w:rPr>
          <w:rFonts w:ascii="Times New Roman" w:hAnsi="Times New Roman" w:cs="Times New Roman"/>
          <w:b/>
          <w:bCs/>
          <w:sz w:val="20"/>
        </w:rPr>
      </w:pPr>
    </w:p>
    <w:p w14:paraId="537EE418" w14:textId="77777777" w:rsidR="003E38AF" w:rsidRDefault="003E38AF" w:rsidP="00CB7916">
      <w:pPr>
        <w:jc w:val="center"/>
        <w:rPr>
          <w:rFonts w:ascii="Times New Roman" w:hAnsi="Times New Roman" w:cs="Times New Roman"/>
          <w:b/>
          <w:bCs/>
          <w:sz w:val="20"/>
        </w:rPr>
      </w:pPr>
    </w:p>
    <w:p w14:paraId="3ABD44F5" w14:textId="77777777" w:rsidR="003E38AF" w:rsidRDefault="003E38AF" w:rsidP="00CB7916">
      <w:pPr>
        <w:jc w:val="center"/>
        <w:rPr>
          <w:rFonts w:ascii="Times New Roman" w:hAnsi="Times New Roman" w:cs="Times New Roman"/>
          <w:b/>
          <w:bCs/>
          <w:sz w:val="20"/>
        </w:rPr>
      </w:pPr>
    </w:p>
    <w:p w14:paraId="6C2951FA" w14:textId="77777777" w:rsidR="003E38AF" w:rsidRDefault="003E38AF" w:rsidP="00CB7916">
      <w:pPr>
        <w:jc w:val="center"/>
        <w:rPr>
          <w:rFonts w:ascii="Times New Roman" w:hAnsi="Times New Roman" w:cs="Times New Roman"/>
          <w:b/>
          <w:bCs/>
          <w:sz w:val="20"/>
        </w:rPr>
      </w:pPr>
    </w:p>
    <w:p w14:paraId="5350CE46" w14:textId="77777777" w:rsidR="003E38AF" w:rsidRDefault="003E38AF" w:rsidP="00CB7916">
      <w:pPr>
        <w:jc w:val="center"/>
        <w:rPr>
          <w:rFonts w:ascii="Times New Roman" w:hAnsi="Times New Roman" w:cs="Times New Roman"/>
          <w:b/>
          <w:bCs/>
          <w:sz w:val="20"/>
        </w:rPr>
      </w:pPr>
    </w:p>
    <w:p w14:paraId="035B8CC3" w14:textId="083AD02C" w:rsidR="00FB0538" w:rsidRPr="00D25966" w:rsidRDefault="00CB7916" w:rsidP="00D25966">
      <w:pPr>
        <w:rPr>
          <w:rFonts w:ascii="Times New Roman" w:hAnsi="Times New Roman" w:cs="Times New Roman"/>
          <w:b/>
          <w:bCs/>
          <w:szCs w:val="22"/>
        </w:rPr>
      </w:pPr>
      <w:r w:rsidRPr="00D25966">
        <w:rPr>
          <w:rFonts w:ascii="Times New Roman" w:hAnsi="Times New Roman" w:cs="Times New Roman"/>
          <w:b/>
          <w:bCs/>
          <w:szCs w:val="22"/>
        </w:rPr>
        <w:t xml:space="preserve">Table 3 - Direct (diagonal) and indirect effects of various traits on Green Fodder Yield (q/ha) of Oats </w:t>
      </w:r>
    </w:p>
    <w:p w14:paraId="61B7E4A7" w14:textId="77777777" w:rsidR="00FB0538" w:rsidRPr="00CB7916" w:rsidRDefault="00FB0538" w:rsidP="00CB7916">
      <w:pPr>
        <w:jc w:val="center"/>
        <w:rPr>
          <w:rFonts w:ascii="Times New Roman" w:hAnsi="Times New Roman" w:cs="Times New Roman"/>
          <w:b/>
          <w:bCs/>
          <w:sz w:val="20"/>
        </w:rPr>
      </w:pPr>
    </w:p>
    <w:tbl>
      <w:tblPr>
        <w:tblW w:w="-29336" w:type="dxa"/>
        <w:tblCellMar>
          <w:left w:w="0" w:type="dxa"/>
          <w:right w:w="0" w:type="dxa"/>
        </w:tblCellMar>
        <w:tblLook w:val="0600" w:firstRow="0" w:lastRow="0" w:firstColumn="0" w:lastColumn="0" w:noHBand="1" w:noVBand="1"/>
      </w:tblPr>
      <w:tblGrid>
        <w:gridCol w:w="980"/>
        <w:gridCol w:w="721"/>
        <w:gridCol w:w="922"/>
        <w:gridCol w:w="724"/>
        <w:gridCol w:w="857"/>
        <w:gridCol w:w="769"/>
        <w:gridCol w:w="931"/>
        <w:gridCol w:w="769"/>
        <w:gridCol w:w="769"/>
        <w:gridCol w:w="769"/>
        <w:gridCol w:w="769"/>
      </w:tblGrid>
      <w:tr w:rsidR="00CB7916" w:rsidRPr="00733161" w14:paraId="5DF2864C" w14:textId="77777777" w:rsidTr="009E598A">
        <w:trPr>
          <w:trHeight w:val="900"/>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9BCBEA" w14:textId="77777777" w:rsidR="00CB7916" w:rsidRPr="00733161" w:rsidRDefault="00CB7916" w:rsidP="00CB7916">
            <w:pPr>
              <w:jc w:val="center"/>
              <w:rPr>
                <w:rFonts w:ascii="Aptos Display" w:hAnsi="Aptos Display"/>
                <w:sz w:val="20"/>
              </w:rPr>
            </w:pP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FEA83C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PH</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2CE7D3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T</w:t>
            </w:r>
            <w:r w:rsidRPr="00CB7916">
              <w:rPr>
                <w:rFonts w:ascii="Aptos Display" w:hAnsi="Aptos Display"/>
                <w:b/>
                <w:bCs/>
                <w:sz w:val="20"/>
              </w:rPr>
              <w:t>P</w:t>
            </w:r>
            <w:r w:rsidRPr="00733161">
              <w:rPr>
                <w:rFonts w:ascii="Aptos Display" w:hAnsi="Aptos Display"/>
                <w:b/>
                <w:bCs/>
                <w:sz w:val="20"/>
              </w:rPr>
              <w:t>MRL</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A5FCC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DFF</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DFEDE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PDGFY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1B6C85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DMY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C31142F"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PDDMY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1E05A12"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LW</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6EC15E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SW</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A11A6BF"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LS</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236DE1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CP</w:t>
            </w:r>
          </w:p>
        </w:tc>
      </w:tr>
      <w:tr w:rsidR="00CB7916" w:rsidRPr="00733161" w14:paraId="330B7B75"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C16F41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PH</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79DFD9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-0.073</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315E297" w14:textId="77777777" w:rsidR="00CB7916" w:rsidRPr="00733161" w:rsidRDefault="00CB7916" w:rsidP="00CB7916">
            <w:pPr>
              <w:jc w:val="center"/>
              <w:rPr>
                <w:rFonts w:ascii="Aptos Display" w:hAnsi="Aptos Display"/>
                <w:sz w:val="20"/>
              </w:rPr>
            </w:pPr>
            <w:r w:rsidRPr="00733161">
              <w:rPr>
                <w:rFonts w:ascii="Aptos Display" w:hAnsi="Aptos Display"/>
                <w:sz w:val="20"/>
              </w:rPr>
              <w:t>-0.004</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9A2B42A" w14:textId="77777777" w:rsidR="00CB7916" w:rsidRPr="00733161" w:rsidRDefault="00CB7916" w:rsidP="00CB7916">
            <w:pPr>
              <w:jc w:val="center"/>
              <w:rPr>
                <w:rFonts w:ascii="Aptos Display" w:hAnsi="Aptos Display"/>
                <w:sz w:val="20"/>
              </w:rPr>
            </w:pPr>
            <w:r w:rsidRPr="00733161">
              <w:rPr>
                <w:rFonts w:ascii="Aptos Display" w:hAnsi="Aptos Display"/>
                <w:sz w:val="20"/>
              </w:rPr>
              <w:t>0.630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1E68C05" w14:textId="77777777" w:rsidR="00CB7916" w:rsidRPr="00733161" w:rsidRDefault="00CB7916" w:rsidP="00CB7916">
            <w:pPr>
              <w:jc w:val="center"/>
              <w:rPr>
                <w:rFonts w:ascii="Aptos Display" w:hAnsi="Aptos Display"/>
                <w:sz w:val="20"/>
              </w:rPr>
            </w:pPr>
            <w:r w:rsidRPr="00733161">
              <w:rPr>
                <w:rFonts w:ascii="Aptos Display" w:hAnsi="Aptos Display"/>
                <w:sz w:val="20"/>
              </w:rPr>
              <w:t>-0.448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9670B7" w14:textId="77777777" w:rsidR="00CB7916" w:rsidRPr="00733161" w:rsidRDefault="00CB7916" w:rsidP="00CB7916">
            <w:pPr>
              <w:jc w:val="center"/>
              <w:rPr>
                <w:rFonts w:ascii="Aptos Display" w:hAnsi="Aptos Display"/>
                <w:sz w:val="20"/>
              </w:rPr>
            </w:pPr>
            <w:r w:rsidRPr="00733161">
              <w:rPr>
                <w:rFonts w:ascii="Aptos Display" w:hAnsi="Aptos Display"/>
                <w:sz w:val="20"/>
              </w:rPr>
              <w:t>-0.185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6EC83D" w14:textId="77777777" w:rsidR="00CB7916" w:rsidRPr="00733161" w:rsidRDefault="00CB7916" w:rsidP="00CB7916">
            <w:pPr>
              <w:jc w:val="center"/>
              <w:rPr>
                <w:rFonts w:ascii="Aptos Display" w:hAnsi="Aptos Display"/>
                <w:sz w:val="20"/>
              </w:rPr>
            </w:pPr>
            <w:r w:rsidRPr="00733161">
              <w:rPr>
                <w:rFonts w:ascii="Aptos Display" w:hAnsi="Aptos Display"/>
                <w:sz w:val="20"/>
              </w:rPr>
              <w:t>0.092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704A8FF" w14:textId="77777777" w:rsidR="00CB7916" w:rsidRPr="00733161" w:rsidRDefault="00CB7916" w:rsidP="00CB7916">
            <w:pPr>
              <w:jc w:val="center"/>
              <w:rPr>
                <w:rFonts w:ascii="Aptos Display" w:hAnsi="Aptos Display"/>
                <w:sz w:val="20"/>
              </w:rPr>
            </w:pPr>
            <w:r w:rsidRPr="00733161">
              <w:rPr>
                <w:rFonts w:ascii="Aptos Display" w:hAnsi="Aptos Display"/>
                <w:sz w:val="20"/>
              </w:rPr>
              <w:t>0.255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D41A80" w14:textId="77777777" w:rsidR="00CB7916" w:rsidRPr="00733161" w:rsidRDefault="00CB7916" w:rsidP="00CB7916">
            <w:pPr>
              <w:jc w:val="center"/>
              <w:rPr>
                <w:rFonts w:ascii="Aptos Display" w:hAnsi="Aptos Display"/>
                <w:sz w:val="20"/>
              </w:rPr>
            </w:pPr>
            <w:r w:rsidRPr="00733161">
              <w:rPr>
                <w:rFonts w:ascii="Aptos Display" w:hAnsi="Aptos Display"/>
                <w:sz w:val="20"/>
              </w:rPr>
              <w:t>0.014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096E81" w14:textId="77777777" w:rsidR="00CB7916" w:rsidRPr="00733161" w:rsidRDefault="00CB7916" w:rsidP="00CB7916">
            <w:pPr>
              <w:jc w:val="center"/>
              <w:rPr>
                <w:rFonts w:ascii="Aptos Display" w:hAnsi="Aptos Display"/>
                <w:sz w:val="20"/>
              </w:rPr>
            </w:pPr>
            <w:r w:rsidRPr="00733161">
              <w:rPr>
                <w:rFonts w:ascii="Aptos Display" w:hAnsi="Aptos Display"/>
                <w:sz w:val="20"/>
              </w:rPr>
              <w:t>-0.212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E101B6" w14:textId="77777777" w:rsidR="00CB7916" w:rsidRPr="00733161" w:rsidRDefault="00CB7916" w:rsidP="00CB7916">
            <w:pPr>
              <w:jc w:val="center"/>
              <w:rPr>
                <w:rFonts w:ascii="Aptos Display" w:hAnsi="Aptos Display"/>
                <w:sz w:val="20"/>
              </w:rPr>
            </w:pPr>
            <w:r w:rsidRPr="00733161">
              <w:rPr>
                <w:rFonts w:ascii="Aptos Display" w:hAnsi="Aptos Display"/>
                <w:sz w:val="20"/>
              </w:rPr>
              <w:t>0.052</w:t>
            </w:r>
          </w:p>
        </w:tc>
      </w:tr>
      <w:tr w:rsidR="00CB7916" w:rsidRPr="00733161" w14:paraId="7AF305A4" w14:textId="77777777" w:rsidTr="009E598A">
        <w:trPr>
          <w:trHeight w:val="890"/>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8C1743" w14:textId="77777777" w:rsidR="00CB7916" w:rsidRPr="00733161" w:rsidRDefault="00CB7916" w:rsidP="00CB7916">
            <w:pPr>
              <w:jc w:val="center"/>
              <w:rPr>
                <w:rFonts w:ascii="Aptos Display" w:hAnsi="Aptos Display"/>
                <w:sz w:val="20"/>
              </w:rPr>
            </w:pPr>
            <w:r w:rsidRPr="00CB7916">
              <w:rPr>
                <w:rFonts w:ascii="Aptos Display" w:hAnsi="Aptos Display"/>
                <w:b/>
                <w:bCs/>
                <w:sz w:val="20"/>
              </w:rPr>
              <w:t>T</w:t>
            </w:r>
            <w:r w:rsidRPr="00733161">
              <w:rPr>
                <w:rFonts w:ascii="Aptos Display" w:hAnsi="Aptos Display"/>
                <w:b/>
                <w:bCs/>
                <w:sz w:val="20"/>
              </w:rPr>
              <w:t>PMRL</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65446C" w14:textId="77777777" w:rsidR="00CB7916" w:rsidRPr="00733161" w:rsidRDefault="00CB7916" w:rsidP="00CB7916">
            <w:pPr>
              <w:jc w:val="center"/>
              <w:rPr>
                <w:rFonts w:ascii="Aptos Display" w:hAnsi="Aptos Display"/>
                <w:sz w:val="20"/>
              </w:rPr>
            </w:pPr>
            <w:r w:rsidRPr="00733161">
              <w:rPr>
                <w:rFonts w:ascii="Aptos Display" w:hAnsi="Aptos Display"/>
                <w:sz w:val="20"/>
              </w:rPr>
              <w:t>0.016</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6FED05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0.020</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8B1256" w14:textId="77777777" w:rsidR="00CB7916" w:rsidRPr="00733161" w:rsidRDefault="00CB7916" w:rsidP="00CB7916">
            <w:pPr>
              <w:jc w:val="center"/>
              <w:rPr>
                <w:rFonts w:ascii="Aptos Display" w:hAnsi="Aptos Display"/>
                <w:sz w:val="20"/>
              </w:rPr>
            </w:pPr>
            <w:r w:rsidRPr="00733161">
              <w:rPr>
                <w:rFonts w:ascii="Aptos Display" w:hAnsi="Aptos Display"/>
                <w:sz w:val="20"/>
              </w:rPr>
              <w:t>-0.983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4B55B2" w14:textId="77777777" w:rsidR="00CB7916" w:rsidRPr="00733161" w:rsidRDefault="00CB7916" w:rsidP="00CB7916">
            <w:pPr>
              <w:jc w:val="center"/>
              <w:rPr>
                <w:rFonts w:ascii="Aptos Display" w:hAnsi="Aptos Display"/>
                <w:sz w:val="20"/>
              </w:rPr>
            </w:pPr>
            <w:r w:rsidRPr="00733161">
              <w:rPr>
                <w:rFonts w:ascii="Aptos Display" w:hAnsi="Aptos Display"/>
                <w:sz w:val="20"/>
              </w:rPr>
              <w:t>0.240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723493C" w14:textId="77777777" w:rsidR="00CB7916" w:rsidRPr="00733161" w:rsidRDefault="00CB7916" w:rsidP="00CB7916">
            <w:pPr>
              <w:jc w:val="center"/>
              <w:rPr>
                <w:rFonts w:ascii="Aptos Display" w:hAnsi="Aptos Display"/>
                <w:sz w:val="20"/>
              </w:rPr>
            </w:pPr>
            <w:r w:rsidRPr="00733161">
              <w:rPr>
                <w:rFonts w:ascii="Aptos Display" w:hAnsi="Aptos Display"/>
                <w:sz w:val="20"/>
              </w:rPr>
              <w:t>0.378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FBD45C8" w14:textId="77777777" w:rsidR="00CB7916" w:rsidRPr="00733161" w:rsidRDefault="00CB7916" w:rsidP="00CB7916">
            <w:pPr>
              <w:jc w:val="center"/>
              <w:rPr>
                <w:rFonts w:ascii="Aptos Display" w:hAnsi="Aptos Display"/>
                <w:sz w:val="20"/>
              </w:rPr>
            </w:pPr>
            <w:r w:rsidRPr="00733161">
              <w:rPr>
                <w:rFonts w:ascii="Aptos Display" w:hAnsi="Aptos Display"/>
                <w:sz w:val="20"/>
              </w:rPr>
              <w:t>-0.210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2AF255" w14:textId="77777777" w:rsidR="00CB7916" w:rsidRPr="00733161" w:rsidRDefault="00CB7916" w:rsidP="00CB7916">
            <w:pPr>
              <w:jc w:val="center"/>
              <w:rPr>
                <w:rFonts w:ascii="Aptos Display" w:hAnsi="Aptos Display"/>
                <w:sz w:val="20"/>
              </w:rPr>
            </w:pPr>
            <w:r w:rsidRPr="00733161">
              <w:rPr>
                <w:rFonts w:ascii="Aptos Display" w:hAnsi="Aptos Display"/>
                <w:sz w:val="20"/>
              </w:rPr>
              <w:t>0.050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99F7747" w14:textId="77777777" w:rsidR="00CB7916" w:rsidRPr="00733161" w:rsidRDefault="00CB7916" w:rsidP="00CB7916">
            <w:pPr>
              <w:jc w:val="center"/>
              <w:rPr>
                <w:rFonts w:ascii="Aptos Display" w:hAnsi="Aptos Display"/>
                <w:sz w:val="20"/>
              </w:rPr>
            </w:pPr>
            <w:r w:rsidRPr="00733161">
              <w:rPr>
                <w:rFonts w:ascii="Aptos Display" w:hAnsi="Aptos Display"/>
                <w:sz w:val="20"/>
              </w:rPr>
              <w:t>0.061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5AFB4D1" w14:textId="77777777" w:rsidR="00CB7916" w:rsidRPr="00733161" w:rsidRDefault="00CB7916" w:rsidP="00CB7916">
            <w:pPr>
              <w:jc w:val="center"/>
              <w:rPr>
                <w:rFonts w:ascii="Aptos Display" w:hAnsi="Aptos Display"/>
                <w:sz w:val="20"/>
              </w:rPr>
            </w:pPr>
            <w:r w:rsidRPr="00733161">
              <w:rPr>
                <w:rFonts w:ascii="Aptos Display" w:hAnsi="Aptos Display"/>
                <w:sz w:val="20"/>
              </w:rPr>
              <w:t>-0.129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0B8571F" w14:textId="77777777" w:rsidR="00CB7916" w:rsidRPr="00733161" w:rsidRDefault="00CB7916" w:rsidP="00CB7916">
            <w:pPr>
              <w:jc w:val="center"/>
              <w:rPr>
                <w:rFonts w:ascii="Aptos Display" w:hAnsi="Aptos Display"/>
                <w:sz w:val="20"/>
              </w:rPr>
            </w:pPr>
            <w:r w:rsidRPr="00733161">
              <w:rPr>
                <w:rFonts w:ascii="Aptos Display" w:hAnsi="Aptos Display"/>
                <w:sz w:val="20"/>
              </w:rPr>
              <w:t>0.002</w:t>
            </w:r>
          </w:p>
        </w:tc>
      </w:tr>
      <w:tr w:rsidR="00CB7916" w:rsidRPr="00733161" w14:paraId="23C87C16"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2C6C6C"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DFF</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B485136" w14:textId="77777777" w:rsidR="00CB7916" w:rsidRPr="00733161" w:rsidRDefault="00CB7916" w:rsidP="00CB7916">
            <w:pPr>
              <w:jc w:val="center"/>
              <w:rPr>
                <w:rFonts w:ascii="Aptos Display" w:hAnsi="Aptos Display"/>
                <w:sz w:val="20"/>
              </w:rPr>
            </w:pPr>
            <w:r w:rsidRPr="00733161">
              <w:rPr>
                <w:rFonts w:ascii="Aptos Display" w:hAnsi="Aptos Display"/>
                <w:sz w:val="20"/>
              </w:rPr>
              <w:t>-0.033</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60669F" w14:textId="77777777" w:rsidR="00CB7916" w:rsidRPr="00733161" w:rsidRDefault="00CB7916" w:rsidP="00CB7916">
            <w:pPr>
              <w:jc w:val="center"/>
              <w:rPr>
                <w:rFonts w:ascii="Aptos Display" w:hAnsi="Aptos Display"/>
                <w:sz w:val="20"/>
              </w:rPr>
            </w:pPr>
            <w:r w:rsidRPr="00733161">
              <w:rPr>
                <w:rFonts w:ascii="Aptos Display" w:hAnsi="Aptos Display"/>
                <w:sz w:val="20"/>
              </w:rPr>
              <w:t>-0.014</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D4DD214"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1.417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812DD1" w14:textId="77777777" w:rsidR="00CB7916" w:rsidRPr="00733161" w:rsidRDefault="00CB7916" w:rsidP="00CB7916">
            <w:pPr>
              <w:jc w:val="center"/>
              <w:rPr>
                <w:rFonts w:ascii="Aptos Display" w:hAnsi="Aptos Display"/>
                <w:sz w:val="20"/>
              </w:rPr>
            </w:pPr>
            <w:r w:rsidRPr="00733161">
              <w:rPr>
                <w:rFonts w:ascii="Aptos Display" w:hAnsi="Aptos Display"/>
                <w:sz w:val="20"/>
              </w:rPr>
              <w:t>-0.169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C7A223" w14:textId="77777777" w:rsidR="00CB7916" w:rsidRPr="00733161" w:rsidRDefault="00CB7916" w:rsidP="00CB7916">
            <w:pPr>
              <w:jc w:val="center"/>
              <w:rPr>
                <w:rFonts w:ascii="Aptos Display" w:hAnsi="Aptos Display"/>
                <w:sz w:val="20"/>
              </w:rPr>
            </w:pPr>
            <w:r w:rsidRPr="00733161">
              <w:rPr>
                <w:rFonts w:ascii="Aptos Display" w:hAnsi="Aptos Display"/>
                <w:sz w:val="20"/>
              </w:rPr>
              <w:t>-0.372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A3F22D" w14:textId="77777777" w:rsidR="00CB7916" w:rsidRPr="00733161" w:rsidRDefault="00CB7916" w:rsidP="00CB7916">
            <w:pPr>
              <w:jc w:val="center"/>
              <w:rPr>
                <w:rFonts w:ascii="Aptos Display" w:hAnsi="Aptos Display"/>
                <w:sz w:val="20"/>
              </w:rPr>
            </w:pPr>
            <w:r w:rsidRPr="00733161">
              <w:rPr>
                <w:rFonts w:ascii="Aptos Display" w:hAnsi="Aptos Display"/>
                <w:sz w:val="20"/>
              </w:rPr>
              <w:t>0.154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8EA3E7" w14:textId="77777777" w:rsidR="00CB7916" w:rsidRPr="00733161" w:rsidRDefault="00CB7916" w:rsidP="00CB7916">
            <w:pPr>
              <w:jc w:val="center"/>
              <w:rPr>
                <w:rFonts w:ascii="Aptos Display" w:hAnsi="Aptos Display"/>
                <w:sz w:val="20"/>
              </w:rPr>
            </w:pPr>
            <w:r w:rsidRPr="00733161">
              <w:rPr>
                <w:rFonts w:ascii="Aptos Display" w:hAnsi="Aptos Display"/>
                <w:sz w:val="20"/>
              </w:rPr>
              <w:t>0.317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32C2EA" w14:textId="77777777" w:rsidR="00CB7916" w:rsidRPr="00733161" w:rsidRDefault="00CB7916" w:rsidP="00CB7916">
            <w:pPr>
              <w:jc w:val="center"/>
              <w:rPr>
                <w:rFonts w:ascii="Aptos Display" w:hAnsi="Aptos Display"/>
                <w:sz w:val="20"/>
              </w:rPr>
            </w:pPr>
            <w:r w:rsidRPr="00733161">
              <w:rPr>
                <w:rFonts w:ascii="Aptos Display" w:hAnsi="Aptos Display"/>
                <w:sz w:val="20"/>
              </w:rPr>
              <w:t>0.058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96C575B" w14:textId="77777777" w:rsidR="00CB7916" w:rsidRPr="00733161" w:rsidRDefault="00CB7916" w:rsidP="00CB7916">
            <w:pPr>
              <w:jc w:val="center"/>
              <w:rPr>
                <w:rFonts w:ascii="Aptos Display" w:hAnsi="Aptos Display"/>
                <w:sz w:val="20"/>
              </w:rPr>
            </w:pPr>
            <w:r w:rsidRPr="00733161">
              <w:rPr>
                <w:rFonts w:ascii="Aptos Display" w:hAnsi="Aptos Display"/>
                <w:sz w:val="20"/>
              </w:rPr>
              <w:t>-0.344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C6041C8"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r>
      <w:tr w:rsidR="00CB7916" w:rsidRPr="00733161" w14:paraId="6D0E5F31"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4D171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PDGFY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17B5838" w14:textId="77777777" w:rsidR="00CB7916" w:rsidRPr="00733161" w:rsidRDefault="00CB7916" w:rsidP="00CB7916">
            <w:pPr>
              <w:jc w:val="center"/>
              <w:rPr>
                <w:rFonts w:ascii="Aptos Display" w:hAnsi="Aptos Display"/>
                <w:sz w:val="20"/>
              </w:rPr>
            </w:pPr>
            <w:r w:rsidRPr="00733161">
              <w:rPr>
                <w:rFonts w:ascii="Aptos Display" w:hAnsi="Aptos Display"/>
                <w:sz w:val="20"/>
              </w:rPr>
              <w:t>0.130</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3F44326" w14:textId="77777777" w:rsidR="00CB7916" w:rsidRPr="00733161" w:rsidRDefault="00CB7916" w:rsidP="00CB7916">
            <w:pPr>
              <w:jc w:val="center"/>
              <w:rPr>
                <w:rFonts w:ascii="Aptos Display" w:hAnsi="Aptos Display"/>
                <w:sz w:val="20"/>
              </w:rPr>
            </w:pPr>
            <w:r w:rsidRPr="00733161">
              <w:rPr>
                <w:rFonts w:ascii="Aptos Display" w:hAnsi="Aptos Display"/>
                <w:sz w:val="20"/>
              </w:rPr>
              <w:t>0.019</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C0C45F" w14:textId="77777777" w:rsidR="00CB7916" w:rsidRPr="00733161" w:rsidRDefault="00CB7916" w:rsidP="00CB7916">
            <w:pPr>
              <w:jc w:val="center"/>
              <w:rPr>
                <w:rFonts w:ascii="Aptos Display" w:hAnsi="Aptos Display"/>
                <w:sz w:val="20"/>
              </w:rPr>
            </w:pPr>
            <w:r w:rsidRPr="00733161">
              <w:rPr>
                <w:rFonts w:ascii="Aptos Display" w:hAnsi="Aptos Display"/>
                <w:sz w:val="20"/>
              </w:rPr>
              <w:t>-0.947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A3A59DD"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0.253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9635BF" w14:textId="77777777" w:rsidR="00CB7916" w:rsidRPr="00733161" w:rsidRDefault="00CB7916" w:rsidP="00CB7916">
            <w:pPr>
              <w:jc w:val="center"/>
              <w:rPr>
                <w:rFonts w:ascii="Aptos Display" w:hAnsi="Aptos Display"/>
                <w:sz w:val="20"/>
              </w:rPr>
            </w:pPr>
            <w:r w:rsidRPr="00733161">
              <w:rPr>
                <w:rFonts w:ascii="Aptos Display" w:hAnsi="Aptos Display"/>
                <w:sz w:val="20"/>
              </w:rPr>
              <w:t>0.239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C98BEA5" w14:textId="77777777" w:rsidR="00CB7916" w:rsidRPr="00733161" w:rsidRDefault="00CB7916" w:rsidP="00CB7916">
            <w:pPr>
              <w:jc w:val="center"/>
              <w:rPr>
                <w:rFonts w:ascii="Aptos Display" w:hAnsi="Aptos Display"/>
                <w:sz w:val="20"/>
              </w:rPr>
            </w:pPr>
            <w:r w:rsidRPr="00733161">
              <w:rPr>
                <w:rFonts w:ascii="Aptos Display" w:hAnsi="Aptos Display"/>
                <w:sz w:val="20"/>
              </w:rPr>
              <w:t>-0.057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D6AD44" w14:textId="77777777" w:rsidR="00CB7916" w:rsidRPr="00733161" w:rsidRDefault="00CB7916" w:rsidP="00CB7916">
            <w:pPr>
              <w:jc w:val="center"/>
              <w:rPr>
                <w:rFonts w:ascii="Aptos Display" w:hAnsi="Aptos Display"/>
                <w:sz w:val="20"/>
              </w:rPr>
            </w:pPr>
            <w:r w:rsidRPr="00733161">
              <w:rPr>
                <w:rFonts w:ascii="Aptos Display" w:hAnsi="Aptos Display"/>
                <w:sz w:val="20"/>
              </w:rPr>
              <w:t>-0.295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C1BDC7" w14:textId="77777777" w:rsidR="00CB7916" w:rsidRPr="00733161" w:rsidRDefault="00CB7916" w:rsidP="00CB7916">
            <w:pPr>
              <w:jc w:val="center"/>
              <w:rPr>
                <w:rFonts w:ascii="Aptos Display" w:hAnsi="Aptos Display"/>
                <w:sz w:val="20"/>
              </w:rPr>
            </w:pPr>
            <w:r w:rsidRPr="00733161">
              <w:rPr>
                <w:rFonts w:ascii="Aptos Display" w:hAnsi="Aptos Display"/>
                <w:sz w:val="20"/>
              </w:rPr>
              <w:t>-0.297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9A5E59" w14:textId="77777777" w:rsidR="00CB7916" w:rsidRPr="00733161" w:rsidRDefault="00CB7916" w:rsidP="00CB7916">
            <w:pPr>
              <w:jc w:val="center"/>
              <w:rPr>
                <w:rFonts w:ascii="Aptos Display" w:hAnsi="Aptos Display"/>
                <w:sz w:val="20"/>
              </w:rPr>
            </w:pPr>
            <w:r w:rsidRPr="00733161">
              <w:rPr>
                <w:rFonts w:ascii="Aptos Display" w:hAnsi="Aptos Display"/>
                <w:sz w:val="20"/>
              </w:rPr>
              <w:t>0.351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C225B1E" w14:textId="77777777" w:rsidR="00CB7916" w:rsidRPr="00733161" w:rsidRDefault="00CB7916" w:rsidP="00CB7916">
            <w:pPr>
              <w:jc w:val="center"/>
              <w:rPr>
                <w:rFonts w:ascii="Aptos Display" w:hAnsi="Aptos Display"/>
                <w:sz w:val="20"/>
              </w:rPr>
            </w:pPr>
            <w:r w:rsidRPr="00733161">
              <w:rPr>
                <w:rFonts w:ascii="Aptos Display" w:hAnsi="Aptos Display"/>
                <w:sz w:val="20"/>
              </w:rPr>
              <w:t>-0.028</w:t>
            </w:r>
          </w:p>
        </w:tc>
      </w:tr>
      <w:tr w:rsidR="00CB7916" w:rsidRPr="00733161" w14:paraId="796413B5"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66DE1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DMY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6261BC" w14:textId="77777777" w:rsidR="00CB7916" w:rsidRPr="00733161" w:rsidRDefault="00CB7916" w:rsidP="00CB7916">
            <w:pPr>
              <w:jc w:val="center"/>
              <w:rPr>
                <w:rFonts w:ascii="Aptos Display" w:hAnsi="Aptos Display"/>
                <w:sz w:val="20"/>
              </w:rPr>
            </w:pPr>
            <w:r w:rsidRPr="00733161">
              <w:rPr>
                <w:rFonts w:ascii="Aptos Display" w:hAnsi="Aptos Display"/>
                <w:sz w:val="20"/>
              </w:rPr>
              <w:t>-0.024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D4C332E" w14:textId="77777777" w:rsidR="00CB7916" w:rsidRPr="00733161" w:rsidRDefault="00CB7916" w:rsidP="00CB7916">
            <w:pPr>
              <w:jc w:val="center"/>
              <w:rPr>
                <w:rFonts w:ascii="Aptos Display" w:hAnsi="Aptos Display"/>
                <w:sz w:val="20"/>
              </w:rPr>
            </w:pPr>
            <w:r w:rsidRPr="00733161">
              <w:rPr>
                <w:rFonts w:ascii="Aptos Display" w:hAnsi="Aptos Display"/>
                <w:sz w:val="20"/>
              </w:rPr>
              <w:t>-0.013</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5422F0" w14:textId="77777777" w:rsidR="00CB7916" w:rsidRPr="00733161" w:rsidRDefault="00CB7916" w:rsidP="00CB7916">
            <w:pPr>
              <w:jc w:val="center"/>
              <w:rPr>
                <w:rFonts w:ascii="Aptos Display" w:hAnsi="Aptos Display"/>
                <w:sz w:val="20"/>
              </w:rPr>
            </w:pPr>
            <w:r w:rsidRPr="00733161">
              <w:rPr>
                <w:rFonts w:ascii="Aptos Display" w:hAnsi="Aptos Display"/>
                <w:sz w:val="20"/>
              </w:rPr>
              <w:t>0.930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9CCFFA5" w14:textId="77777777" w:rsidR="00CB7916" w:rsidRPr="00733161" w:rsidRDefault="00CB7916" w:rsidP="00CB7916">
            <w:pPr>
              <w:jc w:val="center"/>
              <w:rPr>
                <w:rFonts w:ascii="Aptos Display" w:hAnsi="Aptos Display"/>
                <w:sz w:val="20"/>
              </w:rPr>
            </w:pPr>
            <w:r w:rsidRPr="00733161">
              <w:rPr>
                <w:rFonts w:ascii="Aptos Display" w:hAnsi="Aptos Display"/>
                <w:sz w:val="20"/>
              </w:rPr>
              <w:t>-0.107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878281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-0.566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A701AC" w14:textId="77777777" w:rsidR="00CB7916" w:rsidRPr="00733161" w:rsidRDefault="00CB7916" w:rsidP="00CB7916">
            <w:pPr>
              <w:jc w:val="center"/>
              <w:rPr>
                <w:rFonts w:ascii="Aptos Display" w:hAnsi="Aptos Display"/>
                <w:sz w:val="20"/>
              </w:rPr>
            </w:pPr>
            <w:r w:rsidRPr="00733161">
              <w:rPr>
                <w:rFonts w:ascii="Aptos Display" w:hAnsi="Aptos Display"/>
                <w:sz w:val="20"/>
              </w:rPr>
              <w:t>0.370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5F82556" w14:textId="77777777" w:rsidR="00CB7916" w:rsidRPr="00733161" w:rsidRDefault="00CB7916" w:rsidP="00CB7916">
            <w:pPr>
              <w:jc w:val="center"/>
              <w:rPr>
                <w:rFonts w:ascii="Aptos Display" w:hAnsi="Aptos Display"/>
                <w:sz w:val="20"/>
              </w:rPr>
            </w:pPr>
            <w:r w:rsidRPr="00733161">
              <w:rPr>
                <w:rFonts w:ascii="Aptos Display" w:hAnsi="Aptos Display"/>
                <w:sz w:val="20"/>
              </w:rPr>
              <w:t>0.028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BD25D6" w14:textId="77777777" w:rsidR="00CB7916" w:rsidRPr="00733161" w:rsidRDefault="00CB7916" w:rsidP="00CB7916">
            <w:pPr>
              <w:jc w:val="center"/>
              <w:rPr>
                <w:rFonts w:ascii="Aptos Display" w:hAnsi="Aptos Display"/>
                <w:sz w:val="20"/>
              </w:rPr>
            </w:pPr>
            <w:r w:rsidRPr="00733161">
              <w:rPr>
                <w:rFonts w:ascii="Aptos Display" w:hAnsi="Aptos Display"/>
                <w:sz w:val="20"/>
              </w:rPr>
              <w:t>-0.037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2617B88" w14:textId="77777777" w:rsidR="00CB7916" w:rsidRPr="00733161" w:rsidRDefault="00CB7916" w:rsidP="00CB7916">
            <w:pPr>
              <w:jc w:val="center"/>
              <w:rPr>
                <w:rFonts w:ascii="Aptos Display" w:hAnsi="Aptos Display"/>
                <w:sz w:val="20"/>
              </w:rPr>
            </w:pPr>
            <w:r w:rsidRPr="00733161">
              <w:rPr>
                <w:rFonts w:ascii="Aptos Display" w:hAnsi="Aptos Display"/>
                <w:sz w:val="20"/>
              </w:rPr>
              <w:t>0.018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0CCBC63" w14:textId="77777777" w:rsidR="00CB7916" w:rsidRPr="00733161" w:rsidRDefault="00CB7916" w:rsidP="00CB7916">
            <w:pPr>
              <w:jc w:val="center"/>
              <w:rPr>
                <w:rFonts w:ascii="Aptos Display" w:hAnsi="Aptos Display"/>
                <w:sz w:val="20"/>
              </w:rPr>
            </w:pPr>
            <w:r w:rsidRPr="00733161">
              <w:rPr>
                <w:rFonts w:ascii="Aptos Display" w:hAnsi="Aptos Display"/>
                <w:sz w:val="20"/>
              </w:rPr>
              <w:t>0.034</w:t>
            </w:r>
          </w:p>
        </w:tc>
      </w:tr>
      <w:tr w:rsidR="00CB7916" w:rsidRPr="00733161" w14:paraId="44B33A77"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54ED56"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PDDMY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21A2FB" w14:textId="77777777" w:rsidR="00CB7916" w:rsidRPr="00733161" w:rsidRDefault="00CB7916" w:rsidP="00CB7916">
            <w:pPr>
              <w:jc w:val="center"/>
              <w:rPr>
                <w:rFonts w:ascii="Aptos Display" w:hAnsi="Aptos Display"/>
                <w:sz w:val="20"/>
              </w:rPr>
            </w:pPr>
            <w:r w:rsidRPr="00733161">
              <w:rPr>
                <w:rFonts w:ascii="Aptos Display" w:hAnsi="Aptos Display"/>
                <w:sz w:val="20"/>
              </w:rPr>
              <w:t>-0.017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764D80"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880AEE" w14:textId="77777777" w:rsidR="00CB7916" w:rsidRPr="00733161" w:rsidRDefault="00CB7916" w:rsidP="00CB7916">
            <w:pPr>
              <w:jc w:val="center"/>
              <w:rPr>
                <w:rFonts w:ascii="Aptos Display" w:hAnsi="Aptos Display"/>
                <w:sz w:val="20"/>
              </w:rPr>
            </w:pPr>
            <w:r w:rsidRPr="00733161">
              <w:rPr>
                <w:rFonts w:ascii="Aptos Display" w:hAnsi="Aptos Display"/>
                <w:sz w:val="20"/>
              </w:rPr>
              <w:t>0.561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41827B9" w14:textId="77777777" w:rsidR="00CB7916" w:rsidRPr="00733161" w:rsidRDefault="00CB7916" w:rsidP="00CB7916">
            <w:pPr>
              <w:jc w:val="center"/>
              <w:rPr>
                <w:rFonts w:ascii="Aptos Display" w:hAnsi="Aptos Display"/>
                <w:sz w:val="20"/>
              </w:rPr>
            </w:pPr>
            <w:r w:rsidRPr="00733161">
              <w:rPr>
                <w:rFonts w:ascii="Aptos Display" w:hAnsi="Aptos Display"/>
                <w:sz w:val="20"/>
              </w:rPr>
              <w:t>-0.037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B8C730" w14:textId="77777777" w:rsidR="00CB7916" w:rsidRPr="00733161" w:rsidRDefault="00CB7916" w:rsidP="00CB7916">
            <w:pPr>
              <w:jc w:val="center"/>
              <w:rPr>
                <w:rFonts w:ascii="Aptos Display" w:hAnsi="Aptos Display"/>
                <w:sz w:val="20"/>
              </w:rPr>
            </w:pPr>
            <w:r w:rsidRPr="00733161">
              <w:rPr>
                <w:rFonts w:ascii="Aptos Display" w:hAnsi="Aptos Display"/>
                <w:sz w:val="20"/>
              </w:rPr>
              <w:t>-0.539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BE5440"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0.389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4B316F5" w14:textId="77777777" w:rsidR="00CB7916" w:rsidRPr="00733161" w:rsidRDefault="00CB7916" w:rsidP="00CB7916">
            <w:pPr>
              <w:jc w:val="center"/>
              <w:rPr>
                <w:rFonts w:ascii="Aptos Display" w:hAnsi="Aptos Display"/>
                <w:sz w:val="20"/>
              </w:rPr>
            </w:pPr>
            <w:r w:rsidRPr="00733161">
              <w:rPr>
                <w:rFonts w:ascii="Aptos Display" w:hAnsi="Aptos Display"/>
                <w:sz w:val="20"/>
              </w:rPr>
              <w:t>-0.119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848AA6" w14:textId="77777777" w:rsidR="00CB7916" w:rsidRPr="00733161" w:rsidRDefault="00CB7916" w:rsidP="00CB7916">
            <w:pPr>
              <w:jc w:val="center"/>
              <w:rPr>
                <w:rFonts w:ascii="Aptos Display" w:hAnsi="Aptos Display"/>
                <w:sz w:val="20"/>
              </w:rPr>
            </w:pPr>
            <w:r w:rsidRPr="00733161">
              <w:rPr>
                <w:rFonts w:ascii="Aptos Display" w:hAnsi="Aptos Display"/>
                <w:sz w:val="20"/>
              </w:rPr>
              <w:t>-0.080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C7CD61" w14:textId="77777777" w:rsidR="00CB7916" w:rsidRPr="00733161" w:rsidRDefault="00CB7916" w:rsidP="00CB7916">
            <w:pPr>
              <w:jc w:val="center"/>
              <w:rPr>
                <w:rFonts w:ascii="Aptos Display" w:hAnsi="Aptos Display"/>
                <w:sz w:val="20"/>
              </w:rPr>
            </w:pPr>
            <w:r w:rsidRPr="00733161">
              <w:rPr>
                <w:rFonts w:ascii="Aptos Display" w:hAnsi="Aptos Display"/>
                <w:sz w:val="20"/>
              </w:rPr>
              <w:t>0.197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41F0297" w14:textId="77777777" w:rsidR="00CB7916" w:rsidRPr="00733161" w:rsidRDefault="00CB7916" w:rsidP="00CB7916">
            <w:pPr>
              <w:jc w:val="center"/>
              <w:rPr>
                <w:rFonts w:ascii="Aptos Display" w:hAnsi="Aptos Display"/>
                <w:sz w:val="20"/>
              </w:rPr>
            </w:pPr>
            <w:r w:rsidRPr="00733161">
              <w:rPr>
                <w:rFonts w:ascii="Aptos Display" w:hAnsi="Aptos Display"/>
                <w:sz w:val="20"/>
              </w:rPr>
              <w:t>0.046</w:t>
            </w:r>
          </w:p>
        </w:tc>
      </w:tr>
      <w:tr w:rsidR="00CB7916" w:rsidRPr="00733161" w14:paraId="05FAD875"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AD6B86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LW</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6C3037" w14:textId="77777777" w:rsidR="00CB7916" w:rsidRPr="00733161" w:rsidRDefault="00CB7916" w:rsidP="00CB7916">
            <w:pPr>
              <w:jc w:val="center"/>
              <w:rPr>
                <w:rFonts w:ascii="Aptos Display" w:hAnsi="Aptos Display"/>
                <w:sz w:val="20"/>
              </w:rPr>
            </w:pPr>
            <w:r w:rsidRPr="00733161">
              <w:rPr>
                <w:rFonts w:ascii="Aptos Display" w:hAnsi="Aptos Display"/>
                <w:sz w:val="20"/>
              </w:rPr>
              <w:t>-0.027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38272B0" w14:textId="77777777" w:rsidR="00CB7916" w:rsidRPr="00733161" w:rsidRDefault="00CB7916" w:rsidP="00CB7916">
            <w:pPr>
              <w:jc w:val="center"/>
              <w:rPr>
                <w:rFonts w:ascii="Aptos Display" w:hAnsi="Aptos Display"/>
                <w:sz w:val="20"/>
              </w:rPr>
            </w:pPr>
            <w:r w:rsidRPr="00733161">
              <w:rPr>
                <w:rFonts w:ascii="Aptos Display" w:hAnsi="Aptos Display"/>
                <w:sz w:val="20"/>
              </w:rPr>
              <w:t>0.001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E76B96E" w14:textId="77777777" w:rsidR="00CB7916" w:rsidRPr="00733161" w:rsidRDefault="00CB7916" w:rsidP="00CB7916">
            <w:pPr>
              <w:jc w:val="center"/>
              <w:rPr>
                <w:rFonts w:ascii="Aptos Display" w:hAnsi="Aptos Display"/>
                <w:sz w:val="20"/>
              </w:rPr>
            </w:pPr>
            <w:r w:rsidRPr="00733161">
              <w:rPr>
                <w:rFonts w:ascii="Aptos Display" w:hAnsi="Aptos Display"/>
                <w:sz w:val="20"/>
              </w:rPr>
              <w:t>0.643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B49597" w14:textId="77777777" w:rsidR="00CB7916" w:rsidRPr="00733161" w:rsidRDefault="00CB7916" w:rsidP="00CB7916">
            <w:pPr>
              <w:jc w:val="center"/>
              <w:rPr>
                <w:rFonts w:ascii="Aptos Display" w:hAnsi="Aptos Display"/>
                <w:sz w:val="20"/>
              </w:rPr>
            </w:pPr>
            <w:r w:rsidRPr="00733161">
              <w:rPr>
                <w:rFonts w:ascii="Aptos Display" w:hAnsi="Aptos Display"/>
                <w:sz w:val="20"/>
              </w:rPr>
              <w:t>-0.107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9DB9999" w14:textId="77777777" w:rsidR="00CB7916" w:rsidRPr="00733161" w:rsidRDefault="00CB7916" w:rsidP="00CB7916">
            <w:pPr>
              <w:jc w:val="center"/>
              <w:rPr>
                <w:rFonts w:ascii="Aptos Display" w:hAnsi="Aptos Display"/>
                <w:sz w:val="20"/>
              </w:rPr>
            </w:pPr>
            <w:r w:rsidRPr="00733161">
              <w:rPr>
                <w:rFonts w:ascii="Aptos Display" w:hAnsi="Aptos Display"/>
                <w:sz w:val="20"/>
              </w:rPr>
              <w:t>-0.022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8A050F5" w14:textId="77777777" w:rsidR="00CB7916" w:rsidRPr="00733161" w:rsidRDefault="00CB7916" w:rsidP="00CB7916">
            <w:pPr>
              <w:jc w:val="center"/>
              <w:rPr>
                <w:rFonts w:ascii="Aptos Display" w:hAnsi="Aptos Display"/>
                <w:sz w:val="20"/>
              </w:rPr>
            </w:pPr>
            <w:r w:rsidRPr="00733161">
              <w:rPr>
                <w:rFonts w:ascii="Aptos Display" w:hAnsi="Aptos Display"/>
                <w:sz w:val="20"/>
              </w:rPr>
              <w:t>-0.066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94EA0B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0.699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779066" w14:textId="77777777" w:rsidR="00CB7916" w:rsidRPr="00733161" w:rsidRDefault="00CB7916" w:rsidP="00CB7916">
            <w:pPr>
              <w:jc w:val="center"/>
              <w:rPr>
                <w:rFonts w:ascii="Aptos Display" w:hAnsi="Aptos Display"/>
                <w:sz w:val="20"/>
              </w:rPr>
            </w:pPr>
            <w:r w:rsidRPr="00733161">
              <w:rPr>
                <w:rFonts w:ascii="Aptos Display" w:hAnsi="Aptos Display"/>
                <w:sz w:val="20"/>
              </w:rPr>
              <w:t>0.250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EB7AAF" w14:textId="77777777" w:rsidR="00CB7916" w:rsidRPr="00733161" w:rsidRDefault="00CB7916" w:rsidP="00CB7916">
            <w:pPr>
              <w:jc w:val="center"/>
              <w:rPr>
                <w:rFonts w:ascii="Aptos Display" w:hAnsi="Aptos Display"/>
                <w:sz w:val="20"/>
              </w:rPr>
            </w:pPr>
            <w:r w:rsidRPr="00733161">
              <w:rPr>
                <w:rFonts w:ascii="Aptos Display" w:hAnsi="Aptos Display"/>
                <w:sz w:val="20"/>
              </w:rPr>
              <w:t>-0.940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CE7F6A"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r>
      <w:tr w:rsidR="00CB7916" w:rsidRPr="00733161" w14:paraId="056D93C9"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34EB6E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SW</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CB90CF" w14:textId="77777777" w:rsidR="00CB7916" w:rsidRPr="00733161" w:rsidRDefault="00CB7916" w:rsidP="00CB7916">
            <w:pPr>
              <w:jc w:val="center"/>
              <w:rPr>
                <w:rFonts w:ascii="Aptos Display" w:hAnsi="Aptos Display"/>
                <w:sz w:val="20"/>
              </w:rPr>
            </w:pPr>
            <w:r w:rsidRPr="00733161">
              <w:rPr>
                <w:rFonts w:ascii="Aptos Display" w:hAnsi="Aptos Display"/>
                <w:sz w:val="20"/>
              </w:rPr>
              <w:t>0.004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57F4DB1" w14:textId="77777777" w:rsidR="00CB7916" w:rsidRPr="00733161" w:rsidRDefault="00CB7916" w:rsidP="00CB7916">
            <w:pPr>
              <w:jc w:val="center"/>
              <w:rPr>
                <w:rFonts w:ascii="Aptos Display" w:hAnsi="Aptos Display"/>
                <w:sz w:val="20"/>
              </w:rPr>
            </w:pPr>
            <w:r w:rsidRPr="00733161">
              <w:rPr>
                <w:rFonts w:ascii="Aptos Display" w:hAnsi="Aptos Display"/>
                <w:sz w:val="20"/>
              </w:rPr>
              <w:t>-0.005</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FD4267C" w14:textId="77777777" w:rsidR="00CB7916" w:rsidRPr="00733161" w:rsidRDefault="00CB7916" w:rsidP="00CB7916">
            <w:pPr>
              <w:jc w:val="center"/>
              <w:rPr>
                <w:rFonts w:ascii="Aptos Display" w:hAnsi="Aptos Display"/>
                <w:sz w:val="20"/>
              </w:rPr>
            </w:pPr>
            <w:r w:rsidRPr="00733161">
              <w:rPr>
                <w:rFonts w:ascii="Aptos Display" w:hAnsi="Aptos Display"/>
                <w:sz w:val="20"/>
              </w:rPr>
              <w:t>-0.344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8D5632E" w14:textId="77777777" w:rsidR="00CB7916" w:rsidRPr="00733161" w:rsidRDefault="00CB7916" w:rsidP="00CB7916">
            <w:pPr>
              <w:jc w:val="center"/>
              <w:rPr>
                <w:rFonts w:ascii="Aptos Display" w:hAnsi="Aptos Display"/>
                <w:sz w:val="20"/>
              </w:rPr>
            </w:pPr>
            <w:r w:rsidRPr="00733161">
              <w:rPr>
                <w:rFonts w:ascii="Aptos Display" w:hAnsi="Aptos Display"/>
                <w:sz w:val="20"/>
              </w:rPr>
              <w:t>0.312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4A8033" w14:textId="77777777" w:rsidR="00CB7916" w:rsidRPr="00733161" w:rsidRDefault="00CB7916" w:rsidP="00CB7916">
            <w:pPr>
              <w:jc w:val="center"/>
              <w:rPr>
                <w:rFonts w:ascii="Aptos Display" w:hAnsi="Aptos Display"/>
                <w:sz w:val="20"/>
              </w:rPr>
            </w:pPr>
            <w:r w:rsidRPr="00733161">
              <w:rPr>
                <w:rFonts w:ascii="Aptos Display" w:hAnsi="Aptos Display"/>
                <w:sz w:val="20"/>
              </w:rPr>
              <w:t>-0.086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E250FFA" w14:textId="77777777" w:rsidR="00CB7916" w:rsidRPr="00733161" w:rsidRDefault="00CB7916" w:rsidP="00CB7916">
            <w:pPr>
              <w:jc w:val="center"/>
              <w:rPr>
                <w:rFonts w:ascii="Aptos Display" w:hAnsi="Aptos Display"/>
                <w:sz w:val="20"/>
              </w:rPr>
            </w:pPr>
            <w:r w:rsidRPr="00733161">
              <w:rPr>
                <w:rFonts w:ascii="Aptos Display" w:hAnsi="Aptos Display"/>
                <w:sz w:val="20"/>
              </w:rPr>
              <w:t>0.129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E2AF94" w14:textId="77777777" w:rsidR="00CB7916" w:rsidRPr="00733161" w:rsidRDefault="00CB7916" w:rsidP="00CB7916">
            <w:pPr>
              <w:jc w:val="center"/>
              <w:rPr>
                <w:rFonts w:ascii="Aptos Display" w:hAnsi="Aptos Display"/>
                <w:sz w:val="20"/>
              </w:rPr>
            </w:pPr>
            <w:r w:rsidRPr="00733161">
              <w:rPr>
                <w:rFonts w:ascii="Aptos Display" w:hAnsi="Aptos Display"/>
                <w:sz w:val="20"/>
              </w:rPr>
              <w:t>-0.727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9769EBA"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-0.241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6B416DF" w14:textId="77777777" w:rsidR="00CB7916" w:rsidRPr="00733161" w:rsidRDefault="00CB7916" w:rsidP="00CB7916">
            <w:pPr>
              <w:jc w:val="center"/>
              <w:rPr>
                <w:rFonts w:ascii="Aptos Display" w:hAnsi="Aptos Display"/>
                <w:sz w:val="20"/>
              </w:rPr>
            </w:pPr>
            <w:r w:rsidRPr="00733161">
              <w:rPr>
                <w:rFonts w:ascii="Aptos Display" w:hAnsi="Aptos Display"/>
                <w:sz w:val="20"/>
              </w:rPr>
              <w:t>0.968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DE1F90" w14:textId="77777777" w:rsidR="00CB7916" w:rsidRPr="00733161" w:rsidRDefault="00CB7916" w:rsidP="00CB7916">
            <w:pPr>
              <w:jc w:val="center"/>
              <w:rPr>
                <w:rFonts w:ascii="Aptos Display" w:hAnsi="Aptos Display"/>
                <w:sz w:val="20"/>
              </w:rPr>
            </w:pPr>
            <w:r w:rsidRPr="00733161">
              <w:rPr>
                <w:rFonts w:ascii="Aptos Display" w:hAnsi="Aptos Display"/>
                <w:sz w:val="20"/>
              </w:rPr>
              <w:t>0.000</w:t>
            </w:r>
          </w:p>
        </w:tc>
      </w:tr>
      <w:tr w:rsidR="00CB7916" w:rsidRPr="00733161" w14:paraId="382D2339"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7CB2989"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LS</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8054A5B" w14:textId="77777777" w:rsidR="00CB7916" w:rsidRPr="00733161" w:rsidRDefault="00CB7916" w:rsidP="00CB7916">
            <w:pPr>
              <w:jc w:val="center"/>
              <w:rPr>
                <w:rFonts w:ascii="Aptos Display" w:hAnsi="Aptos Display"/>
                <w:sz w:val="20"/>
              </w:rPr>
            </w:pPr>
            <w:r w:rsidRPr="00733161">
              <w:rPr>
                <w:rFonts w:ascii="Aptos Display" w:hAnsi="Aptos Display"/>
                <w:sz w:val="20"/>
              </w:rPr>
              <w:t>-0.017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E0259E0" w14:textId="77777777" w:rsidR="00CB7916" w:rsidRPr="00733161" w:rsidRDefault="00CB7916" w:rsidP="00CB7916">
            <w:pPr>
              <w:jc w:val="center"/>
              <w:rPr>
                <w:rFonts w:ascii="Aptos Display" w:hAnsi="Aptos Display"/>
                <w:sz w:val="20"/>
              </w:rPr>
            </w:pPr>
            <w:r w:rsidRPr="00733161">
              <w:rPr>
                <w:rFonts w:ascii="Aptos Display" w:hAnsi="Aptos Display"/>
                <w:sz w:val="20"/>
              </w:rPr>
              <w:t>0.003</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3ED7E4" w14:textId="77777777" w:rsidR="00CB7916" w:rsidRPr="00733161" w:rsidRDefault="00CB7916" w:rsidP="00CB7916">
            <w:pPr>
              <w:jc w:val="center"/>
              <w:rPr>
                <w:rFonts w:ascii="Aptos Display" w:hAnsi="Aptos Display"/>
                <w:sz w:val="20"/>
              </w:rPr>
            </w:pPr>
            <w:r w:rsidRPr="00733161">
              <w:rPr>
                <w:rFonts w:ascii="Aptos Display" w:hAnsi="Aptos Display"/>
                <w:sz w:val="20"/>
              </w:rPr>
              <w:t>0.518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4ED26DC" w14:textId="77777777" w:rsidR="00CB7916" w:rsidRPr="00733161" w:rsidRDefault="00CB7916" w:rsidP="00CB7916">
            <w:pPr>
              <w:jc w:val="center"/>
              <w:rPr>
                <w:rFonts w:ascii="Aptos Display" w:hAnsi="Aptos Display"/>
                <w:sz w:val="20"/>
              </w:rPr>
            </w:pPr>
            <w:r w:rsidRPr="00733161">
              <w:rPr>
                <w:rFonts w:ascii="Aptos Display" w:hAnsi="Aptos Display"/>
                <w:sz w:val="20"/>
              </w:rPr>
              <w:t>-0.094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F8A873"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633E82" w14:textId="77777777" w:rsidR="00CB7916" w:rsidRPr="00733161" w:rsidRDefault="00CB7916" w:rsidP="00CB7916">
            <w:pPr>
              <w:jc w:val="center"/>
              <w:rPr>
                <w:rFonts w:ascii="Aptos Display" w:hAnsi="Aptos Display"/>
                <w:sz w:val="20"/>
              </w:rPr>
            </w:pPr>
            <w:r w:rsidRPr="00733161">
              <w:rPr>
                <w:rFonts w:ascii="Aptos Display" w:hAnsi="Aptos Display"/>
                <w:sz w:val="20"/>
              </w:rPr>
              <w:t>-0.081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61EF72" w14:textId="77777777" w:rsidR="00CB7916" w:rsidRPr="00733161" w:rsidRDefault="00CB7916" w:rsidP="00CB7916">
            <w:pPr>
              <w:jc w:val="center"/>
              <w:rPr>
                <w:rFonts w:ascii="Aptos Display" w:hAnsi="Aptos Display"/>
                <w:sz w:val="20"/>
              </w:rPr>
            </w:pPr>
            <w:r w:rsidRPr="00733161">
              <w:rPr>
                <w:rFonts w:ascii="Aptos Display" w:hAnsi="Aptos Display"/>
                <w:sz w:val="20"/>
              </w:rPr>
              <w:t>0.698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02BC9BF" w14:textId="77777777" w:rsidR="00CB7916" w:rsidRPr="00733161" w:rsidRDefault="00CB7916" w:rsidP="00CB7916">
            <w:pPr>
              <w:jc w:val="center"/>
              <w:rPr>
                <w:rFonts w:ascii="Aptos Display" w:hAnsi="Aptos Display"/>
                <w:sz w:val="20"/>
              </w:rPr>
            </w:pPr>
            <w:r w:rsidRPr="00733161">
              <w:rPr>
                <w:rFonts w:ascii="Aptos Display" w:hAnsi="Aptos Display"/>
                <w:sz w:val="20"/>
              </w:rPr>
              <w:t>0.247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E77C5A"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-0.943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9A6BFA" w14:textId="77777777" w:rsidR="00CB7916" w:rsidRPr="00733161" w:rsidRDefault="00CB7916" w:rsidP="00CB7916">
            <w:pPr>
              <w:jc w:val="center"/>
              <w:rPr>
                <w:rFonts w:ascii="Aptos Display" w:hAnsi="Aptos Display"/>
                <w:sz w:val="20"/>
              </w:rPr>
            </w:pPr>
            <w:r w:rsidRPr="00733161">
              <w:rPr>
                <w:rFonts w:ascii="Aptos Display" w:hAnsi="Aptos Display"/>
                <w:sz w:val="20"/>
              </w:rPr>
              <w:t>-0.009</w:t>
            </w:r>
          </w:p>
        </w:tc>
      </w:tr>
      <w:tr w:rsidR="00CB7916" w:rsidRPr="00733161" w14:paraId="5310204F" w14:textId="77777777" w:rsidTr="009E598A">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6AD0D89"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CP</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7ED13B8" w14:textId="77777777" w:rsidR="00CB7916" w:rsidRPr="00733161" w:rsidRDefault="00CB7916" w:rsidP="00CB7916">
            <w:pPr>
              <w:jc w:val="center"/>
              <w:rPr>
                <w:rFonts w:ascii="Aptos Display" w:hAnsi="Aptos Display"/>
                <w:sz w:val="20"/>
              </w:rPr>
            </w:pPr>
            <w:r w:rsidRPr="00733161">
              <w:rPr>
                <w:rFonts w:ascii="Aptos Display" w:hAnsi="Aptos Display"/>
                <w:sz w:val="20"/>
              </w:rPr>
              <w:t>-0.044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1A303E" w14:textId="77777777" w:rsidR="00CB7916" w:rsidRPr="00733161" w:rsidRDefault="00CB7916" w:rsidP="00CB7916">
            <w:pPr>
              <w:jc w:val="center"/>
              <w:rPr>
                <w:rFonts w:ascii="Aptos Display" w:hAnsi="Aptos Display"/>
                <w:sz w:val="20"/>
              </w:rPr>
            </w:pPr>
            <w:r w:rsidRPr="00733161">
              <w:rPr>
                <w:rFonts w:ascii="Aptos Display" w:hAnsi="Aptos Display"/>
                <w:sz w:val="20"/>
              </w:rPr>
              <w:t>0.001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0B98F6C" w14:textId="77777777" w:rsidR="00CB7916" w:rsidRPr="00733161" w:rsidRDefault="00CB7916" w:rsidP="00CB7916">
            <w:pPr>
              <w:jc w:val="center"/>
              <w:rPr>
                <w:rFonts w:ascii="Aptos Display" w:hAnsi="Aptos Display"/>
                <w:sz w:val="20"/>
              </w:rPr>
            </w:pPr>
            <w:r w:rsidRPr="00733161">
              <w:rPr>
                <w:rFonts w:ascii="Aptos Display" w:hAnsi="Aptos Display"/>
                <w:sz w:val="20"/>
              </w:rPr>
              <w:t>-0.168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9BFCDFE" w14:textId="77777777" w:rsidR="00CB7916" w:rsidRPr="00733161" w:rsidRDefault="00CB7916" w:rsidP="00CB7916">
            <w:pPr>
              <w:jc w:val="center"/>
              <w:rPr>
                <w:rFonts w:ascii="Aptos Display" w:hAnsi="Aptos Display"/>
                <w:sz w:val="20"/>
              </w:rPr>
            </w:pPr>
            <w:r w:rsidRPr="00733161">
              <w:rPr>
                <w:rFonts w:ascii="Aptos Display" w:hAnsi="Aptos Display"/>
                <w:sz w:val="20"/>
              </w:rPr>
              <w:t>-0.079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E4E661B" w14:textId="77777777" w:rsidR="00CB7916" w:rsidRPr="00733161" w:rsidRDefault="00CB7916" w:rsidP="00CB7916">
            <w:pPr>
              <w:jc w:val="center"/>
              <w:rPr>
                <w:rFonts w:ascii="Aptos Display" w:hAnsi="Aptos Display"/>
                <w:sz w:val="20"/>
              </w:rPr>
            </w:pPr>
            <w:r w:rsidRPr="00733161">
              <w:rPr>
                <w:rFonts w:ascii="Aptos Display" w:hAnsi="Aptos Display"/>
                <w:sz w:val="20"/>
              </w:rPr>
              <w:t>-0.216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B02780" w14:textId="77777777" w:rsidR="00CB7916" w:rsidRPr="00733161" w:rsidRDefault="00CB7916" w:rsidP="00CB7916">
            <w:pPr>
              <w:jc w:val="center"/>
              <w:rPr>
                <w:rFonts w:ascii="Aptos Display" w:hAnsi="Aptos Display"/>
                <w:sz w:val="20"/>
              </w:rPr>
            </w:pPr>
            <w:r w:rsidRPr="00733161">
              <w:rPr>
                <w:rFonts w:ascii="Aptos Display" w:hAnsi="Aptos Display"/>
                <w:sz w:val="20"/>
              </w:rPr>
              <w:t>0.202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E81F8F" w14:textId="77777777" w:rsidR="00CB7916" w:rsidRPr="00733161" w:rsidRDefault="00CB7916" w:rsidP="00CB7916">
            <w:pPr>
              <w:jc w:val="center"/>
              <w:rPr>
                <w:rFonts w:ascii="Aptos Display" w:hAnsi="Aptos Display"/>
                <w:sz w:val="20"/>
              </w:rPr>
            </w:pPr>
            <w:r w:rsidRPr="00733161">
              <w:rPr>
                <w:rFonts w:ascii="Aptos Display" w:hAnsi="Aptos Display"/>
                <w:sz w:val="20"/>
              </w:rPr>
              <w:t>-0.084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40F846C" w14:textId="77777777" w:rsidR="00CB7916" w:rsidRPr="00733161" w:rsidRDefault="00CB7916" w:rsidP="00CB7916">
            <w:pPr>
              <w:jc w:val="center"/>
              <w:rPr>
                <w:rFonts w:ascii="Aptos Display" w:hAnsi="Aptos Display"/>
                <w:sz w:val="20"/>
              </w:rPr>
            </w:pPr>
            <w:r w:rsidRPr="00733161">
              <w:rPr>
                <w:rFonts w:ascii="Aptos Display" w:hAnsi="Aptos Display"/>
                <w:sz w:val="20"/>
              </w:rPr>
              <w:t>0.000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257E40C" w14:textId="77777777" w:rsidR="00CB7916" w:rsidRPr="00733161" w:rsidRDefault="00CB7916" w:rsidP="00CB7916">
            <w:pPr>
              <w:jc w:val="center"/>
              <w:rPr>
                <w:rFonts w:ascii="Aptos Display" w:hAnsi="Aptos Display"/>
                <w:sz w:val="20"/>
              </w:rPr>
            </w:pPr>
            <w:r w:rsidRPr="00733161">
              <w:rPr>
                <w:rFonts w:ascii="Aptos Display" w:hAnsi="Aptos Display"/>
                <w:sz w:val="20"/>
              </w:rPr>
              <w:t>0.100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D47EC4"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0.089</w:t>
            </w:r>
          </w:p>
        </w:tc>
      </w:tr>
    </w:tbl>
    <w:p w14:paraId="6393A692" w14:textId="403B5F26" w:rsidR="004867B1" w:rsidRDefault="004867B1" w:rsidP="00FB0538">
      <w:pPr>
        <w:rPr>
          <w:rFonts w:ascii="Times New Roman" w:hAnsi="Times New Roman" w:cs="Times New Roman"/>
          <w:b/>
          <w:bCs/>
        </w:rPr>
      </w:pPr>
      <w:r>
        <w:rPr>
          <w:noProof/>
        </w:rPr>
        <w:lastRenderedPageBreak/>
        <w:drawing>
          <wp:anchor distT="0" distB="0" distL="114300" distR="114300" simplePos="0" relativeHeight="251659264" behindDoc="0" locked="0" layoutInCell="1" allowOverlap="1" wp14:anchorId="1A10D20A" wp14:editId="4C9376AE">
            <wp:simplePos x="0" y="0"/>
            <wp:positionH relativeFrom="margin">
              <wp:posOffset>-330413</wp:posOffset>
            </wp:positionH>
            <wp:positionV relativeFrom="paragraph">
              <wp:posOffset>389100</wp:posOffset>
            </wp:positionV>
            <wp:extent cx="6323330" cy="3811270"/>
            <wp:effectExtent l="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3330" cy="3811270"/>
                    </a:xfrm>
                    <a:prstGeom prst="rect">
                      <a:avLst/>
                    </a:prstGeom>
                    <a:noFill/>
                    <a:ln>
                      <a:noFill/>
                    </a:ln>
                  </pic:spPr>
                </pic:pic>
              </a:graphicData>
            </a:graphic>
            <wp14:sizeRelH relativeFrom="margin">
              <wp14:pctWidth>0</wp14:pctWidth>
            </wp14:sizeRelH>
          </wp:anchor>
        </w:drawing>
      </w:r>
    </w:p>
    <w:p w14:paraId="2BFFAD97" w14:textId="074F567D" w:rsidR="004867B1" w:rsidRDefault="004867B1" w:rsidP="00FB0538">
      <w:pPr>
        <w:rPr>
          <w:rFonts w:ascii="Times New Roman" w:hAnsi="Times New Roman" w:cs="Times New Roman"/>
          <w:b/>
          <w:bCs/>
        </w:rPr>
      </w:pPr>
    </w:p>
    <w:p w14:paraId="1834F82A" w14:textId="1942CFC8" w:rsidR="004867B1" w:rsidRDefault="004867B1" w:rsidP="00FB0538">
      <w:pPr>
        <w:rPr>
          <w:rFonts w:ascii="Times New Roman" w:hAnsi="Times New Roman" w:cs="Times New Roman"/>
          <w:b/>
          <w:bCs/>
        </w:rPr>
      </w:pPr>
    </w:p>
    <w:p w14:paraId="689FCE63" w14:textId="77777777" w:rsidR="004867B1" w:rsidRDefault="004867B1" w:rsidP="00FB0538">
      <w:pPr>
        <w:rPr>
          <w:rFonts w:ascii="Times New Roman" w:hAnsi="Times New Roman" w:cs="Times New Roman"/>
          <w:b/>
          <w:bCs/>
        </w:rPr>
      </w:pPr>
    </w:p>
    <w:p w14:paraId="66D6728F" w14:textId="77777777" w:rsidR="004867B1" w:rsidRDefault="004867B1" w:rsidP="00FB0538">
      <w:pPr>
        <w:rPr>
          <w:rFonts w:ascii="Times New Roman" w:hAnsi="Times New Roman" w:cs="Times New Roman"/>
          <w:b/>
          <w:bCs/>
        </w:rPr>
      </w:pPr>
    </w:p>
    <w:p w14:paraId="3169823B" w14:textId="77777777" w:rsidR="004867B1" w:rsidRDefault="004867B1" w:rsidP="00FB0538">
      <w:pPr>
        <w:rPr>
          <w:rFonts w:ascii="Times New Roman" w:hAnsi="Times New Roman" w:cs="Times New Roman"/>
          <w:b/>
          <w:bCs/>
        </w:rPr>
      </w:pPr>
    </w:p>
    <w:p w14:paraId="5518FBC1" w14:textId="02FE7508" w:rsidR="004867B1" w:rsidRDefault="004867B1" w:rsidP="00FB0538">
      <w:pPr>
        <w:rPr>
          <w:rFonts w:ascii="Times New Roman" w:hAnsi="Times New Roman" w:cs="Times New Roman"/>
          <w:b/>
          <w:bCs/>
        </w:rPr>
      </w:pPr>
      <w:r>
        <w:rPr>
          <w:noProof/>
        </w:rPr>
        <w:drawing>
          <wp:inline distT="0" distB="0" distL="0" distR="0" wp14:anchorId="76DC7457" wp14:editId="75E24824">
            <wp:extent cx="5731510" cy="3156825"/>
            <wp:effectExtent l="0" t="0" r="0" b="5715"/>
            <wp:docPr id="455735156" name="Picture 45573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56825"/>
                    </a:xfrm>
                    <a:prstGeom prst="rect">
                      <a:avLst/>
                    </a:prstGeom>
                    <a:noFill/>
                    <a:ln>
                      <a:noFill/>
                    </a:ln>
                  </pic:spPr>
                </pic:pic>
              </a:graphicData>
            </a:graphic>
          </wp:inline>
        </w:drawing>
      </w:r>
    </w:p>
    <w:p w14:paraId="3300EC64" w14:textId="5EAB1E35" w:rsidR="004867B1" w:rsidRPr="009B3A81" w:rsidRDefault="009B3A81" w:rsidP="009B3A81">
      <w:pPr>
        <w:pStyle w:val="TableCaption"/>
        <w:rPr>
          <w:rFonts w:ascii="Times New Roman" w:hAnsi="Times New Roman" w:cs="Times New Roman"/>
          <w:b/>
          <w:bCs/>
          <w:i w:val="0"/>
          <w:iCs/>
        </w:rPr>
      </w:pPr>
      <w:r w:rsidRPr="009B3A81">
        <w:rPr>
          <w:rFonts w:ascii="Times New Roman" w:hAnsi="Times New Roman" w:cs="Times New Roman"/>
          <w:b/>
          <w:bCs/>
          <w:i w:val="0"/>
          <w:iCs/>
        </w:rPr>
        <w:lastRenderedPageBreak/>
        <w:t>Table 4 – Loading values of each variable</w:t>
      </w:r>
    </w:p>
    <w:p w14:paraId="130CF9B9" w14:textId="77777777" w:rsidR="009B3A81" w:rsidRDefault="009B3A81" w:rsidP="009B3A81">
      <w:pPr>
        <w:pStyle w:val="TableCaption"/>
        <w:rPr>
          <w:rFonts w:ascii="Times New Roman" w:hAnsi="Times New Roman" w:cs="Times New Roman"/>
          <w:b/>
          <w:bCs/>
        </w:rPr>
      </w:pPr>
    </w:p>
    <w:tbl>
      <w:tblPr>
        <w:tblStyle w:val="TableGrid"/>
        <w:tblW w:w="0" w:type="pct"/>
        <w:tblLook w:val="07E0" w:firstRow="1" w:lastRow="1" w:firstColumn="1" w:lastColumn="1" w:noHBand="1" w:noVBand="1"/>
        <w:tblCaption w:val="Loadings of each variable"/>
      </w:tblPr>
      <w:tblGrid>
        <w:gridCol w:w="939"/>
        <w:gridCol w:w="733"/>
        <w:gridCol w:w="733"/>
        <w:gridCol w:w="733"/>
        <w:gridCol w:w="733"/>
        <w:gridCol w:w="733"/>
        <w:gridCol w:w="733"/>
        <w:gridCol w:w="733"/>
        <w:gridCol w:w="733"/>
        <w:gridCol w:w="733"/>
        <w:gridCol w:w="733"/>
        <w:gridCol w:w="733"/>
      </w:tblGrid>
      <w:tr w:rsidR="009B3A81" w:rsidRPr="00FB09B6" w14:paraId="60F88746" w14:textId="77777777" w:rsidTr="009E598A">
        <w:tc>
          <w:tcPr>
            <w:tcW w:w="0" w:type="auto"/>
          </w:tcPr>
          <w:p w14:paraId="438D1C9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variables</w:t>
            </w:r>
          </w:p>
        </w:tc>
        <w:tc>
          <w:tcPr>
            <w:tcW w:w="0" w:type="auto"/>
          </w:tcPr>
          <w:p w14:paraId="178F18D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w:t>
            </w:r>
          </w:p>
        </w:tc>
        <w:tc>
          <w:tcPr>
            <w:tcW w:w="0" w:type="auto"/>
          </w:tcPr>
          <w:p w14:paraId="67B7A75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PC2</w:t>
            </w:r>
          </w:p>
        </w:tc>
        <w:tc>
          <w:tcPr>
            <w:tcW w:w="0" w:type="auto"/>
          </w:tcPr>
          <w:p w14:paraId="0B9CD01D"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PC3</w:t>
            </w:r>
          </w:p>
        </w:tc>
        <w:tc>
          <w:tcPr>
            <w:tcW w:w="0" w:type="auto"/>
          </w:tcPr>
          <w:p w14:paraId="19E8B1E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PC4</w:t>
            </w:r>
          </w:p>
        </w:tc>
        <w:tc>
          <w:tcPr>
            <w:tcW w:w="0" w:type="auto"/>
          </w:tcPr>
          <w:p w14:paraId="0EFD4B0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PC5</w:t>
            </w:r>
          </w:p>
        </w:tc>
        <w:tc>
          <w:tcPr>
            <w:tcW w:w="0" w:type="auto"/>
          </w:tcPr>
          <w:p w14:paraId="26330A4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PC6</w:t>
            </w:r>
          </w:p>
        </w:tc>
        <w:tc>
          <w:tcPr>
            <w:tcW w:w="0" w:type="auto"/>
          </w:tcPr>
          <w:p w14:paraId="0F1F1AD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PC7</w:t>
            </w:r>
          </w:p>
        </w:tc>
        <w:tc>
          <w:tcPr>
            <w:tcW w:w="0" w:type="auto"/>
          </w:tcPr>
          <w:p w14:paraId="375689E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PC8</w:t>
            </w:r>
          </w:p>
        </w:tc>
        <w:tc>
          <w:tcPr>
            <w:tcW w:w="0" w:type="auto"/>
          </w:tcPr>
          <w:p w14:paraId="0DF4E877"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PC9</w:t>
            </w:r>
          </w:p>
        </w:tc>
        <w:tc>
          <w:tcPr>
            <w:tcW w:w="0" w:type="auto"/>
          </w:tcPr>
          <w:p w14:paraId="0786E1A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PC10</w:t>
            </w:r>
          </w:p>
        </w:tc>
        <w:tc>
          <w:tcPr>
            <w:tcW w:w="0" w:type="auto"/>
          </w:tcPr>
          <w:p w14:paraId="5C8B243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PC11</w:t>
            </w:r>
          </w:p>
        </w:tc>
      </w:tr>
      <w:tr w:rsidR="009B3A81" w:rsidRPr="00FB09B6" w14:paraId="410344AF" w14:textId="77777777" w:rsidTr="009E598A">
        <w:tc>
          <w:tcPr>
            <w:tcW w:w="0" w:type="auto"/>
          </w:tcPr>
          <w:p w14:paraId="396A84F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PH</w:t>
            </w:r>
          </w:p>
        </w:tc>
        <w:tc>
          <w:tcPr>
            <w:tcW w:w="0" w:type="auto"/>
          </w:tcPr>
          <w:p w14:paraId="467BA6D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-0.216</w:t>
            </w:r>
          </w:p>
        </w:tc>
        <w:tc>
          <w:tcPr>
            <w:tcW w:w="0" w:type="auto"/>
          </w:tcPr>
          <w:p w14:paraId="10BD296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-0.023</w:t>
            </w:r>
          </w:p>
        </w:tc>
        <w:tc>
          <w:tcPr>
            <w:tcW w:w="0" w:type="auto"/>
          </w:tcPr>
          <w:p w14:paraId="43EB1CD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-0.479</w:t>
            </w:r>
          </w:p>
        </w:tc>
        <w:tc>
          <w:tcPr>
            <w:tcW w:w="0" w:type="auto"/>
          </w:tcPr>
          <w:p w14:paraId="2DBDCFE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0.224</w:t>
            </w:r>
          </w:p>
        </w:tc>
        <w:tc>
          <w:tcPr>
            <w:tcW w:w="0" w:type="auto"/>
          </w:tcPr>
          <w:p w14:paraId="65DC9C9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-0.696</w:t>
            </w:r>
          </w:p>
        </w:tc>
        <w:tc>
          <w:tcPr>
            <w:tcW w:w="0" w:type="auto"/>
          </w:tcPr>
          <w:p w14:paraId="5B6F387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-0.365</w:t>
            </w:r>
          </w:p>
        </w:tc>
        <w:tc>
          <w:tcPr>
            <w:tcW w:w="0" w:type="auto"/>
          </w:tcPr>
          <w:p w14:paraId="54D7477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0.067</w:t>
            </w:r>
          </w:p>
        </w:tc>
        <w:tc>
          <w:tcPr>
            <w:tcW w:w="0" w:type="auto"/>
          </w:tcPr>
          <w:p w14:paraId="61DD663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0.190</w:t>
            </w:r>
          </w:p>
        </w:tc>
        <w:tc>
          <w:tcPr>
            <w:tcW w:w="0" w:type="auto"/>
          </w:tcPr>
          <w:p w14:paraId="05A7187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0.104</w:t>
            </w:r>
          </w:p>
        </w:tc>
        <w:tc>
          <w:tcPr>
            <w:tcW w:w="0" w:type="auto"/>
          </w:tcPr>
          <w:p w14:paraId="766311F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-0.052</w:t>
            </w:r>
          </w:p>
        </w:tc>
        <w:tc>
          <w:tcPr>
            <w:tcW w:w="0" w:type="auto"/>
          </w:tcPr>
          <w:p w14:paraId="51B5A838"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-0.030</w:t>
            </w:r>
          </w:p>
        </w:tc>
      </w:tr>
      <w:tr w:rsidR="009B3A81" w:rsidRPr="00FB09B6" w14:paraId="7C06A62A" w14:textId="77777777" w:rsidTr="009E598A">
        <w:tc>
          <w:tcPr>
            <w:tcW w:w="0" w:type="auto"/>
          </w:tcPr>
          <w:p w14:paraId="356ECD5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TPMRL</w:t>
            </w:r>
          </w:p>
        </w:tc>
        <w:tc>
          <w:tcPr>
            <w:tcW w:w="0" w:type="auto"/>
          </w:tcPr>
          <w:p w14:paraId="76C814F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0.251</w:t>
            </w:r>
          </w:p>
        </w:tc>
        <w:tc>
          <w:tcPr>
            <w:tcW w:w="0" w:type="auto"/>
          </w:tcPr>
          <w:p w14:paraId="74D90E7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-0.283</w:t>
            </w:r>
          </w:p>
        </w:tc>
        <w:tc>
          <w:tcPr>
            <w:tcW w:w="0" w:type="auto"/>
          </w:tcPr>
          <w:p w14:paraId="460CB0B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0.243</w:t>
            </w:r>
          </w:p>
        </w:tc>
        <w:tc>
          <w:tcPr>
            <w:tcW w:w="0" w:type="auto"/>
          </w:tcPr>
          <w:p w14:paraId="6FE3387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0.446</w:t>
            </w:r>
          </w:p>
        </w:tc>
        <w:tc>
          <w:tcPr>
            <w:tcW w:w="0" w:type="auto"/>
          </w:tcPr>
          <w:p w14:paraId="7AF9EF9D"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-0.201</w:t>
            </w:r>
          </w:p>
        </w:tc>
        <w:tc>
          <w:tcPr>
            <w:tcW w:w="0" w:type="auto"/>
          </w:tcPr>
          <w:p w14:paraId="616A57D7"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0.099</w:t>
            </w:r>
          </w:p>
        </w:tc>
        <w:tc>
          <w:tcPr>
            <w:tcW w:w="0" w:type="auto"/>
          </w:tcPr>
          <w:p w14:paraId="47B8AC0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-0.740</w:t>
            </w:r>
          </w:p>
        </w:tc>
        <w:tc>
          <w:tcPr>
            <w:tcW w:w="0" w:type="auto"/>
          </w:tcPr>
          <w:p w14:paraId="12AD132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0.034</w:t>
            </w:r>
          </w:p>
        </w:tc>
        <w:tc>
          <w:tcPr>
            <w:tcW w:w="0" w:type="auto"/>
          </w:tcPr>
          <w:p w14:paraId="14C40A3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0.011</w:t>
            </w:r>
          </w:p>
        </w:tc>
        <w:tc>
          <w:tcPr>
            <w:tcW w:w="0" w:type="auto"/>
          </w:tcPr>
          <w:p w14:paraId="3FC7E9E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-0.025</w:t>
            </w:r>
          </w:p>
        </w:tc>
        <w:tc>
          <w:tcPr>
            <w:tcW w:w="0" w:type="auto"/>
          </w:tcPr>
          <w:p w14:paraId="7364C5D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r>
      <w:tr w:rsidR="009B3A81" w:rsidRPr="00FB09B6" w14:paraId="6424E1E3" w14:textId="77777777" w:rsidTr="009E598A">
        <w:tc>
          <w:tcPr>
            <w:tcW w:w="0" w:type="auto"/>
          </w:tcPr>
          <w:p w14:paraId="26218A2D"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DFF</w:t>
            </w:r>
          </w:p>
        </w:tc>
        <w:tc>
          <w:tcPr>
            <w:tcW w:w="0" w:type="auto"/>
          </w:tcPr>
          <w:p w14:paraId="6FBEAFF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-0.392</w:t>
            </w:r>
          </w:p>
        </w:tc>
        <w:tc>
          <w:tcPr>
            <w:tcW w:w="0" w:type="auto"/>
          </w:tcPr>
          <w:p w14:paraId="0172A6B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0.035</w:t>
            </w:r>
          </w:p>
        </w:tc>
        <w:tc>
          <w:tcPr>
            <w:tcW w:w="0" w:type="auto"/>
          </w:tcPr>
          <w:p w14:paraId="2671EB9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-0.191</w:t>
            </w:r>
          </w:p>
        </w:tc>
        <w:tc>
          <w:tcPr>
            <w:tcW w:w="0" w:type="auto"/>
          </w:tcPr>
          <w:p w14:paraId="7B6782B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-0.435</w:t>
            </w:r>
          </w:p>
        </w:tc>
        <w:tc>
          <w:tcPr>
            <w:tcW w:w="0" w:type="auto"/>
          </w:tcPr>
          <w:p w14:paraId="4D0E14F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-0.163</w:t>
            </w:r>
          </w:p>
        </w:tc>
        <w:tc>
          <w:tcPr>
            <w:tcW w:w="0" w:type="auto"/>
          </w:tcPr>
          <w:p w14:paraId="3047E4D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0.469</w:t>
            </w:r>
          </w:p>
        </w:tc>
        <w:tc>
          <w:tcPr>
            <w:tcW w:w="0" w:type="auto"/>
          </w:tcPr>
          <w:p w14:paraId="51229EB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-0.349</w:t>
            </w:r>
          </w:p>
        </w:tc>
        <w:tc>
          <w:tcPr>
            <w:tcW w:w="0" w:type="auto"/>
          </w:tcPr>
          <w:p w14:paraId="382EA19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c>
          <w:tcPr>
            <w:tcW w:w="0" w:type="auto"/>
          </w:tcPr>
          <w:p w14:paraId="6FF963D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-0.149</w:t>
            </w:r>
          </w:p>
        </w:tc>
        <w:tc>
          <w:tcPr>
            <w:tcW w:w="0" w:type="auto"/>
          </w:tcPr>
          <w:p w14:paraId="4D78D87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-0.406</w:t>
            </w:r>
          </w:p>
        </w:tc>
        <w:tc>
          <w:tcPr>
            <w:tcW w:w="0" w:type="auto"/>
          </w:tcPr>
          <w:p w14:paraId="3016576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0.250</w:t>
            </w:r>
          </w:p>
        </w:tc>
      </w:tr>
      <w:tr w:rsidR="009B3A81" w:rsidRPr="00FB09B6" w14:paraId="1FA3B170" w14:textId="77777777" w:rsidTr="009E598A">
        <w:tc>
          <w:tcPr>
            <w:tcW w:w="0" w:type="auto"/>
          </w:tcPr>
          <w:p w14:paraId="75FAB3E1"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PDGFY</w:t>
            </w:r>
          </w:p>
        </w:tc>
        <w:tc>
          <w:tcPr>
            <w:tcW w:w="0" w:type="auto"/>
          </w:tcPr>
          <w:p w14:paraId="2DD3A697"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-0.182</w:t>
            </w:r>
          </w:p>
        </w:tc>
        <w:tc>
          <w:tcPr>
            <w:tcW w:w="0" w:type="auto"/>
          </w:tcPr>
          <w:p w14:paraId="2BAABF68"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0.088</w:t>
            </w:r>
          </w:p>
        </w:tc>
        <w:tc>
          <w:tcPr>
            <w:tcW w:w="0" w:type="auto"/>
          </w:tcPr>
          <w:p w14:paraId="507DB65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0.626</w:t>
            </w:r>
          </w:p>
        </w:tc>
        <w:tc>
          <w:tcPr>
            <w:tcW w:w="0" w:type="auto"/>
          </w:tcPr>
          <w:p w14:paraId="01CA403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0.262</w:t>
            </w:r>
          </w:p>
        </w:tc>
        <w:tc>
          <w:tcPr>
            <w:tcW w:w="0" w:type="auto"/>
          </w:tcPr>
          <w:p w14:paraId="470D5DE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-0.238</w:t>
            </w:r>
          </w:p>
        </w:tc>
        <w:tc>
          <w:tcPr>
            <w:tcW w:w="0" w:type="auto"/>
          </w:tcPr>
          <w:p w14:paraId="66D9744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c>
          <w:tcPr>
            <w:tcW w:w="0" w:type="auto"/>
          </w:tcPr>
          <w:p w14:paraId="3F4E286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0.344</w:t>
            </w:r>
          </w:p>
        </w:tc>
        <w:tc>
          <w:tcPr>
            <w:tcW w:w="0" w:type="auto"/>
          </w:tcPr>
          <w:p w14:paraId="3470A6C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0.003</w:t>
            </w:r>
          </w:p>
        </w:tc>
        <w:tc>
          <w:tcPr>
            <w:tcW w:w="0" w:type="auto"/>
          </w:tcPr>
          <w:p w14:paraId="60BACBF9"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-0.216</w:t>
            </w:r>
          </w:p>
        </w:tc>
        <w:tc>
          <w:tcPr>
            <w:tcW w:w="0" w:type="auto"/>
          </w:tcPr>
          <w:p w14:paraId="79300BA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-0.526</w:t>
            </w:r>
          </w:p>
        </w:tc>
        <w:tc>
          <w:tcPr>
            <w:tcW w:w="0" w:type="auto"/>
          </w:tcPr>
          <w:p w14:paraId="433D3EE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r>
      <w:tr w:rsidR="009B3A81" w:rsidRPr="00FB09B6" w14:paraId="384EF753" w14:textId="77777777" w:rsidTr="009E598A">
        <w:tc>
          <w:tcPr>
            <w:tcW w:w="0" w:type="auto"/>
          </w:tcPr>
          <w:p w14:paraId="65DAD70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DMY</w:t>
            </w:r>
          </w:p>
        </w:tc>
        <w:tc>
          <w:tcPr>
            <w:tcW w:w="0" w:type="auto"/>
          </w:tcPr>
          <w:p w14:paraId="1777EA0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-0.430</w:t>
            </w:r>
          </w:p>
        </w:tc>
        <w:tc>
          <w:tcPr>
            <w:tcW w:w="0" w:type="auto"/>
          </w:tcPr>
          <w:p w14:paraId="6E59069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0.280</w:t>
            </w:r>
          </w:p>
        </w:tc>
        <w:tc>
          <w:tcPr>
            <w:tcW w:w="0" w:type="auto"/>
          </w:tcPr>
          <w:p w14:paraId="685FEEE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-0.022</w:t>
            </w:r>
          </w:p>
        </w:tc>
        <w:tc>
          <w:tcPr>
            <w:tcW w:w="0" w:type="auto"/>
          </w:tcPr>
          <w:p w14:paraId="435E135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0.083</w:t>
            </w:r>
          </w:p>
        </w:tc>
        <w:tc>
          <w:tcPr>
            <w:tcW w:w="0" w:type="auto"/>
          </w:tcPr>
          <w:p w14:paraId="0B18427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0.255</w:t>
            </w:r>
          </w:p>
        </w:tc>
        <w:tc>
          <w:tcPr>
            <w:tcW w:w="0" w:type="auto"/>
          </w:tcPr>
          <w:p w14:paraId="3CBA13D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-0.183</w:t>
            </w:r>
          </w:p>
        </w:tc>
        <w:tc>
          <w:tcPr>
            <w:tcW w:w="0" w:type="auto"/>
          </w:tcPr>
          <w:p w14:paraId="4996EAD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-0.31</w:t>
            </w:r>
          </w:p>
        </w:tc>
        <w:tc>
          <w:tcPr>
            <w:tcW w:w="0" w:type="auto"/>
          </w:tcPr>
          <w:p w14:paraId="3DBB9FC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-0.043</w:t>
            </w:r>
          </w:p>
        </w:tc>
        <w:tc>
          <w:tcPr>
            <w:tcW w:w="0" w:type="auto"/>
          </w:tcPr>
          <w:p w14:paraId="61EE850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-0.036</w:t>
            </w:r>
          </w:p>
        </w:tc>
        <w:tc>
          <w:tcPr>
            <w:tcW w:w="0" w:type="auto"/>
          </w:tcPr>
          <w:p w14:paraId="1672BD5B"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-0.120</w:t>
            </w:r>
          </w:p>
        </w:tc>
        <w:tc>
          <w:tcPr>
            <w:tcW w:w="0" w:type="auto"/>
          </w:tcPr>
          <w:p w14:paraId="4AD7150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-0.719</w:t>
            </w:r>
          </w:p>
        </w:tc>
      </w:tr>
      <w:tr w:rsidR="009B3A81" w:rsidRPr="00FB09B6" w14:paraId="5240BC34" w14:textId="77777777" w:rsidTr="009E598A">
        <w:tc>
          <w:tcPr>
            <w:tcW w:w="0" w:type="auto"/>
          </w:tcPr>
          <w:p w14:paraId="48730B0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PDDMY</w:t>
            </w:r>
          </w:p>
        </w:tc>
        <w:tc>
          <w:tcPr>
            <w:tcW w:w="0" w:type="auto"/>
          </w:tcPr>
          <w:p w14:paraId="007C2B79"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-0.359</w:t>
            </w:r>
          </w:p>
        </w:tc>
        <w:tc>
          <w:tcPr>
            <w:tcW w:w="0" w:type="auto"/>
          </w:tcPr>
          <w:p w14:paraId="369C7F7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0.329</w:t>
            </w:r>
          </w:p>
        </w:tc>
        <w:tc>
          <w:tcPr>
            <w:tcW w:w="0" w:type="auto"/>
          </w:tcPr>
          <w:p w14:paraId="2CD224FD"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0.047</w:t>
            </w:r>
          </w:p>
        </w:tc>
        <w:tc>
          <w:tcPr>
            <w:tcW w:w="0" w:type="auto"/>
          </w:tcPr>
          <w:p w14:paraId="14E1C46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0.251</w:t>
            </w:r>
          </w:p>
        </w:tc>
        <w:tc>
          <w:tcPr>
            <w:tcW w:w="0" w:type="auto"/>
          </w:tcPr>
          <w:p w14:paraId="343913C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0.322</w:t>
            </w:r>
          </w:p>
        </w:tc>
        <w:tc>
          <w:tcPr>
            <w:tcW w:w="0" w:type="auto"/>
          </w:tcPr>
          <w:p w14:paraId="0CB8FAD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-0.347</w:t>
            </w:r>
          </w:p>
        </w:tc>
        <w:tc>
          <w:tcPr>
            <w:tcW w:w="0" w:type="auto"/>
          </w:tcPr>
          <w:p w14:paraId="2F7B9E0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-0.205</w:t>
            </w:r>
          </w:p>
        </w:tc>
        <w:tc>
          <w:tcPr>
            <w:tcW w:w="0" w:type="auto"/>
          </w:tcPr>
          <w:p w14:paraId="346AA53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0.123</w:t>
            </w:r>
          </w:p>
        </w:tc>
        <w:tc>
          <w:tcPr>
            <w:tcW w:w="0" w:type="auto"/>
          </w:tcPr>
          <w:p w14:paraId="7A5243E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0.081</w:t>
            </w:r>
          </w:p>
        </w:tc>
        <w:tc>
          <w:tcPr>
            <w:tcW w:w="0" w:type="auto"/>
          </w:tcPr>
          <w:p w14:paraId="4103722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0.099</w:t>
            </w:r>
          </w:p>
        </w:tc>
        <w:tc>
          <w:tcPr>
            <w:tcW w:w="0" w:type="auto"/>
          </w:tcPr>
          <w:p w14:paraId="3C3EDA1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0.633</w:t>
            </w:r>
          </w:p>
        </w:tc>
      </w:tr>
      <w:tr w:rsidR="009B3A81" w:rsidRPr="00FB09B6" w14:paraId="74E53B0A" w14:textId="77777777" w:rsidTr="009E598A">
        <w:tc>
          <w:tcPr>
            <w:tcW w:w="0" w:type="auto"/>
          </w:tcPr>
          <w:p w14:paraId="188104A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LW</w:t>
            </w:r>
          </w:p>
        </w:tc>
        <w:tc>
          <w:tcPr>
            <w:tcW w:w="0" w:type="auto"/>
          </w:tcPr>
          <w:p w14:paraId="289CA53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-0.305</w:t>
            </w:r>
          </w:p>
        </w:tc>
        <w:tc>
          <w:tcPr>
            <w:tcW w:w="0" w:type="auto"/>
          </w:tcPr>
          <w:p w14:paraId="1C7AA59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-0.463</w:t>
            </w:r>
          </w:p>
        </w:tc>
        <w:tc>
          <w:tcPr>
            <w:tcW w:w="0" w:type="auto"/>
          </w:tcPr>
          <w:p w14:paraId="28305D31"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-0.023</w:t>
            </w:r>
          </w:p>
        </w:tc>
        <w:tc>
          <w:tcPr>
            <w:tcW w:w="0" w:type="auto"/>
          </w:tcPr>
          <w:p w14:paraId="6273DC8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11DFAB3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0.016</w:t>
            </w:r>
          </w:p>
        </w:tc>
        <w:tc>
          <w:tcPr>
            <w:tcW w:w="0" w:type="auto"/>
          </w:tcPr>
          <w:p w14:paraId="4CB92398"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-0.189</w:t>
            </w:r>
          </w:p>
        </w:tc>
        <w:tc>
          <w:tcPr>
            <w:tcW w:w="0" w:type="auto"/>
          </w:tcPr>
          <w:p w14:paraId="75974F4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48C9B841"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-0.308</w:t>
            </w:r>
          </w:p>
        </w:tc>
        <w:tc>
          <w:tcPr>
            <w:tcW w:w="0" w:type="auto"/>
          </w:tcPr>
          <w:p w14:paraId="7DAE5E8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-0.686</w:t>
            </w:r>
          </w:p>
        </w:tc>
        <w:tc>
          <w:tcPr>
            <w:tcW w:w="0" w:type="auto"/>
          </w:tcPr>
          <w:p w14:paraId="256CE40B"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0.294</w:t>
            </w:r>
          </w:p>
        </w:tc>
        <w:tc>
          <w:tcPr>
            <w:tcW w:w="0" w:type="auto"/>
          </w:tcPr>
          <w:p w14:paraId="5D7537A9"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0.058</w:t>
            </w:r>
          </w:p>
        </w:tc>
      </w:tr>
      <w:tr w:rsidR="009B3A81" w:rsidRPr="00FB09B6" w14:paraId="611C0CC0" w14:textId="77777777" w:rsidTr="009E598A">
        <w:tc>
          <w:tcPr>
            <w:tcW w:w="0" w:type="auto"/>
          </w:tcPr>
          <w:p w14:paraId="1916D70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SW</w:t>
            </w:r>
          </w:p>
        </w:tc>
        <w:tc>
          <w:tcPr>
            <w:tcW w:w="0" w:type="auto"/>
          </w:tcPr>
          <w:p w14:paraId="1C43429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0.217</w:t>
            </w:r>
          </w:p>
        </w:tc>
        <w:tc>
          <w:tcPr>
            <w:tcW w:w="0" w:type="auto"/>
          </w:tcPr>
          <w:p w14:paraId="5B5F6789"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0.498</w:t>
            </w:r>
          </w:p>
        </w:tc>
        <w:tc>
          <w:tcPr>
            <w:tcW w:w="0" w:type="auto"/>
          </w:tcPr>
          <w:p w14:paraId="7613DF3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0.019</w:t>
            </w:r>
          </w:p>
        </w:tc>
        <w:tc>
          <w:tcPr>
            <w:tcW w:w="0" w:type="auto"/>
          </w:tcPr>
          <w:p w14:paraId="73662E4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w:t>
            </w:r>
          </w:p>
        </w:tc>
        <w:tc>
          <w:tcPr>
            <w:tcW w:w="0" w:type="auto"/>
          </w:tcPr>
          <w:p w14:paraId="3209F46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-0.295</w:t>
            </w:r>
          </w:p>
        </w:tc>
        <w:tc>
          <w:tcPr>
            <w:tcW w:w="0" w:type="auto"/>
          </w:tcPr>
          <w:p w14:paraId="42F18CC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-0.125</w:t>
            </w:r>
          </w:p>
        </w:tc>
        <w:tc>
          <w:tcPr>
            <w:tcW w:w="0" w:type="auto"/>
          </w:tcPr>
          <w:p w14:paraId="47B17538"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-0.144</w:t>
            </w:r>
          </w:p>
        </w:tc>
        <w:tc>
          <w:tcPr>
            <w:tcW w:w="0" w:type="auto"/>
          </w:tcPr>
          <w:p w14:paraId="7DEACC8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-0.749</w:t>
            </w:r>
          </w:p>
        </w:tc>
        <w:tc>
          <w:tcPr>
            <w:tcW w:w="0" w:type="auto"/>
          </w:tcPr>
          <w:p w14:paraId="33B4E8B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-0.045</w:t>
            </w:r>
          </w:p>
        </w:tc>
        <w:tc>
          <w:tcPr>
            <w:tcW w:w="0" w:type="auto"/>
          </w:tcPr>
          <w:p w14:paraId="3E50FC51"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0.046</w:t>
            </w:r>
          </w:p>
        </w:tc>
        <w:tc>
          <w:tcPr>
            <w:tcW w:w="0" w:type="auto"/>
          </w:tcPr>
          <w:p w14:paraId="43EC739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0.082</w:t>
            </w:r>
          </w:p>
        </w:tc>
      </w:tr>
      <w:tr w:rsidR="009B3A81" w:rsidRPr="00FB09B6" w14:paraId="72B8DD77" w14:textId="77777777" w:rsidTr="009E598A">
        <w:tc>
          <w:tcPr>
            <w:tcW w:w="0" w:type="auto"/>
          </w:tcPr>
          <w:p w14:paraId="0C21FCD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LS</w:t>
            </w:r>
          </w:p>
        </w:tc>
        <w:tc>
          <w:tcPr>
            <w:tcW w:w="0" w:type="auto"/>
          </w:tcPr>
          <w:p w14:paraId="0EEE7F5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-0.278</w:t>
            </w:r>
          </w:p>
        </w:tc>
        <w:tc>
          <w:tcPr>
            <w:tcW w:w="0" w:type="auto"/>
          </w:tcPr>
          <w:p w14:paraId="6E97999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-0.482</w:t>
            </w:r>
          </w:p>
        </w:tc>
        <w:tc>
          <w:tcPr>
            <w:tcW w:w="0" w:type="auto"/>
          </w:tcPr>
          <w:p w14:paraId="48EB70F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0B5AC35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0.031</w:t>
            </w:r>
          </w:p>
        </w:tc>
        <w:tc>
          <w:tcPr>
            <w:tcW w:w="0" w:type="auto"/>
          </w:tcPr>
          <w:p w14:paraId="3404151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0.121</w:t>
            </w:r>
          </w:p>
        </w:tc>
        <w:tc>
          <w:tcPr>
            <w:tcW w:w="0" w:type="auto"/>
          </w:tcPr>
          <w:p w14:paraId="1BA9768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-0.073</w:t>
            </w:r>
          </w:p>
        </w:tc>
        <w:tc>
          <w:tcPr>
            <w:tcW w:w="0" w:type="auto"/>
          </w:tcPr>
          <w:p w14:paraId="4F3435B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0.063</w:t>
            </w:r>
          </w:p>
        </w:tc>
        <w:tc>
          <w:tcPr>
            <w:tcW w:w="0" w:type="auto"/>
          </w:tcPr>
          <w:p w14:paraId="20FC805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-0.497</w:t>
            </w:r>
          </w:p>
        </w:tc>
        <w:tc>
          <w:tcPr>
            <w:tcW w:w="0" w:type="auto"/>
          </w:tcPr>
          <w:p w14:paraId="11D3AC6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0.606</w:t>
            </w:r>
          </w:p>
        </w:tc>
        <w:tc>
          <w:tcPr>
            <w:tcW w:w="0" w:type="auto"/>
          </w:tcPr>
          <w:p w14:paraId="00897A08"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-0.221</w:t>
            </w:r>
          </w:p>
        </w:tc>
        <w:tc>
          <w:tcPr>
            <w:tcW w:w="0" w:type="auto"/>
          </w:tcPr>
          <w:p w14:paraId="351B487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0.052</w:t>
            </w:r>
          </w:p>
        </w:tc>
      </w:tr>
      <w:tr w:rsidR="009B3A81" w:rsidRPr="00FB09B6" w14:paraId="72D11160" w14:textId="77777777" w:rsidTr="009E598A">
        <w:tc>
          <w:tcPr>
            <w:tcW w:w="0" w:type="auto"/>
          </w:tcPr>
          <w:p w14:paraId="391525D0"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CP</w:t>
            </w:r>
          </w:p>
        </w:tc>
        <w:tc>
          <w:tcPr>
            <w:tcW w:w="0" w:type="auto"/>
          </w:tcPr>
          <w:p w14:paraId="7B587D4B"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-0.085</w:t>
            </w:r>
          </w:p>
        </w:tc>
        <w:tc>
          <w:tcPr>
            <w:tcW w:w="0" w:type="auto"/>
          </w:tcPr>
          <w:p w14:paraId="0CCB933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0.143</w:t>
            </w:r>
          </w:p>
        </w:tc>
        <w:tc>
          <w:tcPr>
            <w:tcW w:w="0" w:type="auto"/>
          </w:tcPr>
          <w:p w14:paraId="78DA9CD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-0.361</w:t>
            </w:r>
          </w:p>
        </w:tc>
        <w:tc>
          <w:tcPr>
            <w:tcW w:w="0" w:type="auto"/>
          </w:tcPr>
          <w:p w14:paraId="75BF9601"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0.639</w:t>
            </w:r>
          </w:p>
        </w:tc>
        <w:tc>
          <w:tcPr>
            <w:tcW w:w="0" w:type="auto"/>
          </w:tcPr>
          <w:p w14:paraId="51EAA3A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0.127</w:t>
            </w:r>
          </w:p>
        </w:tc>
        <w:tc>
          <w:tcPr>
            <w:tcW w:w="0" w:type="auto"/>
          </w:tcPr>
          <w:p w14:paraId="3195A1FA"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0.568</w:t>
            </w:r>
          </w:p>
        </w:tc>
        <w:tc>
          <w:tcPr>
            <w:tcW w:w="0" w:type="auto"/>
          </w:tcPr>
          <w:p w14:paraId="5473B8E7"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0.213</w:t>
            </w:r>
          </w:p>
        </w:tc>
        <w:tc>
          <w:tcPr>
            <w:tcW w:w="0" w:type="auto"/>
          </w:tcPr>
          <w:p w14:paraId="768961E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-0.201</w:t>
            </w:r>
          </w:p>
        </w:tc>
        <w:tc>
          <w:tcPr>
            <w:tcW w:w="0" w:type="auto"/>
          </w:tcPr>
          <w:p w14:paraId="0F7D37DB"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-0.088</w:t>
            </w:r>
          </w:p>
        </w:tc>
        <w:tc>
          <w:tcPr>
            <w:tcW w:w="0" w:type="auto"/>
          </w:tcPr>
          <w:p w14:paraId="51D47FBC"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0.029</w:t>
            </w:r>
          </w:p>
        </w:tc>
        <w:tc>
          <w:tcPr>
            <w:tcW w:w="0" w:type="auto"/>
          </w:tcPr>
          <w:p w14:paraId="60352B7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0.012</w:t>
            </w:r>
          </w:p>
        </w:tc>
      </w:tr>
      <w:tr w:rsidR="009B3A81" w:rsidRPr="00FB09B6" w14:paraId="05FF01D0" w14:textId="77777777" w:rsidTr="009E598A">
        <w:tc>
          <w:tcPr>
            <w:tcW w:w="0" w:type="auto"/>
          </w:tcPr>
          <w:p w14:paraId="599482F7"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GFY</w:t>
            </w:r>
          </w:p>
        </w:tc>
        <w:tc>
          <w:tcPr>
            <w:tcW w:w="0" w:type="auto"/>
          </w:tcPr>
          <w:p w14:paraId="3171179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-0.407</w:t>
            </w:r>
          </w:p>
        </w:tc>
        <w:tc>
          <w:tcPr>
            <w:tcW w:w="0" w:type="auto"/>
          </w:tcPr>
          <w:p w14:paraId="5AA20DB6"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w:t>
            </w:r>
          </w:p>
        </w:tc>
        <w:tc>
          <w:tcPr>
            <w:tcW w:w="0" w:type="auto"/>
          </w:tcPr>
          <w:p w14:paraId="15F4D882"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0.387</w:t>
            </w:r>
          </w:p>
        </w:tc>
        <w:tc>
          <w:tcPr>
            <w:tcW w:w="0" w:type="auto"/>
          </w:tcPr>
          <w:p w14:paraId="6D22C173"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-0.064</w:t>
            </w:r>
          </w:p>
        </w:tc>
        <w:tc>
          <w:tcPr>
            <w:tcW w:w="0" w:type="auto"/>
          </w:tcPr>
          <w:p w14:paraId="69644AE4"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-0.323</w:t>
            </w:r>
          </w:p>
        </w:tc>
        <w:tc>
          <w:tcPr>
            <w:tcW w:w="0" w:type="auto"/>
          </w:tcPr>
          <w:p w14:paraId="4799FF3E"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0.320</w:t>
            </w:r>
          </w:p>
        </w:tc>
        <w:tc>
          <w:tcPr>
            <w:tcW w:w="0" w:type="auto"/>
          </w:tcPr>
          <w:p w14:paraId="79E1D55F"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0.031</w:t>
            </w:r>
          </w:p>
        </w:tc>
        <w:tc>
          <w:tcPr>
            <w:tcW w:w="0" w:type="auto"/>
          </w:tcPr>
          <w:p w14:paraId="67C3944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0.044</w:t>
            </w:r>
          </w:p>
        </w:tc>
        <w:tc>
          <w:tcPr>
            <w:tcW w:w="0" w:type="auto"/>
          </w:tcPr>
          <w:p w14:paraId="551C178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0.254</w:t>
            </w:r>
          </w:p>
        </w:tc>
        <w:tc>
          <w:tcPr>
            <w:tcW w:w="0" w:type="auto"/>
          </w:tcPr>
          <w:p w14:paraId="31BF3E3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0.627</w:t>
            </w:r>
          </w:p>
        </w:tc>
        <w:tc>
          <w:tcPr>
            <w:tcW w:w="0" w:type="auto"/>
          </w:tcPr>
          <w:p w14:paraId="10C23885" w14:textId="77777777" w:rsidR="009B3A81" w:rsidRPr="00FB09B6" w:rsidRDefault="009B3A81" w:rsidP="009E598A">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-0.071</w:t>
            </w:r>
          </w:p>
        </w:tc>
      </w:tr>
    </w:tbl>
    <w:p w14:paraId="641FEAD5" w14:textId="77777777" w:rsidR="004867B1" w:rsidRDefault="004867B1" w:rsidP="00FB0538">
      <w:pPr>
        <w:rPr>
          <w:rFonts w:ascii="Times New Roman" w:hAnsi="Times New Roman" w:cs="Times New Roman"/>
          <w:b/>
          <w:bCs/>
        </w:rPr>
      </w:pPr>
    </w:p>
    <w:p w14:paraId="67D9A24A" w14:textId="37C1952C" w:rsidR="004867B1" w:rsidRDefault="009B3A81" w:rsidP="00FB0538">
      <w:pPr>
        <w:rPr>
          <w:rFonts w:ascii="Times New Roman" w:hAnsi="Times New Roman" w:cs="Times New Roman"/>
          <w:b/>
          <w:bCs/>
        </w:rPr>
      </w:pPr>
      <w:r>
        <w:rPr>
          <w:rFonts w:ascii="Times New Roman" w:hAnsi="Times New Roman" w:cs="Times New Roman"/>
          <w:b/>
          <w:bCs/>
        </w:rPr>
        <w:t xml:space="preserve">Table 5 – Eigenvalue </w:t>
      </w:r>
    </w:p>
    <w:tbl>
      <w:tblPr>
        <w:tblStyle w:val="TableGrid"/>
        <w:tblW w:w="0" w:type="auto"/>
        <w:tblLook w:val="04A0" w:firstRow="1" w:lastRow="0" w:firstColumn="1" w:lastColumn="0" w:noHBand="0" w:noVBand="1"/>
      </w:tblPr>
      <w:tblGrid>
        <w:gridCol w:w="1129"/>
        <w:gridCol w:w="2127"/>
        <w:gridCol w:w="2551"/>
        <w:gridCol w:w="3209"/>
      </w:tblGrid>
      <w:tr w:rsidR="009B3A81" w:rsidRPr="009B3A81" w14:paraId="535B826F" w14:textId="77777777" w:rsidTr="009B3A81">
        <w:tc>
          <w:tcPr>
            <w:tcW w:w="1129" w:type="dxa"/>
          </w:tcPr>
          <w:p w14:paraId="55B7E683" w14:textId="7D335B8B"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w:t>
            </w:r>
          </w:p>
        </w:tc>
        <w:tc>
          <w:tcPr>
            <w:tcW w:w="2127" w:type="dxa"/>
          </w:tcPr>
          <w:p w14:paraId="0B13065C" w14:textId="2B352237"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E</w:t>
            </w:r>
            <w:r w:rsidRPr="009B3A81">
              <w:rPr>
                <w:rFonts w:ascii="Times New Roman" w:hAnsi="Times New Roman" w:cs="Times New Roman"/>
                <w:sz w:val="20"/>
              </w:rPr>
              <w:t>igenvalue</w:t>
            </w:r>
          </w:p>
        </w:tc>
        <w:tc>
          <w:tcPr>
            <w:tcW w:w="2551" w:type="dxa"/>
          </w:tcPr>
          <w:p w14:paraId="73E7B7EF" w14:textId="17A9EA01"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P</w:t>
            </w:r>
            <w:r w:rsidRPr="009B3A81">
              <w:rPr>
                <w:rFonts w:ascii="Times New Roman" w:hAnsi="Times New Roman" w:cs="Times New Roman"/>
                <w:sz w:val="20"/>
              </w:rPr>
              <w:t>ercentage of variance</w:t>
            </w:r>
          </w:p>
        </w:tc>
        <w:tc>
          <w:tcPr>
            <w:tcW w:w="3209" w:type="dxa"/>
          </w:tcPr>
          <w:p w14:paraId="1B8834BA" w14:textId="776BA868"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C</w:t>
            </w:r>
            <w:r w:rsidRPr="009B3A81">
              <w:rPr>
                <w:rFonts w:ascii="Times New Roman" w:hAnsi="Times New Roman" w:cs="Times New Roman"/>
                <w:sz w:val="20"/>
              </w:rPr>
              <w:t>umulative percentage of variance</w:t>
            </w:r>
          </w:p>
        </w:tc>
      </w:tr>
      <w:tr w:rsidR="009B3A81" w:rsidRPr="009B3A81" w14:paraId="159C1EC9" w14:textId="77777777" w:rsidTr="009B3A81">
        <w:tc>
          <w:tcPr>
            <w:tcW w:w="1129" w:type="dxa"/>
          </w:tcPr>
          <w:p w14:paraId="78A7C55F"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w:t>
            </w:r>
          </w:p>
        </w:tc>
        <w:tc>
          <w:tcPr>
            <w:tcW w:w="2127" w:type="dxa"/>
          </w:tcPr>
          <w:p w14:paraId="574BC0A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3.716</w:t>
            </w:r>
          </w:p>
        </w:tc>
        <w:tc>
          <w:tcPr>
            <w:tcW w:w="2551" w:type="dxa"/>
          </w:tcPr>
          <w:p w14:paraId="102B8DB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33.781</w:t>
            </w:r>
          </w:p>
        </w:tc>
        <w:tc>
          <w:tcPr>
            <w:tcW w:w="3209" w:type="dxa"/>
          </w:tcPr>
          <w:p w14:paraId="71E91373"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33.781</w:t>
            </w:r>
          </w:p>
        </w:tc>
      </w:tr>
      <w:tr w:rsidR="009B3A81" w:rsidRPr="009B3A81" w14:paraId="3A77BFDB" w14:textId="77777777" w:rsidTr="009B3A81">
        <w:tc>
          <w:tcPr>
            <w:tcW w:w="1129" w:type="dxa"/>
          </w:tcPr>
          <w:p w14:paraId="2155D02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PC2</w:t>
            </w:r>
          </w:p>
        </w:tc>
        <w:tc>
          <w:tcPr>
            <w:tcW w:w="2127" w:type="dxa"/>
          </w:tcPr>
          <w:p w14:paraId="742008F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3.003</w:t>
            </w:r>
          </w:p>
        </w:tc>
        <w:tc>
          <w:tcPr>
            <w:tcW w:w="2551" w:type="dxa"/>
          </w:tcPr>
          <w:p w14:paraId="0C03E10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27.299</w:t>
            </w:r>
          </w:p>
        </w:tc>
        <w:tc>
          <w:tcPr>
            <w:tcW w:w="3209" w:type="dxa"/>
          </w:tcPr>
          <w:p w14:paraId="0BDD0E3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61.079</w:t>
            </w:r>
          </w:p>
        </w:tc>
      </w:tr>
      <w:tr w:rsidR="009B3A81" w:rsidRPr="009B3A81" w14:paraId="2C9EF913" w14:textId="77777777" w:rsidTr="009B3A81">
        <w:tc>
          <w:tcPr>
            <w:tcW w:w="1129" w:type="dxa"/>
          </w:tcPr>
          <w:p w14:paraId="1F0806E8"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PC3</w:t>
            </w:r>
          </w:p>
        </w:tc>
        <w:tc>
          <w:tcPr>
            <w:tcW w:w="2127" w:type="dxa"/>
          </w:tcPr>
          <w:p w14:paraId="11FDBDA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1.772</w:t>
            </w:r>
          </w:p>
        </w:tc>
        <w:tc>
          <w:tcPr>
            <w:tcW w:w="2551" w:type="dxa"/>
          </w:tcPr>
          <w:p w14:paraId="4E61CBE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16.108</w:t>
            </w:r>
          </w:p>
        </w:tc>
        <w:tc>
          <w:tcPr>
            <w:tcW w:w="3209" w:type="dxa"/>
          </w:tcPr>
          <w:p w14:paraId="18D7DF5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77.187</w:t>
            </w:r>
          </w:p>
        </w:tc>
      </w:tr>
      <w:tr w:rsidR="009B3A81" w:rsidRPr="009B3A81" w14:paraId="3CA00CF1" w14:textId="77777777" w:rsidTr="009B3A81">
        <w:tc>
          <w:tcPr>
            <w:tcW w:w="1129" w:type="dxa"/>
          </w:tcPr>
          <w:p w14:paraId="69C60EC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PC4</w:t>
            </w:r>
          </w:p>
        </w:tc>
        <w:tc>
          <w:tcPr>
            <w:tcW w:w="2127" w:type="dxa"/>
          </w:tcPr>
          <w:p w14:paraId="6E3240C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1.465</w:t>
            </w:r>
          </w:p>
        </w:tc>
        <w:tc>
          <w:tcPr>
            <w:tcW w:w="2551" w:type="dxa"/>
          </w:tcPr>
          <w:p w14:paraId="18EB497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13.321</w:t>
            </w:r>
          </w:p>
        </w:tc>
        <w:tc>
          <w:tcPr>
            <w:tcW w:w="3209" w:type="dxa"/>
          </w:tcPr>
          <w:p w14:paraId="156E1EC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90.508</w:t>
            </w:r>
          </w:p>
        </w:tc>
      </w:tr>
      <w:tr w:rsidR="009B3A81" w:rsidRPr="009B3A81" w14:paraId="283C7203" w14:textId="77777777" w:rsidTr="009B3A81">
        <w:tc>
          <w:tcPr>
            <w:tcW w:w="1129" w:type="dxa"/>
          </w:tcPr>
          <w:p w14:paraId="631D400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PC5</w:t>
            </w:r>
          </w:p>
        </w:tc>
        <w:tc>
          <w:tcPr>
            <w:tcW w:w="2127" w:type="dxa"/>
          </w:tcPr>
          <w:p w14:paraId="742F565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0.658</w:t>
            </w:r>
          </w:p>
        </w:tc>
        <w:tc>
          <w:tcPr>
            <w:tcW w:w="2551" w:type="dxa"/>
          </w:tcPr>
          <w:p w14:paraId="57112299"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5.979</w:t>
            </w:r>
          </w:p>
        </w:tc>
        <w:tc>
          <w:tcPr>
            <w:tcW w:w="3209" w:type="dxa"/>
          </w:tcPr>
          <w:p w14:paraId="4769285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96.488</w:t>
            </w:r>
          </w:p>
        </w:tc>
      </w:tr>
      <w:tr w:rsidR="009B3A81" w:rsidRPr="009B3A81" w14:paraId="38D01A01" w14:textId="77777777" w:rsidTr="009B3A81">
        <w:tc>
          <w:tcPr>
            <w:tcW w:w="1129" w:type="dxa"/>
          </w:tcPr>
          <w:p w14:paraId="31EE949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PC6</w:t>
            </w:r>
          </w:p>
        </w:tc>
        <w:tc>
          <w:tcPr>
            <w:tcW w:w="2127" w:type="dxa"/>
          </w:tcPr>
          <w:p w14:paraId="28C8155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0.194</w:t>
            </w:r>
          </w:p>
        </w:tc>
        <w:tc>
          <w:tcPr>
            <w:tcW w:w="2551" w:type="dxa"/>
          </w:tcPr>
          <w:p w14:paraId="1EE871D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1.766</w:t>
            </w:r>
          </w:p>
        </w:tc>
        <w:tc>
          <w:tcPr>
            <w:tcW w:w="3209" w:type="dxa"/>
          </w:tcPr>
          <w:p w14:paraId="5663416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98.254</w:t>
            </w:r>
          </w:p>
        </w:tc>
      </w:tr>
      <w:tr w:rsidR="009B3A81" w:rsidRPr="009B3A81" w14:paraId="31CEE4E4" w14:textId="77777777" w:rsidTr="009B3A81">
        <w:tc>
          <w:tcPr>
            <w:tcW w:w="1129" w:type="dxa"/>
          </w:tcPr>
          <w:p w14:paraId="2282643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PC7</w:t>
            </w:r>
          </w:p>
        </w:tc>
        <w:tc>
          <w:tcPr>
            <w:tcW w:w="2127" w:type="dxa"/>
          </w:tcPr>
          <w:p w14:paraId="7F4A7EB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0.185</w:t>
            </w:r>
          </w:p>
        </w:tc>
        <w:tc>
          <w:tcPr>
            <w:tcW w:w="2551" w:type="dxa"/>
          </w:tcPr>
          <w:p w14:paraId="67ED422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1.683</w:t>
            </w:r>
          </w:p>
        </w:tc>
        <w:tc>
          <w:tcPr>
            <w:tcW w:w="3209" w:type="dxa"/>
          </w:tcPr>
          <w:p w14:paraId="140F80D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99.938</w:t>
            </w:r>
          </w:p>
        </w:tc>
      </w:tr>
      <w:tr w:rsidR="009B3A81" w:rsidRPr="009B3A81" w14:paraId="6378FB58" w14:textId="77777777" w:rsidTr="009B3A81">
        <w:tc>
          <w:tcPr>
            <w:tcW w:w="1129" w:type="dxa"/>
          </w:tcPr>
          <w:p w14:paraId="692FD36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PC8</w:t>
            </w:r>
          </w:p>
        </w:tc>
        <w:tc>
          <w:tcPr>
            <w:tcW w:w="2127" w:type="dxa"/>
          </w:tcPr>
          <w:p w14:paraId="6ACEB2D8"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0.005</w:t>
            </w:r>
          </w:p>
        </w:tc>
        <w:tc>
          <w:tcPr>
            <w:tcW w:w="2551" w:type="dxa"/>
          </w:tcPr>
          <w:p w14:paraId="16AFF5C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0.044</w:t>
            </w:r>
          </w:p>
        </w:tc>
        <w:tc>
          <w:tcPr>
            <w:tcW w:w="3209" w:type="dxa"/>
          </w:tcPr>
          <w:p w14:paraId="777520D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99.982</w:t>
            </w:r>
          </w:p>
        </w:tc>
      </w:tr>
      <w:tr w:rsidR="009B3A81" w:rsidRPr="009B3A81" w14:paraId="0FF644CB" w14:textId="77777777" w:rsidTr="009B3A81">
        <w:tc>
          <w:tcPr>
            <w:tcW w:w="1129" w:type="dxa"/>
          </w:tcPr>
          <w:p w14:paraId="334F3DE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PC9</w:t>
            </w:r>
          </w:p>
        </w:tc>
        <w:tc>
          <w:tcPr>
            <w:tcW w:w="2127" w:type="dxa"/>
          </w:tcPr>
          <w:p w14:paraId="0206A61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0.002</w:t>
            </w:r>
          </w:p>
        </w:tc>
        <w:tc>
          <w:tcPr>
            <w:tcW w:w="2551" w:type="dxa"/>
          </w:tcPr>
          <w:p w14:paraId="541E1AF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0.016</w:t>
            </w:r>
          </w:p>
        </w:tc>
        <w:tc>
          <w:tcPr>
            <w:tcW w:w="3209" w:type="dxa"/>
          </w:tcPr>
          <w:p w14:paraId="21FD5D7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99.998</w:t>
            </w:r>
          </w:p>
        </w:tc>
      </w:tr>
      <w:tr w:rsidR="009B3A81" w:rsidRPr="009B3A81" w14:paraId="41B4664D" w14:textId="77777777" w:rsidTr="009B3A81">
        <w:tc>
          <w:tcPr>
            <w:tcW w:w="1129" w:type="dxa"/>
          </w:tcPr>
          <w:p w14:paraId="75B9CE93"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PC10</w:t>
            </w:r>
          </w:p>
        </w:tc>
        <w:tc>
          <w:tcPr>
            <w:tcW w:w="2127" w:type="dxa"/>
          </w:tcPr>
          <w:p w14:paraId="7436CB6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0.000</w:t>
            </w:r>
          </w:p>
        </w:tc>
        <w:tc>
          <w:tcPr>
            <w:tcW w:w="2551" w:type="dxa"/>
          </w:tcPr>
          <w:p w14:paraId="7525D46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0.001</w:t>
            </w:r>
          </w:p>
        </w:tc>
        <w:tc>
          <w:tcPr>
            <w:tcW w:w="3209" w:type="dxa"/>
          </w:tcPr>
          <w:p w14:paraId="4752773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99.999</w:t>
            </w:r>
          </w:p>
        </w:tc>
      </w:tr>
      <w:tr w:rsidR="009B3A81" w:rsidRPr="009B3A81" w14:paraId="42B6CD2B" w14:textId="77777777" w:rsidTr="009B3A81">
        <w:tc>
          <w:tcPr>
            <w:tcW w:w="1129" w:type="dxa"/>
          </w:tcPr>
          <w:p w14:paraId="40C57256"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PC11</w:t>
            </w:r>
          </w:p>
        </w:tc>
        <w:tc>
          <w:tcPr>
            <w:tcW w:w="2127" w:type="dxa"/>
          </w:tcPr>
          <w:p w14:paraId="71C02954"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0.000</w:t>
            </w:r>
          </w:p>
        </w:tc>
        <w:tc>
          <w:tcPr>
            <w:tcW w:w="2551" w:type="dxa"/>
          </w:tcPr>
          <w:p w14:paraId="73FE5E6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0.001</w:t>
            </w:r>
          </w:p>
        </w:tc>
        <w:tc>
          <w:tcPr>
            <w:tcW w:w="3209" w:type="dxa"/>
          </w:tcPr>
          <w:p w14:paraId="00792616"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100.000</w:t>
            </w:r>
          </w:p>
        </w:tc>
      </w:tr>
    </w:tbl>
    <w:p w14:paraId="0D527B1B" w14:textId="77777777" w:rsidR="00C20442" w:rsidRDefault="00C20442" w:rsidP="00C20442">
      <w:pPr>
        <w:rPr>
          <w:rFonts w:ascii="Times New Roman" w:hAnsi="Times New Roman" w:cs="Times New Roman"/>
          <w:b/>
          <w:bCs/>
        </w:rPr>
      </w:pPr>
    </w:p>
    <w:p w14:paraId="7D9B4387" w14:textId="3F17C0F6" w:rsidR="00C20442" w:rsidRPr="00C20442" w:rsidRDefault="00FB0538" w:rsidP="00E91AB2">
      <w:pPr>
        <w:jc w:val="both"/>
        <w:rPr>
          <w:rFonts w:ascii="Times New Roman" w:hAnsi="Times New Roman" w:cs="Times New Roman"/>
          <w:b/>
          <w:bCs/>
        </w:rPr>
      </w:pPr>
      <w:r w:rsidRPr="00FB0538">
        <w:rPr>
          <w:rFonts w:ascii="Times New Roman" w:hAnsi="Times New Roman" w:cs="Times New Roman"/>
          <w:b/>
          <w:bCs/>
        </w:rPr>
        <w:t xml:space="preserve">References </w:t>
      </w:r>
    </w:p>
    <w:p w14:paraId="487A8B0D" w14:textId="77777777" w:rsidR="00C20442" w:rsidRPr="00CC5DD2" w:rsidRDefault="00C20442" w:rsidP="009E69EC">
      <w:pPr>
        <w:pStyle w:val="NormalWeb"/>
        <w:numPr>
          <w:ilvl w:val="0"/>
          <w:numId w:val="5"/>
        </w:numPr>
        <w:spacing w:line="360" w:lineRule="auto"/>
        <w:jc w:val="both"/>
      </w:pPr>
      <w:r w:rsidRPr="00CC5DD2">
        <w:t>Ahmed, S., Rauf, S., &amp; Akhtar, M. (2013). Correlation and path coefficient analysis for yield and its components in oats (</w:t>
      </w:r>
      <w:r w:rsidRPr="00CC5DD2">
        <w:rPr>
          <w:rStyle w:val="Emphasis"/>
          <w:rFonts w:eastAsiaTheme="majorEastAsia"/>
        </w:rPr>
        <w:t>Avena sativa</w:t>
      </w:r>
      <w:r w:rsidRPr="00CC5DD2">
        <w:t xml:space="preserve"> L.). </w:t>
      </w:r>
      <w:r w:rsidRPr="00CC5DD2">
        <w:rPr>
          <w:rStyle w:val="Emphasis"/>
          <w:rFonts w:eastAsiaTheme="majorEastAsia"/>
        </w:rPr>
        <w:t>Journal of Agricultural Research, 51</w:t>
      </w:r>
      <w:r w:rsidRPr="00CC5DD2">
        <w:t>(2), 123–131.</w:t>
      </w:r>
    </w:p>
    <w:p w14:paraId="6F50A739" w14:textId="1571C465" w:rsidR="009E69EC" w:rsidRPr="009E69EC" w:rsidRDefault="009E69EC" w:rsidP="009E69EC">
      <w:pPr>
        <w:pStyle w:val="ListParagraph"/>
        <w:numPr>
          <w:ilvl w:val="0"/>
          <w:numId w:val="5"/>
        </w:numPr>
        <w:spacing w:line="360" w:lineRule="auto"/>
        <w:jc w:val="both"/>
        <w:rPr>
          <w:rFonts w:ascii="Times New Roman" w:hAnsi="Times New Roman" w:cs="Times New Roman"/>
        </w:rPr>
      </w:pPr>
      <w:r w:rsidRPr="009E69EC">
        <w:rPr>
          <w:rFonts w:ascii="Times New Roman" w:eastAsia="Times New Roman" w:hAnsi="Times New Roman" w:cs="Times New Roman"/>
          <w:kern w:val="0"/>
          <w:sz w:val="24"/>
          <w:szCs w:val="24"/>
          <w:lang w:eastAsia="en-IN" w:bidi="ar-SA"/>
          <w14:ligatures w14:val="none"/>
        </w:rPr>
        <w:t xml:space="preserve">Ahmed, S., Roy, A. K., &amp; Majumdar, A. B. (2011). Genetic diversity and variability analysis in oat (Avena sativa L.). Range Management and Agroforestry. </w:t>
      </w:r>
      <w:hyperlink r:id="rId10" w:history="1">
        <w:r w:rsidRPr="009E69EC">
          <w:rPr>
            <w:rStyle w:val="Hyperlink"/>
            <w:rFonts w:ascii="Times New Roman" w:eastAsia="Times New Roman" w:hAnsi="Times New Roman" w:cs="Times New Roman"/>
            <w:kern w:val="0"/>
            <w:sz w:val="24"/>
            <w:szCs w:val="24"/>
            <w:lang w:eastAsia="en-IN" w:bidi="ar-SA"/>
            <w14:ligatures w14:val="none"/>
          </w:rPr>
          <w:t>https://www.cabdirect.org/cabdirect/abstract/20123090070</w:t>
        </w:r>
      </w:hyperlink>
    </w:p>
    <w:p w14:paraId="13F25DE5" w14:textId="56D3DEA8" w:rsidR="009E69EC" w:rsidRPr="009E69EC" w:rsidRDefault="009E69EC" w:rsidP="009E69EC">
      <w:pPr>
        <w:pStyle w:val="ListParagraph"/>
        <w:numPr>
          <w:ilvl w:val="0"/>
          <w:numId w:val="5"/>
        </w:numPr>
        <w:spacing w:line="360" w:lineRule="auto"/>
        <w:jc w:val="both"/>
        <w:rPr>
          <w:rFonts w:ascii="Times New Roman" w:hAnsi="Times New Roman" w:cs="Times New Roman"/>
        </w:rPr>
      </w:pPr>
      <w:r w:rsidRPr="009E69EC">
        <w:rPr>
          <w:rFonts w:ascii="Times New Roman" w:hAnsi="Times New Roman" w:cs="Times New Roman"/>
        </w:rPr>
        <w:t xml:space="preserve">Al-Jibouri, H. A., Miller, P. A., &amp; Robinson, H. F. (1958). Genotypic and environmental variances and covariances in an upland cotton cross of interspecific origin. Agronomy Journal, 50, 633–636. </w:t>
      </w:r>
      <w:hyperlink r:id="rId11" w:history="1">
        <w:r w:rsidRPr="009E69EC">
          <w:rPr>
            <w:rStyle w:val="Hyperlink"/>
            <w:rFonts w:ascii="Times New Roman" w:hAnsi="Times New Roman" w:cs="Times New Roman"/>
          </w:rPr>
          <w:t>https://doi.org/10.2134/agronj1958.00021962005000100020x</w:t>
        </w:r>
      </w:hyperlink>
    </w:p>
    <w:p w14:paraId="3268A542" w14:textId="00C8019C" w:rsidR="00C20442" w:rsidRPr="009E69EC" w:rsidRDefault="00C20442" w:rsidP="009E69EC">
      <w:pPr>
        <w:pStyle w:val="ListParagraph"/>
        <w:numPr>
          <w:ilvl w:val="0"/>
          <w:numId w:val="5"/>
        </w:numPr>
        <w:spacing w:line="360" w:lineRule="auto"/>
        <w:jc w:val="both"/>
        <w:rPr>
          <w:rFonts w:ascii="Times New Roman" w:hAnsi="Times New Roman" w:cs="Times New Roman"/>
        </w:rPr>
      </w:pPr>
      <w:r w:rsidRPr="009E69EC">
        <w:rPr>
          <w:rFonts w:ascii="Times New Roman" w:hAnsi="Times New Roman" w:cs="Times New Roman"/>
        </w:rPr>
        <w:t xml:space="preserve">Burton, G. W. (1952). Quantitative inheritance in grasses. </w:t>
      </w:r>
      <w:r w:rsidRPr="009E69EC">
        <w:rPr>
          <w:rFonts w:ascii="Times New Roman" w:hAnsi="Times New Roman" w:cs="Times New Roman"/>
          <w:i/>
          <w:iCs/>
        </w:rPr>
        <w:t>Proceedings of the 6th International Grassland Congress</w:t>
      </w:r>
      <w:r w:rsidRPr="009E69EC">
        <w:rPr>
          <w:rFonts w:ascii="Times New Roman" w:hAnsi="Times New Roman" w:cs="Times New Roman"/>
        </w:rPr>
        <w:t xml:space="preserve">, </w:t>
      </w:r>
      <w:r w:rsidRPr="009E69EC">
        <w:rPr>
          <w:rFonts w:ascii="Times New Roman" w:hAnsi="Times New Roman" w:cs="Times New Roman"/>
          <w:b/>
          <w:bCs/>
        </w:rPr>
        <w:t>1</w:t>
      </w:r>
      <w:r w:rsidRPr="009E69EC">
        <w:rPr>
          <w:rFonts w:ascii="Times New Roman" w:hAnsi="Times New Roman" w:cs="Times New Roman"/>
        </w:rPr>
        <w:t>, 277–283.</w:t>
      </w:r>
    </w:p>
    <w:p w14:paraId="2E4082D6" w14:textId="2A70BCB9" w:rsidR="009E69EC" w:rsidRPr="009E69EC" w:rsidRDefault="009E69EC" w:rsidP="009E69EC">
      <w:pPr>
        <w:pStyle w:val="NormalWeb"/>
        <w:numPr>
          <w:ilvl w:val="0"/>
          <w:numId w:val="5"/>
        </w:numPr>
        <w:spacing w:line="360" w:lineRule="auto"/>
        <w:jc w:val="both"/>
      </w:pPr>
      <w:r w:rsidRPr="009E69EC">
        <w:rPr>
          <w:rFonts w:eastAsiaTheme="minorHAnsi"/>
          <w:kern w:val="2"/>
          <w:sz w:val="22"/>
          <w:szCs w:val="20"/>
          <w:lang w:eastAsia="en-US" w:bidi="hi-IN"/>
          <w14:ligatures w14:val="standardContextual"/>
        </w:rPr>
        <w:lastRenderedPageBreak/>
        <w:t xml:space="preserve">Dewey, D. R., &amp; Lu, K. H. (1959). A correlation and path coefficient analysis of components of crested wheatgrass seed production. Agronomy Journal, 51, 515–518. </w:t>
      </w:r>
      <w:hyperlink r:id="rId12" w:history="1">
        <w:r w:rsidRPr="00605F9E">
          <w:rPr>
            <w:rStyle w:val="Hyperlink"/>
            <w:rFonts w:eastAsiaTheme="minorHAnsi"/>
            <w:kern w:val="2"/>
            <w:sz w:val="22"/>
            <w:szCs w:val="20"/>
            <w:lang w:eastAsia="en-US" w:bidi="hi-IN"/>
            <w14:ligatures w14:val="standardContextual"/>
          </w:rPr>
          <w:t>https://doi.org/10.2134/agronj1959.00021962005100090002x</w:t>
        </w:r>
      </w:hyperlink>
    </w:p>
    <w:p w14:paraId="40555DAE" w14:textId="0E174862" w:rsidR="00C20442" w:rsidRDefault="00C20442" w:rsidP="009E69EC">
      <w:pPr>
        <w:pStyle w:val="NormalWeb"/>
        <w:numPr>
          <w:ilvl w:val="0"/>
          <w:numId w:val="5"/>
        </w:numPr>
        <w:spacing w:line="360" w:lineRule="auto"/>
        <w:jc w:val="both"/>
      </w:pPr>
      <w:proofErr w:type="spellStart"/>
      <w:r w:rsidRPr="00CC5DD2">
        <w:t>Dumlupinar</w:t>
      </w:r>
      <w:proofErr w:type="spellEnd"/>
      <w:r w:rsidRPr="00CC5DD2">
        <w:t>,</w:t>
      </w:r>
      <w:r>
        <w:t xml:space="preserve"> Z., Keser, M., &amp; Genc, I. (2012). Relationships among grain yield and yield components in oat (</w:t>
      </w:r>
      <w:r>
        <w:rPr>
          <w:rStyle w:val="Emphasis"/>
          <w:rFonts w:eastAsiaTheme="majorEastAsia"/>
        </w:rPr>
        <w:t>Avena sativa</w:t>
      </w:r>
      <w:r>
        <w:t xml:space="preserve"> L.). </w:t>
      </w:r>
      <w:r>
        <w:rPr>
          <w:rStyle w:val="Emphasis"/>
          <w:rFonts w:eastAsiaTheme="majorEastAsia"/>
        </w:rPr>
        <w:t>Turkish Journal of Agriculture and Forestry, 36</w:t>
      </w:r>
      <w:r>
        <w:t>, 51–60.</w:t>
      </w:r>
    </w:p>
    <w:p w14:paraId="78A87B28" w14:textId="18DA1153" w:rsidR="009E69EC" w:rsidRPr="009E69EC" w:rsidRDefault="009E69EC" w:rsidP="009E69EC">
      <w:pPr>
        <w:pStyle w:val="NormalWeb"/>
        <w:numPr>
          <w:ilvl w:val="0"/>
          <w:numId w:val="5"/>
        </w:numPr>
        <w:spacing w:line="360" w:lineRule="auto"/>
        <w:jc w:val="both"/>
      </w:pPr>
      <w:r w:rsidRPr="009E69EC">
        <w:rPr>
          <w:rFonts w:eastAsiaTheme="minorHAnsi"/>
          <w:kern w:val="2"/>
          <w:sz w:val="22"/>
          <w:szCs w:val="20"/>
          <w:lang w:eastAsia="en-US" w:bidi="hi-IN"/>
          <w14:ligatures w14:val="standardContextual"/>
        </w:rPr>
        <w:t xml:space="preserve">Hotelling, H. (1936). Relations between two sets of variates. </w:t>
      </w:r>
      <w:proofErr w:type="spellStart"/>
      <w:r w:rsidRPr="009E69EC">
        <w:rPr>
          <w:rFonts w:eastAsiaTheme="minorHAnsi"/>
          <w:kern w:val="2"/>
          <w:sz w:val="22"/>
          <w:szCs w:val="20"/>
          <w:lang w:eastAsia="en-US" w:bidi="hi-IN"/>
          <w14:ligatures w14:val="standardContextual"/>
        </w:rPr>
        <w:t>Biometrika</w:t>
      </w:r>
      <w:proofErr w:type="spellEnd"/>
      <w:r w:rsidRPr="009E69EC">
        <w:rPr>
          <w:rFonts w:eastAsiaTheme="minorHAnsi"/>
          <w:kern w:val="2"/>
          <w:sz w:val="22"/>
          <w:szCs w:val="20"/>
          <w:lang w:eastAsia="en-US" w:bidi="hi-IN"/>
          <w14:ligatures w14:val="standardContextual"/>
        </w:rPr>
        <w:t xml:space="preserve">, 28(3-4), 321–377. </w:t>
      </w:r>
      <w:hyperlink r:id="rId13" w:history="1">
        <w:r w:rsidRPr="00605F9E">
          <w:rPr>
            <w:rStyle w:val="Hyperlink"/>
            <w:rFonts w:eastAsiaTheme="minorHAnsi"/>
            <w:kern w:val="2"/>
            <w:sz w:val="22"/>
            <w:szCs w:val="20"/>
            <w:lang w:eastAsia="en-US" w:bidi="hi-IN"/>
            <w14:ligatures w14:val="standardContextual"/>
          </w:rPr>
          <w:t>https://doi.org/10.1093/biomet.28.3-4.321</w:t>
        </w:r>
      </w:hyperlink>
    </w:p>
    <w:p w14:paraId="52177EAC" w14:textId="5712F352" w:rsidR="009E69EC" w:rsidRPr="009E69EC" w:rsidRDefault="009E69EC" w:rsidP="009E69EC">
      <w:pPr>
        <w:pStyle w:val="ListParagraph"/>
        <w:numPr>
          <w:ilvl w:val="0"/>
          <w:numId w:val="5"/>
        </w:numPr>
        <w:spacing w:line="360" w:lineRule="auto"/>
        <w:jc w:val="both"/>
        <w:rPr>
          <w:rFonts w:ascii="Times New Roman" w:hAnsi="Times New Roman" w:cs="Times New Roman"/>
        </w:rPr>
      </w:pPr>
      <w:r w:rsidRPr="009E69EC">
        <w:rPr>
          <w:rFonts w:ascii="Times New Roman" w:eastAsia="Times New Roman" w:hAnsi="Times New Roman" w:cs="Times New Roman"/>
          <w:kern w:val="0"/>
          <w:sz w:val="24"/>
          <w:szCs w:val="24"/>
          <w:lang w:eastAsia="en-IN" w:bidi="ar-SA"/>
          <w14:ligatures w14:val="none"/>
        </w:rPr>
        <w:t xml:space="preserve">Iannucci, A., </w:t>
      </w:r>
      <w:proofErr w:type="spellStart"/>
      <w:r w:rsidRPr="009E69EC">
        <w:rPr>
          <w:rFonts w:ascii="Times New Roman" w:eastAsia="Times New Roman" w:hAnsi="Times New Roman" w:cs="Times New Roman"/>
          <w:kern w:val="0"/>
          <w:sz w:val="24"/>
          <w:szCs w:val="24"/>
          <w:lang w:eastAsia="en-IN" w:bidi="ar-SA"/>
          <w14:ligatures w14:val="none"/>
        </w:rPr>
        <w:t>Codianni</w:t>
      </w:r>
      <w:proofErr w:type="spellEnd"/>
      <w:r w:rsidRPr="009E69EC">
        <w:rPr>
          <w:rFonts w:ascii="Times New Roman" w:eastAsia="Times New Roman" w:hAnsi="Times New Roman" w:cs="Times New Roman"/>
          <w:kern w:val="0"/>
          <w:sz w:val="24"/>
          <w:szCs w:val="24"/>
          <w:lang w:eastAsia="en-IN" w:bidi="ar-SA"/>
          <w14:ligatures w14:val="none"/>
        </w:rPr>
        <w:t xml:space="preserve">, P., &amp; </w:t>
      </w:r>
      <w:proofErr w:type="spellStart"/>
      <w:r w:rsidRPr="009E69EC">
        <w:rPr>
          <w:rFonts w:ascii="Times New Roman" w:eastAsia="Times New Roman" w:hAnsi="Times New Roman" w:cs="Times New Roman"/>
          <w:kern w:val="0"/>
          <w:sz w:val="24"/>
          <w:szCs w:val="24"/>
          <w:lang w:eastAsia="en-IN" w:bidi="ar-SA"/>
          <w14:ligatures w14:val="none"/>
        </w:rPr>
        <w:t>Cattivelli</w:t>
      </w:r>
      <w:proofErr w:type="spellEnd"/>
      <w:r w:rsidRPr="009E69EC">
        <w:rPr>
          <w:rFonts w:ascii="Times New Roman" w:eastAsia="Times New Roman" w:hAnsi="Times New Roman" w:cs="Times New Roman"/>
          <w:kern w:val="0"/>
          <w:sz w:val="24"/>
          <w:szCs w:val="24"/>
          <w:lang w:eastAsia="en-IN" w:bidi="ar-SA"/>
          <w14:ligatures w14:val="none"/>
        </w:rPr>
        <w:t xml:space="preserve">, L. (2011). Evaluation of genotype diversity in oat germplasm and definition of ideotypes adapted to the Mediterranean environment. International Journal of Agronomy. </w:t>
      </w:r>
      <w:hyperlink r:id="rId14" w:history="1">
        <w:r w:rsidRPr="009E69EC">
          <w:rPr>
            <w:rStyle w:val="Hyperlink"/>
            <w:rFonts w:ascii="Times New Roman" w:eastAsia="Times New Roman" w:hAnsi="Times New Roman" w:cs="Times New Roman"/>
            <w:kern w:val="0"/>
            <w:sz w:val="24"/>
            <w:szCs w:val="24"/>
            <w:lang w:eastAsia="en-IN" w:bidi="ar-SA"/>
            <w14:ligatures w14:val="none"/>
          </w:rPr>
          <w:t>https://doi.org/10.1155/2011/870925</w:t>
        </w:r>
      </w:hyperlink>
    </w:p>
    <w:p w14:paraId="104B4758" w14:textId="4D88F781" w:rsidR="009E69EC" w:rsidRPr="009E69EC" w:rsidRDefault="009E69EC" w:rsidP="009E69EC">
      <w:pPr>
        <w:pStyle w:val="NormalWeb"/>
        <w:numPr>
          <w:ilvl w:val="0"/>
          <w:numId w:val="5"/>
        </w:numPr>
        <w:spacing w:line="360" w:lineRule="auto"/>
        <w:jc w:val="both"/>
      </w:pPr>
      <w:r w:rsidRPr="009E69EC">
        <w:rPr>
          <w:rFonts w:eastAsiaTheme="minorHAnsi"/>
          <w:kern w:val="2"/>
          <w:sz w:val="22"/>
          <w:szCs w:val="20"/>
          <w:lang w:eastAsia="en-US" w:bidi="hi-IN"/>
          <w14:ligatures w14:val="standardContextual"/>
        </w:rPr>
        <w:t xml:space="preserve">Johnson, H. W., Robinson, H. F., &amp; Comstock, R. E. (1955). Estimates of genetic and environmental variability in soybeans. Agronomy Journal, 47, 314–318. </w:t>
      </w:r>
      <w:hyperlink r:id="rId15" w:history="1">
        <w:r w:rsidRPr="00605F9E">
          <w:rPr>
            <w:rStyle w:val="Hyperlink"/>
            <w:rFonts w:eastAsiaTheme="minorHAnsi"/>
            <w:kern w:val="2"/>
            <w:sz w:val="22"/>
            <w:szCs w:val="20"/>
            <w:lang w:eastAsia="en-US" w:bidi="hi-IN"/>
            <w14:ligatures w14:val="standardContextual"/>
          </w:rPr>
          <w:t>https://doi.org/10.2134/agronj1955.00021962004700070009x</w:t>
        </w:r>
      </w:hyperlink>
    </w:p>
    <w:p w14:paraId="3783B665" w14:textId="7AC83AFB" w:rsidR="009E69EC" w:rsidRDefault="009E69EC" w:rsidP="009E69EC">
      <w:pPr>
        <w:pStyle w:val="NormalWeb"/>
        <w:numPr>
          <w:ilvl w:val="0"/>
          <w:numId w:val="5"/>
        </w:numPr>
        <w:spacing w:line="360" w:lineRule="auto"/>
        <w:jc w:val="both"/>
      </w:pPr>
      <w:r w:rsidRPr="009E69EC">
        <w:t xml:space="preserve">Jolliffe, I. T. (2002). Principal component analysis (2nd ed.). Springer. </w:t>
      </w:r>
      <w:hyperlink r:id="rId16" w:history="1">
        <w:r w:rsidRPr="00605F9E">
          <w:rPr>
            <w:rStyle w:val="Hyperlink"/>
          </w:rPr>
          <w:t>https://doi.org/10.1007/b98835</w:t>
        </w:r>
      </w:hyperlink>
    </w:p>
    <w:p w14:paraId="7A32301A" w14:textId="61E29D33" w:rsidR="009E69EC" w:rsidRPr="009E69EC" w:rsidRDefault="009E69EC" w:rsidP="009E69EC">
      <w:pPr>
        <w:pStyle w:val="ListParagraph"/>
        <w:numPr>
          <w:ilvl w:val="0"/>
          <w:numId w:val="5"/>
        </w:numPr>
        <w:spacing w:line="360" w:lineRule="auto"/>
        <w:jc w:val="both"/>
        <w:rPr>
          <w:rFonts w:ascii="Times New Roman" w:hAnsi="Times New Roman" w:cs="Times New Roman"/>
        </w:rPr>
      </w:pPr>
      <w:r w:rsidRPr="009E69EC">
        <w:rPr>
          <w:rFonts w:ascii="Times New Roman" w:eastAsia="Times New Roman" w:hAnsi="Times New Roman" w:cs="Times New Roman"/>
          <w:kern w:val="0"/>
          <w:sz w:val="24"/>
          <w:szCs w:val="24"/>
          <w:lang w:eastAsia="en-IN" w:bidi="ar-SA"/>
          <w14:ligatures w14:val="none"/>
        </w:rPr>
        <w:t xml:space="preserve">Kaiser, H. F. (1958). The varimax criterion for analytic rotation in factor analysis. Psychometrika, 23(3), 187–200. </w:t>
      </w:r>
      <w:hyperlink r:id="rId17" w:history="1">
        <w:r w:rsidRPr="009E69EC">
          <w:rPr>
            <w:rStyle w:val="Hyperlink"/>
            <w:rFonts w:ascii="Times New Roman" w:eastAsia="Times New Roman" w:hAnsi="Times New Roman" w:cs="Times New Roman"/>
            <w:kern w:val="0"/>
            <w:sz w:val="24"/>
            <w:szCs w:val="24"/>
            <w:lang w:eastAsia="en-IN" w:bidi="ar-SA"/>
            <w14:ligatures w14:val="none"/>
          </w:rPr>
          <w:t>https://doi.org/10.1007/BF02289233</w:t>
        </w:r>
      </w:hyperlink>
    </w:p>
    <w:p w14:paraId="7B9EFB66" w14:textId="77777777" w:rsidR="009E69EC" w:rsidRPr="009E69EC" w:rsidRDefault="009E69EC" w:rsidP="009E69EC">
      <w:pPr>
        <w:pStyle w:val="NormalWeb"/>
        <w:numPr>
          <w:ilvl w:val="0"/>
          <w:numId w:val="5"/>
        </w:numPr>
        <w:spacing w:line="360" w:lineRule="auto"/>
        <w:jc w:val="both"/>
      </w:pPr>
      <w:r w:rsidRPr="009E69EC">
        <w:rPr>
          <w:rFonts w:eastAsiaTheme="minorHAnsi"/>
          <w:kern w:val="2"/>
          <w:sz w:val="22"/>
          <w:szCs w:val="20"/>
          <w:lang w:eastAsia="en-US" w:bidi="hi-IN"/>
          <w14:ligatures w14:val="standardContextual"/>
        </w:rPr>
        <w:t>Krishna, A., Ahmed, S., Pandey, H. C., &amp; Kumar, V. (2014). Correlation, Path and Diversity Analysis of Oat (Avena Sativa L.) Genotypes for Grain and Fodder Yield. Journal of Plant Science &amp; Research.</w:t>
      </w:r>
    </w:p>
    <w:p w14:paraId="286E693A" w14:textId="155F146B" w:rsidR="00C20442" w:rsidRPr="00CC5DD2" w:rsidRDefault="00C20442" w:rsidP="009E69EC">
      <w:pPr>
        <w:pStyle w:val="NormalWeb"/>
        <w:numPr>
          <w:ilvl w:val="0"/>
          <w:numId w:val="5"/>
        </w:numPr>
        <w:spacing w:line="360" w:lineRule="auto"/>
        <w:jc w:val="both"/>
      </w:pPr>
      <w:r w:rsidRPr="00CC5DD2">
        <w:t>Kumar, A., Singh, S., &amp; Sharma, R. (2016). Association analysis for fodder yield and its component traits in oats (</w:t>
      </w:r>
      <w:r w:rsidRPr="00CC5DD2">
        <w:rPr>
          <w:rStyle w:val="Emphasis"/>
          <w:rFonts w:eastAsiaTheme="majorEastAsia"/>
        </w:rPr>
        <w:t>Avena sativa</w:t>
      </w:r>
      <w:r w:rsidRPr="00CC5DD2">
        <w:t xml:space="preserve"> L.). </w:t>
      </w:r>
      <w:r w:rsidRPr="00CC5DD2">
        <w:rPr>
          <w:rStyle w:val="Emphasis"/>
          <w:rFonts w:eastAsiaTheme="majorEastAsia"/>
        </w:rPr>
        <w:t>Indian Journal of Genetics and Plant Breeding, 76</w:t>
      </w:r>
      <w:r w:rsidRPr="00CC5DD2">
        <w:t>(3), 345–349.</w:t>
      </w:r>
    </w:p>
    <w:p w14:paraId="2EC78FFE" w14:textId="77777777" w:rsidR="00C20442" w:rsidRPr="00CC5DD2" w:rsidRDefault="00C20442" w:rsidP="009E69EC">
      <w:pPr>
        <w:pStyle w:val="NormalWeb"/>
        <w:numPr>
          <w:ilvl w:val="0"/>
          <w:numId w:val="5"/>
        </w:numPr>
        <w:spacing w:line="360" w:lineRule="auto"/>
        <w:jc w:val="both"/>
      </w:pPr>
      <w:r w:rsidRPr="00CC5DD2">
        <w:t xml:space="preserve">Kumar, Y., </w:t>
      </w:r>
      <w:proofErr w:type="spellStart"/>
      <w:r w:rsidRPr="00CC5DD2">
        <w:t>Jhorar</w:t>
      </w:r>
      <w:proofErr w:type="spellEnd"/>
      <w:r w:rsidRPr="00CC5DD2">
        <w:t>, B. S., &amp; Sangwan, O. (2006). Principal component and factor analysis in oat (</w:t>
      </w:r>
      <w:r w:rsidRPr="00CC5DD2">
        <w:rPr>
          <w:rStyle w:val="Emphasis"/>
          <w:rFonts w:eastAsiaTheme="majorEastAsia"/>
        </w:rPr>
        <w:t>Avena sativa</w:t>
      </w:r>
      <w:r w:rsidRPr="00CC5DD2">
        <w:t xml:space="preserve"> L.) germplasm. </w:t>
      </w:r>
      <w:r w:rsidRPr="00CC5DD2">
        <w:rPr>
          <w:rStyle w:val="Emphasis"/>
          <w:rFonts w:eastAsiaTheme="majorEastAsia"/>
        </w:rPr>
        <w:t>Haryana Agricultural University Journal of Research, 36</w:t>
      </w:r>
      <w:r w:rsidRPr="00CC5DD2">
        <w:t>(1), 17–22.</w:t>
      </w:r>
    </w:p>
    <w:p w14:paraId="38EBC669" w14:textId="77777777" w:rsidR="00C20442" w:rsidRPr="00CC5DD2" w:rsidRDefault="00C20442" w:rsidP="009E69EC">
      <w:pPr>
        <w:pStyle w:val="NormalWeb"/>
        <w:numPr>
          <w:ilvl w:val="0"/>
          <w:numId w:val="5"/>
        </w:numPr>
        <w:spacing w:line="360" w:lineRule="auto"/>
        <w:jc w:val="both"/>
      </w:pPr>
      <w:proofErr w:type="spellStart"/>
      <w:r w:rsidRPr="00CC5DD2">
        <w:t>Lorencetti</w:t>
      </w:r>
      <w:proofErr w:type="spellEnd"/>
      <w:r w:rsidRPr="00CC5DD2">
        <w:t>, C., Carvalho, F. I. F., Oliveira, A. C., Benin, G., &amp; Marchioro, V. S. (2006). Associations among agronomic traits in oat (</w:t>
      </w:r>
      <w:r w:rsidRPr="00CC5DD2">
        <w:rPr>
          <w:rStyle w:val="Emphasis"/>
          <w:rFonts w:eastAsiaTheme="majorEastAsia"/>
        </w:rPr>
        <w:t>Avena sativa</w:t>
      </w:r>
      <w:r w:rsidRPr="00CC5DD2">
        <w:t xml:space="preserve"> L.). </w:t>
      </w:r>
      <w:r w:rsidRPr="00CC5DD2">
        <w:rPr>
          <w:rStyle w:val="Emphasis"/>
          <w:rFonts w:eastAsiaTheme="majorEastAsia"/>
        </w:rPr>
        <w:t>Crop Breeding and Applied Biotechnology, 6</w:t>
      </w:r>
      <w:r w:rsidRPr="00CC5DD2">
        <w:t>, 128–134.</w:t>
      </w:r>
    </w:p>
    <w:p w14:paraId="48277A64" w14:textId="77777777" w:rsidR="00C20442" w:rsidRDefault="00C20442" w:rsidP="009E69EC">
      <w:pPr>
        <w:pStyle w:val="NormalWeb"/>
        <w:numPr>
          <w:ilvl w:val="0"/>
          <w:numId w:val="5"/>
        </w:numPr>
        <w:spacing w:line="360" w:lineRule="auto"/>
        <w:jc w:val="both"/>
      </w:pPr>
      <w:r w:rsidRPr="00CC5DD2">
        <w:t>Micke, A</w:t>
      </w:r>
      <w:r>
        <w:t xml:space="preserve">. (1979). Correlation and path coefficient analysis in crop improvement. </w:t>
      </w:r>
      <w:r>
        <w:rPr>
          <w:rStyle w:val="Emphasis"/>
          <w:rFonts w:eastAsiaTheme="majorEastAsia"/>
        </w:rPr>
        <w:t>Plant Breeding Abstracts, 49</w:t>
      </w:r>
      <w:r>
        <w:t>, 235–241.</w:t>
      </w:r>
    </w:p>
    <w:p w14:paraId="4BDEA0C1" w14:textId="14DCEF13" w:rsidR="009E69EC" w:rsidRPr="009E69EC" w:rsidRDefault="009E69EC" w:rsidP="009E69EC">
      <w:pPr>
        <w:pStyle w:val="NormalWeb"/>
        <w:numPr>
          <w:ilvl w:val="0"/>
          <w:numId w:val="5"/>
        </w:numPr>
        <w:spacing w:line="360" w:lineRule="auto"/>
        <w:jc w:val="both"/>
      </w:pPr>
      <w:r w:rsidRPr="009E69EC">
        <w:rPr>
          <w:rFonts w:eastAsiaTheme="minorHAnsi"/>
          <w:kern w:val="2"/>
          <w:sz w:val="22"/>
          <w:szCs w:val="20"/>
          <w:lang w:eastAsia="en-US" w:bidi="hi-IN"/>
          <w14:ligatures w14:val="standardContextual"/>
        </w:rPr>
        <w:lastRenderedPageBreak/>
        <w:t xml:space="preserve">Pearson, K. (1901). On lines and planes of closest fit to systems of points in space. *The London, Edinburgh, and Dublin Philosophical Magazine and Journal of Science, 2*(11), 559–572. </w:t>
      </w:r>
      <w:hyperlink r:id="rId18" w:history="1">
        <w:r w:rsidRPr="00605F9E">
          <w:rPr>
            <w:rStyle w:val="Hyperlink"/>
            <w:rFonts w:eastAsiaTheme="minorHAnsi"/>
            <w:kern w:val="2"/>
            <w:sz w:val="22"/>
            <w:szCs w:val="20"/>
            <w:lang w:eastAsia="en-US" w:bidi="hi-IN"/>
            <w14:ligatures w14:val="standardContextual"/>
          </w:rPr>
          <w:t>https://doi.org/10.1080/14786440109462720</w:t>
        </w:r>
      </w:hyperlink>
    </w:p>
    <w:p w14:paraId="7DC69BEA" w14:textId="5BE9DD06" w:rsidR="009E69EC" w:rsidRDefault="009E69EC" w:rsidP="009E69EC">
      <w:pPr>
        <w:pStyle w:val="NormalWeb"/>
        <w:numPr>
          <w:ilvl w:val="0"/>
          <w:numId w:val="5"/>
        </w:numPr>
        <w:spacing w:line="360" w:lineRule="auto"/>
        <w:jc w:val="both"/>
      </w:pPr>
      <w:proofErr w:type="spellStart"/>
      <w:r w:rsidRPr="009E69EC">
        <w:t>Poonia</w:t>
      </w:r>
      <w:proofErr w:type="spellEnd"/>
      <w:r w:rsidRPr="009E69EC">
        <w:t xml:space="preserve">, A., Phogat, D. S., Pahuja, S. K., </w:t>
      </w:r>
      <w:proofErr w:type="spellStart"/>
      <w:r w:rsidRPr="009E69EC">
        <w:t>Bhuker</w:t>
      </w:r>
      <w:proofErr w:type="spellEnd"/>
      <w:r w:rsidRPr="009E69EC">
        <w:t xml:space="preserve">, A., &amp; Khatri, R. S. (2017). Variability, character association and path coefficient analysis in fodder oat for yield and quality traits. Forage Research, 43(3), 239–243. </w:t>
      </w:r>
      <w:hyperlink r:id="rId19" w:history="1">
        <w:r w:rsidRPr="00605F9E">
          <w:rPr>
            <w:rStyle w:val="Hyperlink"/>
          </w:rPr>
          <w:t>https://www.forageresearch.in/index.php/fr/issue/view/10</w:t>
        </w:r>
      </w:hyperlink>
    </w:p>
    <w:p w14:paraId="700AF56D" w14:textId="41408F17" w:rsidR="009E69EC" w:rsidRPr="009E69EC" w:rsidRDefault="009E69EC" w:rsidP="009E69EC">
      <w:pPr>
        <w:pStyle w:val="ListParagraph"/>
        <w:numPr>
          <w:ilvl w:val="0"/>
          <w:numId w:val="5"/>
        </w:numPr>
        <w:spacing w:line="360" w:lineRule="auto"/>
        <w:jc w:val="both"/>
        <w:rPr>
          <w:rFonts w:ascii="Times New Roman" w:hAnsi="Times New Roman" w:cs="Times New Roman"/>
        </w:rPr>
      </w:pPr>
      <w:proofErr w:type="spellStart"/>
      <w:r w:rsidRPr="009E69EC">
        <w:rPr>
          <w:rFonts w:ascii="Times New Roman" w:eastAsia="Times New Roman" w:hAnsi="Times New Roman" w:cs="Times New Roman"/>
          <w:kern w:val="0"/>
          <w:sz w:val="24"/>
          <w:szCs w:val="24"/>
          <w:lang w:eastAsia="en-IN" w:bidi="ar-SA"/>
          <w14:ligatures w14:val="none"/>
        </w:rPr>
        <w:t>Surje</w:t>
      </w:r>
      <w:proofErr w:type="spellEnd"/>
      <w:r w:rsidRPr="009E69EC">
        <w:rPr>
          <w:rFonts w:ascii="Times New Roman" w:eastAsia="Times New Roman" w:hAnsi="Times New Roman" w:cs="Times New Roman"/>
          <w:kern w:val="0"/>
          <w:sz w:val="24"/>
          <w:szCs w:val="24"/>
          <w:lang w:eastAsia="en-IN" w:bidi="ar-SA"/>
          <w14:ligatures w14:val="none"/>
        </w:rPr>
        <w:t xml:space="preserve">, D. T., &amp; De, D. K. (2014). Correlation Coefficient Study in Oat (Avena sativa L.) Genotypes for Fodder and Grain Yield Characters. Journal Agriculture Science Technology. </w:t>
      </w:r>
      <w:hyperlink r:id="rId20" w:history="1">
        <w:r w:rsidRPr="009E69EC">
          <w:rPr>
            <w:rStyle w:val="Hyperlink"/>
            <w:rFonts w:ascii="Times New Roman" w:eastAsia="Times New Roman" w:hAnsi="Times New Roman" w:cs="Times New Roman"/>
            <w:kern w:val="0"/>
            <w:sz w:val="24"/>
            <w:szCs w:val="24"/>
            <w:lang w:eastAsia="en-IN" w:bidi="ar-SA"/>
            <w14:ligatures w14:val="none"/>
          </w:rPr>
          <w:t>https://www.researchgate.net/profile/Dinesh_Surje/publication/303073153.pdf</w:t>
        </w:r>
      </w:hyperlink>
    </w:p>
    <w:p w14:paraId="77FFF9EF" w14:textId="5554A878" w:rsidR="009E69EC" w:rsidRPr="009E69EC" w:rsidRDefault="009E69EC" w:rsidP="009E69EC">
      <w:pPr>
        <w:pStyle w:val="ListParagraph"/>
        <w:numPr>
          <w:ilvl w:val="0"/>
          <w:numId w:val="5"/>
        </w:numPr>
        <w:spacing w:line="360" w:lineRule="auto"/>
        <w:jc w:val="both"/>
        <w:rPr>
          <w:rFonts w:ascii="Times New Roman" w:hAnsi="Times New Roman" w:cs="Times New Roman"/>
        </w:rPr>
      </w:pPr>
      <w:r w:rsidRPr="009E69EC">
        <w:rPr>
          <w:rFonts w:ascii="Times New Roman" w:hAnsi="Times New Roman" w:cs="Times New Roman"/>
        </w:rPr>
        <w:t xml:space="preserve">Suttie, J. M., &amp; Reynolds, S. G. (Eds.). (2004). *Fodder Oats: A World Overview*. Food and Agriculture Organization of the United Nations. </w:t>
      </w:r>
      <w:hyperlink r:id="rId21" w:history="1">
        <w:r w:rsidRPr="009E69EC">
          <w:rPr>
            <w:rStyle w:val="Hyperlink"/>
            <w:rFonts w:ascii="Times New Roman" w:hAnsi="Times New Roman" w:cs="Times New Roman"/>
          </w:rPr>
          <w:t>http://www.fao.org/3/y5765e/y5765e00.htm</w:t>
        </w:r>
      </w:hyperlink>
    </w:p>
    <w:p w14:paraId="2A779816" w14:textId="068D5B9B" w:rsidR="00C20442" w:rsidRPr="009E69EC" w:rsidRDefault="00C20442" w:rsidP="009E69EC">
      <w:pPr>
        <w:pStyle w:val="ListParagraph"/>
        <w:numPr>
          <w:ilvl w:val="0"/>
          <w:numId w:val="5"/>
        </w:numPr>
        <w:spacing w:line="360" w:lineRule="auto"/>
        <w:jc w:val="both"/>
        <w:rPr>
          <w:rFonts w:ascii="Times New Roman" w:hAnsi="Times New Roman" w:cs="Times New Roman"/>
        </w:rPr>
      </w:pPr>
      <w:proofErr w:type="spellStart"/>
      <w:r w:rsidRPr="009E69EC">
        <w:rPr>
          <w:rFonts w:ascii="Times New Roman" w:hAnsi="Times New Roman" w:cs="Times New Roman"/>
        </w:rPr>
        <w:t>Vaisi</w:t>
      </w:r>
      <w:proofErr w:type="spellEnd"/>
      <w:r w:rsidRPr="009E69EC">
        <w:rPr>
          <w:rFonts w:ascii="Times New Roman" w:hAnsi="Times New Roman" w:cs="Times New Roman"/>
        </w:rPr>
        <w:t xml:space="preserve">, H., </w:t>
      </w:r>
      <w:proofErr w:type="spellStart"/>
      <w:r w:rsidRPr="009E69EC">
        <w:rPr>
          <w:rFonts w:ascii="Times New Roman" w:hAnsi="Times New Roman" w:cs="Times New Roman"/>
        </w:rPr>
        <w:t>Golparvar</w:t>
      </w:r>
      <w:proofErr w:type="spellEnd"/>
      <w:r w:rsidRPr="009E69EC">
        <w:rPr>
          <w:rFonts w:ascii="Times New Roman" w:hAnsi="Times New Roman" w:cs="Times New Roman"/>
        </w:rPr>
        <w:t xml:space="preserve">, A. R., &amp; Ghasemi Pirbalouti, A. (2013). Multivariate analysis of agronomic traits in oat. </w:t>
      </w:r>
      <w:r w:rsidRPr="009E69EC">
        <w:rPr>
          <w:rFonts w:ascii="Times New Roman" w:hAnsi="Times New Roman" w:cs="Times New Roman"/>
          <w:i/>
          <w:iCs/>
        </w:rPr>
        <w:t>Annals of Biological Research</w:t>
      </w:r>
      <w:r w:rsidRPr="009E69EC">
        <w:rPr>
          <w:rFonts w:ascii="Times New Roman" w:hAnsi="Times New Roman" w:cs="Times New Roman"/>
        </w:rPr>
        <w:t xml:space="preserve">, </w:t>
      </w:r>
      <w:r w:rsidRPr="009E69EC">
        <w:rPr>
          <w:rFonts w:ascii="Times New Roman" w:hAnsi="Times New Roman" w:cs="Times New Roman"/>
          <w:b/>
          <w:bCs/>
        </w:rPr>
        <w:t>4</w:t>
      </w:r>
      <w:r w:rsidRPr="009E69EC">
        <w:rPr>
          <w:rFonts w:ascii="Times New Roman" w:hAnsi="Times New Roman" w:cs="Times New Roman"/>
        </w:rPr>
        <w:t>, 190–194.</w:t>
      </w:r>
    </w:p>
    <w:p w14:paraId="49124EEC" w14:textId="77777777" w:rsidR="00C20442" w:rsidRPr="009E69EC" w:rsidRDefault="00C20442" w:rsidP="009E69EC">
      <w:pPr>
        <w:pStyle w:val="ListParagraph"/>
        <w:numPr>
          <w:ilvl w:val="0"/>
          <w:numId w:val="5"/>
        </w:numPr>
        <w:spacing w:line="360" w:lineRule="auto"/>
        <w:jc w:val="both"/>
        <w:rPr>
          <w:rFonts w:ascii="Times New Roman" w:hAnsi="Times New Roman" w:cs="Times New Roman"/>
        </w:rPr>
      </w:pPr>
      <w:r w:rsidRPr="009E69EC">
        <w:rPr>
          <w:rFonts w:ascii="Times New Roman" w:hAnsi="Times New Roman" w:cs="Times New Roman"/>
        </w:rPr>
        <w:t xml:space="preserve">Wright, S. (1921). Correlation and causation. </w:t>
      </w:r>
      <w:r w:rsidRPr="009E69EC">
        <w:rPr>
          <w:rFonts w:ascii="Times New Roman" w:hAnsi="Times New Roman" w:cs="Times New Roman"/>
          <w:i/>
          <w:iCs/>
        </w:rPr>
        <w:t>Journal of Agricultural Research</w:t>
      </w:r>
      <w:r w:rsidRPr="009E69EC">
        <w:rPr>
          <w:rFonts w:ascii="Times New Roman" w:hAnsi="Times New Roman" w:cs="Times New Roman"/>
        </w:rPr>
        <w:t xml:space="preserve">, </w:t>
      </w:r>
      <w:r w:rsidRPr="009E69EC">
        <w:rPr>
          <w:rFonts w:ascii="Times New Roman" w:hAnsi="Times New Roman" w:cs="Times New Roman"/>
          <w:b/>
          <w:bCs/>
        </w:rPr>
        <w:t>20</w:t>
      </w:r>
      <w:r w:rsidRPr="009E69EC">
        <w:rPr>
          <w:rFonts w:ascii="Times New Roman" w:hAnsi="Times New Roman" w:cs="Times New Roman"/>
        </w:rPr>
        <w:t>, 557–585.</w:t>
      </w:r>
    </w:p>
    <w:p w14:paraId="5E6A7FC9" w14:textId="77777777" w:rsidR="00C20442" w:rsidRDefault="00C20442" w:rsidP="009E69EC">
      <w:pPr>
        <w:pStyle w:val="NormalWeb"/>
        <w:numPr>
          <w:ilvl w:val="0"/>
          <w:numId w:val="5"/>
        </w:numPr>
        <w:spacing w:line="360" w:lineRule="auto"/>
        <w:jc w:val="both"/>
      </w:pPr>
      <w:r w:rsidRPr="00CC5DD2">
        <w:t>Ziya, B., Yil</w:t>
      </w:r>
      <w:r>
        <w:t xml:space="preserve">maz, M., &amp; Genc, I. (2001). Relationships between yield and yield components in oats. </w:t>
      </w:r>
      <w:proofErr w:type="spellStart"/>
      <w:r>
        <w:rPr>
          <w:rStyle w:val="Emphasis"/>
          <w:rFonts w:eastAsiaTheme="majorEastAsia"/>
        </w:rPr>
        <w:t>Euphytica</w:t>
      </w:r>
      <w:proofErr w:type="spellEnd"/>
      <w:r>
        <w:rPr>
          <w:rStyle w:val="Emphasis"/>
          <w:rFonts w:eastAsiaTheme="majorEastAsia"/>
        </w:rPr>
        <w:t>, 120</w:t>
      </w:r>
      <w:r>
        <w:t>, 183–189.</w:t>
      </w:r>
    </w:p>
    <w:p w14:paraId="459C1A5F" w14:textId="560F245C" w:rsidR="00372169" w:rsidRPr="00FB0538" w:rsidRDefault="00372169" w:rsidP="00FB0538">
      <w:pPr>
        <w:rPr>
          <w:rFonts w:ascii="Times New Roman" w:hAnsi="Times New Roman" w:cs="Times New Roman"/>
        </w:rPr>
      </w:pPr>
    </w:p>
    <w:sectPr w:rsidR="00372169" w:rsidRPr="00FB0538" w:rsidSect="001E407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5A58" w14:textId="77777777" w:rsidR="00A2202D" w:rsidRDefault="00A2202D" w:rsidP="00A1431C">
      <w:pPr>
        <w:spacing w:after="0" w:line="240" w:lineRule="auto"/>
      </w:pPr>
      <w:r>
        <w:separator/>
      </w:r>
    </w:p>
  </w:endnote>
  <w:endnote w:type="continuationSeparator" w:id="0">
    <w:p w14:paraId="013EEC19" w14:textId="77777777" w:rsidR="00A2202D" w:rsidRDefault="00A2202D" w:rsidP="00A1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8999" w14:textId="77777777" w:rsidR="00A1431C" w:rsidRDefault="00A14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FDE8" w14:textId="77777777" w:rsidR="00A1431C" w:rsidRDefault="00A14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946E" w14:textId="77777777" w:rsidR="00A1431C" w:rsidRDefault="00A1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F1DD0" w14:textId="77777777" w:rsidR="00A2202D" w:rsidRDefault="00A2202D" w:rsidP="00A1431C">
      <w:pPr>
        <w:spacing w:after="0" w:line="240" w:lineRule="auto"/>
      </w:pPr>
      <w:r>
        <w:separator/>
      </w:r>
    </w:p>
  </w:footnote>
  <w:footnote w:type="continuationSeparator" w:id="0">
    <w:p w14:paraId="04945685" w14:textId="77777777" w:rsidR="00A2202D" w:rsidRDefault="00A2202D" w:rsidP="00A1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6144" w14:textId="60A06D19" w:rsidR="00A1431C" w:rsidRDefault="00A1431C">
    <w:pPr>
      <w:pStyle w:val="Header"/>
    </w:pPr>
    <w:r>
      <w:rPr>
        <w:noProof/>
      </w:rPr>
      <w:pict w14:anchorId="5A649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A82C" w14:textId="6A3CBD31" w:rsidR="00A1431C" w:rsidRDefault="00A1431C">
    <w:pPr>
      <w:pStyle w:val="Header"/>
    </w:pPr>
    <w:r>
      <w:rPr>
        <w:noProof/>
      </w:rPr>
      <w:pict w14:anchorId="00BC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9DC9" w14:textId="6BE980A7" w:rsidR="00A1431C" w:rsidRDefault="00A1431C">
    <w:pPr>
      <w:pStyle w:val="Header"/>
    </w:pPr>
    <w:r>
      <w:rPr>
        <w:noProof/>
      </w:rPr>
      <w:pict w14:anchorId="0661A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3979"/>
    <w:multiLevelType w:val="multilevel"/>
    <w:tmpl w:val="16A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A260F"/>
    <w:multiLevelType w:val="hybridMultilevel"/>
    <w:tmpl w:val="A2565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F74F1"/>
    <w:multiLevelType w:val="hybridMultilevel"/>
    <w:tmpl w:val="3646741A"/>
    <w:lvl w:ilvl="0" w:tplc="82C89490">
      <w:start w:val="1"/>
      <w:numFmt w:val="bullet"/>
      <w:lvlText w:val=""/>
      <w:lvlJc w:val="left"/>
      <w:pPr>
        <w:tabs>
          <w:tab w:val="num" w:pos="720"/>
        </w:tabs>
        <w:ind w:left="720" w:hanging="360"/>
      </w:pPr>
      <w:rPr>
        <w:rFonts w:ascii="Wingdings" w:hAnsi="Wingdings" w:hint="default"/>
      </w:rPr>
    </w:lvl>
    <w:lvl w:ilvl="1" w:tplc="F4F4D62C" w:tentative="1">
      <w:start w:val="1"/>
      <w:numFmt w:val="bullet"/>
      <w:lvlText w:val=""/>
      <w:lvlJc w:val="left"/>
      <w:pPr>
        <w:tabs>
          <w:tab w:val="num" w:pos="1440"/>
        </w:tabs>
        <w:ind w:left="1440" w:hanging="360"/>
      </w:pPr>
      <w:rPr>
        <w:rFonts w:ascii="Wingdings" w:hAnsi="Wingdings" w:hint="default"/>
      </w:rPr>
    </w:lvl>
    <w:lvl w:ilvl="2" w:tplc="CFCA1C12" w:tentative="1">
      <w:start w:val="1"/>
      <w:numFmt w:val="bullet"/>
      <w:lvlText w:val=""/>
      <w:lvlJc w:val="left"/>
      <w:pPr>
        <w:tabs>
          <w:tab w:val="num" w:pos="2160"/>
        </w:tabs>
        <w:ind w:left="2160" w:hanging="360"/>
      </w:pPr>
      <w:rPr>
        <w:rFonts w:ascii="Wingdings" w:hAnsi="Wingdings" w:hint="default"/>
      </w:rPr>
    </w:lvl>
    <w:lvl w:ilvl="3" w:tplc="483C7BCE" w:tentative="1">
      <w:start w:val="1"/>
      <w:numFmt w:val="bullet"/>
      <w:lvlText w:val=""/>
      <w:lvlJc w:val="left"/>
      <w:pPr>
        <w:tabs>
          <w:tab w:val="num" w:pos="2880"/>
        </w:tabs>
        <w:ind w:left="2880" w:hanging="360"/>
      </w:pPr>
      <w:rPr>
        <w:rFonts w:ascii="Wingdings" w:hAnsi="Wingdings" w:hint="default"/>
      </w:rPr>
    </w:lvl>
    <w:lvl w:ilvl="4" w:tplc="EDE60FD8" w:tentative="1">
      <w:start w:val="1"/>
      <w:numFmt w:val="bullet"/>
      <w:lvlText w:val=""/>
      <w:lvlJc w:val="left"/>
      <w:pPr>
        <w:tabs>
          <w:tab w:val="num" w:pos="3600"/>
        </w:tabs>
        <w:ind w:left="3600" w:hanging="360"/>
      </w:pPr>
      <w:rPr>
        <w:rFonts w:ascii="Wingdings" w:hAnsi="Wingdings" w:hint="default"/>
      </w:rPr>
    </w:lvl>
    <w:lvl w:ilvl="5" w:tplc="2F82F1A0" w:tentative="1">
      <w:start w:val="1"/>
      <w:numFmt w:val="bullet"/>
      <w:lvlText w:val=""/>
      <w:lvlJc w:val="left"/>
      <w:pPr>
        <w:tabs>
          <w:tab w:val="num" w:pos="4320"/>
        </w:tabs>
        <w:ind w:left="4320" w:hanging="360"/>
      </w:pPr>
      <w:rPr>
        <w:rFonts w:ascii="Wingdings" w:hAnsi="Wingdings" w:hint="default"/>
      </w:rPr>
    </w:lvl>
    <w:lvl w:ilvl="6" w:tplc="47C22AA4" w:tentative="1">
      <w:start w:val="1"/>
      <w:numFmt w:val="bullet"/>
      <w:lvlText w:val=""/>
      <w:lvlJc w:val="left"/>
      <w:pPr>
        <w:tabs>
          <w:tab w:val="num" w:pos="5040"/>
        </w:tabs>
        <w:ind w:left="5040" w:hanging="360"/>
      </w:pPr>
      <w:rPr>
        <w:rFonts w:ascii="Wingdings" w:hAnsi="Wingdings" w:hint="default"/>
      </w:rPr>
    </w:lvl>
    <w:lvl w:ilvl="7" w:tplc="580AD49E" w:tentative="1">
      <w:start w:val="1"/>
      <w:numFmt w:val="bullet"/>
      <w:lvlText w:val=""/>
      <w:lvlJc w:val="left"/>
      <w:pPr>
        <w:tabs>
          <w:tab w:val="num" w:pos="5760"/>
        </w:tabs>
        <w:ind w:left="5760" w:hanging="360"/>
      </w:pPr>
      <w:rPr>
        <w:rFonts w:ascii="Wingdings" w:hAnsi="Wingdings" w:hint="default"/>
      </w:rPr>
    </w:lvl>
    <w:lvl w:ilvl="8" w:tplc="463CD7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56348"/>
    <w:multiLevelType w:val="hybridMultilevel"/>
    <w:tmpl w:val="231C641E"/>
    <w:lvl w:ilvl="0" w:tplc="27647702">
      <w:start w:val="1"/>
      <w:numFmt w:val="bullet"/>
      <w:lvlText w:val=""/>
      <w:lvlJc w:val="left"/>
      <w:pPr>
        <w:tabs>
          <w:tab w:val="num" w:pos="720"/>
        </w:tabs>
        <w:ind w:left="720" w:hanging="360"/>
      </w:pPr>
      <w:rPr>
        <w:rFonts w:ascii="Wingdings" w:hAnsi="Wingdings" w:hint="default"/>
      </w:rPr>
    </w:lvl>
    <w:lvl w:ilvl="1" w:tplc="0412961A" w:tentative="1">
      <w:start w:val="1"/>
      <w:numFmt w:val="bullet"/>
      <w:lvlText w:val=""/>
      <w:lvlJc w:val="left"/>
      <w:pPr>
        <w:tabs>
          <w:tab w:val="num" w:pos="1440"/>
        </w:tabs>
        <w:ind w:left="1440" w:hanging="360"/>
      </w:pPr>
      <w:rPr>
        <w:rFonts w:ascii="Wingdings" w:hAnsi="Wingdings" w:hint="default"/>
      </w:rPr>
    </w:lvl>
    <w:lvl w:ilvl="2" w:tplc="CB201B04" w:tentative="1">
      <w:start w:val="1"/>
      <w:numFmt w:val="bullet"/>
      <w:lvlText w:val=""/>
      <w:lvlJc w:val="left"/>
      <w:pPr>
        <w:tabs>
          <w:tab w:val="num" w:pos="2160"/>
        </w:tabs>
        <w:ind w:left="2160" w:hanging="360"/>
      </w:pPr>
      <w:rPr>
        <w:rFonts w:ascii="Wingdings" w:hAnsi="Wingdings" w:hint="default"/>
      </w:rPr>
    </w:lvl>
    <w:lvl w:ilvl="3" w:tplc="EBACBF52" w:tentative="1">
      <w:start w:val="1"/>
      <w:numFmt w:val="bullet"/>
      <w:lvlText w:val=""/>
      <w:lvlJc w:val="left"/>
      <w:pPr>
        <w:tabs>
          <w:tab w:val="num" w:pos="2880"/>
        </w:tabs>
        <w:ind w:left="2880" w:hanging="360"/>
      </w:pPr>
      <w:rPr>
        <w:rFonts w:ascii="Wingdings" w:hAnsi="Wingdings" w:hint="default"/>
      </w:rPr>
    </w:lvl>
    <w:lvl w:ilvl="4" w:tplc="51B4C7C4" w:tentative="1">
      <w:start w:val="1"/>
      <w:numFmt w:val="bullet"/>
      <w:lvlText w:val=""/>
      <w:lvlJc w:val="left"/>
      <w:pPr>
        <w:tabs>
          <w:tab w:val="num" w:pos="3600"/>
        </w:tabs>
        <w:ind w:left="3600" w:hanging="360"/>
      </w:pPr>
      <w:rPr>
        <w:rFonts w:ascii="Wingdings" w:hAnsi="Wingdings" w:hint="default"/>
      </w:rPr>
    </w:lvl>
    <w:lvl w:ilvl="5" w:tplc="365CEB4C" w:tentative="1">
      <w:start w:val="1"/>
      <w:numFmt w:val="bullet"/>
      <w:lvlText w:val=""/>
      <w:lvlJc w:val="left"/>
      <w:pPr>
        <w:tabs>
          <w:tab w:val="num" w:pos="4320"/>
        </w:tabs>
        <w:ind w:left="4320" w:hanging="360"/>
      </w:pPr>
      <w:rPr>
        <w:rFonts w:ascii="Wingdings" w:hAnsi="Wingdings" w:hint="default"/>
      </w:rPr>
    </w:lvl>
    <w:lvl w:ilvl="6" w:tplc="80DE2BF8" w:tentative="1">
      <w:start w:val="1"/>
      <w:numFmt w:val="bullet"/>
      <w:lvlText w:val=""/>
      <w:lvlJc w:val="left"/>
      <w:pPr>
        <w:tabs>
          <w:tab w:val="num" w:pos="5040"/>
        </w:tabs>
        <w:ind w:left="5040" w:hanging="360"/>
      </w:pPr>
      <w:rPr>
        <w:rFonts w:ascii="Wingdings" w:hAnsi="Wingdings" w:hint="default"/>
      </w:rPr>
    </w:lvl>
    <w:lvl w:ilvl="7" w:tplc="1AC8B1C4" w:tentative="1">
      <w:start w:val="1"/>
      <w:numFmt w:val="bullet"/>
      <w:lvlText w:val=""/>
      <w:lvlJc w:val="left"/>
      <w:pPr>
        <w:tabs>
          <w:tab w:val="num" w:pos="5760"/>
        </w:tabs>
        <w:ind w:left="5760" w:hanging="360"/>
      </w:pPr>
      <w:rPr>
        <w:rFonts w:ascii="Wingdings" w:hAnsi="Wingdings" w:hint="default"/>
      </w:rPr>
    </w:lvl>
    <w:lvl w:ilvl="8" w:tplc="4B149B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902C5"/>
    <w:multiLevelType w:val="hybridMultilevel"/>
    <w:tmpl w:val="F342C5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69"/>
    <w:rsid w:val="00040EDC"/>
    <w:rsid w:val="000B0B40"/>
    <w:rsid w:val="000F4F58"/>
    <w:rsid w:val="001C16D9"/>
    <w:rsid w:val="001D506C"/>
    <w:rsid w:val="001E4071"/>
    <w:rsid w:val="001F6F40"/>
    <w:rsid w:val="0022130E"/>
    <w:rsid w:val="00225D7B"/>
    <w:rsid w:val="002B51F9"/>
    <w:rsid w:val="00372169"/>
    <w:rsid w:val="003E38AF"/>
    <w:rsid w:val="0047114C"/>
    <w:rsid w:val="004867B1"/>
    <w:rsid w:val="005453C0"/>
    <w:rsid w:val="005461C4"/>
    <w:rsid w:val="005775C1"/>
    <w:rsid w:val="005A48B1"/>
    <w:rsid w:val="00601403"/>
    <w:rsid w:val="006B3FE1"/>
    <w:rsid w:val="0070187C"/>
    <w:rsid w:val="00786C09"/>
    <w:rsid w:val="00792F68"/>
    <w:rsid w:val="007B6441"/>
    <w:rsid w:val="00811732"/>
    <w:rsid w:val="008F69EA"/>
    <w:rsid w:val="00946F0C"/>
    <w:rsid w:val="009678E0"/>
    <w:rsid w:val="009A6752"/>
    <w:rsid w:val="009B3A81"/>
    <w:rsid w:val="009E69EC"/>
    <w:rsid w:val="009F7BA3"/>
    <w:rsid w:val="00A1431C"/>
    <w:rsid w:val="00A2202D"/>
    <w:rsid w:val="00A32A8A"/>
    <w:rsid w:val="00A35568"/>
    <w:rsid w:val="00A36D68"/>
    <w:rsid w:val="00A60FA9"/>
    <w:rsid w:val="00B306AD"/>
    <w:rsid w:val="00B62117"/>
    <w:rsid w:val="00B85456"/>
    <w:rsid w:val="00BA3FA2"/>
    <w:rsid w:val="00BB13A3"/>
    <w:rsid w:val="00C20442"/>
    <w:rsid w:val="00C33F52"/>
    <w:rsid w:val="00C515F7"/>
    <w:rsid w:val="00C563B3"/>
    <w:rsid w:val="00C63571"/>
    <w:rsid w:val="00C6658F"/>
    <w:rsid w:val="00CB7916"/>
    <w:rsid w:val="00CC5DD2"/>
    <w:rsid w:val="00D25966"/>
    <w:rsid w:val="00D37C5C"/>
    <w:rsid w:val="00E91AB2"/>
    <w:rsid w:val="00E91ADB"/>
    <w:rsid w:val="00F914E7"/>
    <w:rsid w:val="00FA2C65"/>
    <w:rsid w:val="00FB0538"/>
    <w:rsid w:val="00FB7B87"/>
    <w:rsid w:val="00FC2010"/>
    <w:rsid w:val="00FE42D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AA879"/>
  <w15:chartTrackingRefBased/>
  <w15:docId w15:val="{82FE4A6B-942A-488B-84BC-FE0CC9F7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16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16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16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6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16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16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169"/>
    <w:rPr>
      <w:rFonts w:eastAsiaTheme="majorEastAsia" w:cstheme="majorBidi"/>
      <w:color w:val="272727" w:themeColor="text1" w:themeTint="D8"/>
    </w:rPr>
  </w:style>
  <w:style w:type="paragraph" w:styleId="Title">
    <w:name w:val="Title"/>
    <w:basedOn w:val="Normal"/>
    <w:next w:val="Normal"/>
    <w:link w:val="TitleChar"/>
    <w:uiPriority w:val="10"/>
    <w:qFormat/>
    <w:rsid w:val="003721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1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1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1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169"/>
    <w:pPr>
      <w:spacing w:before="160"/>
      <w:jc w:val="center"/>
    </w:pPr>
    <w:rPr>
      <w:i/>
      <w:iCs/>
      <w:color w:val="404040" w:themeColor="text1" w:themeTint="BF"/>
    </w:rPr>
  </w:style>
  <w:style w:type="character" w:customStyle="1" w:styleId="QuoteChar">
    <w:name w:val="Quote Char"/>
    <w:basedOn w:val="DefaultParagraphFont"/>
    <w:link w:val="Quote"/>
    <w:uiPriority w:val="29"/>
    <w:rsid w:val="00372169"/>
    <w:rPr>
      <w:i/>
      <w:iCs/>
      <w:color w:val="404040" w:themeColor="text1" w:themeTint="BF"/>
    </w:rPr>
  </w:style>
  <w:style w:type="paragraph" w:styleId="ListParagraph">
    <w:name w:val="List Paragraph"/>
    <w:basedOn w:val="Normal"/>
    <w:uiPriority w:val="34"/>
    <w:qFormat/>
    <w:rsid w:val="00372169"/>
    <w:pPr>
      <w:ind w:left="720"/>
      <w:contextualSpacing/>
    </w:pPr>
  </w:style>
  <w:style w:type="character" w:styleId="IntenseEmphasis">
    <w:name w:val="Intense Emphasis"/>
    <w:basedOn w:val="DefaultParagraphFont"/>
    <w:uiPriority w:val="21"/>
    <w:qFormat/>
    <w:rsid w:val="00372169"/>
    <w:rPr>
      <w:i/>
      <w:iCs/>
      <w:color w:val="2F5496" w:themeColor="accent1" w:themeShade="BF"/>
    </w:rPr>
  </w:style>
  <w:style w:type="paragraph" w:styleId="IntenseQuote">
    <w:name w:val="Intense Quote"/>
    <w:basedOn w:val="Normal"/>
    <w:next w:val="Normal"/>
    <w:link w:val="IntenseQuoteChar"/>
    <w:uiPriority w:val="30"/>
    <w:qFormat/>
    <w:rsid w:val="00372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169"/>
    <w:rPr>
      <w:i/>
      <w:iCs/>
      <w:color w:val="2F5496" w:themeColor="accent1" w:themeShade="BF"/>
    </w:rPr>
  </w:style>
  <w:style w:type="character" w:styleId="IntenseReference">
    <w:name w:val="Intense Reference"/>
    <w:basedOn w:val="DefaultParagraphFont"/>
    <w:uiPriority w:val="32"/>
    <w:qFormat/>
    <w:rsid w:val="00372169"/>
    <w:rPr>
      <w:b/>
      <w:bCs/>
      <w:smallCaps/>
      <w:color w:val="2F5496" w:themeColor="accent1" w:themeShade="BF"/>
      <w:spacing w:val="5"/>
    </w:rPr>
  </w:style>
  <w:style w:type="table" w:styleId="TableGrid">
    <w:name w:val="Table Grid"/>
    <w:basedOn w:val="TableNormal"/>
    <w:uiPriority w:val="39"/>
    <w:rsid w:val="00CB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7916"/>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customStyle="1" w:styleId="TableCaption">
    <w:name w:val="Table Caption"/>
    <w:basedOn w:val="Caption"/>
    <w:rsid w:val="009B3A81"/>
    <w:pPr>
      <w:keepNext/>
      <w:spacing w:after="120"/>
    </w:pPr>
    <w:rPr>
      <w:iCs w:val="0"/>
      <w:color w:val="auto"/>
      <w:kern w:val="0"/>
      <w:sz w:val="24"/>
      <w:szCs w:val="24"/>
      <w:lang w:val="en-US" w:bidi="ar-SA"/>
      <w14:ligatures w14:val="none"/>
    </w:rPr>
  </w:style>
  <w:style w:type="paragraph" w:styleId="Caption">
    <w:name w:val="caption"/>
    <w:basedOn w:val="Normal"/>
    <w:next w:val="Normal"/>
    <w:uiPriority w:val="35"/>
    <w:semiHidden/>
    <w:unhideWhenUsed/>
    <w:qFormat/>
    <w:rsid w:val="009B3A81"/>
    <w:pPr>
      <w:spacing w:after="200" w:line="240" w:lineRule="auto"/>
    </w:pPr>
    <w:rPr>
      <w:i/>
      <w:iCs/>
      <w:color w:val="44546A" w:themeColor="text2"/>
      <w:sz w:val="18"/>
      <w:szCs w:val="16"/>
    </w:rPr>
  </w:style>
  <w:style w:type="character" w:styleId="Emphasis">
    <w:name w:val="Emphasis"/>
    <w:basedOn w:val="DefaultParagraphFont"/>
    <w:uiPriority w:val="20"/>
    <w:qFormat/>
    <w:rsid w:val="00FC2010"/>
    <w:rPr>
      <w:i/>
      <w:iCs/>
    </w:rPr>
  </w:style>
  <w:style w:type="character" w:styleId="Hyperlink">
    <w:name w:val="Hyperlink"/>
    <w:basedOn w:val="DefaultParagraphFont"/>
    <w:uiPriority w:val="99"/>
    <w:unhideWhenUsed/>
    <w:rsid w:val="00786C09"/>
    <w:rPr>
      <w:color w:val="0563C1" w:themeColor="hyperlink"/>
      <w:u w:val="single"/>
    </w:rPr>
  </w:style>
  <w:style w:type="character" w:styleId="UnresolvedMention">
    <w:name w:val="Unresolved Mention"/>
    <w:basedOn w:val="DefaultParagraphFont"/>
    <w:uiPriority w:val="99"/>
    <w:semiHidden/>
    <w:unhideWhenUsed/>
    <w:rsid w:val="009A6752"/>
    <w:rPr>
      <w:color w:val="605E5C"/>
      <w:shd w:val="clear" w:color="auto" w:fill="E1DFDD"/>
    </w:rPr>
  </w:style>
  <w:style w:type="paragraph" w:styleId="Header">
    <w:name w:val="header"/>
    <w:basedOn w:val="Normal"/>
    <w:link w:val="HeaderChar"/>
    <w:uiPriority w:val="99"/>
    <w:unhideWhenUsed/>
    <w:rsid w:val="00A1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1C"/>
  </w:style>
  <w:style w:type="paragraph" w:styleId="Footer">
    <w:name w:val="footer"/>
    <w:basedOn w:val="Normal"/>
    <w:link w:val="FooterChar"/>
    <w:uiPriority w:val="99"/>
    <w:unhideWhenUsed/>
    <w:rsid w:val="00A1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93/biomet.28.3-4.321" TargetMode="External"/><Relationship Id="rId18" Type="http://schemas.openxmlformats.org/officeDocument/2006/relationships/hyperlink" Target="https://doi.org/10.1080/147864401094627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fao.org/3/y5765e/y5765e00.htm" TargetMode="External"/><Relationship Id="rId7" Type="http://schemas.openxmlformats.org/officeDocument/2006/relationships/endnotes" Target="endnotes.xml"/><Relationship Id="rId12" Type="http://schemas.openxmlformats.org/officeDocument/2006/relationships/hyperlink" Target="https://doi.org/10.2134/agronj1959.00021962005100090002x" TargetMode="External"/><Relationship Id="rId17" Type="http://schemas.openxmlformats.org/officeDocument/2006/relationships/hyperlink" Target="https://doi.org/10.1007/BF0228923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b98835" TargetMode="External"/><Relationship Id="rId20" Type="http://schemas.openxmlformats.org/officeDocument/2006/relationships/hyperlink" Target="https://www.researchgate.net/profile/Dinesh_Surje/publication/30307315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4/agronj1958.00021962005000100020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134/agronj1955.00021962004700070009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abdirect.org/cabdirect/abstract/20123090070" TargetMode="External"/><Relationship Id="rId19" Type="http://schemas.openxmlformats.org/officeDocument/2006/relationships/hyperlink" Target="https://www.forageresearch.in/index.php/fr/issue/view/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55/2011/87092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718FF-7D33-477F-B887-2D373ED9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4193</Words>
  <Characters>23905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 Dahiya</dc:creator>
  <cp:keywords/>
  <dc:description/>
  <cp:lastModifiedBy>SDI 1084</cp:lastModifiedBy>
  <cp:revision>10</cp:revision>
  <dcterms:created xsi:type="dcterms:W3CDTF">2025-12-29T06:55:00Z</dcterms:created>
  <dcterms:modified xsi:type="dcterms:W3CDTF">2025-12-30T07:10:00Z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a4d9906f-5437-4db1-94e7-d7816570152c</vt:lpwstr>
  </property>
</Properties>
</file>