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5656E" w14:textId="77777777" w:rsidR="00E829B0" w:rsidRDefault="00E829B0" w:rsidP="00526244">
      <w:pPr>
        <w:spacing w:before="100" w:beforeAutospacing="1" w:after="100" w:afterAutospacing="1"/>
        <w:jc w:val="right"/>
        <w:outlineLvl w:val="1"/>
        <w:rPr>
          <w:rFonts w:ascii="Arial" w:hAnsi="Arial" w:cs="Arial"/>
          <w:b/>
          <w:bCs/>
          <w:sz w:val="36"/>
          <w:szCs w:val="36"/>
          <w:lang w:eastAsia="en-IN"/>
        </w:rPr>
      </w:pPr>
      <w:r w:rsidRPr="00E829B0">
        <w:rPr>
          <w:rFonts w:ascii="Arial" w:hAnsi="Arial" w:cs="Arial"/>
          <w:b/>
          <w:bCs/>
          <w:sz w:val="36"/>
          <w:szCs w:val="36"/>
          <w:lang w:eastAsia="en-IN"/>
        </w:rPr>
        <w:t>Original Research Article</w:t>
      </w:r>
    </w:p>
    <w:p w14:paraId="2A064ED5" w14:textId="77777777" w:rsidR="00E829B0" w:rsidRDefault="00E829B0" w:rsidP="00526244">
      <w:pPr>
        <w:spacing w:before="100" w:beforeAutospacing="1" w:after="100" w:afterAutospacing="1"/>
        <w:jc w:val="right"/>
        <w:outlineLvl w:val="1"/>
        <w:rPr>
          <w:rFonts w:ascii="Arial" w:hAnsi="Arial" w:cs="Arial"/>
          <w:b/>
          <w:bCs/>
          <w:sz w:val="36"/>
          <w:szCs w:val="36"/>
          <w:lang w:eastAsia="en-IN"/>
        </w:rPr>
      </w:pPr>
    </w:p>
    <w:p w14:paraId="17DC7BF1" w14:textId="73EEC4F1" w:rsidR="00526244" w:rsidRPr="00526244" w:rsidRDefault="00526244" w:rsidP="00526244">
      <w:pPr>
        <w:spacing w:before="100" w:beforeAutospacing="1" w:after="100" w:afterAutospacing="1"/>
        <w:jc w:val="right"/>
        <w:outlineLvl w:val="1"/>
        <w:rPr>
          <w:rFonts w:ascii="Arial" w:hAnsi="Arial" w:cs="Arial"/>
          <w:b/>
          <w:bCs/>
          <w:sz w:val="36"/>
          <w:szCs w:val="36"/>
          <w:lang w:eastAsia="en-IN"/>
        </w:rPr>
      </w:pPr>
      <w:r w:rsidRPr="00526244">
        <w:rPr>
          <w:rFonts w:ascii="Arial" w:hAnsi="Arial" w:cs="Arial"/>
          <w:b/>
          <w:bCs/>
          <w:sz w:val="36"/>
          <w:szCs w:val="36"/>
          <w:lang w:eastAsia="en-IN"/>
        </w:rPr>
        <w:t>DISSIPATION OF TOPRAMEZONE IN MAIZE GROWING SOILS OF TELANGANA STATE</w:t>
      </w:r>
    </w:p>
    <w:p w14:paraId="6B5C251B" w14:textId="77777777" w:rsidR="00F0779E" w:rsidRDefault="00F0779E" w:rsidP="00213B6E">
      <w:pPr>
        <w:pStyle w:val="Affiliation"/>
        <w:spacing w:after="0" w:line="240" w:lineRule="auto"/>
        <w:rPr>
          <w:rFonts w:ascii="Arial" w:hAnsi="Arial" w:cs="Arial"/>
          <w:i/>
          <w:iCs/>
        </w:rPr>
      </w:pPr>
    </w:p>
    <w:p w14:paraId="5D4B2FBD" w14:textId="77777777" w:rsidR="00F0779E" w:rsidRPr="00213B6E" w:rsidRDefault="00F0779E" w:rsidP="00213B6E">
      <w:pPr>
        <w:pStyle w:val="Affiliation"/>
        <w:spacing w:after="0" w:line="240" w:lineRule="auto"/>
        <w:rPr>
          <w:rFonts w:ascii="Arial" w:hAnsi="Arial" w:cs="Arial"/>
          <w:i/>
          <w:iCs/>
        </w:rPr>
      </w:pPr>
    </w:p>
    <w:p w14:paraId="7457EEBF" w14:textId="269A533C" w:rsidR="00B01FCD" w:rsidRPr="00571CE3" w:rsidRDefault="003E0ACD" w:rsidP="00441B6F">
      <w:pPr>
        <w:pStyle w:val="Copyright"/>
        <w:spacing w:after="0" w:line="240" w:lineRule="auto"/>
        <w:jc w:val="both"/>
        <w:rPr>
          <w:rFonts w:ascii="Arial" w:hAnsi="Arial" w:cs="Arial"/>
        </w:rPr>
        <w:sectPr w:rsidR="00B01FCD" w:rsidRPr="00571CE3" w:rsidSect="00291A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28EED" wp14:editId="609A9D88">
                <wp:extent cx="5303520" cy="635"/>
                <wp:effectExtent l="15240" t="12700" r="15240" b="15875"/>
                <wp:docPr id="21248465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E42BC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1CE3">
        <w:rPr>
          <w:rFonts w:ascii="Arial" w:hAnsi="Arial" w:cs="Arial"/>
        </w:rPr>
        <w:t>.</w:t>
      </w:r>
    </w:p>
    <w:p w14:paraId="6C6F09F9" w14:textId="35E7AC64" w:rsidR="00B01FCD" w:rsidRPr="00571CE3" w:rsidRDefault="00B01FCD" w:rsidP="00441B6F">
      <w:pPr>
        <w:pStyle w:val="AbstHead"/>
        <w:spacing w:after="0"/>
        <w:jc w:val="both"/>
        <w:rPr>
          <w:rFonts w:ascii="Arial" w:hAnsi="Arial" w:cs="Arial"/>
        </w:rPr>
      </w:pPr>
      <w:r w:rsidRPr="00571CE3">
        <w:rPr>
          <w:rFonts w:ascii="Arial" w:hAnsi="Arial" w:cs="Arial"/>
        </w:rPr>
        <w:t>ABSTRACT</w:t>
      </w:r>
      <w:r w:rsidR="0066510A" w:rsidRPr="00571CE3">
        <w:rPr>
          <w:rFonts w:ascii="Arial" w:hAnsi="Arial" w:cs="Arial"/>
        </w:rPr>
        <w:t xml:space="preserve"> </w:t>
      </w:r>
    </w:p>
    <w:p w14:paraId="7ADE8792" w14:textId="77777777" w:rsidR="00790ADA" w:rsidRPr="00571CE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71CE3" w14:paraId="04FB2547" w14:textId="77777777" w:rsidTr="001E44FE">
        <w:tc>
          <w:tcPr>
            <w:tcW w:w="9576" w:type="dxa"/>
            <w:shd w:val="clear" w:color="auto" w:fill="F2F2F2"/>
          </w:tcPr>
          <w:p w14:paraId="08DF98F2" w14:textId="4EFA44D7" w:rsidR="00505F06" w:rsidRPr="00526244" w:rsidRDefault="00526244" w:rsidP="00526244">
            <w:pPr>
              <w:pStyle w:val="NormalWeb"/>
              <w:ind w:firstLine="720"/>
              <w:jc w:val="both"/>
              <w:rPr>
                <w:rFonts w:ascii="Arial" w:hAnsi="Arial" w:cs="Arial"/>
                <w:sz w:val="20"/>
                <w:szCs w:val="20"/>
              </w:rPr>
            </w:pPr>
            <w:r w:rsidRPr="00526244">
              <w:rPr>
                <w:rFonts w:ascii="Arial" w:hAnsi="Arial" w:cs="Arial"/>
                <w:sz w:val="20"/>
                <w:szCs w:val="20"/>
              </w:rPr>
              <w:t>Persistence and dissipation of topramezone were quantified in two contrasting Telangana soils - red sandy loam (</w:t>
            </w:r>
            <w:proofErr w:type="spellStart"/>
            <w:r w:rsidRPr="00526244">
              <w:rPr>
                <w:rFonts w:ascii="Arial" w:hAnsi="Arial" w:cs="Arial"/>
                <w:sz w:val="20"/>
                <w:szCs w:val="20"/>
              </w:rPr>
              <w:t>Alfisol</w:t>
            </w:r>
            <w:proofErr w:type="spellEnd"/>
            <w:r w:rsidRPr="00526244">
              <w:rPr>
                <w:rFonts w:ascii="Arial" w:hAnsi="Arial" w:cs="Arial"/>
                <w:sz w:val="20"/>
                <w:szCs w:val="20"/>
              </w:rPr>
              <w:t>) and black clay (</w:t>
            </w:r>
            <w:proofErr w:type="spellStart"/>
            <w:r w:rsidRPr="00526244">
              <w:rPr>
                <w:rFonts w:ascii="Arial" w:hAnsi="Arial" w:cs="Arial"/>
                <w:sz w:val="20"/>
                <w:szCs w:val="20"/>
              </w:rPr>
              <w:t>Vertisol</w:t>
            </w:r>
            <w:proofErr w:type="spellEnd"/>
            <w:r w:rsidRPr="00526244">
              <w:rPr>
                <w:rFonts w:ascii="Arial" w:hAnsi="Arial" w:cs="Arial"/>
                <w:sz w:val="20"/>
                <w:szCs w:val="20"/>
              </w:rPr>
              <w:t>)—to inform leaching risk and rotation safety under tropical conditions. Composite surface soils were characterized (pH, EC, organic carbon and CEC) and incubated at 27 ± 0.2 °C after fortification to 0.2 mg kg</w:t>
            </w:r>
            <w:r w:rsidRPr="00526244">
              <w:rPr>
                <w:rFonts w:ascii="Cambria Math" w:hAnsi="Cambria Math" w:cs="Cambria Math"/>
                <w:sz w:val="20"/>
                <w:szCs w:val="20"/>
              </w:rPr>
              <w:t>⁻</w:t>
            </w:r>
            <w:r w:rsidRPr="00526244">
              <w:rPr>
                <w:rFonts w:ascii="Arial" w:hAnsi="Arial" w:cs="Arial"/>
                <w:sz w:val="20"/>
                <w:szCs w:val="20"/>
              </w:rPr>
              <w:t>¹. Residues were measured at 0–135 days using validated HPLC–UV (LOD 0.007 mg kg</w:t>
            </w:r>
            <w:r w:rsidRPr="00526244">
              <w:rPr>
                <w:rFonts w:ascii="Cambria Math" w:hAnsi="Cambria Math" w:cs="Cambria Math"/>
                <w:sz w:val="20"/>
                <w:szCs w:val="20"/>
              </w:rPr>
              <w:t>⁻</w:t>
            </w:r>
            <w:r w:rsidRPr="00526244">
              <w:rPr>
                <w:rFonts w:ascii="Arial" w:hAnsi="Arial" w:cs="Arial"/>
                <w:sz w:val="20"/>
                <w:szCs w:val="20"/>
              </w:rPr>
              <w:t>¹; LOQ 0.020 mg kg</w:t>
            </w:r>
            <w:r w:rsidRPr="00526244">
              <w:rPr>
                <w:rFonts w:ascii="Cambria Math" w:hAnsi="Cambria Math" w:cs="Cambria Math"/>
                <w:sz w:val="20"/>
                <w:szCs w:val="20"/>
              </w:rPr>
              <w:t>⁻</w:t>
            </w:r>
            <w:r w:rsidRPr="00526244">
              <w:rPr>
                <w:rFonts w:ascii="Arial" w:hAnsi="Arial" w:cs="Arial"/>
                <w:sz w:val="20"/>
                <w:szCs w:val="20"/>
              </w:rPr>
              <w:t>¹; recoveries 84.8–91.2%). Initial detected amount (2 h after application) was 90.61 µg 10 g</w:t>
            </w:r>
            <w:r w:rsidRPr="00526244">
              <w:rPr>
                <w:rFonts w:ascii="Cambria Math" w:hAnsi="Cambria Math" w:cs="Cambria Math"/>
                <w:sz w:val="20"/>
                <w:szCs w:val="20"/>
              </w:rPr>
              <w:t>⁻</w:t>
            </w:r>
            <w:r w:rsidRPr="00526244">
              <w:rPr>
                <w:rFonts w:ascii="Arial" w:hAnsi="Arial" w:cs="Arial"/>
                <w:sz w:val="20"/>
                <w:szCs w:val="20"/>
              </w:rPr>
              <w:t>¹ in the red soil and 92.12 µg 10 g</w:t>
            </w:r>
            <w:r w:rsidRPr="00526244">
              <w:rPr>
                <w:rFonts w:ascii="Cambria Math" w:hAnsi="Cambria Math" w:cs="Cambria Math"/>
                <w:sz w:val="20"/>
                <w:szCs w:val="20"/>
              </w:rPr>
              <w:t>⁻</w:t>
            </w:r>
            <w:r w:rsidRPr="00526244">
              <w:rPr>
                <w:rFonts w:ascii="Arial" w:hAnsi="Arial" w:cs="Arial"/>
                <w:sz w:val="20"/>
                <w:szCs w:val="20"/>
              </w:rPr>
              <w:t>¹ in the black soil. Concentrations declined to 40.21 and 38.65 µg 10 g</w:t>
            </w:r>
            <w:r w:rsidRPr="00526244">
              <w:rPr>
                <w:rFonts w:ascii="Cambria Math" w:hAnsi="Cambria Math" w:cs="Cambria Math"/>
                <w:sz w:val="20"/>
                <w:szCs w:val="20"/>
              </w:rPr>
              <w:t>⁻</w:t>
            </w:r>
            <w:r w:rsidRPr="00526244">
              <w:rPr>
                <w:rFonts w:ascii="Arial" w:hAnsi="Arial" w:cs="Arial"/>
                <w:sz w:val="20"/>
                <w:szCs w:val="20"/>
              </w:rPr>
              <w:t>¹, respectively, by 135 days. Among linear, polynomial, logarithmic and exponential models, first-order kinetics best described dissipation with excellent fits (R² &gt; 0.97). Rate constants (k) ranged 0.0057–0.0069 day</w:t>
            </w:r>
            <w:r w:rsidRPr="00526244">
              <w:rPr>
                <w:rFonts w:ascii="Cambria Math" w:hAnsi="Cambria Math" w:cs="Cambria Math"/>
                <w:sz w:val="20"/>
                <w:szCs w:val="20"/>
              </w:rPr>
              <w:t>⁻</w:t>
            </w:r>
            <w:r w:rsidRPr="00526244">
              <w:rPr>
                <w:rFonts w:ascii="Arial" w:hAnsi="Arial" w:cs="Arial"/>
                <w:sz w:val="20"/>
                <w:szCs w:val="20"/>
              </w:rPr>
              <w:t>¹, giving DT</w:t>
            </w:r>
            <w:r w:rsidRPr="00526244">
              <w:rPr>
                <w:rFonts w:ascii="Cambria Math" w:hAnsi="Cambria Math" w:cs="Cambria Math"/>
                <w:sz w:val="20"/>
                <w:szCs w:val="20"/>
              </w:rPr>
              <w:t>₅₀</w:t>
            </w:r>
            <w:r w:rsidRPr="00526244">
              <w:rPr>
                <w:rFonts w:ascii="Arial" w:hAnsi="Arial" w:cs="Arial"/>
                <w:sz w:val="20"/>
                <w:szCs w:val="20"/>
              </w:rPr>
              <w:t xml:space="preserve"> values of 121.6 days (red) and 100.4 days (black). When interpreted alongside sorption behaviour (weak-acid </w:t>
            </w:r>
            <w:proofErr w:type="spellStart"/>
            <w:r w:rsidRPr="00526244">
              <w:rPr>
                <w:rFonts w:ascii="Arial" w:hAnsi="Arial" w:cs="Arial"/>
                <w:sz w:val="20"/>
                <w:szCs w:val="20"/>
              </w:rPr>
              <w:t>pKa</w:t>
            </w:r>
            <w:proofErr w:type="spellEnd"/>
            <w:r w:rsidRPr="00526244">
              <w:rPr>
                <w:rFonts w:ascii="Arial" w:hAnsi="Arial" w:cs="Arial"/>
                <w:sz w:val="20"/>
                <w:szCs w:val="20"/>
              </w:rPr>
              <w:t xml:space="preserve"> = 4.06; moderate–low sorption that decreases with increasing pH), the data indicate a high leaching potential, especially in neutral–alkaline, higher-pH settings. Overall, soil type and moisture regime exert first-order control on topramezone persistence and, by extension, on leaching risk under semi-arid Indian conditions.</w:t>
            </w:r>
          </w:p>
        </w:tc>
      </w:tr>
    </w:tbl>
    <w:p w14:paraId="31D1D276" w14:textId="77777777" w:rsidR="00636EB2" w:rsidRPr="00571CE3" w:rsidRDefault="00636EB2" w:rsidP="00441B6F">
      <w:pPr>
        <w:pStyle w:val="Body"/>
        <w:spacing w:after="0"/>
        <w:rPr>
          <w:rFonts w:ascii="Arial" w:hAnsi="Arial" w:cs="Arial"/>
          <w:i/>
        </w:rPr>
      </w:pPr>
    </w:p>
    <w:p w14:paraId="3CC6C39C" w14:textId="03F858D0" w:rsidR="00505F06" w:rsidRPr="00526244" w:rsidRDefault="00A24E7E" w:rsidP="00526244">
      <w:pPr>
        <w:pStyle w:val="NormalWeb"/>
        <w:rPr>
          <w:rFonts w:ascii="Arial" w:hAnsi="Arial" w:cs="Arial"/>
          <w:i/>
          <w:sz w:val="20"/>
          <w:szCs w:val="20"/>
        </w:rPr>
      </w:pPr>
      <w:r w:rsidRPr="00571CE3">
        <w:rPr>
          <w:rFonts w:ascii="Arial" w:hAnsi="Arial" w:cs="Arial"/>
          <w:i/>
        </w:rPr>
        <w:t>Keywords</w:t>
      </w:r>
      <w:r w:rsidRPr="00571CE3">
        <w:rPr>
          <w:rFonts w:ascii="Arial" w:hAnsi="Arial" w:cs="Arial"/>
          <w:i/>
          <w:sz w:val="20"/>
          <w:szCs w:val="20"/>
        </w:rPr>
        <w:t xml:space="preserve">: </w:t>
      </w:r>
      <w:proofErr w:type="gramStart"/>
      <w:r w:rsidR="00A6655E" w:rsidRPr="00526244">
        <w:rPr>
          <w:rFonts w:ascii="Arial" w:hAnsi="Arial" w:cs="Arial"/>
          <w:i/>
          <w:sz w:val="20"/>
          <w:szCs w:val="20"/>
        </w:rPr>
        <w:t>(</w:t>
      </w:r>
      <w:r w:rsidR="00526244" w:rsidRPr="00526244">
        <w:rPr>
          <w:rFonts w:ascii="Arial" w:hAnsi="Arial" w:cs="Arial"/>
          <w:i/>
          <w:sz w:val="20"/>
          <w:szCs w:val="20"/>
        </w:rPr>
        <w:t xml:space="preserve"> Degradation</w:t>
      </w:r>
      <w:proofErr w:type="gramEnd"/>
      <w:r w:rsidR="00526244" w:rsidRPr="00526244">
        <w:rPr>
          <w:rFonts w:ascii="Arial" w:hAnsi="Arial" w:cs="Arial"/>
          <w:i/>
          <w:sz w:val="20"/>
          <w:szCs w:val="20"/>
        </w:rPr>
        <w:t>, first-order kinetics, half-life, leaching potential, soil moisture regime and Topramezone dissipation.</w:t>
      </w:r>
      <w:r w:rsidR="00526244">
        <w:rPr>
          <w:rFonts w:ascii="Arial" w:hAnsi="Arial" w:cs="Arial"/>
          <w:i/>
          <w:sz w:val="20"/>
          <w:szCs w:val="20"/>
        </w:rPr>
        <w:t>)</w:t>
      </w:r>
    </w:p>
    <w:p w14:paraId="48F1B706" w14:textId="695D8E8F" w:rsidR="00790ADA" w:rsidRPr="00571CE3" w:rsidRDefault="00902823" w:rsidP="00441B6F">
      <w:pPr>
        <w:pStyle w:val="AbstHead"/>
        <w:spacing w:after="0"/>
        <w:jc w:val="both"/>
        <w:rPr>
          <w:rFonts w:ascii="Arial" w:hAnsi="Arial" w:cs="Arial"/>
        </w:rPr>
      </w:pPr>
      <w:r w:rsidRPr="00571CE3">
        <w:rPr>
          <w:rFonts w:ascii="Arial" w:hAnsi="Arial" w:cs="Arial"/>
        </w:rPr>
        <w:t xml:space="preserve">1. </w:t>
      </w:r>
      <w:r w:rsidR="00B01FCD" w:rsidRPr="00571CE3">
        <w:rPr>
          <w:rFonts w:ascii="Arial" w:hAnsi="Arial" w:cs="Arial"/>
        </w:rPr>
        <w:t>INTRODUCTION</w:t>
      </w:r>
    </w:p>
    <w:p w14:paraId="34C9EE5A"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 xml:space="preserve">Persistence and dissipation of herbicides in soil are critical factors determining their biological performance, residual toxicity, and ecological impact. Dissipation processes encompassing microbial degradation, chemical transformation, photolysis, and leaching govern the residence time and ultimate environmental fate of herbicides. Excessive persistence can result in carryover injury to succeeding crops and contamination of soil and groundwater, while too rapid dissipation may reduce weed control efficacy (Walker, 1974; </w:t>
      </w:r>
      <w:proofErr w:type="spellStart"/>
      <w:r w:rsidRPr="00526244">
        <w:rPr>
          <w:rFonts w:ascii="Arial" w:hAnsi="Arial" w:cs="Arial"/>
          <w:lang w:eastAsia="en-IN"/>
        </w:rPr>
        <w:t>Mervosh</w:t>
      </w:r>
      <w:proofErr w:type="spellEnd"/>
      <w:r w:rsidRPr="00526244">
        <w:rPr>
          <w:rFonts w:ascii="Arial" w:hAnsi="Arial" w:cs="Arial"/>
          <w:lang w:eastAsia="en-IN"/>
        </w:rPr>
        <w:t xml:space="preserve"> </w:t>
      </w:r>
      <w:r w:rsidRPr="00526244">
        <w:rPr>
          <w:rFonts w:ascii="Arial" w:hAnsi="Arial" w:cs="Arial"/>
          <w:i/>
          <w:iCs/>
          <w:lang w:eastAsia="en-IN"/>
        </w:rPr>
        <w:t>et al</w:t>
      </w:r>
      <w:r w:rsidRPr="00526244">
        <w:rPr>
          <w:rFonts w:ascii="Arial" w:hAnsi="Arial" w:cs="Arial"/>
          <w:lang w:eastAsia="en-IN"/>
        </w:rPr>
        <w:t>., 2016). Understanding the kinetics and mechanisms of herbicide degradation under region-specific soil and climatic conditions is essential for optimizing application schedules and mitigating environmental risk.</w:t>
      </w:r>
    </w:p>
    <w:p w14:paraId="41C9B8D4"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bCs/>
          <w:lang w:eastAsia="en-IN"/>
        </w:rPr>
        <w:t>Topramezone</w:t>
      </w:r>
      <w:r w:rsidRPr="00526244">
        <w:rPr>
          <w:rFonts w:ascii="Arial" w:hAnsi="Arial" w:cs="Arial"/>
          <w:lang w:eastAsia="en-IN"/>
        </w:rPr>
        <w:t xml:space="preserve">, belonging to the </w:t>
      </w:r>
      <w:r w:rsidRPr="00526244">
        <w:rPr>
          <w:rFonts w:ascii="Arial" w:hAnsi="Arial" w:cs="Arial"/>
          <w:iCs/>
          <w:lang w:eastAsia="en-IN"/>
        </w:rPr>
        <w:t>phenyl pyrazolyl ketone</w:t>
      </w:r>
      <w:r w:rsidRPr="00526244">
        <w:rPr>
          <w:rFonts w:ascii="Arial" w:hAnsi="Arial" w:cs="Arial"/>
          <w:lang w:eastAsia="en-IN"/>
        </w:rPr>
        <w:t xml:space="preserve"> group, is a post-emergence, systemic herbicide widely used in maize crop (Madhavi </w:t>
      </w:r>
      <w:r w:rsidRPr="00526244">
        <w:rPr>
          <w:rFonts w:ascii="Arial" w:hAnsi="Arial" w:cs="Arial"/>
          <w:i/>
          <w:iCs/>
          <w:lang w:eastAsia="en-IN"/>
        </w:rPr>
        <w:t>et al.,</w:t>
      </w:r>
      <w:r w:rsidRPr="00526244">
        <w:rPr>
          <w:rFonts w:ascii="Arial" w:hAnsi="Arial" w:cs="Arial"/>
          <w:lang w:eastAsia="en-IN"/>
        </w:rPr>
        <w:t xml:space="preserve"> 2013). It inhibits </w:t>
      </w:r>
      <w:r w:rsidRPr="00526244">
        <w:rPr>
          <w:rFonts w:ascii="Arial" w:hAnsi="Arial" w:cs="Arial"/>
          <w:bCs/>
          <w:lang w:eastAsia="en-IN"/>
        </w:rPr>
        <w:t>4-</w:t>
      </w:r>
      <w:r w:rsidRPr="00526244">
        <w:rPr>
          <w:rFonts w:ascii="Arial" w:hAnsi="Arial" w:cs="Arial"/>
          <w:bCs/>
          <w:lang w:eastAsia="en-IN"/>
        </w:rPr>
        <w:lastRenderedPageBreak/>
        <w:t>hydroxyphenylpyruvate dioxygenase (4-HPPD)</w:t>
      </w:r>
      <w:r w:rsidRPr="00526244">
        <w:rPr>
          <w:rFonts w:ascii="Arial" w:hAnsi="Arial" w:cs="Arial"/>
          <w:lang w:eastAsia="en-IN"/>
        </w:rPr>
        <w:t xml:space="preserve">, disrupting carotenoid biosynthesis and resulting in chlorosis and bleaching of weeds (Mitchell </w:t>
      </w:r>
      <w:r w:rsidRPr="00526244">
        <w:rPr>
          <w:rFonts w:ascii="Arial" w:hAnsi="Arial" w:cs="Arial"/>
          <w:i/>
          <w:iCs/>
          <w:lang w:eastAsia="en-IN"/>
        </w:rPr>
        <w:t>et al.,</w:t>
      </w:r>
      <w:r w:rsidRPr="00526244">
        <w:rPr>
          <w:rFonts w:ascii="Arial" w:hAnsi="Arial" w:cs="Arial"/>
          <w:lang w:eastAsia="en-IN"/>
        </w:rPr>
        <w:t xml:space="preserve"> 2001). Topramezone is a weak acid (</w:t>
      </w:r>
      <w:proofErr w:type="spellStart"/>
      <w:r w:rsidRPr="00526244">
        <w:rPr>
          <w:rFonts w:ascii="Arial" w:hAnsi="Arial" w:cs="Arial"/>
          <w:lang w:eastAsia="en-IN"/>
        </w:rPr>
        <w:t>pKa</w:t>
      </w:r>
      <w:proofErr w:type="spellEnd"/>
      <w:r w:rsidRPr="00526244">
        <w:rPr>
          <w:rFonts w:ascii="Arial" w:hAnsi="Arial" w:cs="Arial"/>
          <w:lang w:eastAsia="en-IN"/>
        </w:rPr>
        <w:t xml:space="preserve"> = 4.06) whose dissociation and reactivity are strongly pH-dependent, existing mainly as an anion in neutral to alkaline soils (APVMA, 2019). It is highly soluble in water and exhibits moderate to low sorption, characteristics that </w:t>
      </w:r>
      <w:proofErr w:type="spellStart"/>
      <w:r w:rsidRPr="00526244">
        <w:rPr>
          <w:rFonts w:ascii="Arial" w:hAnsi="Arial" w:cs="Arial"/>
          <w:lang w:eastAsia="en-IN"/>
        </w:rPr>
        <w:t>favour</w:t>
      </w:r>
      <w:proofErr w:type="spellEnd"/>
      <w:r w:rsidRPr="00526244">
        <w:rPr>
          <w:rFonts w:ascii="Arial" w:hAnsi="Arial" w:cs="Arial"/>
          <w:lang w:eastAsia="en-IN"/>
        </w:rPr>
        <w:t xml:space="preserve"> persistence and potential mobility. Laboratory and field studies conducted under temperate conditions have shown that topramezone degrades slowly, with half-lives of 125–365 days (EFSA, 2014; US EPA, 2013), although its breakdown rate is influenced by soil type, temperature, and moisture (Baumann </w:t>
      </w:r>
      <w:r w:rsidRPr="00526244">
        <w:rPr>
          <w:rFonts w:ascii="Arial" w:hAnsi="Arial" w:cs="Arial"/>
          <w:i/>
          <w:iCs/>
          <w:lang w:eastAsia="en-IN"/>
        </w:rPr>
        <w:t>et al.,</w:t>
      </w:r>
      <w:r w:rsidRPr="00526244">
        <w:rPr>
          <w:rFonts w:ascii="Arial" w:hAnsi="Arial" w:cs="Arial"/>
          <w:lang w:eastAsia="en-IN"/>
        </w:rPr>
        <w:t xml:space="preserve"> 2014; Hollaway </w:t>
      </w:r>
      <w:r w:rsidRPr="00526244">
        <w:rPr>
          <w:rFonts w:ascii="Arial" w:hAnsi="Arial" w:cs="Arial"/>
          <w:i/>
          <w:iCs/>
          <w:lang w:eastAsia="en-IN"/>
        </w:rPr>
        <w:t>et al.,</w:t>
      </w:r>
      <w:r w:rsidRPr="00526244">
        <w:rPr>
          <w:rFonts w:ascii="Arial" w:hAnsi="Arial" w:cs="Arial"/>
          <w:lang w:eastAsia="en-IN"/>
        </w:rPr>
        <w:t xml:space="preserve"> 2013, Rao </w:t>
      </w:r>
      <w:r w:rsidRPr="00526244">
        <w:rPr>
          <w:rFonts w:ascii="Arial" w:hAnsi="Arial" w:cs="Arial"/>
          <w:i/>
          <w:iCs/>
          <w:lang w:eastAsia="en-IN"/>
        </w:rPr>
        <w:t>et al.,</w:t>
      </w:r>
      <w:r w:rsidRPr="00526244">
        <w:rPr>
          <w:rFonts w:ascii="Arial" w:hAnsi="Arial" w:cs="Arial"/>
          <w:lang w:eastAsia="en-IN"/>
        </w:rPr>
        <w:t xml:space="preserve"> 2017).</w:t>
      </w:r>
    </w:p>
    <w:p w14:paraId="72C47774"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In tropical environments, dissipation of weak acid herbicides like topramezone is often slower under dry or alkaline conditions, due to reduced microbial activity and limited hydrolysis (</w:t>
      </w:r>
      <w:proofErr w:type="spellStart"/>
      <w:r w:rsidRPr="00526244">
        <w:rPr>
          <w:rFonts w:ascii="Arial" w:hAnsi="Arial" w:cs="Arial"/>
          <w:lang w:eastAsia="en-IN"/>
        </w:rPr>
        <w:t>Pusino</w:t>
      </w:r>
      <w:proofErr w:type="spellEnd"/>
      <w:r w:rsidRPr="00526244">
        <w:rPr>
          <w:rFonts w:ascii="Arial" w:hAnsi="Arial" w:cs="Arial"/>
          <w:lang w:eastAsia="en-IN"/>
        </w:rPr>
        <w:t xml:space="preserve"> </w:t>
      </w:r>
      <w:r w:rsidRPr="00526244">
        <w:rPr>
          <w:rFonts w:ascii="Arial" w:hAnsi="Arial" w:cs="Arial"/>
          <w:i/>
          <w:iCs/>
          <w:lang w:eastAsia="en-IN"/>
        </w:rPr>
        <w:t>et al.,</w:t>
      </w:r>
      <w:r w:rsidRPr="00526244">
        <w:rPr>
          <w:rFonts w:ascii="Arial" w:hAnsi="Arial" w:cs="Arial"/>
          <w:lang w:eastAsia="en-IN"/>
        </w:rPr>
        <w:t xml:space="preserve"> 2010; Zanella </w:t>
      </w:r>
      <w:r w:rsidRPr="00526244">
        <w:rPr>
          <w:rFonts w:ascii="Arial" w:hAnsi="Arial" w:cs="Arial"/>
          <w:i/>
          <w:iCs/>
          <w:lang w:eastAsia="en-IN"/>
        </w:rPr>
        <w:t>et al.,</w:t>
      </w:r>
      <w:r w:rsidRPr="00526244">
        <w:rPr>
          <w:rFonts w:ascii="Arial" w:hAnsi="Arial" w:cs="Arial"/>
          <w:lang w:eastAsia="en-IN"/>
        </w:rPr>
        <w:t xml:space="preserve"> 2011). Soil moisture exerts a strong influence, as microbial degradation is generally the dominant pathway under aerobic conditions. Consequently, persistence and carryover potential may be higher under moisture-deficient situations.</w:t>
      </w:r>
    </w:p>
    <w:p w14:paraId="76278031" w14:textId="77777777" w:rsidR="00526244"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 xml:space="preserve">Leaching forms an important component of the dissipation process and is closely linked with persistence and sorption characteristics. Although degradation reduces parent compound concentration, the transformation products of topramezone can be relatively more mobile, thereby influencing the overall leaching risk. The </w:t>
      </w:r>
      <w:r w:rsidRPr="00526244">
        <w:rPr>
          <w:rFonts w:ascii="Arial" w:hAnsi="Arial" w:cs="Arial"/>
          <w:bCs/>
          <w:lang w:eastAsia="en-IN"/>
        </w:rPr>
        <w:t>Groundwater Ubiquity Score (GUS)</w:t>
      </w:r>
      <w:r w:rsidRPr="00526244">
        <w:rPr>
          <w:rFonts w:ascii="Arial" w:hAnsi="Arial" w:cs="Arial"/>
          <w:lang w:eastAsia="en-IN"/>
        </w:rPr>
        <w:t xml:space="preserve"> index (Gustafson, 1989), which integrates degradation half-life (DT</w:t>
      </w:r>
      <w:r w:rsidRPr="00526244">
        <w:rPr>
          <w:rFonts w:ascii="Cambria Math" w:hAnsi="Cambria Math" w:cs="Cambria Math"/>
          <w:lang w:eastAsia="en-IN"/>
        </w:rPr>
        <w:t>₅₀</w:t>
      </w:r>
      <w:r w:rsidRPr="00526244">
        <w:rPr>
          <w:rFonts w:ascii="Arial" w:hAnsi="Arial" w:cs="Arial"/>
          <w:lang w:eastAsia="en-IN"/>
        </w:rPr>
        <w:t>) and organic carbon–normalized sorption coefficient (Koc), is widely used to classify the leaching potential of herbicides under field conditions.</w:t>
      </w:r>
    </w:p>
    <w:p w14:paraId="17735FC0" w14:textId="340BE9C2" w:rsidR="00790ADA" w:rsidRPr="00526244" w:rsidRDefault="00526244" w:rsidP="00526244">
      <w:pPr>
        <w:spacing w:before="100" w:beforeAutospacing="1" w:after="100" w:afterAutospacing="1"/>
        <w:ind w:firstLine="720"/>
        <w:jc w:val="both"/>
        <w:rPr>
          <w:rFonts w:ascii="Arial" w:hAnsi="Arial" w:cs="Arial"/>
          <w:lang w:eastAsia="en-IN"/>
        </w:rPr>
      </w:pPr>
      <w:r w:rsidRPr="00526244">
        <w:rPr>
          <w:rFonts w:ascii="Arial" w:hAnsi="Arial" w:cs="Arial"/>
          <w:lang w:eastAsia="en-IN"/>
        </w:rPr>
        <w:t xml:space="preserve">Despite its widespread use in maize cultivation, information on the dissipation dynamics and leaching potential of topramezone under Indian tropical conditions is lacking. Telangana’s two major soil types </w:t>
      </w:r>
      <w:r w:rsidRPr="00526244">
        <w:rPr>
          <w:rFonts w:ascii="Arial" w:hAnsi="Arial" w:cs="Arial"/>
          <w:bCs/>
          <w:lang w:eastAsia="en-IN"/>
        </w:rPr>
        <w:t>red sandy loam (</w:t>
      </w:r>
      <w:proofErr w:type="spellStart"/>
      <w:r w:rsidRPr="00526244">
        <w:rPr>
          <w:rFonts w:ascii="Arial" w:hAnsi="Arial" w:cs="Arial"/>
          <w:bCs/>
          <w:lang w:eastAsia="en-IN"/>
        </w:rPr>
        <w:t>Alfisol</w:t>
      </w:r>
      <w:proofErr w:type="spellEnd"/>
      <w:r w:rsidRPr="00526244">
        <w:rPr>
          <w:rFonts w:ascii="Arial" w:hAnsi="Arial" w:cs="Arial"/>
          <w:bCs/>
          <w:lang w:eastAsia="en-IN"/>
        </w:rPr>
        <w:t>)</w:t>
      </w:r>
      <w:r w:rsidRPr="00526244">
        <w:rPr>
          <w:rFonts w:ascii="Arial" w:hAnsi="Arial" w:cs="Arial"/>
          <w:lang w:eastAsia="en-IN"/>
        </w:rPr>
        <w:t xml:space="preserve"> and </w:t>
      </w:r>
      <w:r w:rsidRPr="00526244">
        <w:rPr>
          <w:rFonts w:ascii="Arial" w:hAnsi="Arial" w:cs="Arial"/>
          <w:bCs/>
          <w:lang w:eastAsia="en-IN"/>
        </w:rPr>
        <w:t>black clay (</w:t>
      </w:r>
      <w:proofErr w:type="spellStart"/>
      <w:r w:rsidRPr="00526244">
        <w:rPr>
          <w:rFonts w:ascii="Arial" w:hAnsi="Arial" w:cs="Arial"/>
          <w:bCs/>
          <w:lang w:eastAsia="en-IN"/>
        </w:rPr>
        <w:t>Vertisol</w:t>
      </w:r>
      <w:proofErr w:type="spellEnd"/>
      <w:r w:rsidRPr="00526244">
        <w:rPr>
          <w:rFonts w:ascii="Arial" w:hAnsi="Arial" w:cs="Arial"/>
          <w:bCs/>
          <w:lang w:eastAsia="en-IN"/>
        </w:rPr>
        <w:t xml:space="preserve">) </w:t>
      </w:r>
      <w:r w:rsidRPr="00526244">
        <w:rPr>
          <w:rFonts w:ascii="Arial" w:hAnsi="Arial" w:cs="Arial"/>
          <w:lang w:eastAsia="en-IN"/>
        </w:rPr>
        <w:t xml:space="preserve">exhibit wide contrasts in texture, pH, organic matter, and water-holding capacity, all of which can significantly influence persistence and downward mobility of herbicides. Hence, this study was undertaken to </w:t>
      </w:r>
      <w:r w:rsidRPr="00526244">
        <w:rPr>
          <w:rFonts w:ascii="Arial" w:hAnsi="Arial" w:cs="Arial"/>
          <w:bCs/>
          <w:lang w:eastAsia="en-IN"/>
        </w:rPr>
        <w:t>quantify the dissipation kinetics of topramezone under controlled laboratory conditions in red and black soils at two moisture regimes (field capacity and 50% field capacity), determine the degradation rate constants (</w:t>
      </w:r>
      <w:r w:rsidRPr="00526244">
        <w:rPr>
          <w:rFonts w:ascii="Arial" w:hAnsi="Arial" w:cs="Arial"/>
          <w:bCs/>
          <w:i/>
          <w:lang w:eastAsia="en-IN"/>
        </w:rPr>
        <w:t>k</w:t>
      </w:r>
      <w:r w:rsidRPr="00526244">
        <w:rPr>
          <w:rFonts w:ascii="Arial" w:hAnsi="Arial" w:cs="Arial"/>
          <w:bCs/>
          <w:lang w:eastAsia="en-IN"/>
        </w:rPr>
        <w:t>), half-lives (</w:t>
      </w:r>
      <w:r w:rsidRPr="00526244">
        <w:rPr>
          <w:rFonts w:ascii="Arial" w:hAnsi="Arial" w:cs="Arial"/>
          <w:bCs/>
          <w:i/>
          <w:lang w:eastAsia="en-IN"/>
        </w:rPr>
        <w:t>DT</w:t>
      </w:r>
      <w:r w:rsidRPr="00526244">
        <w:rPr>
          <w:rFonts w:ascii="Cambria Math" w:hAnsi="Cambria Math" w:cs="Cambria Math"/>
          <w:bCs/>
          <w:lang w:eastAsia="en-IN"/>
        </w:rPr>
        <w:t>₅₀</w:t>
      </w:r>
      <w:r w:rsidRPr="00526244">
        <w:rPr>
          <w:rFonts w:ascii="Arial" w:hAnsi="Arial" w:cs="Arial"/>
          <w:bCs/>
          <w:lang w:eastAsia="en-IN"/>
        </w:rPr>
        <w:t>) using first-order kinetic models, and assess the potential leachability of the</w:t>
      </w:r>
      <w:r w:rsidRPr="00526244">
        <w:rPr>
          <w:rFonts w:ascii="Arial" w:hAnsi="Arial" w:cs="Arial"/>
          <w:b/>
          <w:bCs/>
          <w:lang w:eastAsia="en-IN"/>
        </w:rPr>
        <w:t xml:space="preserve"> </w:t>
      </w:r>
      <w:r w:rsidRPr="00526244">
        <w:rPr>
          <w:rFonts w:ascii="Arial" w:hAnsi="Arial" w:cs="Arial"/>
          <w:bCs/>
          <w:lang w:eastAsia="en-IN"/>
        </w:rPr>
        <w:t>compound through</w:t>
      </w:r>
      <w:r w:rsidRPr="00526244">
        <w:rPr>
          <w:rFonts w:ascii="Arial" w:hAnsi="Arial" w:cs="Arial"/>
          <w:b/>
          <w:bCs/>
          <w:lang w:eastAsia="en-IN"/>
        </w:rPr>
        <w:t xml:space="preserve"> </w:t>
      </w:r>
      <w:r w:rsidRPr="00526244">
        <w:rPr>
          <w:rFonts w:ascii="Arial" w:hAnsi="Arial" w:cs="Arial"/>
          <w:bCs/>
          <w:lang w:eastAsia="en-IN"/>
        </w:rPr>
        <w:t>GUS index estimation using experimentally determined degradation and sorption data</w:t>
      </w:r>
      <w:r w:rsidRPr="00526244">
        <w:rPr>
          <w:rFonts w:ascii="Arial" w:hAnsi="Arial" w:cs="Arial"/>
          <w:b/>
          <w:bCs/>
          <w:lang w:eastAsia="en-IN"/>
        </w:rPr>
        <w:t>.</w:t>
      </w:r>
      <w:r w:rsidRPr="00526244">
        <w:rPr>
          <w:rFonts w:ascii="Arial" w:hAnsi="Arial" w:cs="Arial"/>
          <w:lang w:eastAsia="en-IN"/>
        </w:rPr>
        <w:t xml:space="preserve"> The findings will contribute to a better understanding of topramezone persistence and movement in Indian soils and help refine herbicide use strategies to minimize environmental and crop-rotation risks in maize-based systems.</w:t>
      </w:r>
    </w:p>
    <w:p w14:paraId="1C3EE76E" w14:textId="2EF13270" w:rsidR="00790ADA" w:rsidRPr="00571CE3" w:rsidRDefault="00902823" w:rsidP="00441B6F">
      <w:pPr>
        <w:pStyle w:val="AbstHead"/>
        <w:spacing w:after="0"/>
        <w:jc w:val="both"/>
        <w:rPr>
          <w:rFonts w:ascii="Arial" w:hAnsi="Arial" w:cs="Arial"/>
        </w:rPr>
      </w:pPr>
      <w:r w:rsidRPr="00571CE3">
        <w:rPr>
          <w:rFonts w:ascii="Arial" w:hAnsi="Arial" w:cs="Arial"/>
        </w:rPr>
        <w:lastRenderedPageBreak/>
        <w:t>2. material and method</w:t>
      </w:r>
      <w:r w:rsidR="00000F8F" w:rsidRPr="00571CE3">
        <w:rPr>
          <w:rFonts w:ascii="Arial" w:hAnsi="Arial" w:cs="Arial"/>
        </w:rPr>
        <w:t xml:space="preserve">s </w:t>
      </w:r>
    </w:p>
    <w:p w14:paraId="7F1AF233" w14:textId="77777777" w:rsidR="00A6655E" w:rsidRPr="00571CE3" w:rsidRDefault="00A6655E" w:rsidP="00441B6F">
      <w:pPr>
        <w:pStyle w:val="AbstHead"/>
        <w:spacing w:after="0"/>
        <w:jc w:val="both"/>
        <w:rPr>
          <w:rFonts w:ascii="Arial" w:hAnsi="Arial" w:cs="Arial"/>
        </w:rPr>
      </w:pPr>
    </w:p>
    <w:p w14:paraId="6C0E3F8D"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Soil sampling and characterization</w:t>
      </w:r>
    </w:p>
    <w:p w14:paraId="79A8FF54" w14:textId="77777777" w:rsidR="00526244" w:rsidRPr="00526244" w:rsidRDefault="00526244" w:rsidP="00526244">
      <w:pPr>
        <w:pStyle w:val="Heading4"/>
        <w:spacing w:line="240" w:lineRule="auto"/>
        <w:ind w:firstLine="720"/>
        <w:jc w:val="both"/>
        <w:rPr>
          <w:rFonts w:ascii="Arial" w:hAnsi="Arial" w:cs="Arial"/>
          <w:i w:val="0"/>
          <w:color w:val="auto"/>
          <w:sz w:val="20"/>
          <w:szCs w:val="20"/>
        </w:rPr>
      </w:pPr>
      <w:r w:rsidRPr="00526244">
        <w:rPr>
          <w:rFonts w:ascii="Arial" w:hAnsi="Arial" w:cs="Arial"/>
          <w:i w:val="0"/>
          <w:color w:val="auto"/>
          <w:sz w:val="20"/>
          <w:szCs w:val="20"/>
        </w:rPr>
        <w:t>Composite soil samples representing red sandy loam (</w:t>
      </w:r>
      <w:proofErr w:type="spellStart"/>
      <w:r w:rsidRPr="00526244">
        <w:rPr>
          <w:rFonts w:ascii="Arial" w:hAnsi="Arial" w:cs="Arial"/>
          <w:i w:val="0"/>
          <w:color w:val="auto"/>
          <w:sz w:val="20"/>
          <w:szCs w:val="20"/>
        </w:rPr>
        <w:t>Alfisol</w:t>
      </w:r>
      <w:proofErr w:type="spellEnd"/>
      <w:r w:rsidRPr="00526244">
        <w:rPr>
          <w:rFonts w:ascii="Arial" w:hAnsi="Arial" w:cs="Arial"/>
          <w:i w:val="0"/>
          <w:color w:val="auto"/>
          <w:sz w:val="20"/>
          <w:szCs w:val="20"/>
        </w:rPr>
        <w:t>) and black soil (</w:t>
      </w:r>
      <w:proofErr w:type="spellStart"/>
      <w:r w:rsidRPr="00526244">
        <w:rPr>
          <w:rFonts w:ascii="Arial" w:hAnsi="Arial" w:cs="Arial"/>
          <w:i w:val="0"/>
          <w:color w:val="auto"/>
          <w:sz w:val="20"/>
          <w:szCs w:val="20"/>
        </w:rPr>
        <w:t>Vertisol</w:t>
      </w:r>
      <w:proofErr w:type="spellEnd"/>
      <w:r w:rsidRPr="00526244">
        <w:rPr>
          <w:rFonts w:ascii="Arial" w:hAnsi="Arial" w:cs="Arial"/>
          <w:i w:val="0"/>
          <w:color w:val="auto"/>
          <w:sz w:val="20"/>
          <w:szCs w:val="20"/>
        </w:rPr>
        <w:t xml:space="preserve">) were collected from maize-growing fields in Telangana, India. After collection, the soils were air-dried in shade, lightly crushed, and passed through a 2 mm sieve before further analysis. Soil pH and electrical conductivity (EC) were measured in a 1:2.5 soil-to-water suspension using a digital pH meter and conductivity bridge. Organic carbon content was determined by the Walkley and Black, 1934 wet oxidation method. The cation exchange capacity (CEC) was estimated according to Richards </w:t>
      </w:r>
      <w:r w:rsidRPr="00526244">
        <w:rPr>
          <w:rFonts w:ascii="Arial" w:hAnsi="Arial" w:cs="Arial"/>
          <w:iCs w:val="0"/>
          <w:color w:val="auto"/>
          <w:sz w:val="20"/>
          <w:szCs w:val="20"/>
        </w:rPr>
        <w:t>et al.,</w:t>
      </w:r>
      <w:r w:rsidRPr="00526244">
        <w:rPr>
          <w:rFonts w:ascii="Arial" w:hAnsi="Arial" w:cs="Arial"/>
          <w:i w:val="0"/>
          <w:color w:val="auto"/>
          <w:sz w:val="20"/>
          <w:szCs w:val="20"/>
        </w:rPr>
        <w:t xml:space="preserve"> 1954.</w:t>
      </w:r>
    </w:p>
    <w:p w14:paraId="63582423"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Dissipation studies</w:t>
      </w:r>
    </w:p>
    <w:p w14:paraId="476F3ED6" w14:textId="77777777" w:rsidR="00526244" w:rsidRPr="00526244" w:rsidRDefault="00526244" w:rsidP="00526244">
      <w:pPr>
        <w:pStyle w:val="NormalWeb"/>
        <w:ind w:firstLine="720"/>
        <w:jc w:val="both"/>
        <w:rPr>
          <w:rFonts w:ascii="Arial" w:hAnsi="Arial" w:cs="Arial"/>
          <w:sz w:val="20"/>
          <w:szCs w:val="20"/>
        </w:rPr>
      </w:pPr>
      <w:r w:rsidRPr="00526244">
        <w:rPr>
          <w:rFonts w:ascii="Arial" w:hAnsi="Arial" w:cs="Arial"/>
          <w:sz w:val="20"/>
          <w:szCs w:val="20"/>
        </w:rPr>
        <w:t>The dissipation behaviour of topramezone in soil was studied under controlled laboratory conditions simulating tropical field temperature. Air-dried, sieved soil (2 mm) was treated uniformly with analytical-grade topramezone to achieve an initial concentration equivalent to recommended field application rates (approximately 0.2 mg kg</w:t>
      </w:r>
      <w:r w:rsidRPr="00526244">
        <w:rPr>
          <w:rFonts w:ascii="Cambria Math" w:hAnsi="Cambria Math" w:cs="Cambria Math"/>
          <w:sz w:val="20"/>
          <w:szCs w:val="20"/>
        </w:rPr>
        <w:t>⁻</w:t>
      </w:r>
      <w:r w:rsidRPr="00526244">
        <w:rPr>
          <w:rFonts w:ascii="Arial" w:hAnsi="Arial" w:cs="Arial"/>
          <w:sz w:val="20"/>
          <w:szCs w:val="20"/>
        </w:rPr>
        <w:t xml:space="preserve">¹ soil). The herbicide was applied in methanol solution, mixed thoroughly to ensure homogeneous distribution, and the solvent was allowed to evaporate under ambient conditions before incubation. The samples were sealed in polythene bags to minimise moisture loss and incubated at </w:t>
      </w:r>
      <w:r w:rsidRPr="00526244">
        <w:rPr>
          <w:rStyle w:val="Strong"/>
          <w:rFonts w:ascii="Arial" w:eastAsiaTheme="majorEastAsia" w:hAnsi="Arial" w:cs="Arial"/>
          <w:sz w:val="20"/>
          <w:szCs w:val="20"/>
        </w:rPr>
        <w:t>27 ± 0.2 °C</w:t>
      </w:r>
      <w:r w:rsidRPr="00526244">
        <w:rPr>
          <w:rFonts w:ascii="Arial" w:hAnsi="Arial" w:cs="Arial"/>
          <w:b/>
          <w:sz w:val="20"/>
          <w:szCs w:val="20"/>
        </w:rPr>
        <w:t>.</w:t>
      </w:r>
      <w:r w:rsidRPr="00526244">
        <w:rPr>
          <w:rFonts w:ascii="Arial" w:hAnsi="Arial" w:cs="Arial"/>
          <w:sz w:val="20"/>
          <w:szCs w:val="20"/>
        </w:rPr>
        <w:t xml:space="preserve"> Duplicate control samples without herbicide were maintained under identical conditions. Soil subsamples were collected at 0, 7, 15, 30, 45, 60, 90, and 120 days after treatment for residue analysis.</w:t>
      </w:r>
    </w:p>
    <w:p w14:paraId="11CA75B5" w14:textId="77777777" w:rsidR="00526244" w:rsidRPr="00526244" w:rsidRDefault="00526244" w:rsidP="00526244">
      <w:pPr>
        <w:pStyle w:val="NormalWeb"/>
        <w:ind w:firstLine="720"/>
        <w:jc w:val="both"/>
        <w:rPr>
          <w:rFonts w:ascii="Arial" w:hAnsi="Arial" w:cs="Arial"/>
          <w:sz w:val="20"/>
          <w:szCs w:val="20"/>
        </w:rPr>
      </w:pPr>
      <w:r w:rsidRPr="00526244">
        <w:rPr>
          <w:rFonts w:ascii="Arial" w:hAnsi="Arial" w:cs="Arial"/>
          <w:sz w:val="20"/>
          <w:szCs w:val="20"/>
        </w:rPr>
        <w:t xml:space="preserve">Residues were extracted using a </w:t>
      </w:r>
      <w:r w:rsidRPr="00526244">
        <w:rPr>
          <w:rStyle w:val="Strong"/>
          <w:rFonts w:ascii="Arial" w:eastAsiaTheme="majorEastAsia" w:hAnsi="Arial" w:cs="Arial"/>
          <w:sz w:val="20"/>
          <w:szCs w:val="20"/>
        </w:rPr>
        <w:t>methanol: water (80: 20, v/v)</w:t>
      </w:r>
      <w:r w:rsidRPr="00526244">
        <w:rPr>
          <w:rFonts w:ascii="Arial" w:hAnsi="Arial" w:cs="Arial"/>
          <w:sz w:val="20"/>
          <w:szCs w:val="20"/>
        </w:rPr>
        <w:t xml:space="preserve"> mixture acidified to pH 2.5 with 0.1 % H</w:t>
      </w:r>
      <w:r w:rsidRPr="00526244">
        <w:rPr>
          <w:rFonts w:ascii="Cambria Math" w:hAnsi="Cambria Math" w:cs="Cambria Math"/>
          <w:sz w:val="20"/>
          <w:szCs w:val="20"/>
        </w:rPr>
        <w:t>₃</w:t>
      </w:r>
      <w:r w:rsidRPr="00526244">
        <w:rPr>
          <w:rFonts w:ascii="Arial" w:hAnsi="Arial" w:cs="Arial"/>
          <w:sz w:val="20"/>
          <w:szCs w:val="20"/>
        </w:rPr>
        <w:t>PO</w:t>
      </w:r>
      <w:r w:rsidRPr="00526244">
        <w:rPr>
          <w:rFonts w:ascii="Cambria Math" w:hAnsi="Cambria Math" w:cs="Cambria Math"/>
          <w:sz w:val="20"/>
          <w:szCs w:val="20"/>
        </w:rPr>
        <w:t>₄</w:t>
      </w:r>
      <w:r w:rsidRPr="00526244">
        <w:rPr>
          <w:rFonts w:ascii="Arial" w:hAnsi="Arial" w:cs="Arial"/>
          <w:sz w:val="20"/>
          <w:szCs w:val="20"/>
        </w:rPr>
        <w:t xml:space="preserve">, shaken for 30 min, centrifuged, and the supernatant cleaned using </w:t>
      </w:r>
      <w:r w:rsidRPr="00526244">
        <w:rPr>
          <w:rStyle w:val="Strong"/>
          <w:rFonts w:ascii="Arial" w:eastAsiaTheme="majorEastAsia" w:hAnsi="Arial" w:cs="Arial"/>
          <w:sz w:val="20"/>
          <w:szCs w:val="20"/>
        </w:rPr>
        <w:t>C</w:t>
      </w:r>
      <w:r w:rsidRPr="00526244">
        <w:rPr>
          <w:rStyle w:val="Strong"/>
          <w:rFonts w:ascii="Arial" w:eastAsiaTheme="majorEastAsia" w:hAnsi="Arial" w:cs="Arial"/>
          <w:sz w:val="20"/>
          <w:szCs w:val="20"/>
          <w:vertAlign w:val="subscript"/>
        </w:rPr>
        <w:t>18</w:t>
      </w:r>
      <w:r w:rsidRPr="00526244">
        <w:rPr>
          <w:rStyle w:val="Strong"/>
          <w:rFonts w:ascii="Arial" w:eastAsiaTheme="majorEastAsia" w:hAnsi="Arial" w:cs="Arial"/>
          <w:sz w:val="20"/>
          <w:szCs w:val="20"/>
        </w:rPr>
        <w:t xml:space="preserve"> solid-phase extraction (SPE)</w:t>
      </w:r>
      <w:r w:rsidRPr="00526244">
        <w:rPr>
          <w:rFonts w:ascii="Arial" w:hAnsi="Arial" w:cs="Arial"/>
          <w:sz w:val="20"/>
          <w:szCs w:val="20"/>
        </w:rPr>
        <w:t xml:space="preserve"> cartridges preconditioned with methanol and water. The eluate was concentrated to dryness under nitrogen and reconstituted in the HPLC mobile phase prior to quantification. The HPLC-UV conditions were identical to those described above. The </w:t>
      </w:r>
      <w:r w:rsidRPr="00526244">
        <w:rPr>
          <w:rStyle w:val="Strong"/>
          <w:rFonts w:ascii="Arial" w:eastAsiaTheme="majorEastAsia" w:hAnsi="Arial" w:cs="Arial"/>
          <w:sz w:val="20"/>
          <w:szCs w:val="20"/>
        </w:rPr>
        <w:t>limit of detection (LOD)</w:t>
      </w:r>
      <w:r w:rsidRPr="00526244">
        <w:rPr>
          <w:rFonts w:ascii="Arial" w:hAnsi="Arial" w:cs="Arial"/>
          <w:b/>
          <w:sz w:val="20"/>
          <w:szCs w:val="20"/>
        </w:rPr>
        <w:t xml:space="preserve"> </w:t>
      </w:r>
      <w:r w:rsidRPr="00526244">
        <w:rPr>
          <w:rFonts w:ascii="Arial" w:hAnsi="Arial" w:cs="Arial"/>
          <w:sz w:val="20"/>
          <w:szCs w:val="20"/>
        </w:rPr>
        <w:t>and</w:t>
      </w:r>
      <w:r w:rsidRPr="00526244">
        <w:rPr>
          <w:rFonts w:ascii="Arial" w:hAnsi="Arial" w:cs="Arial"/>
          <w:b/>
          <w:sz w:val="20"/>
          <w:szCs w:val="20"/>
        </w:rPr>
        <w:t xml:space="preserve"> </w:t>
      </w:r>
      <w:r w:rsidRPr="00526244">
        <w:rPr>
          <w:rStyle w:val="Strong"/>
          <w:rFonts w:ascii="Arial" w:eastAsiaTheme="majorEastAsia" w:hAnsi="Arial" w:cs="Arial"/>
          <w:sz w:val="20"/>
          <w:szCs w:val="20"/>
        </w:rPr>
        <w:t>limit of quantification (LOQ)</w:t>
      </w:r>
      <w:r w:rsidRPr="00526244">
        <w:rPr>
          <w:rFonts w:ascii="Arial" w:hAnsi="Arial" w:cs="Arial"/>
          <w:b/>
          <w:sz w:val="20"/>
          <w:szCs w:val="20"/>
        </w:rPr>
        <w:t xml:space="preserve"> </w:t>
      </w:r>
      <w:r w:rsidRPr="00526244">
        <w:rPr>
          <w:rFonts w:ascii="Arial" w:hAnsi="Arial" w:cs="Arial"/>
          <w:sz w:val="20"/>
          <w:szCs w:val="20"/>
        </w:rPr>
        <w:t>were 0.007 mg kg</w:t>
      </w:r>
      <w:r w:rsidRPr="00526244">
        <w:rPr>
          <w:rFonts w:ascii="Cambria Math" w:hAnsi="Cambria Math" w:cs="Cambria Math"/>
          <w:sz w:val="20"/>
          <w:szCs w:val="20"/>
        </w:rPr>
        <w:t>⁻</w:t>
      </w:r>
      <w:r w:rsidRPr="00526244">
        <w:rPr>
          <w:rFonts w:ascii="Arial" w:hAnsi="Arial" w:cs="Arial"/>
          <w:sz w:val="20"/>
          <w:szCs w:val="20"/>
        </w:rPr>
        <w:t>¹ and 0.020 mg kg</w:t>
      </w:r>
      <w:r w:rsidRPr="00526244">
        <w:rPr>
          <w:rFonts w:ascii="Cambria Math" w:hAnsi="Cambria Math" w:cs="Cambria Math"/>
          <w:sz w:val="20"/>
          <w:szCs w:val="20"/>
        </w:rPr>
        <w:t>⁻</w:t>
      </w:r>
      <w:r w:rsidRPr="00526244">
        <w:rPr>
          <w:rFonts w:ascii="Arial" w:hAnsi="Arial" w:cs="Arial"/>
          <w:sz w:val="20"/>
          <w:szCs w:val="20"/>
        </w:rPr>
        <w:t xml:space="preserve">¹, respectively, and mean recoveries ranged from </w:t>
      </w:r>
      <w:r w:rsidRPr="00526244">
        <w:rPr>
          <w:rStyle w:val="Strong"/>
          <w:rFonts w:ascii="Arial" w:eastAsiaTheme="majorEastAsia" w:hAnsi="Arial" w:cs="Arial"/>
          <w:sz w:val="20"/>
          <w:szCs w:val="20"/>
        </w:rPr>
        <w:t>84.8 % to 91.2 %</w:t>
      </w:r>
      <w:r w:rsidRPr="00526244">
        <w:rPr>
          <w:rFonts w:ascii="Arial" w:hAnsi="Arial" w:cs="Arial"/>
          <w:sz w:val="20"/>
          <w:szCs w:val="20"/>
        </w:rPr>
        <w:t xml:space="preserve"> across both soils, confirming method reliability.</w:t>
      </w:r>
    </w:p>
    <w:p w14:paraId="1F124BB1" w14:textId="77777777" w:rsidR="00526244" w:rsidRPr="00526244" w:rsidRDefault="00526244" w:rsidP="00526244">
      <w:pPr>
        <w:pStyle w:val="Heading4"/>
        <w:spacing w:line="240" w:lineRule="auto"/>
        <w:rPr>
          <w:rFonts w:ascii="Arial" w:hAnsi="Arial" w:cs="Arial"/>
          <w:b/>
          <w:i w:val="0"/>
          <w:iCs w:val="0"/>
          <w:color w:val="auto"/>
          <w:sz w:val="20"/>
          <w:szCs w:val="20"/>
        </w:rPr>
      </w:pPr>
      <w:r w:rsidRPr="00526244">
        <w:rPr>
          <w:rFonts w:ascii="Arial" w:hAnsi="Arial" w:cs="Arial"/>
          <w:b/>
          <w:i w:val="0"/>
          <w:iCs w:val="0"/>
          <w:color w:val="auto"/>
          <w:sz w:val="20"/>
          <w:szCs w:val="20"/>
        </w:rPr>
        <w:t>Kinetic analysis</w:t>
      </w:r>
    </w:p>
    <w:p w14:paraId="1BEE7BDA" w14:textId="77777777" w:rsidR="00526244" w:rsidRPr="00526244" w:rsidRDefault="00526244" w:rsidP="00526244">
      <w:pPr>
        <w:pStyle w:val="NormalWeb"/>
        <w:rPr>
          <w:rFonts w:ascii="Arial" w:hAnsi="Arial" w:cs="Arial"/>
          <w:b/>
          <w:sz w:val="20"/>
          <w:szCs w:val="20"/>
        </w:rPr>
      </w:pPr>
      <w:r w:rsidRPr="00526244">
        <w:rPr>
          <w:rFonts w:ascii="Arial" w:hAnsi="Arial" w:cs="Arial"/>
          <w:sz w:val="20"/>
          <w:szCs w:val="20"/>
        </w:rPr>
        <w:t xml:space="preserve">The dissipation kinetics of topramezone were analysed assuming a </w:t>
      </w:r>
      <w:r w:rsidRPr="00526244">
        <w:rPr>
          <w:rStyle w:val="Strong"/>
          <w:rFonts w:ascii="Arial" w:eastAsiaTheme="majorEastAsia" w:hAnsi="Arial" w:cs="Arial"/>
          <w:sz w:val="20"/>
          <w:szCs w:val="20"/>
        </w:rPr>
        <w:t>first-order rate equation</w:t>
      </w:r>
      <w:r w:rsidRPr="00526244">
        <w:rPr>
          <w:rFonts w:ascii="Arial" w:hAnsi="Arial" w:cs="Arial"/>
          <w:b/>
          <w:sz w:val="20"/>
          <w:szCs w:val="20"/>
        </w:rPr>
        <w:t>:</w:t>
      </w:r>
    </w:p>
    <w:p w14:paraId="271216AA" w14:textId="77777777" w:rsidR="00526244" w:rsidRPr="00526244" w:rsidRDefault="00526244" w:rsidP="00526244">
      <w:pPr>
        <w:jc w:val="center"/>
        <w:rPr>
          <w:rFonts w:ascii="Arial" w:hAnsi="Arial" w:cs="Arial"/>
          <w:i/>
        </w:rPr>
      </w:pPr>
      <w:r w:rsidRPr="00526244">
        <w:rPr>
          <w:rStyle w:val="katex-mathml"/>
          <w:rFonts w:ascii="Arial" w:hAnsi="Arial" w:cs="Arial"/>
          <w:i/>
        </w:rPr>
        <w:t>C</w:t>
      </w:r>
      <w:r w:rsidRPr="00526244">
        <w:rPr>
          <w:rStyle w:val="katex-mathml"/>
          <w:rFonts w:ascii="Arial" w:hAnsi="Arial" w:cs="Arial"/>
          <w:i/>
          <w:vertAlign w:val="subscript"/>
        </w:rPr>
        <w:t>t</w:t>
      </w:r>
      <w:r w:rsidRPr="00526244">
        <w:rPr>
          <w:rStyle w:val="katex-mathml"/>
          <w:rFonts w:ascii="Arial" w:hAnsi="Arial" w:cs="Arial"/>
          <w:i/>
        </w:rPr>
        <w:t>=C</w:t>
      </w:r>
      <w:proofErr w:type="gramStart"/>
      <w:r w:rsidRPr="00526244">
        <w:rPr>
          <w:rStyle w:val="katex-mathml"/>
          <w:rFonts w:ascii="Arial" w:hAnsi="Arial" w:cs="Arial"/>
          <w:i/>
          <w:vertAlign w:val="subscript"/>
        </w:rPr>
        <w:t>0 .</w:t>
      </w:r>
      <w:proofErr w:type="gramEnd"/>
      <w:r w:rsidRPr="00526244">
        <w:rPr>
          <w:rStyle w:val="katex-mathml"/>
          <w:rFonts w:ascii="Arial" w:hAnsi="Arial" w:cs="Arial"/>
          <w:i/>
          <w:vertAlign w:val="subscript"/>
        </w:rPr>
        <w:t xml:space="preserve"> </w:t>
      </w:r>
      <w:r w:rsidRPr="00526244">
        <w:rPr>
          <w:rStyle w:val="katex-mathml"/>
          <w:rFonts w:ascii="Arial" w:hAnsi="Arial" w:cs="Arial"/>
          <w:i/>
        </w:rPr>
        <w:t>e</w:t>
      </w:r>
      <w:r w:rsidRPr="00526244">
        <w:rPr>
          <w:rStyle w:val="katex-mathml"/>
          <w:rFonts w:ascii="Arial" w:hAnsi="Arial" w:cs="Arial"/>
          <w:i/>
          <w:vertAlign w:val="superscript"/>
        </w:rPr>
        <w:t>−kt</w:t>
      </w:r>
    </w:p>
    <w:p w14:paraId="7BFC41A2" w14:textId="77777777" w:rsidR="00526244" w:rsidRPr="00526244" w:rsidRDefault="00526244" w:rsidP="00526244">
      <w:pPr>
        <w:pStyle w:val="NormalWeb"/>
        <w:rPr>
          <w:rFonts w:ascii="Arial" w:hAnsi="Arial" w:cs="Arial"/>
          <w:sz w:val="20"/>
          <w:szCs w:val="20"/>
        </w:rPr>
      </w:pPr>
      <w:r w:rsidRPr="00526244">
        <w:rPr>
          <w:rFonts w:ascii="Arial" w:hAnsi="Arial" w:cs="Arial"/>
          <w:sz w:val="20"/>
          <w:szCs w:val="20"/>
        </w:rPr>
        <w:t xml:space="preserve">where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₀</w:t>
      </w:r>
      <w:r w:rsidRPr="00526244">
        <w:rPr>
          <w:rFonts w:ascii="Arial" w:hAnsi="Arial" w:cs="Arial"/>
          <w:sz w:val="20"/>
          <w:szCs w:val="20"/>
        </w:rPr>
        <w:t xml:space="preserve"> and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ₜ</w:t>
      </w:r>
      <w:r w:rsidRPr="00526244">
        <w:rPr>
          <w:rFonts w:ascii="Arial" w:hAnsi="Arial" w:cs="Arial"/>
          <w:sz w:val="20"/>
          <w:szCs w:val="20"/>
        </w:rPr>
        <w:t xml:space="preserve"> are the initial and residual concentrations (mg kg</w:t>
      </w:r>
      <w:r w:rsidRPr="00526244">
        <w:rPr>
          <w:rFonts w:ascii="Cambria Math" w:hAnsi="Cambria Math" w:cs="Cambria Math"/>
          <w:sz w:val="20"/>
          <w:szCs w:val="20"/>
        </w:rPr>
        <w:t>⁻</w:t>
      </w:r>
      <w:r w:rsidRPr="00526244">
        <w:rPr>
          <w:rFonts w:ascii="Arial" w:hAnsi="Arial" w:cs="Arial"/>
          <w:sz w:val="20"/>
          <w:szCs w:val="20"/>
        </w:rPr>
        <w:t xml:space="preserve">¹) at time </w:t>
      </w:r>
      <w:r w:rsidRPr="00526244">
        <w:rPr>
          <w:rStyle w:val="Emphasis"/>
          <w:rFonts w:ascii="Arial" w:eastAsiaTheme="majorEastAsia" w:hAnsi="Arial" w:cs="Arial"/>
          <w:sz w:val="20"/>
          <w:szCs w:val="20"/>
        </w:rPr>
        <w:t>t</w:t>
      </w:r>
      <w:r w:rsidRPr="00526244">
        <w:rPr>
          <w:rFonts w:ascii="Arial" w:hAnsi="Arial" w:cs="Arial"/>
          <w:sz w:val="20"/>
          <w:szCs w:val="20"/>
        </w:rPr>
        <w:t xml:space="preserve"> (days), and </w:t>
      </w:r>
      <w:r w:rsidRPr="00526244">
        <w:rPr>
          <w:rStyle w:val="Emphasis"/>
          <w:rFonts w:ascii="Arial" w:eastAsiaTheme="majorEastAsia" w:hAnsi="Arial" w:cs="Arial"/>
          <w:sz w:val="20"/>
          <w:szCs w:val="20"/>
        </w:rPr>
        <w:t>k</w:t>
      </w:r>
      <w:r w:rsidRPr="00526244">
        <w:rPr>
          <w:rFonts w:ascii="Arial" w:hAnsi="Arial" w:cs="Arial"/>
          <w:sz w:val="20"/>
          <w:szCs w:val="20"/>
        </w:rPr>
        <w:t xml:space="preserve"> is the first-order rate constant (day</w:t>
      </w:r>
      <w:r w:rsidRPr="00526244">
        <w:rPr>
          <w:rFonts w:ascii="Cambria Math" w:hAnsi="Cambria Math" w:cs="Cambria Math"/>
          <w:sz w:val="20"/>
          <w:szCs w:val="20"/>
        </w:rPr>
        <w:t>⁻</w:t>
      </w:r>
      <w:r w:rsidRPr="00526244">
        <w:rPr>
          <w:rFonts w:ascii="Arial" w:hAnsi="Arial" w:cs="Arial"/>
          <w:sz w:val="20"/>
          <w:szCs w:val="20"/>
        </w:rPr>
        <w:t>¹). The equation was linearized as</w:t>
      </w:r>
    </w:p>
    <w:p w14:paraId="176EE7CE" w14:textId="77777777" w:rsidR="00526244" w:rsidRPr="00526244" w:rsidRDefault="00526244" w:rsidP="00526244">
      <w:pPr>
        <w:jc w:val="center"/>
        <w:rPr>
          <w:rFonts w:ascii="Arial" w:hAnsi="Arial" w:cs="Arial"/>
        </w:rPr>
      </w:pPr>
      <w:r w:rsidRPr="00526244">
        <w:rPr>
          <w:rStyle w:val="katex-mathml"/>
          <w:rFonts w:ascii="Arial" w:hAnsi="Arial" w:cs="Arial"/>
        </w:rPr>
        <w:t xml:space="preserve">log </w:t>
      </w:r>
      <w:r w:rsidRPr="00526244">
        <w:rPr>
          <w:rStyle w:val="katex-mathml"/>
          <w:rFonts w:ascii="Arial" w:hAnsi="Arial" w:cs="Arial"/>
          <w:i/>
        </w:rPr>
        <w:t>C</w:t>
      </w:r>
      <w:r w:rsidRPr="00526244">
        <w:rPr>
          <w:rStyle w:val="katex-mathml"/>
          <w:rFonts w:ascii="Arial" w:hAnsi="Arial" w:cs="Arial"/>
          <w:i/>
          <w:vertAlign w:val="subscript"/>
        </w:rPr>
        <w:t>t</w:t>
      </w:r>
      <w:r w:rsidRPr="00526244">
        <w:rPr>
          <w:rStyle w:val="katex-mathml"/>
          <w:rFonts w:ascii="Arial" w:hAnsi="Arial" w:cs="Arial"/>
        </w:rPr>
        <w:t xml:space="preserve"> = log </w:t>
      </w:r>
      <w:r w:rsidRPr="00526244">
        <w:rPr>
          <w:rStyle w:val="katex-mathml"/>
          <w:rFonts w:ascii="Arial" w:hAnsi="Arial" w:cs="Arial"/>
          <w:i/>
        </w:rPr>
        <w:t>C</w:t>
      </w:r>
      <w:r w:rsidRPr="00526244">
        <w:rPr>
          <w:rStyle w:val="katex-mathml"/>
          <w:rFonts w:ascii="Arial" w:hAnsi="Arial" w:cs="Arial"/>
          <w:i/>
          <w:vertAlign w:val="subscript"/>
        </w:rPr>
        <w:t xml:space="preserve">0 </w:t>
      </w:r>
      <w:r w:rsidRPr="00526244">
        <w:rPr>
          <w:rStyle w:val="katex-mathml"/>
          <w:rFonts w:ascii="Arial" w:hAnsi="Arial" w:cs="Arial"/>
        </w:rPr>
        <w:t>− (</w:t>
      </w:r>
      <w:r w:rsidRPr="00526244">
        <w:rPr>
          <w:rStyle w:val="katex-mathml"/>
          <w:rFonts w:ascii="Arial" w:hAnsi="Arial" w:cs="Arial"/>
          <w:i/>
        </w:rPr>
        <w:t>k</w:t>
      </w:r>
      <w:r w:rsidRPr="00526244">
        <w:rPr>
          <w:rStyle w:val="katex-mathml"/>
          <w:rFonts w:ascii="Arial" w:hAnsi="Arial" w:cs="Arial"/>
          <w:i/>
          <w:vertAlign w:val="subscript"/>
        </w:rPr>
        <w:t>t</w:t>
      </w:r>
      <w:r w:rsidRPr="00526244">
        <w:rPr>
          <w:rStyle w:val="katex-mathml"/>
          <w:rFonts w:ascii="Arial" w:hAnsi="Arial" w:cs="Arial"/>
          <w:i/>
        </w:rPr>
        <w:t xml:space="preserve"> /2</w:t>
      </w:r>
      <w:r w:rsidRPr="00526244">
        <w:rPr>
          <w:rStyle w:val="katex-mathml"/>
          <w:rFonts w:ascii="Arial" w:hAnsi="Arial" w:cs="Arial"/>
        </w:rPr>
        <w:t>.</w:t>
      </w:r>
      <w:proofErr w:type="gramStart"/>
      <w:r w:rsidRPr="00526244">
        <w:rPr>
          <w:rStyle w:val="katex-mathml"/>
          <w:rFonts w:ascii="Arial" w:hAnsi="Arial" w:cs="Arial"/>
        </w:rPr>
        <w:t>303)</w:t>
      </w:r>
      <w:r w:rsidRPr="00526244">
        <w:rPr>
          <w:rStyle w:val="vlist-s"/>
          <w:rFonts w:ascii="Arial" w:hAnsi="Arial" w:cs="Arial"/>
        </w:rPr>
        <w:t>​</w:t>
      </w:r>
      <w:proofErr w:type="gramEnd"/>
    </w:p>
    <w:p w14:paraId="18122186" w14:textId="07CB7CCB" w:rsidR="00526244" w:rsidRDefault="00526244" w:rsidP="00BF7AB2">
      <w:pPr>
        <w:pStyle w:val="NormalWeb"/>
        <w:spacing w:before="0" w:beforeAutospacing="0" w:after="0" w:afterAutospacing="0"/>
        <w:jc w:val="both"/>
        <w:rPr>
          <w:rFonts w:ascii="Arial" w:hAnsi="Arial" w:cs="Arial"/>
          <w:sz w:val="20"/>
          <w:szCs w:val="20"/>
        </w:rPr>
      </w:pPr>
      <w:r w:rsidRPr="00526244">
        <w:rPr>
          <w:rFonts w:ascii="Arial" w:hAnsi="Arial" w:cs="Arial"/>
          <w:sz w:val="20"/>
          <w:szCs w:val="20"/>
        </w:rPr>
        <w:t xml:space="preserve">and regression analysis of log </w:t>
      </w:r>
      <w:r w:rsidRPr="00526244">
        <w:rPr>
          <w:rStyle w:val="Emphasis"/>
          <w:rFonts w:ascii="Arial" w:eastAsiaTheme="majorEastAsia" w:hAnsi="Arial" w:cs="Arial"/>
          <w:sz w:val="20"/>
          <w:szCs w:val="20"/>
        </w:rPr>
        <w:t>C</w:t>
      </w:r>
      <w:r w:rsidRPr="00526244">
        <w:rPr>
          <w:rStyle w:val="Emphasis"/>
          <w:rFonts w:ascii="Cambria Math" w:eastAsiaTheme="majorEastAsia" w:hAnsi="Cambria Math" w:cs="Cambria Math"/>
          <w:sz w:val="20"/>
          <w:szCs w:val="20"/>
        </w:rPr>
        <w:t>ₜ</w:t>
      </w:r>
      <w:r w:rsidRPr="00526244">
        <w:rPr>
          <w:rFonts w:ascii="Arial" w:hAnsi="Arial" w:cs="Arial"/>
          <w:sz w:val="20"/>
          <w:szCs w:val="20"/>
        </w:rPr>
        <w:t xml:space="preserve"> versus </w:t>
      </w:r>
      <w:r w:rsidRPr="00526244">
        <w:rPr>
          <w:rStyle w:val="Emphasis"/>
          <w:rFonts w:ascii="Arial" w:eastAsiaTheme="majorEastAsia" w:hAnsi="Arial" w:cs="Arial"/>
          <w:sz w:val="20"/>
          <w:szCs w:val="20"/>
        </w:rPr>
        <w:t>t</w:t>
      </w:r>
      <w:r w:rsidRPr="00526244">
        <w:rPr>
          <w:rFonts w:ascii="Arial" w:hAnsi="Arial" w:cs="Arial"/>
          <w:sz w:val="20"/>
          <w:szCs w:val="20"/>
        </w:rPr>
        <w:t xml:space="preserve"> was used to derive </w:t>
      </w:r>
      <w:r w:rsidRPr="00526244">
        <w:rPr>
          <w:rStyle w:val="Emphasis"/>
          <w:rFonts w:ascii="Arial" w:eastAsiaTheme="majorEastAsia" w:hAnsi="Arial" w:cs="Arial"/>
          <w:sz w:val="20"/>
          <w:szCs w:val="20"/>
        </w:rPr>
        <w:t>k</w:t>
      </w:r>
      <w:r w:rsidRPr="00526244">
        <w:rPr>
          <w:rFonts w:ascii="Arial" w:hAnsi="Arial" w:cs="Arial"/>
          <w:sz w:val="20"/>
          <w:szCs w:val="20"/>
        </w:rPr>
        <w:t xml:space="preserve"> and the </w:t>
      </w:r>
      <w:r w:rsidRPr="00526244">
        <w:rPr>
          <w:rStyle w:val="Strong"/>
          <w:rFonts w:ascii="Arial" w:eastAsiaTheme="majorEastAsia" w:hAnsi="Arial" w:cs="Arial"/>
          <w:sz w:val="20"/>
          <w:szCs w:val="20"/>
        </w:rPr>
        <w:t>half-life (DT</w:t>
      </w:r>
      <w:r w:rsidRPr="00526244">
        <w:rPr>
          <w:rStyle w:val="Strong"/>
          <w:rFonts w:ascii="Cambria Math" w:eastAsiaTheme="majorEastAsia" w:hAnsi="Cambria Math" w:cs="Cambria Math"/>
          <w:sz w:val="20"/>
          <w:szCs w:val="20"/>
        </w:rPr>
        <w:t>₅₀</w:t>
      </w:r>
      <w:r w:rsidRPr="00526244">
        <w:rPr>
          <w:rStyle w:val="Strong"/>
          <w:rFonts w:ascii="Arial" w:eastAsiaTheme="majorEastAsia" w:hAnsi="Arial" w:cs="Arial"/>
          <w:sz w:val="20"/>
          <w:szCs w:val="20"/>
        </w:rPr>
        <w:t xml:space="preserve"> = 0.693 / k)</w:t>
      </w:r>
      <w:r w:rsidRPr="00526244">
        <w:rPr>
          <w:rFonts w:ascii="Arial" w:hAnsi="Arial" w:cs="Arial"/>
          <w:b/>
          <w:sz w:val="20"/>
          <w:szCs w:val="20"/>
        </w:rPr>
        <w:t>.</w:t>
      </w:r>
      <w:r w:rsidRPr="00526244">
        <w:rPr>
          <w:rFonts w:ascii="Arial" w:hAnsi="Arial" w:cs="Arial"/>
          <w:sz w:val="20"/>
          <w:szCs w:val="20"/>
        </w:rPr>
        <w:t xml:space="preserve"> The coefficient of determination (</w:t>
      </w:r>
      <w:r w:rsidRPr="00526244">
        <w:rPr>
          <w:rStyle w:val="Emphasis"/>
          <w:rFonts w:ascii="Arial" w:eastAsiaTheme="majorEastAsia" w:hAnsi="Arial" w:cs="Arial"/>
          <w:sz w:val="20"/>
          <w:szCs w:val="20"/>
        </w:rPr>
        <w:t>R²</w:t>
      </w:r>
      <w:r w:rsidRPr="00526244">
        <w:rPr>
          <w:rFonts w:ascii="Arial" w:hAnsi="Arial" w:cs="Arial"/>
          <w:sz w:val="20"/>
          <w:szCs w:val="20"/>
        </w:rPr>
        <w:t xml:space="preserve">) was used to assess model fit, and only regressions with </w:t>
      </w:r>
      <w:r w:rsidRPr="00526244">
        <w:rPr>
          <w:rStyle w:val="Emphasis"/>
          <w:rFonts w:ascii="Arial" w:eastAsiaTheme="majorEastAsia" w:hAnsi="Arial" w:cs="Arial"/>
          <w:sz w:val="20"/>
          <w:szCs w:val="20"/>
        </w:rPr>
        <w:t>R² &gt; 0.90</w:t>
      </w:r>
      <w:r w:rsidRPr="00526244">
        <w:rPr>
          <w:rFonts w:ascii="Arial" w:hAnsi="Arial" w:cs="Arial"/>
          <w:sz w:val="20"/>
          <w:szCs w:val="20"/>
        </w:rPr>
        <w:t xml:space="preserve"> were accepted. Comparative evaluation of dissipation constants across soil types provided insights into the influence of soil texture, organic matter, and aeration on the degradation of topramezone.</w:t>
      </w:r>
    </w:p>
    <w:p w14:paraId="366DBAC9" w14:textId="77777777" w:rsidR="00BF7AB2" w:rsidRPr="00BF7AB2" w:rsidRDefault="00BF7AB2" w:rsidP="00BF7AB2">
      <w:pPr>
        <w:pStyle w:val="NormalWeb"/>
        <w:spacing w:before="0" w:beforeAutospacing="0" w:after="0" w:afterAutospacing="0"/>
        <w:jc w:val="both"/>
        <w:rPr>
          <w:rFonts w:ascii="Arial" w:hAnsi="Arial" w:cs="Arial"/>
          <w:sz w:val="20"/>
          <w:szCs w:val="20"/>
        </w:rPr>
      </w:pPr>
    </w:p>
    <w:p w14:paraId="5BF4FEFF" w14:textId="49592974" w:rsidR="00BF7AB2" w:rsidRDefault="00000F8F" w:rsidP="00BF7AB2">
      <w:pPr>
        <w:pStyle w:val="Head1"/>
        <w:spacing w:after="0"/>
        <w:jc w:val="both"/>
        <w:rPr>
          <w:rFonts w:ascii="Arial" w:hAnsi="Arial" w:cs="Arial"/>
          <w:sz w:val="20"/>
        </w:rPr>
      </w:pPr>
      <w:r w:rsidRPr="00571CE3">
        <w:rPr>
          <w:rFonts w:ascii="Arial" w:hAnsi="Arial" w:cs="Arial"/>
          <w:sz w:val="20"/>
        </w:rPr>
        <w:lastRenderedPageBreak/>
        <w:t>3</w:t>
      </w:r>
      <w:r w:rsidR="00902823" w:rsidRPr="00571CE3">
        <w:rPr>
          <w:rFonts w:ascii="Arial" w:hAnsi="Arial" w:cs="Arial"/>
          <w:sz w:val="20"/>
        </w:rPr>
        <w:t xml:space="preserve">. </w:t>
      </w:r>
      <w:r w:rsidRPr="00571CE3">
        <w:rPr>
          <w:rFonts w:ascii="Arial" w:hAnsi="Arial" w:cs="Arial"/>
          <w:sz w:val="20"/>
        </w:rPr>
        <w:t>results and discussion</w:t>
      </w:r>
    </w:p>
    <w:p w14:paraId="7C151241" w14:textId="77777777" w:rsidR="00BF7AB2" w:rsidRPr="00BF7AB2" w:rsidRDefault="00BF7AB2" w:rsidP="00BF7AB2">
      <w:pPr>
        <w:pStyle w:val="Head1"/>
        <w:spacing w:after="0"/>
        <w:jc w:val="both"/>
        <w:rPr>
          <w:rFonts w:ascii="Arial" w:hAnsi="Arial" w:cs="Arial"/>
          <w:sz w:val="20"/>
        </w:rPr>
      </w:pPr>
    </w:p>
    <w:p w14:paraId="20D7D4C3" w14:textId="752307F4" w:rsidR="00BF7AB2" w:rsidRPr="00BF7AB2" w:rsidRDefault="00BF7AB2" w:rsidP="00BF7AB2">
      <w:pPr>
        <w:ind w:firstLine="720"/>
        <w:jc w:val="both"/>
        <w:rPr>
          <w:rFonts w:ascii="Arial" w:hAnsi="Arial" w:cs="Arial"/>
          <w:lang w:eastAsia="en-IN"/>
        </w:rPr>
      </w:pPr>
      <w:r w:rsidRPr="00BF7AB2">
        <w:rPr>
          <w:rFonts w:ascii="Arial" w:hAnsi="Arial" w:cs="Arial"/>
          <w:lang w:eastAsia="en-IN"/>
        </w:rPr>
        <w:t xml:space="preserve">The red and black soils of Telangana differed distinctly in their </w:t>
      </w:r>
      <w:proofErr w:type="spellStart"/>
      <w:r w:rsidRPr="00BF7AB2">
        <w:rPr>
          <w:rFonts w:ascii="Arial" w:hAnsi="Arial" w:cs="Arial"/>
          <w:lang w:eastAsia="en-IN"/>
        </w:rPr>
        <w:t>physico</w:t>
      </w:r>
      <w:proofErr w:type="spellEnd"/>
      <w:r w:rsidRPr="00BF7AB2">
        <w:rPr>
          <w:rFonts w:ascii="Arial" w:hAnsi="Arial" w:cs="Arial"/>
          <w:lang w:eastAsia="en-IN"/>
        </w:rPr>
        <w:t xml:space="preserve">-chemical characteristics, influencing the sorption </w:t>
      </w:r>
      <w:proofErr w:type="spellStart"/>
      <w:r w:rsidRPr="00BF7AB2">
        <w:rPr>
          <w:rFonts w:ascii="Arial" w:hAnsi="Arial" w:cs="Arial"/>
          <w:lang w:eastAsia="en-IN"/>
        </w:rPr>
        <w:t>behaviour</w:t>
      </w:r>
      <w:proofErr w:type="spellEnd"/>
      <w:r w:rsidRPr="00BF7AB2">
        <w:rPr>
          <w:rFonts w:ascii="Arial" w:hAnsi="Arial" w:cs="Arial"/>
          <w:lang w:eastAsia="en-IN"/>
        </w:rPr>
        <w:t xml:space="preserve"> of topramezone. The red soil was neutral in reaction (pH 6.62), sandy loam in texture, with medium organic carbon (0.56%) and a cation exchange capacity (CEC) of 16.21 </w:t>
      </w:r>
      <w:proofErr w:type="spellStart"/>
      <w:r w:rsidRPr="00BF7AB2">
        <w:rPr>
          <w:rFonts w:ascii="Arial" w:hAnsi="Arial" w:cs="Arial"/>
          <w:lang w:eastAsia="en-IN"/>
        </w:rPr>
        <w:t>cmol</w:t>
      </w:r>
      <w:proofErr w:type="spellEnd"/>
      <w:r w:rsidRPr="00BF7AB2">
        <w:rPr>
          <w:rFonts w:ascii="Arial" w:hAnsi="Arial" w:cs="Arial"/>
          <w:lang w:eastAsia="en-IN"/>
        </w:rPr>
        <w:t>(p</w:t>
      </w:r>
      <w:r w:rsidRPr="00BF7AB2">
        <w:rPr>
          <w:rFonts w:ascii="Cambria Math" w:hAnsi="Cambria Math" w:cs="Cambria Math"/>
          <w:lang w:eastAsia="en-IN"/>
        </w:rPr>
        <w:t>⁺</w:t>
      </w:r>
      <w:r w:rsidRPr="00BF7AB2">
        <w:rPr>
          <w:rFonts w:ascii="Arial" w:hAnsi="Arial" w:cs="Arial"/>
          <w:lang w:eastAsia="en-IN"/>
        </w:rPr>
        <w:t>) kg</w:t>
      </w:r>
      <w:r w:rsidRPr="00BF7AB2">
        <w:rPr>
          <w:rFonts w:ascii="Cambria Math" w:hAnsi="Cambria Math" w:cs="Cambria Math"/>
          <w:lang w:eastAsia="en-IN"/>
        </w:rPr>
        <w:t>⁻</w:t>
      </w:r>
      <w:r w:rsidRPr="00BF7AB2">
        <w:rPr>
          <w:rFonts w:ascii="Arial" w:hAnsi="Arial" w:cs="Arial"/>
          <w:lang w:eastAsia="en-IN"/>
        </w:rPr>
        <w:t xml:space="preserve">¹, whereas the black soil was slightly alkaline (pH 8.12), clayey in texture, with low organic carbon (0.49%) and higher CEC (28.65 </w:t>
      </w:r>
      <w:proofErr w:type="spellStart"/>
      <w:r w:rsidRPr="00BF7AB2">
        <w:rPr>
          <w:rFonts w:ascii="Arial" w:hAnsi="Arial" w:cs="Arial"/>
          <w:lang w:eastAsia="en-IN"/>
        </w:rPr>
        <w:t>cmol</w:t>
      </w:r>
      <w:proofErr w:type="spellEnd"/>
      <w:r w:rsidRPr="00BF7AB2">
        <w:rPr>
          <w:rFonts w:ascii="Arial" w:hAnsi="Arial" w:cs="Arial"/>
          <w:lang w:eastAsia="en-IN"/>
        </w:rPr>
        <w:t>(p</w:t>
      </w:r>
      <w:r w:rsidRPr="00BF7AB2">
        <w:rPr>
          <w:rFonts w:ascii="Cambria Math" w:hAnsi="Cambria Math" w:cs="Cambria Math"/>
          <w:lang w:eastAsia="en-IN"/>
        </w:rPr>
        <w:t>⁺</w:t>
      </w:r>
      <w:r w:rsidRPr="00BF7AB2">
        <w:rPr>
          <w:rFonts w:ascii="Arial" w:hAnsi="Arial" w:cs="Arial"/>
          <w:lang w:eastAsia="en-IN"/>
        </w:rPr>
        <w:t>) kg</w:t>
      </w:r>
      <w:r w:rsidRPr="00BF7AB2">
        <w:rPr>
          <w:rFonts w:ascii="Cambria Math" w:hAnsi="Cambria Math" w:cs="Cambria Math"/>
          <w:lang w:eastAsia="en-IN"/>
        </w:rPr>
        <w:t>⁻</w:t>
      </w:r>
      <w:r w:rsidRPr="00BF7AB2">
        <w:rPr>
          <w:rFonts w:ascii="Arial" w:hAnsi="Arial" w:cs="Arial"/>
          <w:lang w:eastAsia="en-IN"/>
        </w:rPr>
        <w:t xml:space="preserve">¹). </w:t>
      </w:r>
    </w:p>
    <w:p w14:paraId="1309F171" w14:textId="77777777" w:rsidR="00BF7AB2" w:rsidRPr="00BF7AB2" w:rsidRDefault="00BF7AB2" w:rsidP="00BF7AB2">
      <w:pPr>
        <w:jc w:val="both"/>
        <w:rPr>
          <w:rFonts w:ascii="Arial" w:hAnsi="Arial" w:cs="Arial"/>
          <w:b/>
        </w:rPr>
      </w:pPr>
      <w:r w:rsidRPr="00BF7AB2">
        <w:rPr>
          <w:rFonts w:ascii="Arial" w:hAnsi="Arial" w:cs="Arial"/>
          <w:b/>
          <w:noProof/>
        </w:rPr>
        <w:t>Table :</w:t>
      </w:r>
      <w:r w:rsidRPr="00BF7AB2">
        <w:rPr>
          <w:rFonts w:ascii="Arial" w:hAnsi="Arial" w:cs="Arial"/>
          <w:b/>
        </w:rPr>
        <w:t xml:space="preserve"> 1. Physico-chemical properties of the selected soil samples</w:t>
      </w:r>
    </w:p>
    <w:tbl>
      <w:tblPr>
        <w:tblStyle w:val="TableGrid"/>
        <w:tblW w:w="6198" w:type="dxa"/>
        <w:jc w:val="center"/>
        <w:tblLayout w:type="fixed"/>
        <w:tblLook w:val="04A0" w:firstRow="1" w:lastRow="0" w:firstColumn="1" w:lastColumn="0" w:noHBand="0" w:noVBand="1"/>
      </w:tblPr>
      <w:tblGrid>
        <w:gridCol w:w="2906"/>
        <w:gridCol w:w="1177"/>
        <w:gridCol w:w="2115"/>
      </w:tblGrid>
      <w:tr w:rsidR="00BF7AB2" w:rsidRPr="00BF7AB2" w14:paraId="592EB66F" w14:textId="77777777" w:rsidTr="007510DE">
        <w:trPr>
          <w:trHeight w:val="300"/>
          <w:jc w:val="center"/>
        </w:trPr>
        <w:tc>
          <w:tcPr>
            <w:tcW w:w="2906" w:type="dxa"/>
            <w:noWrap/>
          </w:tcPr>
          <w:p w14:paraId="7F804327" w14:textId="77777777" w:rsidR="00BF7AB2" w:rsidRPr="00BF7AB2" w:rsidRDefault="00BF7AB2" w:rsidP="00BF7AB2">
            <w:pPr>
              <w:rPr>
                <w:rFonts w:ascii="Arial" w:hAnsi="Arial" w:cs="Arial"/>
                <w:b/>
                <w:bCs/>
                <w:sz w:val="20"/>
                <w:szCs w:val="20"/>
                <w:lang w:bidi="hi-IN"/>
              </w:rPr>
            </w:pPr>
            <w:r w:rsidRPr="00BF7AB2">
              <w:rPr>
                <w:rFonts w:ascii="Arial" w:hAnsi="Arial" w:cs="Arial"/>
                <w:b/>
                <w:bCs/>
                <w:sz w:val="20"/>
                <w:szCs w:val="20"/>
                <w:lang w:bidi="hi-IN"/>
              </w:rPr>
              <w:t>Adsorption parameter</w:t>
            </w:r>
          </w:p>
        </w:tc>
        <w:tc>
          <w:tcPr>
            <w:tcW w:w="1177" w:type="dxa"/>
            <w:noWrap/>
          </w:tcPr>
          <w:p w14:paraId="769D3DD4" w14:textId="77777777" w:rsidR="00BF7AB2" w:rsidRPr="00BF7AB2" w:rsidRDefault="00BF7AB2" w:rsidP="00BF7AB2">
            <w:pPr>
              <w:jc w:val="right"/>
              <w:rPr>
                <w:rFonts w:ascii="Arial" w:hAnsi="Arial" w:cs="Arial"/>
                <w:b/>
                <w:bCs/>
                <w:sz w:val="20"/>
                <w:szCs w:val="20"/>
              </w:rPr>
            </w:pPr>
            <w:r w:rsidRPr="00BF7AB2">
              <w:rPr>
                <w:rFonts w:ascii="Arial" w:hAnsi="Arial" w:cs="Arial"/>
                <w:b/>
                <w:bCs/>
                <w:sz w:val="20"/>
                <w:szCs w:val="20"/>
              </w:rPr>
              <w:t>Red soil</w:t>
            </w:r>
          </w:p>
        </w:tc>
        <w:tc>
          <w:tcPr>
            <w:tcW w:w="2115" w:type="dxa"/>
          </w:tcPr>
          <w:p w14:paraId="0959E83A" w14:textId="77777777" w:rsidR="00BF7AB2" w:rsidRPr="00BF7AB2" w:rsidRDefault="00BF7AB2" w:rsidP="00BF7AB2">
            <w:pPr>
              <w:jc w:val="center"/>
              <w:rPr>
                <w:rFonts w:ascii="Arial" w:hAnsi="Arial" w:cs="Arial"/>
                <w:b/>
                <w:bCs/>
                <w:sz w:val="20"/>
                <w:szCs w:val="20"/>
              </w:rPr>
            </w:pPr>
            <w:r w:rsidRPr="00BF7AB2">
              <w:rPr>
                <w:rFonts w:ascii="Arial" w:hAnsi="Arial" w:cs="Arial"/>
                <w:b/>
                <w:bCs/>
                <w:sz w:val="20"/>
                <w:szCs w:val="20"/>
              </w:rPr>
              <w:t>Black soil</w:t>
            </w:r>
          </w:p>
        </w:tc>
      </w:tr>
      <w:tr w:rsidR="00BF7AB2" w:rsidRPr="00BF7AB2" w14:paraId="194D6D93" w14:textId="77777777" w:rsidTr="007510DE">
        <w:trPr>
          <w:trHeight w:val="300"/>
          <w:jc w:val="center"/>
        </w:trPr>
        <w:tc>
          <w:tcPr>
            <w:tcW w:w="2906" w:type="dxa"/>
            <w:noWrap/>
            <w:hideMark/>
          </w:tcPr>
          <w:p w14:paraId="7019B775"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pH</w:t>
            </w:r>
          </w:p>
        </w:tc>
        <w:tc>
          <w:tcPr>
            <w:tcW w:w="1177" w:type="dxa"/>
            <w:noWrap/>
            <w:hideMark/>
          </w:tcPr>
          <w:p w14:paraId="259FFC5D"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6.62</w:t>
            </w:r>
          </w:p>
        </w:tc>
        <w:tc>
          <w:tcPr>
            <w:tcW w:w="2115" w:type="dxa"/>
          </w:tcPr>
          <w:p w14:paraId="05A1552E" w14:textId="77777777" w:rsidR="00BF7AB2" w:rsidRPr="00BF7AB2" w:rsidRDefault="00BF7AB2" w:rsidP="00BF7AB2">
            <w:pPr>
              <w:ind w:left="747" w:hanging="747"/>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8.12</w:t>
            </w:r>
          </w:p>
        </w:tc>
      </w:tr>
      <w:tr w:rsidR="00BF7AB2" w:rsidRPr="00BF7AB2" w14:paraId="2EF428C4" w14:textId="77777777" w:rsidTr="007510DE">
        <w:trPr>
          <w:trHeight w:val="300"/>
          <w:jc w:val="center"/>
        </w:trPr>
        <w:tc>
          <w:tcPr>
            <w:tcW w:w="2906" w:type="dxa"/>
            <w:noWrap/>
            <w:hideMark/>
          </w:tcPr>
          <w:p w14:paraId="4A716C28"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rPr>
              <w:t>CEC (C mol (p</w:t>
            </w:r>
            <w:r w:rsidRPr="00BF7AB2">
              <w:rPr>
                <w:rFonts w:ascii="Arial" w:hAnsi="Arial" w:cs="Arial"/>
                <w:sz w:val="20"/>
                <w:szCs w:val="20"/>
                <w:vertAlign w:val="superscript"/>
              </w:rPr>
              <w:t>+</w:t>
            </w:r>
            <w:r w:rsidRPr="00BF7AB2">
              <w:rPr>
                <w:rFonts w:ascii="Arial" w:hAnsi="Arial" w:cs="Arial"/>
                <w:sz w:val="20"/>
                <w:szCs w:val="20"/>
              </w:rPr>
              <w:t>)/kg</w:t>
            </w:r>
            <w:r w:rsidRPr="00BF7AB2">
              <w:rPr>
                <w:rFonts w:ascii="Arial" w:hAnsi="Arial" w:cs="Arial"/>
                <w:sz w:val="20"/>
                <w:szCs w:val="20"/>
                <w:lang w:bidi="hi-IN"/>
              </w:rPr>
              <w:t>)</w:t>
            </w:r>
          </w:p>
        </w:tc>
        <w:tc>
          <w:tcPr>
            <w:tcW w:w="1177" w:type="dxa"/>
            <w:noWrap/>
            <w:hideMark/>
          </w:tcPr>
          <w:p w14:paraId="7C4F0681"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16.21</w:t>
            </w:r>
          </w:p>
        </w:tc>
        <w:tc>
          <w:tcPr>
            <w:tcW w:w="2115" w:type="dxa"/>
          </w:tcPr>
          <w:p w14:paraId="7EB98A1B"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28.65</w:t>
            </w:r>
          </w:p>
        </w:tc>
      </w:tr>
      <w:tr w:rsidR="00BF7AB2" w:rsidRPr="00BF7AB2" w14:paraId="71628084" w14:textId="77777777" w:rsidTr="007510DE">
        <w:trPr>
          <w:trHeight w:val="300"/>
          <w:jc w:val="center"/>
        </w:trPr>
        <w:tc>
          <w:tcPr>
            <w:tcW w:w="2906" w:type="dxa"/>
            <w:noWrap/>
            <w:hideMark/>
          </w:tcPr>
          <w:p w14:paraId="67CCC3E3" w14:textId="77777777" w:rsidR="00BF7AB2" w:rsidRPr="00BF7AB2" w:rsidRDefault="00BF7AB2" w:rsidP="00BF7AB2">
            <w:pPr>
              <w:rPr>
                <w:rFonts w:ascii="Arial" w:hAnsi="Arial" w:cs="Arial"/>
                <w:sz w:val="20"/>
                <w:szCs w:val="20"/>
              </w:rPr>
            </w:pPr>
            <w:r w:rsidRPr="00BF7AB2">
              <w:rPr>
                <w:rFonts w:ascii="Arial" w:hAnsi="Arial" w:cs="Arial"/>
                <w:sz w:val="20"/>
                <w:szCs w:val="20"/>
                <w:lang w:bidi="hi-IN"/>
              </w:rPr>
              <w:t>Organic carbon (%)</w:t>
            </w:r>
          </w:p>
        </w:tc>
        <w:tc>
          <w:tcPr>
            <w:tcW w:w="1177" w:type="dxa"/>
            <w:noWrap/>
            <w:hideMark/>
          </w:tcPr>
          <w:p w14:paraId="3583CFC1"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0.56</w:t>
            </w:r>
          </w:p>
        </w:tc>
        <w:tc>
          <w:tcPr>
            <w:tcW w:w="2115" w:type="dxa"/>
          </w:tcPr>
          <w:p w14:paraId="1CC5F55C"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0.49</w:t>
            </w:r>
          </w:p>
        </w:tc>
      </w:tr>
      <w:tr w:rsidR="00BF7AB2" w:rsidRPr="00BF7AB2" w14:paraId="686B5D25" w14:textId="77777777" w:rsidTr="007510DE">
        <w:trPr>
          <w:trHeight w:val="300"/>
          <w:jc w:val="center"/>
        </w:trPr>
        <w:tc>
          <w:tcPr>
            <w:tcW w:w="2906" w:type="dxa"/>
            <w:noWrap/>
            <w:hideMark/>
          </w:tcPr>
          <w:p w14:paraId="6AE94DB3"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Clay (%)</w:t>
            </w:r>
          </w:p>
        </w:tc>
        <w:tc>
          <w:tcPr>
            <w:tcW w:w="1177" w:type="dxa"/>
            <w:noWrap/>
            <w:hideMark/>
          </w:tcPr>
          <w:p w14:paraId="1356AEB6"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24.5</w:t>
            </w:r>
          </w:p>
        </w:tc>
        <w:tc>
          <w:tcPr>
            <w:tcW w:w="2115" w:type="dxa"/>
          </w:tcPr>
          <w:p w14:paraId="7F793822"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36.2</w:t>
            </w:r>
          </w:p>
        </w:tc>
      </w:tr>
      <w:tr w:rsidR="00BF7AB2" w:rsidRPr="00BF7AB2" w14:paraId="0E602FCD" w14:textId="77777777" w:rsidTr="007510DE">
        <w:trPr>
          <w:trHeight w:val="300"/>
          <w:jc w:val="center"/>
        </w:trPr>
        <w:tc>
          <w:tcPr>
            <w:tcW w:w="2906" w:type="dxa"/>
            <w:noWrap/>
            <w:hideMark/>
          </w:tcPr>
          <w:p w14:paraId="79E14AC0"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Silt (%)</w:t>
            </w:r>
          </w:p>
        </w:tc>
        <w:tc>
          <w:tcPr>
            <w:tcW w:w="1177" w:type="dxa"/>
            <w:noWrap/>
            <w:hideMark/>
          </w:tcPr>
          <w:p w14:paraId="52FDA0AF"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12.8</w:t>
            </w:r>
          </w:p>
        </w:tc>
        <w:tc>
          <w:tcPr>
            <w:tcW w:w="2115" w:type="dxa"/>
          </w:tcPr>
          <w:p w14:paraId="670A3A01"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16.9</w:t>
            </w:r>
          </w:p>
        </w:tc>
      </w:tr>
      <w:tr w:rsidR="00BF7AB2" w:rsidRPr="00BF7AB2" w14:paraId="7EC265E7" w14:textId="77777777" w:rsidTr="007510DE">
        <w:trPr>
          <w:trHeight w:val="300"/>
          <w:jc w:val="center"/>
        </w:trPr>
        <w:tc>
          <w:tcPr>
            <w:tcW w:w="2906" w:type="dxa"/>
            <w:noWrap/>
            <w:hideMark/>
          </w:tcPr>
          <w:p w14:paraId="1B16937B" w14:textId="77777777" w:rsidR="00BF7AB2" w:rsidRPr="00BF7AB2" w:rsidRDefault="00BF7AB2" w:rsidP="00BF7AB2">
            <w:pPr>
              <w:rPr>
                <w:rFonts w:ascii="Arial" w:hAnsi="Arial" w:cs="Arial"/>
                <w:sz w:val="20"/>
                <w:szCs w:val="20"/>
                <w:lang w:bidi="hi-IN"/>
              </w:rPr>
            </w:pPr>
            <w:r w:rsidRPr="00BF7AB2">
              <w:rPr>
                <w:rFonts w:ascii="Arial" w:hAnsi="Arial" w:cs="Arial"/>
                <w:sz w:val="20"/>
                <w:szCs w:val="20"/>
                <w:lang w:bidi="hi-IN"/>
              </w:rPr>
              <w:t>Sand (%)</w:t>
            </w:r>
          </w:p>
        </w:tc>
        <w:tc>
          <w:tcPr>
            <w:tcW w:w="1177" w:type="dxa"/>
            <w:noWrap/>
            <w:hideMark/>
          </w:tcPr>
          <w:p w14:paraId="4C249E83" w14:textId="77777777" w:rsidR="00BF7AB2" w:rsidRPr="00BF7AB2" w:rsidRDefault="00BF7AB2" w:rsidP="00BF7AB2">
            <w:pPr>
              <w:jc w:val="center"/>
              <w:rPr>
                <w:rFonts w:ascii="Arial" w:hAnsi="Arial" w:cs="Arial"/>
                <w:sz w:val="20"/>
                <w:szCs w:val="20"/>
                <w:lang w:bidi="hi-IN"/>
              </w:rPr>
            </w:pPr>
            <w:r w:rsidRPr="00BF7AB2">
              <w:rPr>
                <w:rFonts w:ascii="Arial" w:hAnsi="Arial" w:cs="Arial"/>
                <w:sz w:val="20"/>
                <w:szCs w:val="20"/>
                <w:lang w:bidi="hi-IN"/>
              </w:rPr>
              <w:t>62.7</w:t>
            </w:r>
          </w:p>
        </w:tc>
        <w:tc>
          <w:tcPr>
            <w:tcW w:w="2115" w:type="dxa"/>
          </w:tcPr>
          <w:p w14:paraId="33E1F6B6" w14:textId="77777777" w:rsidR="00BF7AB2" w:rsidRPr="00BF7AB2" w:rsidRDefault="00BF7AB2" w:rsidP="00BF7AB2">
            <w:pPr>
              <w:jc w:val="center"/>
              <w:rPr>
                <w:rFonts w:ascii="Arial" w:eastAsiaTheme="minorEastAsia" w:hAnsi="Arial" w:cs="Arial"/>
                <w:sz w:val="20"/>
                <w:szCs w:val="20"/>
                <w:lang w:bidi="hi-IN"/>
              </w:rPr>
            </w:pPr>
            <w:r w:rsidRPr="00BF7AB2">
              <w:rPr>
                <w:rFonts w:ascii="Arial" w:eastAsiaTheme="minorEastAsia" w:hAnsi="Arial" w:cs="Arial"/>
                <w:sz w:val="20"/>
                <w:szCs w:val="20"/>
                <w:lang w:bidi="hi-IN"/>
              </w:rPr>
              <w:t>46.9</w:t>
            </w:r>
          </w:p>
        </w:tc>
      </w:tr>
    </w:tbl>
    <w:p w14:paraId="02CC3B32" w14:textId="77777777" w:rsidR="00BF7AB2" w:rsidRPr="00BF7AB2" w:rsidRDefault="00BF7AB2" w:rsidP="00BF7AB2">
      <w:pPr>
        <w:jc w:val="both"/>
        <w:rPr>
          <w:rFonts w:ascii="Arial" w:hAnsi="Arial" w:cs="Arial"/>
          <w:b/>
          <w:i/>
        </w:rPr>
      </w:pPr>
    </w:p>
    <w:p w14:paraId="70078C68" w14:textId="77777777" w:rsidR="00BF7AB2" w:rsidRPr="00BF7AB2" w:rsidRDefault="00BF7AB2" w:rsidP="00BF7AB2">
      <w:pPr>
        <w:jc w:val="both"/>
        <w:rPr>
          <w:rFonts w:ascii="Arial" w:hAnsi="Arial" w:cs="Arial"/>
          <w:b/>
          <w:iCs/>
        </w:rPr>
      </w:pPr>
      <w:r w:rsidRPr="00BF7AB2">
        <w:rPr>
          <w:rFonts w:ascii="Arial" w:hAnsi="Arial" w:cs="Arial"/>
          <w:b/>
          <w:iCs/>
        </w:rPr>
        <w:t>Dissipation studies</w:t>
      </w:r>
    </w:p>
    <w:p w14:paraId="6CA2682B"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dissipation of </w:t>
      </w:r>
      <w:r w:rsidRPr="00BF7AB2">
        <w:rPr>
          <w:rFonts w:ascii="Arial" w:hAnsi="Arial" w:cs="Arial"/>
          <w:bCs/>
          <w:lang w:eastAsia="en-IN"/>
        </w:rPr>
        <w:t>topramezone</w:t>
      </w:r>
      <w:r w:rsidRPr="00BF7AB2">
        <w:rPr>
          <w:rFonts w:ascii="Arial" w:hAnsi="Arial" w:cs="Arial"/>
          <w:lang w:eastAsia="en-IN"/>
        </w:rPr>
        <w:t xml:space="preserve"> in the red (</w:t>
      </w:r>
      <w:proofErr w:type="spellStart"/>
      <w:r w:rsidRPr="00BF7AB2">
        <w:rPr>
          <w:rFonts w:ascii="Arial" w:hAnsi="Arial" w:cs="Arial"/>
          <w:lang w:eastAsia="en-IN"/>
        </w:rPr>
        <w:t>Alfisol</w:t>
      </w:r>
      <w:proofErr w:type="spellEnd"/>
      <w:r w:rsidRPr="00BF7AB2">
        <w:rPr>
          <w:rFonts w:ascii="Arial" w:hAnsi="Arial" w:cs="Arial"/>
          <w:lang w:eastAsia="en-IN"/>
        </w:rPr>
        <w:t>) and black (</w:t>
      </w:r>
      <w:proofErr w:type="spellStart"/>
      <w:r w:rsidRPr="00BF7AB2">
        <w:rPr>
          <w:rFonts w:ascii="Arial" w:hAnsi="Arial" w:cs="Arial"/>
          <w:lang w:eastAsia="en-IN"/>
        </w:rPr>
        <w:t>Vertisol</w:t>
      </w:r>
      <w:proofErr w:type="spellEnd"/>
      <w:r w:rsidRPr="00BF7AB2">
        <w:rPr>
          <w:rFonts w:ascii="Arial" w:hAnsi="Arial" w:cs="Arial"/>
          <w:lang w:eastAsia="en-IN"/>
        </w:rPr>
        <w:t xml:space="preserve">) soils of Telangana followed a gradual decline with time, and the pattern was well described by a </w:t>
      </w:r>
      <w:r w:rsidRPr="00BF7AB2">
        <w:rPr>
          <w:rFonts w:ascii="Arial" w:hAnsi="Arial" w:cs="Arial"/>
          <w:bCs/>
          <w:lang w:eastAsia="en-IN"/>
        </w:rPr>
        <w:t>first-order exponential decay model</w:t>
      </w:r>
      <w:r w:rsidRPr="00BF7AB2">
        <w:rPr>
          <w:rFonts w:ascii="Arial" w:hAnsi="Arial" w:cs="Arial"/>
          <w:lang w:eastAsia="en-IN"/>
        </w:rPr>
        <w:t xml:space="preserve">, indicating that the rate of degradation was directly proportional to the amount of herbicide remaining in the soil. The initial detected amount (IDA) of topramezone, measured 2 hours after application, ranged from </w:t>
      </w:r>
      <w:r w:rsidRPr="00BF7AB2">
        <w:rPr>
          <w:rFonts w:ascii="Arial" w:hAnsi="Arial" w:cs="Arial"/>
          <w:bCs/>
          <w:lang w:eastAsia="en-IN"/>
        </w:rPr>
        <w:t xml:space="preserve">90.61 </w:t>
      </w:r>
      <w:r w:rsidRPr="00BF7AB2">
        <w:rPr>
          <w:rFonts w:ascii="Arial" w:hAnsi="Arial" w:cs="Arial"/>
          <w:lang w:eastAsia="en-IN"/>
        </w:rPr>
        <w:t xml:space="preserve">in red soil and </w:t>
      </w:r>
      <w:r w:rsidRPr="00BF7AB2">
        <w:rPr>
          <w:rFonts w:ascii="Arial" w:hAnsi="Arial" w:cs="Arial"/>
          <w:bCs/>
          <w:lang w:eastAsia="en-IN"/>
        </w:rPr>
        <w:t xml:space="preserve">92.12 </w:t>
      </w:r>
      <w:r w:rsidRPr="00BF7AB2">
        <w:rPr>
          <w:rFonts w:ascii="Arial" w:hAnsi="Arial" w:cs="Arial"/>
          <w:lang w:eastAsia="en-IN"/>
        </w:rPr>
        <w:t xml:space="preserve">in black soil, respectively. The residue levels declined progressively with incubation time, and after 135 days, detectable residues were </w:t>
      </w:r>
      <w:r w:rsidRPr="00BF7AB2">
        <w:rPr>
          <w:rFonts w:ascii="Arial" w:hAnsi="Arial" w:cs="Arial"/>
          <w:bCs/>
          <w:lang w:eastAsia="en-IN"/>
        </w:rPr>
        <w:t>40.21 µg 10 g</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in red soil and </w:t>
      </w:r>
      <w:r w:rsidRPr="00BF7AB2">
        <w:rPr>
          <w:rFonts w:ascii="Arial" w:hAnsi="Arial" w:cs="Arial"/>
          <w:bCs/>
          <w:lang w:eastAsia="en-IN"/>
        </w:rPr>
        <w:t>38.65 µg 10 g</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in black soil.</w:t>
      </w:r>
    </w:p>
    <w:p w14:paraId="2D832A3D" w14:textId="77777777" w:rsidR="00BF7AB2" w:rsidRPr="00BF7AB2" w:rsidRDefault="00BF7AB2" w:rsidP="00BF7AB2">
      <w:pPr>
        <w:ind w:left="1350" w:hanging="1440"/>
        <w:rPr>
          <w:rFonts w:ascii="Arial" w:hAnsi="Arial" w:cs="Arial"/>
          <w:b/>
        </w:rPr>
      </w:pPr>
      <w:r w:rsidRPr="00BF7AB2">
        <w:rPr>
          <w:rFonts w:ascii="Arial" w:hAnsi="Arial" w:cs="Arial"/>
          <w:b/>
          <w:noProof/>
        </w:rPr>
        <w:t>Table :</w:t>
      </w:r>
      <w:r w:rsidRPr="00BF7AB2">
        <w:rPr>
          <w:rFonts w:ascii="Arial" w:hAnsi="Arial" w:cs="Arial"/>
          <w:b/>
        </w:rPr>
        <w:t xml:space="preserve">  2 Amount of extractable </w:t>
      </w:r>
      <w:r w:rsidRPr="00BF7AB2">
        <w:rPr>
          <w:rFonts w:ascii="Arial" w:hAnsi="Arial" w:cs="Arial"/>
          <w:b/>
          <w:noProof/>
        </w:rPr>
        <w:t>pyrithiobac</w:t>
      </w:r>
      <w:r w:rsidRPr="00BF7AB2">
        <w:rPr>
          <w:rFonts w:ascii="Arial" w:hAnsi="Arial" w:cs="Arial"/>
          <w:b/>
        </w:rPr>
        <w:t xml:space="preserve"> sodium at different day intervals in </w:t>
      </w:r>
      <w:r w:rsidRPr="00BF7AB2">
        <w:rPr>
          <w:rFonts w:ascii="Arial" w:hAnsi="Arial" w:cs="Arial"/>
          <w:b/>
          <w:noProof/>
        </w:rPr>
        <w:t>red</w:t>
      </w:r>
      <w:r w:rsidRPr="00BF7AB2">
        <w:rPr>
          <w:rFonts w:ascii="Arial" w:hAnsi="Arial" w:cs="Arial"/>
          <w:b/>
        </w:rPr>
        <w:t xml:space="preserve"> and black soil samples</w:t>
      </w:r>
    </w:p>
    <w:tbl>
      <w:tblPr>
        <w:tblStyle w:val="TableGrid"/>
        <w:tblW w:w="6811" w:type="dxa"/>
        <w:jc w:val="center"/>
        <w:tblLook w:val="04A0" w:firstRow="1" w:lastRow="0" w:firstColumn="1" w:lastColumn="0" w:noHBand="0" w:noVBand="1"/>
      </w:tblPr>
      <w:tblGrid>
        <w:gridCol w:w="2125"/>
        <w:gridCol w:w="2303"/>
        <w:gridCol w:w="2383"/>
      </w:tblGrid>
      <w:tr w:rsidR="00BF7AB2" w:rsidRPr="00BF7AB2" w14:paraId="32C840A2" w14:textId="77777777" w:rsidTr="007510DE">
        <w:trPr>
          <w:trHeight w:val="56"/>
          <w:jc w:val="center"/>
        </w:trPr>
        <w:tc>
          <w:tcPr>
            <w:tcW w:w="2125" w:type="dxa"/>
          </w:tcPr>
          <w:p w14:paraId="1BF8404D"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Days</w:t>
            </w:r>
          </w:p>
        </w:tc>
        <w:tc>
          <w:tcPr>
            <w:tcW w:w="2303" w:type="dxa"/>
          </w:tcPr>
          <w:p w14:paraId="1DC79128"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Red soil</w:t>
            </w:r>
          </w:p>
          <w:p w14:paraId="0C187471"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(µg /10 g soil)</w:t>
            </w:r>
          </w:p>
        </w:tc>
        <w:tc>
          <w:tcPr>
            <w:tcW w:w="2383" w:type="dxa"/>
          </w:tcPr>
          <w:p w14:paraId="2137BC6A"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Black soil</w:t>
            </w:r>
          </w:p>
          <w:p w14:paraId="7243EC2C" w14:textId="77777777" w:rsidR="00BF7AB2" w:rsidRPr="00BF7AB2" w:rsidRDefault="00BF7AB2" w:rsidP="00BF7AB2">
            <w:pPr>
              <w:jc w:val="center"/>
              <w:rPr>
                <w:rFonts w:ascii="Arial" w:hAnsi="Arial" w:cs="Arial"/>
                <w:b/>
                <w:sz w:val="20"/>
                <w:szCs w:val="20"/>
              </w:rPr>
            </w:pPr>
            <w:r w:rsidRPr="00BF7AB2">
              <w:rPr>
                <w:rFonts w:ascii="Arial" w:hAnsi="Arial" w:cs="Arial"/>
                <w:b/>
                <w:sz w:val="20"/>
                <w:szCs w:val="20"/>
              </w:rPr>
              <w:t>(µg /10 g soil)</w:t>
            </w:r>
          </w:p>
        </w:tc>
      </w:tr>
      <w:tr w:rsidR="00BF7AB2" w:rsidRPr="00BF7AB2" w14:paraId="125D6710" w14:textId="77777777" w:rsidTr="007510DE">
        <w:trPr>
          <w:trHeight w:val="296"/>
          <w:jc w:val="center"/>
        </w:trPr>
        <w:tc>
          <w:tcPr>
            <w:tcW w:w="2125" w:type="dxa"/>
          </w:tcPr>
          <w:p w14:paraId="4764490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0</w:t>
            </w:r>
          </w:p>
        </w:tc>
        <w:tc>
          <w:tcPr>
            <w:tcW w:w="2303" w:type="dxa"/>
            <w:vAlign w:val="bottom"/>
          </w:tcPr>
          <w:p w14:paraId="6D51E0D6"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90.61</w:t>
            </w:r>
          </w:p>
        </w:tc>
        <w:tc>
          <w:tcPr>
            <w:tcW w:w="2383" w:type="dxa"/>
            <w:vAlign w:val="center"/>
          </w:tcPr>
          <w:p w14:paraId="792B6F65"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92.12</w:t>
            </w:r>
          </w:p>
        </w:tc>
      </w:tr>
      <w:tr w:rsidR="00BF7AB2" w:rsidRPr="00BF7AB2" w14:paraId="43166ECC" w14:textId="77777777" w:rsidTr="007510DE">
        <w:trPr>
          <w:trHeight w:val="170"/>
          <w:jc w:val="center"/>
        </w:trPr>
        <w:tc>
          <w:tcPr>
            <w:tcW w:w="2125" w:type="dxa"/>
          </w:tcPr>
          <w:p w14:paraId="24477D8C"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15</w:t>
            </w:r>
          </w:p>
        </w:tc>
        <w:tc>
          <w:tcPr>
            <w:tcW w:w="2303" w:type="dxa"/>
            <w:vAlign w:val="bottom"/>
          </w:tcPr>
          <w:p w14:paraId="65A82831"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80.12</w:t>
            </w:r>
          </w:p>
        </w:tc>
        <w:tc>
          <w:tcPr>
            <w:tcW w:w="2383" w:type="dxa"/>
            <w:vAlign w:val="center"/>
          </w:tcPr>
          <w:p w14:paraId="7F1AD2D0"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84.25</w:t>
            </w:r>
          </w:p>
        </w:tc>
      </w:tr>
      <w:tr w:rsidR="00BF7AB2" w:rsidRPr="00BF7AB2" w14:paraId="07B6B2CE" w14:textId="77777777" w:rsidTr="007510DE">
        <w:trPr>
          <w:trHeight w:val="56"/>
          <w:jc w:val="center"/>
        </w:trPr>
        <w:tc>
          <w:tcPr>
            <w:tcW w:w="2125" w:type="dxa"/>
          </w:tcPr>
          <w:p w14:paraId="4EA55E0D"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30</w:t>
            </w:r>
          </w:p>
        </w:tc>
        <w:tc>
          <w:tcPr>
            <w:tcW w:w="2303" w:type="dxa"/>
            <w:vAlign w:val="bottom"/>
          </w:tcPr>
          <w:p w14:paraId="3915FFAD"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69.54</w:t>
            </w:r>
          </w:p>
        </w:tc>
        <w:tc>
          <w:tcPr>
            <w:tcW w:w="2383" w:type="dxa"/>
            <w:vAlign w:val="center"/>
          </w:tcPr>
          <w:p w14:paraId="1BFE595B"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73.65</w:t>
            </w:r>
          </w:p>
        </w:tc>
      </w:tr>
      <w:tr w:rsidR="00BF7AB2" w:rsidRPr="00BF7AB2" w14:paraId="7C0C1356" w14:textId="77777777" w:rsidTr="007510DE">
        <w:trPr>
          <w:trHeight w:val="233"/>
          <w:jc w:val="center"/>
        </w:trPr>
        <w:tc>
          <w:tcPr>
            <w:tcW w:w="2125" w:type="dxa"/>
          </w:tcPr>
          <w:p w14:paraId="06F64BE7"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45</w:t>
            </w:r>
          </w:p>
        </w:tc>
        <w:tc>
          <w:tcPr>
            <w:tcW w:w="2303" w:type="dxa"/>
            <w:vAlign w:val="bottom"/>
          </w:tcPr>
          <w:p w14:paraId="31CA7FD6"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60.23</w:t>
            </w:r>
          </w:p>
        </w:tc>
        <w:tc>
          <w:tcPr>
            <w:tcW w:w="2383" w:type="dxa"/>
            <w:vAlign w:val="center"/>
          </w:tcPr>
          <w:p w14:paraId="409700F2"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65.25</w:t>
            </w:r>
          </w:p>
        </w:tc>
      </w:tr>
      <w:tr w:rsidR="00BF7AB2" w:rsidRPr="00BF7AB2" w14:paraId="4BC599BC" w14:textId="77777777" w:rsidTr="007510DE">
        <w:trPr>
          <w:trHeight w:val="56"/>
          <w:jc w:val="center"/>
        </w:trPr>
        <w:tc>
          <w:tcPr>
            <w:tcW w:w="2125" w:type="dxa"/>
          </w:tcPr>
          <w:p w14:paraId="764EB8C2"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60</w:t>
            </w:r>
          </w:p>
        </w:tc>
        <w:tc>
          <w:tcPr>
            <w:tcW w:w="2303" w:type="dxa"/>
            <w:vAlign w:val="bottom"/>
          </w:tcPr>
          <w:p w14:paraId="4512E7AF"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56.12</w:t>
            </w:r>
          </w:p>
        </w:tc>
        <w:tc>
          <w:tcPr>
            <w:tcW w:w="2383" w:type="dxa"/>
            <w:vAlign w:val="center"/>
          </w:tcPr>
          <w:p w14:paraId="014EEC23"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58.65</w:t>
            </w:r>
          </w:p>
        </w:tc>
      </w:tr>
      <w:tr w:rsidR="00BF7AB2" w:rsidRPr="00BF7AB2" w14:paraId="52FFB91B" w14:textId="77777777" w:rsidTr="007510DE">
        <w:trPr>
          <w:trHeight w:val="56"/>
          <w:jc w:val="center"/>
        </w:trPr>
        <w:tc>
          <w:tcPr>
            <w:tcW w:w="2125" w:type="dxa"/>
          </w:tcPr>
          <w:p w14:paraId="76A7A2C7"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90</w:t>
            </w:r>
          </w:p>
        </w:tc>
        <w:tc>
          <w:tcPr>
            <w:tcW w:w="2303" w:type="dxa"/>
            <w:vAlign w:val="bottom"/>
          </w:tcPr>
          <w:p w14:paraId="181C9DAA"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50.74</w:t>
            </w:r>
          </w:p>
        </w:tc>
        <w:tc>
          <w:tcPr>
            <w:tcW w:w="2383" w:type="dxa"/>
            <w:vAlign w:val="center"/>
          </w:tcPr>
          <w:p w14:paraId="1CD92F7E"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53.26</w:t>
            </w:r>
          </w:p>
        </w:tc>
      </w:tr>
      <w:tr w:rsidR="00BF7AB2" w:rsidRPr="00BF7AB2" w14:paraId="3B1BB50C" w14:textId="77777777" w:rsidTr="007510DE">
        <w:trPr>
          <w:trHeight w:val="56"/>
          <w:jc w:val="center"/>
        </w:trPr>
        <w:tc>
          <w:tcPr>
            <w:tcW w:w="2125" w:type="dxa"/>
          </w:tcPr>
          <w:p w14:paraId="376D33D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120</w:t>
            </w:r>
          </w:p>
        </w:tc>
        <w:tc>
          <w:tcPr>
            <w:tcW w:w="2303" w:type="dxa"/>
            <w:vAlign w:val="bottom"/>
          </w:tcPr>
          <w:p w14:paraId="7369F885"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44.25</w:t>
            </w:r>
          </w:p>
        </w:tc>
        <w:tc>
          <w:tcPr>
            <w:tcW w:w="2383" w:type="dxa"/>
            <w:vAlign w:val="center"/>
          </w:tcPr>
          <w:p w14:paraId="43700279"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46.54</w:t>
            </w:r>
          </w:p>
        </w:tc>
      </w:tr>
      <w:tr w:rsidR="00BF7AB2" w:rsidRPr="00BF7AB2" w14:paraId="0550648F" w14:textId="77777777" w:rsidTr="007510DE">
        <w:trPr>
          <w:trHeight w:val="56"/>
          <w:jc w:val="center"/>
        </w:trPr>
        <w:tc>
          <w:tcPr>
            <w:tcW w:w="2125" w:type="dxa"/>
          </w:tcPr>
          <w:p w14:paraId="30FD6613"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135</w:t>
            </w:r>
          </w:p>
        </w:tc>
        <w:tc>
          <w:tcPr>
            <w:tcW w:w="2303" w:type="dxa"/>
            <w:vAlign w:val="bottom"/>
          </w:tcPr>
          <w:p w14:paraId="0441C325" w14:textId="77777777" w:rsidR="00BF7AB2" w:rsidRPr="00BF7AB2" w:rsidRDefault="00BF7AB2" w:rsidP="00BF7AB2">
            <w:pPr>
              <w:jc w:val="center"/>
              <w:rPr>
                <w:rFonts w:ascii="Arial" w:hAnsi="Arial" w:cs="Arial"/>
                <w:sz w:val="20"/>
                <w:szCs w:val="20"/>
              </w:rPr>
            </w:pPr>
            <w:r w:rsidRPr="00BF7AB2">
              <w:rPr>
                <w:rFonts w:ascii="Arial" w:hAnsi="Arial" w:cs="Arial"/>
                <w:sz w:val="20"/>
                <w:szCs w:val="20"/>
              </w:rPr>
              <w:t>40.21</w:t>
            </w:r>
          </w:p>
        </w:tc>
        <w:tc>
          <w:tcPr>
            <w:tcW w:w="2383" w:type="dxa"/>
            <w:vAlign w:val="center"/>
          </w:tcPr>
          <w:p w14:paraId="69E8068E" w14:textId="77777777" w:rsidR="00BF7AB2" w:rsidRPr="00BF7AB2" w:rsidRDefault="00BF7AB2" w:rsidP="00BF7AB2">
            <w:pPr>
              <w:jc w:val="center"/>
              <w:rPr>
                <w:rFonts w:ascii="Arial" w:hAnsi="Arial" w:cs="Arial"/>
                <w:color w:val="000000"/>
                <w:sz w:val="20"/>
                <w:szCs w:val="20"/>
              </w:rPr>
            </w:pPr>
            <w:r w:rsidRPr="00BF7AB2">
              <w:rPr>
                <w:rFonts w:ascii="Arial" w:hAnsi="Arial" w:cs="Arial"/>
                <w:color w:val="000000"/>
                <w:sz w:val="20"/>
                <w:szCs w:val="20"/>
              </w:rPr>
              <w:t>38.65</w:t>
            </w:r>
          </w:p>
        </w:tc>
      </w:tr>
    </w:tbl>
    <w:p w14:paraId="782E75CC"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dissipation curves generated from these data fitted best to an </w:t>
      </w:r>
      <w:r w:rsidRPr="00BF7AB2">
        <w:rPr>
          <w:rFonts w:ascii="Arial" w:hAnsi="Arial" w:cs="Arial"/>
          <w:bCs/>
          <w:lang w:eastAsia="en-IN"/>
        </w:rPr>
        <w:t>exponential decay model</w:t>
      </w:r>
      <w:r w:rsidRPr="00BF7AB2">
        <w:rPr>
          <w:rFonts w:ascii="Arial" w:hAnsi="Arial" w:cs="Arial"/>
          <w:lang w:eastAsia="en-IN"/>
        </w:rPr>
        <w:t xml:space="preserve"> compared to linear, logarithmic, or polynomial models, with </w:t>
      </w:r>
      <w:r w:rsidRPr="00BF7AB2">
        <w:rPr>
          <w:rFonts w:ascii="Arial" w:hAnsi="Arial" w:cs="Arial"/>
          <w:bCs/>
          <w:lang w:eastAsia="en-IN"/>
        </w:rPr>
        <w:t>R² values exceeding 0.97</w:t>
      </w:r>
      <w:r w:rsidRPr="00BF7AB2">
        <w:rPr>
          <w:rFonts w:ascii="Arial" w:hAnsi="Arial" w:cs="Arial"/>
          <w:lang w:eastAsia="en-IN"/>
        </w:rPr>
        <w:t xml:space="preserve"> across treatments, confirming a first-order kinetic relationship as expressed by the equation</w:t>
      </w:r>
    </w:p>
    <w:p w14:paraId="296A07A0"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i/>
          <w:iCs/>
          <w:lang w:eastAsia="en-IN"/>
        </w:rPr>
        <w:t xml:space="preserve">C = </w:t>
      </w:r>
      <w:proofErr w:type="spellStart"/>
      <w:r w:rsidRPr="00BF7AB2">
        <w:rPr>
          <w:rFonts w:ascii="Arial" w:hAnsi="Arial" w:cs="Arial"/>
          <w:i/>
          <w:iCs/>
          <w:lang w:eastAsia="en-IN"/>
        </w:rPr>
        <w:t>C</w:t>
      </w:r>
      <w:r w:rsidRPr="00BF7AB2">
        <w:rPr>
          <w:rFonts w:ascii="Cambria Math" w:hAnsi="Cambria Math" w:cs="Cambria Math"/>
          <w:i/>
          <w:iCs/>
          <w:lang w:eastAsia="en-IN"/>
        </w:rPr>
        <w:t>₀</w:t>
      </w:r>
      <w:r w:rsidRPr="00BF7AB2">
        <w:rPr>
          <w:rFonts w:ascii="Arial" w:hAnsi="Arial" w:cs="Arial"/>
          <w:i/>
          <w:iCs/>
          <w:lang w:eastAsia="en-IN"/>
        </w:rPr>
        <w:t>e</w:t>
      </w:r>
      <w:proofErr w:type="spellEnd"/>
      <w:r w:rsidRPr="00BF7AB2">
        <w:rPr>
          <w:rFonts w:ascii="Cambria Math" w:hAnsi="Cambria Math" w:cs="Cambria Math"/>
          <w:i/>
          <w:iCs/>
          <w:lang w:eastAsia="en-IN"/>
        </w:rPr>
        <w:t>⁻</w:t>
      </w:r>
      <w:r w:rsidRPr="00BF7AB2">
        <w:rPr>
          <w:rFonts w:ascii="Arial" w:hAnsi="Arial" w:cs="Arial"/>
          <w:i/>
          <w:iCs/>
          <w:lang w:eastAsia="en-IN"/>
        </w:rPr>
        <w:t>ᵏᵗ</w:t>
      </w:r>
      <w:r w:rsidRPr="00BF7AB2">
        <w:rPr>
          <w:rFonts w:ascii="Arial" w:hAnsi="Arial" w:cs="Arial"/>
          <w:lang w:eastAsia="en-IN"/>
        </w:rPr>
        <w:t xml:space="preserve">. </w:t>
      </w:r>
    </w:p>
    <w:tbl>
      <w:tblPr>
        <w:tblStyle w:val="TableGrid"/>
        <w:tblW w:w="9378" w:type="dxa"/>
        <w:tblLook w:val="04A0" w:firstRow="1" w:lastRow="0" w:firstColumn="1" w:lastColumn="0" w:noHBand="0" w:noVBand="1"/>
      </w:tblPr>
      <w:tblGrid>
        <w:gridCol w:w="4812"/>
        <w:gridCol w:w="4566"/>
      </w:tblGrid>
      <w:tr w:rsidR="00BF7AB2" w:rsidRPr="00BF7AB2" w14:paraId="1B0BA66D" w14:textId="77777777" w:rsidTr="007510DE">
        <w:trPr>
          <w:trHeight w:val="3284"/>
        </w:trPr>
        <w:tc>
          <w:tcPr>
            <w:tcW w:w="4812" w:type="dxa"/>
          </w:tcPr>
          <w:p w14:paraId="63B349FB" w14:textId="77777777" w:rsidR="00BF7AB2" w:rsidRPr="00BF7AB2" w:rsidRDefault="00BF7AB2" w:rsidP="00BF7AB2">
            <w:pPr>
              <w:spacing w:before="100" w:beforeAutospacing="1" w:after="100" w:afterAutospacing="1"/>
              <w:rPr>
                <w:rFonts w:ascii="Arial" w:hAnsi="Arial" w:cs="Arial"/>
                <w:sz w:val="20"/>
                <w:szCs w:val="20"/>
                <w:lang w:eastAsia="en-IN"/>
              </w:rPr>
            </w:pPr>
            <w:r w:rsidRPr="00BF7AB2">
              <w:rPr>
                <w:rFonts w:ascii="Arial" w:hAnsi="Arial" w:cs="Arial"/>
                <w:noProof/>
                <w:lang w:eastAsia="en-IN"/>
              </w:rPr>
              <w:lastRenderedPageBreak/>
              <w:drawing>
                <wp:inline distT="0" distB="0" distL="0" distR="0" wp14:anchorId="6988DDB7" wp14:editId="42AEA9FE">
                  <wp:extent cx="2856016" cy="1733797"/>
                  <wp:effectExtent l="0" t="0" r="190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66" w:type="dxa"/>
          </w:tcPr>
          <w:p w14:paraId="702A1F9C" w14:textId="77777777" w:rsidR="00BF7AB2" w:rsidRPr="00BF7AB2" w:rsidRDefault="00BF7AB2" w:rsidP="00BF7AB2">
            <w:pPr>
              <w:spacing w:before="100" w:beforeAutospacing="1" w:after="100" w:afterAutospacing="1"/>
              <w:rPr>
                <w:rFonts w:ascii="Arial" w:hAnsi="Arial" w:cs="Arial"/>
                <w:sz w:val="20"/>
                <w:szCs w:val="20"/>
                <w:lang w:eastAsia="en-IN"/>
              </w:rPr>
            </w:pPr>
            <w:r w:rsidRPr="00BF7AB2">
              <w:rPr>
                <w:rFonts w:ascii="Arial" w:hAnsi="Arial" w:cs="Arial"/>
                <w:noProof/>
                <w:lang w:eastAsia="en-IN"/>
              </w:rPr>
              <w:drawing>
                <wp:inline distT="0" distB="0" distL="0" distR="0" wp14:anchorId="41BC606C" wp14:editId="72CBDF54">
                  <wp:extent cx="2701636" cy="1751610"/>
                  <wp:effectExtent l="0" t="0" r="3810" b="1270"/>
                  <wp:docPr id="1724067097" name="Chart 1724067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BF7AB2" w:rsidRPr="00BF7AB2" w14:paraId="737187E6" w14:textId="77777777" w:rsidTr="007510DE">
        <w:trPr>
          <w:trHeight w:val="468"/>
        </w:trPr>
        <w:tc>
          <w:tcPr>
            <w:tcW w:w="9378" w:type="dxa"/>
            <w:gridSpan w:val="2"/>
          </w:tcPr>
          <w:p w14:paraId="28FC55BA" w14:textId="77777777" w:rsidR="00BF7AB2" w:rsidRPr="00BF7AB2" w:rsidRDefault="00BF7AB2" w:rsidP="00BF7AB2">
            <w:pPr>
              <w:spacing w:before="100" w:beforeAutospacing="1" w:after="100" w:afterAutospacing="1"/>
              <w:jc w:val="center"/>
              <w:rPr>
                <w:rFonts w:ascii="Arial" w:hAnsi="Arial" w:cs="Arial"/>
                <w:b/>
                <w:bCs/>
                <w:sz w:val="20"/>
                <w:szCs w:val="20"/>
                <w:lang w:eastAsia="en-IN"/>
              </w:rPr>
            </w:pPr>
            <w:r w:rsidRPr="00BF7AB2">
              <w:rPr>
                <w:rFonts w:ascii="Arial" w:hAnsi="Arial" w:cs="Arial"/>
                <w:b/>
                <w:bCs/>
                <w:sz w:val="20"/>
                <w:szCs w:val="20"/>
                <w:lang w:eastAsia="en-IN"/>
              </w:rPr>
              <w:t>Fig.1. Dissipation of topramezone in red and black soils</w:t>
            </w:r>
          </w:p>
        </w:tc>
      </w:tr>
    </w:tbl>
    <w:p w14:paraId="028C4F12" w14:textId="77777777" w:rsidR="00BF7AB2" w:rsidRDefault="00BF7AB2" w:rsidP="00BF7AB2">
      <w:pPr>
        <w:jc w:val="both"/>
        <w:rPr>
          <w:rFonts w:ascii="Arial" w:hAnsi="Arial" w:cs="Arial"/>
          <w:lang w:eastAsia="en-IN"/>
        </w:rPr>
      </w:pPr>
    </w:p>
    <w:p w14:paraId="18BB0C79" w14:textId="77777777" w:rsidR="00BF7AB2" w:rsidRDefault="00BF7AB2" w:rsidP="00BF7AB2">
      <w:pPr>
        <w:jc w:val="both"/>
        <w:rPr>
          <w:rFonts w:ascii="Arial" w:hAnsi="Arial" w:cs="Arial"/>
          <w:lang w:eastAsia="en-IN"/>
        </w:rPr>
      </w:pPr>
    </w:p>
    <w:p w14:paraId="4C35C3BF" w14:textId="77777777" w:rsidR="00BF7AB2" w:rsidRDefault="00BF7AB2" w:rsidP="00BF7AB2">
      <w:pPr>
        <w:jc w:val="both"/>
        <w:rPr>
          <w:rFonts w:ascii="Arial" w:hAnsi="Arial" w:cs="Arial"/>
          <w:lang w:eastAsia="en-IN"/>
        </w:rPr>
      </w:pPr>
    </w:p>
    <w:p w14:paraId="0DF52ED6" w14:textId="77777777" w:rsidR="00BF7AB2" w:rsidRDefault="00BF7AB2" w:rsidP="00BF7AB2">
      <w:pPr>
        <w:jc w:val="both"/>
        <w:rPr>
          <w:rFonts w:ascii="Arial" w:hAnsi="Arial" w:cs="Arial"/>
          <w:lang w:eastAsia="en-IN"/>
        </w:rPr>
      </w:pPr>
    </w:p>
    <w:p w14:paraId="65777FC2" w14:textId="795005A3" w:rsidR="00BF7AB2" w:rsidRPr="00BF7AB2" w:rsidRDefault="00BF7AB2" w:rsidP="00BF7AB2">
      <w:pPr>
        <w:jc w:val="both"/>
        <w:rPr>
          <w:rFonts w:ascii="Arial" w:hAnsi="Arial" w:cs="Arial"/>
          <w:lang w:eastAsia="en-IN"/>
        </w:rPr>
      </w:pPr>
      <w:r w:rsidRPr="00BF7AB2">
        <w:rPr>
          <w:rFonts w:ascii="Arial" w:hAnsi="Arial" w:cs="Arial"/>
          <w:lang w:eastAsia="en-IN"/>
        </w:rPr>
        <w:t>Regression of log(C</w:t>
      </w:r>
      <w:r w:rsidRPr="00BF7AB2">
        <w:rPr>
          <w:rFonts w:ascii="Cambria Math" w:hAnsi="Cambria Math" w:cs="Cambria Math"/>
          <w:lang w:eastAsia="en-IN"/>
        </w:rPr>
        <w:t>ₜ</w:t>
      </w:r>
      <w:r w:rsidRPr="00BF7AB2">
        <w:rPr>
          <w:rFonts w:ascii="Arial" w:hAnsi="Arial" w:cs="Arial"/>
          <w:lang w:eastAsia="en-IN"/>
        </w:rPr>
        <w:t>/C</w:t>
      </w:r>
      <w:r w:rsidRPr="00BF7AB2">
        <w:rPr>
          <w:rFonts w:ascii="Cambria Math" w:hAnsi="Cambria Math" w:cs="Cambria Math"/>
          <w:lang w:eastAsia="en-IN"/>
        </w:rPr>
        <w:t>₀</w:t>
      </w:r>
      <w:r w:rsidRPr="00BF7AB2">
        <w:rPr>
          <w:rFonts w:ascii="Arial" w:hAnsi="Arial" w:cs="Arial"/>
          <w:lang w:eastAsia="en-IN"/>
        </w:rPr>
        <w:t>) versus time yielded highly significant fits (R² &gt;0.97) for all treatments. The dissipation equations derived for the four conditions were as follows:</w:t>
      </w:r>
    </w:p>
    <w:p w14:paraId="346D2366" w14:textId="77777777" w:rsidR="00BF7AB2" w:rsidRPr="00BF7AB2" w:rsidRDefault="00BF7AB2" w:rsidP="00BF7AB2">
      <w:pPr>
        <w:ind w:left="1440"/>
        <w:rPr>
          <w:rFonts w:ascii="Arial" w:hAnsi="Arial" w:cs="Arial"/>
          <w:lang w:eastAsia="en-IN"/>
        </w:rPr>
      </w:pPr>
      <w:r w:rsidRPr="00BF7AB2">
        <w:rPr>
          <w:rFonts w:ascii="Arial" w:hAnsi="Arial" w:cs="Arial"/>
          <w:lang w:eastAsia="en-IN"/>
        </w:rPr>
        <w:t>Red soil (FC):</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 </w:t>
      </w:r>
      <w:r w:rsidRPr="00BF7AB2">
        <w:rPr>
          <w:rFonts w:ascii="Arial" w:hAnsi="Arial" w:cs="Arial"/>
          <w:i/>
          <w:iCs/>
          <w:lang w:eastAsia="en-IN"/>
        </w:rPr>
        <w:t>y = 87.31 e</w:t>
      </w:r>
      <w:r w:rsidRPr="00BF7AB2">
        <w:rPr>
          <w:rFonts w:ascii="Cambria Math" w:hAnsi="Cambria Math" w:cs="Cambria Math"/>
          <w:i/>
          <w:iCs/>
          <w:lang w:eastAsia="en-IN"/>
        </w:rPr>
        <w:t>⁻</w:t>
      </w:r>
      <w:r w:rsidRPr="00BF7AB2">
        <w:rPr>
          <w:rFonts w:ascii="Arial" w:hAnsi="Arial" w:cs="Arial"/>
          <w:i/>
          <w:iCs/>
          <w:lang w:eastAsia="en-IN"/>
        </w:rPr>
        <w:t>⁰·⁰⁰⁵⁷</w:t>
      </w:r>
      <w:r w:rsidRPr="00BF7AB2">
        <w:rPr>
          <w:rFonts w:ascii="Arial" w:hAnsi="Arial" w:cs="Arial"/>
          <w:i/>
          <w:iCs/>
          <w:vertAlign w:val="superscript"/>
          <w:lang w:eastAsia="en-IN"/>
        </w:rPr>
        <w:t>x</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(R² = 0.964)</w:t>
      </w:r>
      <w:r w:rsidRPr="00BF7AB2">
        <w:rPr>
          <w:rFonts w:ascii="Arial" w:hAnsi="Arial" w:cs="Arial"/>
          <w:lang w:eastAsia="en-IN"/>
        </w:rPr>
        <w:br/>
      </w:r>
      <w:r w:rsidRPr="00BF7AB2">
        <w:rPr>
          <w:rFonts w:ascii="Arial" w:hAnsi="Arial" w:cs="Arial"/>
          <w:lang w:eastAsia="en-IN"/>
        </w:rPr>
        <w:br/>
        <w:t>Black soil (FC):</w:t>
      </w:r>
      <w:r w:rsidRPr="00BF7AB2">
        <w:rPr>
          <w:rFonts w:ascii="Arial" w:hAnsi="Arial" w:cs="Arial"/>
          <w:lang w:eastAsia="en-IN"/>
        </w:rPr>
        <w:t> </w:t>
      </w:r>
      <w:r w:rsidRPr="00BF7AB2">
        <w:rPr>
          <w:rFonts w:ascii="Arial" w:hAnsi="Arial" w:cs="Arial"/>
          <w:lang w:eastAsia="en-IN"/>
        </w:rPr>
        <w:t> </w:t>
      </w:r>
      <w:r w:rsidRPr="00BF7AB2">
        <w:rPr>
          <w:rFonts w:ascii="Arial" w:hAnsi="Arial" w:cs="Arial"/>
          <w:i/>
          <w:iCs/>
          <w:lang w:eastAsia="en-IN"/>
        </w:rPr>
        <w:t>y = 89.62 e</w:t>
      </w:r>
      <w:r w:rsidRPr="00BF7AB2">
        <w:rPr>
          <w:rFonts w:ascii="Cambria Math" w:hAnsi="Cambria Math" w:cs="Cambria Math"/>
          <w:i/>
          <w:iCs/>
          <w:lang w:eastAsia="en-IN"/>
        </w:rPr>
        <w:t>⁻</w:t>
      </w:r>
      <w:r w:rsidRPr="00BF7AB2">
        <w:rPr>
          <w:rFonts w:ascii="Arial" w:hAnsi="Arial" w:cs="Arial"/>
          <w:i/>
          <w:iCs/>
          <w:lang w:eastAsia="en-IN"/>
        </w:rPr>
        <w:t>⁰·⁰⁰⁶⁹</w:t>
      </w:r>
      <w:r w:rsidRPr="00BF7AB2">
        <w:rPr>
          <w:rFonts w:ascii="Arial" w:hAnsi="Arial" w:cs="Arial"/>
          <w:i/>
          <w:iCs/>
          <w:vertAlign w:val="superscript"/>
          <w:lang w:eastAsia="en-IN"/>
        </w:rPr>
        <w:t>x</w:t>
      </w:r>
      <w:r w:rsidRPr="00BF7AB2">
        <w:rPr>
          <w:rFonts w:ascii="Arial" w:hAnsi="Arial" w:cs="Arial"/>
          <w:lang w:eastAsia="en-IN"/>
        </w:rPr>
        <w:t> </w:t>
      </w:r>
      <w:r w:rsidRPr="00BF7AB2">
        <w:rPr>
          <w:rFonts w:ascii="Arial" w:hAnsi="Arial" w:cs="Arial"/>
          <w:lang w:eastAsia="en-IN"/>
        </w:rPr>
        <w:t> </w:t>
      </w:r>
      <w:r w:rsidRPr="00BF7AB2">
        <w:rPr>
          <w:rFonts w:ascii="Arial" w:hAnsi="Arial" w:cs="Arial"/>
          <w:lang w:eastAsia="en-IN"/>
        </w:rPr>
        <w:t>(R² = 0.935)</w:t>
      </w:r>
      <w:r w:rsidRPr="00BF7AB2">
        <w:rPr>
          <w:rFonts w:ascii="Arial" w:hAnsi="Arial" w:cs="Arial"/>
          <w:lang w:eastAsia="en-IN"/>
        </w:rPr>
        <w:br/>
      </w:r>
    </w:p>
    <w:p w14:paraId="59F3C570" w14:textId="77777777" w:rsidR="00BF7AB2" w:rsidRPr="00BF7AB2" w:rsidRDefault="00BF7AB2" w:rsidP="00BF7AB2">
      <w:pPr>
        <w:spacing w:before="100" w:beforeAutospacing="1" w:after="100" w:afterAutospacing="1"/>
        <w:jc w:val="both"/>
        <w:rPr>
          <w:rFonts w:ascii="Arial" w:hAnsi="Arial" w:cs="Arial"/>
          <w:lang w:eastAsia="en-IN"/>
        </w:rPr>
      </w:pPr>
      <w:r w:rsidRPr="00BF7AB2">
        <w:rPr>
          <w:rFonts w:ascii="Arial" w:hAnsi="Arial" w:cs="Arial"/>
          <w:lang w:eastAsia="en-IN"/>
        </w:rPr>
        <w:t>The derived dissipation rate constants (</w:t>
      </w:r>
      <w:r w:rsidRPr="00BF7AB2">
        <w:rPr>
          <w:rFonts w:ascii="Arial" w:hAnsi="Arial" w:cs="Arial"/>
          <w:i/>
          <w:lang w:eastAsia="en-IN"/>
        </w:rPr>
        <w:t>k</w:t>
      </w:r>
      <w:r w:rsidRPr="00BF7AB2">
        <w:rPr>
          <w:rFonts w:ascii="Arial" w:hAnsi="Arial" w:cs="Arial"/>
          <w:lang w:eastAsia="en-IN"/>
        </w:rPr>
        <w:t xml:space="preserve">) varied between </w:t>
      </w:r>
      <w:r w:rsidRPr="00BF7AB2">
        <w:rPr>
          <w:rFonts w:ascii="Arial" w:hAnsi="Arial" w:cs="Arial"/>
          <w:bCs/>
          <w:lang w:eastAsia="en-IN"/>
        </w:rPr>
        <w:t>0.0057–0.0069 day</w:t>
      </w:r>
      <w:r w:rsidRPr="00BF7AB2">
        <w:rPr>
          <w:rFonts w:ascii="Cambria Math" w:hAnsi="Cambria Math" w:cs="Cambria Math"/>
          <w:bCs/>
          <w:lang w:eastAsia="en-IN"/>
        </w:rPr>
        <w:t>⁻</w:t>
      </w:r>
      <w:r w:rsidRPr="00BF7AB2">
        <w:rPr>
          <w:rFonts w:ascii="Arial" w:hAnsi="Arial" w:cs="Arial"/>
          <w:bCs/>
          <w:lang w:eastAsia="en-IN"/>
        </w:rPr>
        <w:t>¹</w:t>
      </w:r>
      <w:r w:rsidRPr="00BF7AB2">
        <w:rPr>
          <w:rFonts w:ascii="Arial" w:hAnsi="Arial" w:cs="Arial"/>
          <w:lang w:eastAsia="en-IN"/>
        </w:rPr>
        <w:t xml:space="preserve"> depending on soil type. The calculated </w:t>
      </w:r>
      <w:r w:rsidRPr="00BF7AB2">
        <w:rPr>
          <w:rFonts w:ascii="Arial" w:hAnsi="Arial" w:cs="Arial"/>
          <w:bCs/>
          <w:lang w:eastAsia="en-IN"/>
        </w:rPr>
        <w:t>half-lives (</w:t>
      </w:r>
      <w:r w:rsidRPr="00BF7AB2">
        <w:rPr>
          <w:rFonts w:ascii="Arial" w:hAnsi="Arial" w:cs="Arial"/>
          <w:bCs/>
          <w:i/>
          <w:lang w:eastAsia="en-IN"/>
        </w:rPr>
        <w:t>DT</w:t>
      </w:r>
      <w:r w:rsidRPr="00BF7AB2">
        <w:rPr>
          <w:rFonts w:ascii="Cambria Math" w:hAnsi="Cambria Math" w:cs="Cambria Math"/>
          <w:bCs/>
          <w:lang w:eastAsia="en-IN"/>
        </w:rPr>
        <w:t>₅₀</w:t>
      </w:r>
      <w:r w:rsidRPr="00BF7AB2">
        <w:rPr>
          <w:rFonts w:ascii="Arial" w:hAnsi="Arial" w:cs="Arial"/>
          <w:bCs/>
          <w:lang w:eastAsia="en-IN"/>
        </w:rPr>
        <w:t>)</w:t>
      </w:r>
      <w:r w:rsidRPr="00BF7AB2">
        <w:rPr>
          <w:rFonts w:ascii="Arial" w:hAnsi="Arial" w:cs="Arial"/>
          <w:lang w:eastAsia="en-IN"/>
        </w:rPr>
        <w:t xml:space="preserve"> revealed that persistence was relatively higher in red soil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 121.6 days) compared with black soil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 100.4 days). The longer </w:t>
      </w:r>
      <w:r w:rsidRPr="00BF7AB2">
        <w:rPr>
          <w:rFonts w:ascii="Arial" w:hAnsi="Arial" w:cs="Arial"/>
          <w:i/>
          <w:lang w:eastAsia="en-IN"/>
        </w:rPr>
        <w:t>DT</w:t>
      </w:r>
      <w:r w:rsidRPr="00BF7AB2">
        <w:rPr>
          <w:rFonts w:ascii="Cambria Math" w:hAnsi="Cambria Math" w:cs="Cambria Math"/>
          <w:lang w:eastAsia="en-IN"/>
        </w:rPr>
        <w:t>₅₀</w:t>
      </w:r>
      <w:r w:rsidRPr="00BF7AB2">
        <w:rPr>
          <w:rFonts w:ascii="Arial" w:hAnsi="Arial" w:cs="Arial"/>
          <w:lang w:eastAsia="en-IN"/>
        </w:rPr>
        <w:t xml:space="preserve"> values under low moisture levels present in red soils indicate that </w:t>
      </w:r>
      <w:r w:rsidRPr="00BF7AB2">
        <w:rPr>
          <w:rFonts w:ascii="Arial" w:hAnsi="Arial" w:cs="Arial"/>
          <w:bCs/>
          <w:lang w:eastAsia="en-IN"/>
        </w:rPr>
        <w:t>microbial degradation</w:t>
      </w:r>
      <w:r w:rsidRPr="00BF7AB2">
        <w:rPr>
          <w:rFonts w:ascii="Arial" w:hAnsi="Arial" w:cs="Arial"/>
          <w:lang w:eastAsia="en-IN"/>
        </w:rPr>
        <w:t>, the dominant dissipation pathway for topramezone (US EPA, 2013), was limited under drier conditions due to reduced microbial activity.</w:t>
      </w:r>
    </w:p>
    <w:p w14:paraId="77EA3B2B"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The higher persistence in red soil compared with black soil may be attributed to its lower clay and organic carbon content, which limits microbial colonization and enzymatic degradation potential, even though sorption was relatively stronger. In contrast, the slightly higher clay in black soil may enhance microbial proliferation, promoting faster degradation. Similar soil-type effects on dissipation of HPPD-inhibiting herbicides have been reported for </w:t>
      </w:r>
      <w:proofErr w:type="spellStart"/>
      <w:r w:rsidRPr="00BF7AB2">
        <w:rPr>
          <w:rFonts w:ascii="Arial" w:hAnsi="Arial" w:cs="Arial"/>
          <w:bCs/>
          <w:lang w:eastAsia="en-IN"/>
        </w:rPr>
        <w:t>mesotrione</w:t>
      </w:r>
      <w:proofErr w:type="spellEnd"/>
      <w:r w:rsidRPr="00BF7AB2">
        <w:rPr>
          <w:rFonts w:ascii="Arial" w:hAnsi="Arial" w:cs="Arial"/>
          <w:lang w:eastAsia="en-IN"/>
        </w:rPr>
        <w:t xml:space="preserve"> and </w:t>
      </w:r>
      <w:proofErr w:type="spellStart"/>
      <w:r w:rsidRPr="00BF7AB2">
        <w:rPr>
          <w:rFonts w:ascii="Arial" w:hAnsi="Arial" w:cs="Arial"/>
          <w:bCs/>
          <w:lang w:eastAsia="en-IN"/>
        </w:rPr>
        <w:t>tembotrione</w:t>
      </w:r>
      <w:proofErr w:type="spellEnd"/>
      <w:r w:rsidRPr="00BF7AB2">
        <w:rPr>
          <w:rFonts w:ascii="Arial" w:hAnsi="Arial" w:cs="Arial"/>
          <w:lang w:eastAsia="en-IN"/>
        </w:rPr>
        <w:t xml:space="preserve"> by </w:t>
      </w:r>
      <w:proofErr w:type="spellStart"/>
      <w:r w:rsidRPr="00BF7AB2">
        <w:rPr>
          <w:rFonts w:ascii="Arial" w:hAnsi="Arial" w:cs="Arial"/>
          <w:bCs/>
          <w:lang w:eastAsia="en-IN"/>
        </w:rPr>
        <w:t>Pusino</w:t>
      </w:r>
      <w:proofErr w:type="spellEnd"/>
      <w:r w:rsidRPr="00BF7AB2">
        <w:rPr>
          <w:rFonts w:ascii="Arial" w:hAnsi="Arial" w:cs="Arial"/>
          <w:b/>
          <w:bCs/>
          <w:lang w:eastAsia="en-IN"/>
        </w:rPr>
        <w:t xml:space="preserve"> </w:t>
      </w:r>
      <w:r w:rsidRPr="00BF7AB2">
        <w:rPr>
          <w:rFonts w:ascii="Arial" w:hAnsi="Arial" w:cs="Arial"/>
          <w:bCs/>
          <w:i/>
          <w:iCs/>
          <w:lang w:eastAsia="en-IN"/>
        </w:rPr>
        <w:t>et al.,</w:t>
      </w:r>
      <w:r w:rsidRPr="00BF7AB2">
        <w:rPr>
          <w:rFonts w:ascii="Arial" w:hAnsi="Arial" w:cs="Arial"/>
          <w:bCs/>
          <w:lang w:eastAsia="en-IN"/>
        </w:rPr>
        <w:t xml:space="preserve"> 2010</w:t>
      </w:r>
      <w:r w:rsidRPr="00BF7AB2">
        <w:rPr>
          <w:rFonts w:ascii="Arial" w:hAnsi="Arial" w:cs="Arial"/>
          <w:lang w:eastAsia="en-IN"/>
        </w:rPr>
        <w:t xml:space="preserve"> and </w:t>
      </w:r>
      <w:r w:rsidRPr="00BF7AB2">
        <w:rPr>
          <w:rFonts w:ascii="Arial" w:hAnsi="Arial" w:cs="Arial"/>
          <w:bCs/>
          <w:lang w:eastAsia="en-IN"/>
        </w:rPr>
        <w:t>Hollaway</w:t>
      </w:r>
      <w:r w:rsidRPr="00BF7AB2">
        <w:rPr>
          <w:rFonts w:ascii="Arial" w:hAnsi="Arial" w:cs="Arial"/>
          <w:b/>
          <w:bCs/>
          <w:lang w:eastAsia="en-IN"/>
        </w:rPr>
        <w:t xml:space="preserve"> </w:t>
      </w:r>
      <w:r w:rsidRPr="00BF7AB2">
        <w:rPr>
          <w:rFonts w:ascii="Arial" w:hAnsi="Arial" w:cs="Arial"/>
          <w:bCs/>
          <w:i/>
          <w:iCs/>
          <w:lang w:eastAsia="en-IN"/>
        </w:rPr>
        <w:t>et al.,</w:t>
      </w:r>
      <w:r w:rsidRPr="00BF7AB2">
        <w:rPr>
          <w:rFonts w:ascii="Arial" w:hAnsi="Arial" w:cs="Arial"/>
          <w:bCs/>
          <w:lang w:eastAsia="en-IN"/>
        </w:rPr>
        <w:t xml:space="preserve"> 2013</w:t>
      </w:r>
      <w:r w:rsidRPr="00BF7AB2">
        <w:rPr>
          <w:rFonts w:ascii="Arial" w:hAnsi="Arial" w:cs="Arial"/>
          <w:lang w:eastAsia="en-IN"/>
        </w:rPr>
        <w:t>, who observed slower degradation under dry or low-temperature conditions and more rapid loss under moist, aerobic environments.</w:t>
      </w:r>
    </w:p>
    <w:p w14:paraId="6FECC685" w14:textId="77777777" w:rsidR="00BF7AB2" w:rsidRPr="00BF7AB2" w:rsidRDefault="00BF7AB2" w:rsidP="00BF7AB2">
      <w:pPr>
        <w:spacing w:before="100" w:beforeAutospacing="1" w:after="100" w:afterAutospacing="1"/>
        <w:ind w:firstLine="720"/>
        <w:jc w:val="both"/>
        <w:rPr>
          <w:rFonts w:ascii="Arial" w:hAnsi="Arial" w:cs="Arial"/>
          <w:lang w:eastAsia="en-IN"/>
        </w:rPr>
      </w:pPr>
      <w:r w:rsidRPr="00BF7AB2">
        <w:rPr>
          <w:rFonts w:ascii="Arial" w:hAnsi="Arial" w:cs="Arial"/>
          <w:lang w:eastAsia="en-IN"/>
        </w:rPr>
        <w:t xml:space="preserve">Topramezone’s relatively prolonged persistence observed in this study is consistent with earlier reports from temperate regions, where aerobic soil half-lives ranged from </w:t>
      </w:r>
      <w:r w:rsidRPr="00BF7AB2">
        <w:rPr>
          <w:rFonts w:ascii="Arial" w:hAnsi="Arial" w:cs="Arial"/>
          <w:bCs/>
          <w:lang w:eastAsia="en-IN"/>
        </w:rPr>
        <w:t>125 to 365 days</w:t>
      </w:r>
      <w:r w:rsidRPr="00BF7AB2">
        <w:rPr>
          <w:rFonts w:ascii="Arial" w:hAnsi="Arial" w:cs="Arial"/>
          <w:lang w:eastAsia="en-IN"/>
        </w:rPr>
        <w:t xml:space="preserve"> depending on soil texture and organic matter (EFSA, 2014; </w:t>
      </w:r>
      <w:proofErr w:type="spellStart"/>
      <w:r w:rsidRPr="00BF7AB2">
        <w:rPr>
          <w:rFonts w:ascii="Arial" w:hAnsi="Arial" w:cs="Arial"/>
          <w:lang w:eastAsia="en-IN"/>
        </w:rPr>
        <w:t>Ramanatham</w:t>
      </w:r>
      <w:proofErr w:type="spellEnd"/>
      <w:r w:rsidRPr="00BF7AB2">
        <w:rPr>
          <w:rFonts w:ascii="Arial" w:hAnsi="Arial" w:cs="Arial"/>
          <w:lang w:eastAsia="en-IN"/>
        </w:rPr>
        <w:t xml:space="preserve"> et al, 2022). The persistence values obtained under Telangana conditions thus confirm its potential for </w:t>
      </w:r>
      <w:r w:rsidRPr="00BF7AB2">
        <w:rPr>
          <w:rFonts w:ascii="Arial" w:hAnsi="Arial" w:cs="Arial"/>
          <w:bCs/>
          <w:lang w:eastAsia="en-IN"/>
        </w:rPr>
        <w:t>carryover and residual phytotoxicity</w:t>
      </w:r>
      <w:r w:rsidRPr="00BF7AB2">
        <w:rPr>
          <w:rFonts w:ascii="Arial" w:hAnsi="Arial" w:cs="Arial"/>
          <w:lang w:eastAsia="en-IN"/>
        </w:rPr>
        <w:t xml:space="preserve">, especially in rotational crops such as pearl millet and sorghum. The findings reinforce that environmental variables, particularly soil moisture and temperature, strongly influence degradation kinetics of weakly acidic, HPPD-inhibiting herbicides (Zanella </w:t>
      </w:r>
      <w:r w:rsidRPr="00BF7AB2">
        <w:rPr>
          <w:rFonts w:ascii="Arial" w:hAnsi="Arial" w:cs="Arial"/>
          <w:i/>
          <w:iCs/>
          <w:lang w:eastAsia="en-IN"/>
        </w:rPr>
        <w:t>et al.,</w:t>
      </w:r>
      <w:r w:rsidRPr="00BF7AB2">
        <w:rPr>
          <w:rFonts w:ascii="Arial" w:hAnsi="Arial" w:cs="Arial"/>
          <w:lang w:eastAsia="en-IN"/>
        </w:rPr>
        <w:t xml:space="preserve"> 2011; </w:t>
      </w:r>
      <w:proofErr w:type="spellStart"/>
      <w:r w:rsidRPr="00BF7AB2">
        <w:rPr>
          <w:rFonts w:ascii="Arial" w:hAnsi="Arial" w:cs="Arial"/>
          <w:lang w:eastAsia="en-IN"/>
        </w:rPr>
        <w:t>Mervosh</w:t>
      </w:r>
      <w:proofErr w:type="spellEnd"/>
      <w:r w:rsidRPr="00BF7AB2">
        <w:rPr>
          <w:rFonts w:ascii="Arial" w:hAnsi="Arial" w:cs="Arial"/>
          <w:lang w:eastAsia="en-IN"/>
        </w:rPr>
        <w:t xml:space="preserve"> </w:t>
      </w:r>
      <w:r w:rsidRPr="00BF7AB2">
        <w:rPr>
          <w:rFonts w:ascii="Arial" w:hAnsi="Arial" w:cs="Arial"/>
          <w:i/>
          <w:iCs/>
          <w:lang w:eastAsia="en-IN"/>
        </w:rPr>
        <w:t>et al.,</w:t>
      </w:r>
      <w:r w:rsidRPr="00BF7AB2">
        <w:rPr>
          <w:rFonts w:ascii="Arial" w:hAnsi="Arial" w:cs="Arial"/>
          <w:lang w:eastAsia="en-IN"/>
        </w:rPr>
        <w:t xml:space="preserve"> 2016). Consequently, management strategies </w:t>
      </w:r>
      <w:r w:rsidRPr="00BF7AB2">
        <w:rPr>
          <w:rFonts w:ascii="Arial" w:hAnsi="Arial" w:cs="Arial"/>
          <w:lang w:eastAsia="en-IN"/>
        </w:rPr>
        <w:lastRenderedPageBreak/>
        <w:t>involving proper irrigation scheduling and rotation planning are essential to minimize the risk of residual injury from topramezone residues in tropical agroecosystems.</w:t>
      </w:r>
    </w:p>
    <w:p w14:paraId="06D0B359" w14:textId="77777777" w:rsidR="00B01FCD" w:rsidRPr="00571CE3" w:rsidRDefault="00000F8F" w:rsidP="00441B6F">
      <w:pPr>
        <w:pStyle w:val="ConcHead"/>
        <w:spacing w:after="0"/>
        <w:jc w:val="both"/>
        <w:rPr>
          <w:rFonts w:ascii="Arial" w:hAnsi="Arial" w:cs="Arial"/>
        </w:rPr>
      </w:pPr>
      <w:r w:rsidRPr="00571CE3">
        <w:rPr>
          <w:rFonts w:ascii="Arial" w:hAnsi="Arial" w:cs="Arial"/>
        </w:rPr>
        <w:t xml:space="preserve">4. </w:t>
      </w:r>
      <w:r w:rsidR="00B01FCD" w:rsidRPr="00571CE3">
        <w:rPr>
          <w:rFonts w:ascii="Arial" w:hAnsi="Arial" w:cs="Arial"/>
        </w:rPr>
        <w:t>Conclusion</w:t>
      </w:r>
    </w:p>
    <w:p w14:paraId="0F7D2125" w14:textId="77777777" w:rsidR="00790ADA" w:rsidRPr="00571CE3" w:rsidRDefault="00790ADA" w:rsidP="00441B6F">
      <w:pPr>
        <w:pStyle w:val="ConcHead"/>
        <w:spacing w:after="0"/>
        <w:jc w:val="both"/>
        <w:rPr>
          <w:rFonts w:ascii="Arial" w:hAnsi="Arial" w:cs="Arial"/>
        </w:rPr>
      </w:pPr>
    </w:p>
    <w:p w14:paraId="24587421" w14:textId="7B5EFEDE" w:rsidR="00BF7AB2" w:rsidRPr="00BF7AB2" w:rsidRDefault="00BF7AB2" w:rsidP="00BF7AB2">
      <w:pPr>
        <w:pStyle w:val="NormalWeb"/>
        <w:jc w:val="both"/>
        <w:rPr>
          <w:rFonts w:ascii="Arial" w:hAnsi="Arial" w:cs="Arial"/>
          <w:sz w:val="20"/>
          <w:szCs w:val="20"/>
        </w:rPr>
      </w:pPr>
      <w:r w:rsidRPr="00BF7AB2">
        <w:rPr>
          <w:rFonts w:ascii="Arial" w:hAnsi="Arial" w:cs="Arial"/>
          <w:sz w:val="20"/>
          <w:szCs w:val="20"/>
        </w:rPr>
        <w:t xml:space="preserve">Topramezone dissipated according to first-order kinetics in both Telangana soils, with high model fit (R² &gt; 0.97), </w:t>
      </w:r>
      <w:r w:rsidRPr="00BF7AB2">
        <w:rPr>
          <w:rFonts w:ascii="Arial" w:hAnsi="Arial" w:cs="Arial"/>
          <w:i/>
          <w:sz w:val="20"/>
          <w:szCs w:val="20"/>
        </w:rPr>
        <w:t>k</w:t>
      </w:r>
      <w:r w:rsidRPr="00BF7AB2">
        <w:rPr>
          <w:rFonts w:ascii="Arial" w:hAnsi="Arial" w:cs="Arial"/>
          <w:sz w:val="20"/>
          <w:szCs w:val="20"/>
        </w:rPr>
        <w:t xml:space="preserve"> = 0.0057–0.0069 day</w:t>
      </w:r>
      <w:r w:rsidRPr="00BF7AB2">
        <w:rPr>
          <w:rFonts w:ascii="Cambria Math" w:hAnsi="Cambria Math" w:cs="Cambria Math"/>
          <w:sz w:val="20"/>
          <w:szCs w:val="20"/>
        </w:rPr>
        <w:t>⁻</w:t>
      </w:r>
      <w:r w:rsidRPr="00BF7AB2">
        <w:rPr>
          <w:rFonts w:ascii="Arial" w:hAnsi="Arial" w:cs="Arial"/>
          <w:sz w:val="20"/>
          <w:szCs w:val="20"/>
        </w:rPr>
        <w:t>¹, DT</w:t>
      </w:r>
      <w:r w:rsidRPr="00BF7AB2">
        <w:rPr>
          <w:rFonts w:ascii="Cambria Math" w:hAnsi="Cambria Math" w:cs="Cambria Math"/>
          <w:sz w:val="20"/>
          <w:szCs w:val="20"/>
        </w:rPr>
        <w:t>₅₀</w:t>
      </w:r>
      <w:r w:rsidRPr="00BF7AB2">
        <w:rPr>
          <w:rFonts w:ascii="Arial" w:hAnsi="Arial" w:cs="Arial"/>
          <w:sz w:val="20"/>
          <w:szCs w:val="20"/>
        </w:rPr>
        <w:t xml:space="preserve"> ≈ 122 days (red) and 100 days (black), and DT</w:t>
      </w:r>
      <w:r w:rsidRPr="00BF7AB2">
        <w:rPr>
          <w:rFonts w:ascii="Cambria Math" w:hAnsi="Cambria Math" w:cs="Cambria Math"/>
          <w:sz w:val="20"/>
          <w:szCs w:val="20"/>
        </w:rPr>
        <w:t>₉₀</w:t>
      </w:r>
      <w:r w:rsidRPr="00BF7AB2">
        <w:rPr>
          <w:rFonts w:ascii="Arial" w:hAnsi="Arial" w:cs="Arial"/>
          <w:sz w:val="20"/>
          <w:szCs w:val="20"/>
        </w:rPr>
        <w:t xml:space="preserve"> ≈ 404 and 334 days, respectively. Greater persistence in the red soil indicates moisture-limited microbial degradation, whereas the black soil’s shorter half-life values reflect more favourable biodegradation conditions. Coupled with weak-acid behaviour and reduced sorption at higher pH, this kinetics imply meaningful leaching potential in neutral–alkaline soils. Management should prioritise irrigation scheduling, conservative rotation intervals for sensitive crops, and residue surveillance. GUS screening using measured DT</w:t>
      </w:r>
      <w:r w:rsidRPr="00BF7AB2">
        <w:rPr>
          <w:rFonts w:ascii="Cambria Math" w:hAnsi="Cambria Math" w:cs="Cambria Math"/>
          <w:sz w:val="20"/>
          <w:szCs w:val="20"/>
        </w:rPr>
        <w:t>₅₀</w:t>
      </w:r>
      <w:r w:rsidRPr="00BF7AB2">
        <w:rPr>
          <w:rFonts w:ascii="Arial" w:hAnsi="Arial" w:cs="Arial"/>
          <w:sz w:val="20"/>
          <w:szCs w:val="20"/>
        </w:rPr>
        <w:t xml:space="preserve"> and </w:t>
      </w:r>
      <w:r w:rsidRPr="00BF7AB2">
        <w:rPr>
          <w:rFonts w:ascii="Arial" w:hAnsi="Arial" w:cs="Arial"/>
          <w:i/>
          <w:sz w:val="20"/>
          <w:szCs w:val="20"/>
        </w:rPr>
        <w:t>Koc</w:t>
      </w:r>
      <w:r w:rsidRPr="00BF7AB2">
        <w:rPr>
          <w:rFonts w:ascii="Arial" w:hAnsi="Arial" w:cs="Arial"/>
          <w:sz w:val="20"/>
          <w:szCs w:val="20"/>
        </w:rPr>
        <w:t xml:space="preserve"> offers a practical, soil-specific basis for leachability risk assessment</w:t>
      </w:r>
    </w:p>
    <w:p w14:paraId="2589B723" w14:textId="77777777" w:rsidR="00790ADA" w:rsidRPr="00571CE3" w:rsidRDefault="00790ADA" w:rsidP="00441B6F">
      <w:pPr>
        <w:pStyle w:val="AcknHead"/>
        <w:spacing w:after="0"/>
        <w:jc w:val="both"/>
        <w:rPr>
          <w:rFonts w:ascii="Arial" w:hAnsi="Arial" w:cs="Arial"/>
        </w:rPr>
      </w:pPr>
      <w:bookmarkStart w:id="0" w:name="_GoBack"/>
      <w:bookmarkEnd w:id="0"/>
    </w:p>
    <w:p w14:paraId="0E4558F2" w14:textId="77777777" w:rsidR="00B01FCD" w:rsidRPr="00571CE3" w:rsidRDefault="00B01FCD" w:rsidP="00441B6F">
      <w:pPr>
        <w:pStyle w:val="ReferHead"/>
        <w:spacing w:after="0"/>
        <w:jc w:val="both"/>
        <w:rPr>
          <w:rFonts w:ascii="Arial" w:hAnsi="Arial" w:cs="Arial"/>
        </w:rPr>
      </w:pPr>
      <w:r w:rsidRPr="00571CE3">
        <w:rPr>
          <w:rFonts w:ascii="Arial" w:hAnsi="Arial" w:cs="Arial"/>
        </w:rPr>
        <w:t>References</w:t>
      </w:r>
    </w:p>
    <w:p w14:paraId="54E8894B" w14:textId="77777777" w:rsidR="00136701" w:rsidRPr="00571CE3" w:rsidRDefault="00136701" w:rsidP="00136701">
      <w:pPr>
        <w:pStyle w:val="Body"/>
        <w:spacing w:after="0"/>
        <w:rPr>
          <w:rFonts w:ascii="Arial" w:hAnsi="Arial" w:cs="Arial"/>
        </w:rPr>
      </w:pPr>
    </w:p>
    <w:p w14:paraId="660BB075" w14:textId="2CCD3972"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APVMA. </w:t>
      </w:r>
      <w:r w:rsidR="005458A1" w:rsidRPr="007402E4">
        <w:rPr>
          <w:rFonts w:ascii="Arial" w:hAnsi="Arial" w:cs="Arial"/>
          <w:lang w:eastAsia="en-IN"/>
        </w:rPr>
        <w:t>(</w:t>
      </w:r>
      <w:r w:rsidRPr="007402E4">
        <w:rPr>
          <w:rFonts w:ascii="Arial" w:hAnsi="Arial" w:cs="Arial"/>
          <w:lang w:eastAsia="en-IN"/>
        </w:rPr>
        <w:t>2019</w:t>
      </w:r>
      <w:r w:rsidR="005458A1" w:rsidRPr="007402E4">
        <w:rPr>
          <w:rFonts w:ascii="Arial" w:hAnsi="Arial" w:cs="Arial"/>
          <w:lang w:eastAsia="en-IN"/>
        </w:rPr>
        <w:t>)</w:t>
      </w:r>
      <w:r w:rsidRPr="007402E4">
        <w:rPr>
          <w:rFonts w:ascii="Arial" w:hAnsi="Arial" w:cs="Arial"/>
          <w:lang w:eastAsia="en-IN"/>
        </w:rPr>
        <w:t>. Public release summary on evaluation of the new active constituent topramezone in the product “Frequency Herbicide.” Australian Pesticides and Veterinary Medicines Authority, Canberra.</w:t>
      </w:r>
    </w:p>
    <w:p w14:paraId="697D5CC1" w14:textId="107861BF"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Baumann, P.A., </w:t>
      </w:r>
      <w:proofErr w:type="spellStart"/>
      <w:r w:rsidRPr="007402E4">
        <w:rPr>
          <w:rFonts w:ascii="Arial" w:hAnsi="Arial" w:cs="Arial"/>
          <w:lang w:eastAsia="en-IN"/>
        </w:rPr>
        <w:t>Dotray</w:t>
      </w:r>
      <w:proofErr w:type="spellEnd"/>
      <w:r w:rsidRPr="007402E4">
        <w:rPr>
          <w:rFonts w:ascii="Arial" w:hAnsi="Arial" w:cs="Arial"/>
          <w:lang w:eastAsia="en-IN"/>
        </w:rPr>
        <w:t>, P.A</w:t>
      </w:r>
      <w:r w:rsidR="00530D85" w:rsidRPr="007402E4">
        <w:rPr>
          <w:rFonts w:ascii="Arial" w:hAnsi="Arial" w:cs="Arial"/>
          <w:lang w:eastAsia="en-IN"/>
        </w:rPr>
        <w:t>, &amp;</w:t>
      </w:r>
      <w:r w:rsidRPr="007402E4">
        <w:rPr>
          <w:rFonts w:ascii="Arial" w:hAnsi="Arial" w:cs="Arial"/>
          <w:lang w:eastAsia="en-IN"/>
        </w:rPr>
        <w:t xml:space="preserve"> McGinty, J.A. </w:t>
      </w:r>
      <w:r w:rsidR="005458A1" w:rsidRPr="007402E4">
        <w:rPr>
          <w:rFonts w:ascii="Arial" w:hAnsi="Arial" w:cs="Arial"/>
          <w:lang w:eastAsia="en-IN"/>
        </w:rPr>
        <w:t>(</w:t>
      </w:r>
      <w:r w:rsidRPr="007402E4">
        <w:rPr>
          <w:rFonts w:ascii="Arial" w:hAnsi="Arial" w:cs="Arial"/>
          <w:lang w:eastAsia="en-IN"/>
        </w:rPr>
        <w:t>2014</w:t>
      </w:r>
      <w:r w:rsidR="005458A1" w:rsidRPr="007402E4">
        <w:rPr>
          <w:rFonts w:ascii="Arial" w:hAnsi="Arial" w:cs="Arial"/>
          <w:lang w:eastAsia="en-IN"/>
        </w:rPr>
        <w:t>)</w:t>
      </w:r>
      <w:r w:rsidRPr="007402E4">
        <w:rPr>
          <w:rFonts w:ascii="Arial" w:hAnsi="Arial" w:cs="Arial"/>
          <w:lang w:eastAsia="en-IN"/>
        </w:rPr>
        <w:t xml:space="preserve">. Environmental </w:t>
      </w:r>
      <w:proofErr w:type="spellStart"/>
      <w:r w:rsidRPr="007402E4">
        <w:rPr>
          <w:rFonts w:ascii="Arial" w:hAnsi="Arial" w:cs="Arial"/>
          <w:lang w:eastAsia="en-IN"/>
        </w:rPr>
        <w:t>behaviour</w:t>
      </w:r>
      <w:proofErr w:type="spellEnd"/>
      <w:r w:rsidRPr="007402E4">
        <w:rPr>
          <w:rFonts w:ascii="Arial" w:hAnsi="Arial" w:cs="Arial"/>
          <w:lang w:eastAsia="en-IN"/>
        </w:rPr>
        <w:t xml:space="preserve"> and mobility of HPPD-inhibiting herbicides. </w:t>
      </w:r>
      <w:r w:rsidRPr="007402E4">
        <w:rPr>
          <w:rFonts w:ascii="Arial" w:hAnsi="Arial" w:cs="Arial"/>
          <w:i/>
          <w:iCs/>
          <w:lang w:eastAsia="en-IN"/>
        </w:rPr>
        <w:t xml:space="preserve">Weed Technology, </w:t>
      </w:r>
      <w:r w:rsidRPr="007402E4">
        <w:rPr>
          <w:rFonts w:ascii="Arial" w:hAnsi="Arial" w:cs="Arial"/>
          <w:lang w:eastAsia="en-IN"/>
        </w:rPr>
        <w:t>28</w:t>
      </w:r>
      <w:r w:rsidR="005458A1" w:rsidRPr="007402E4">
        <w:rPr>
          <w:rFonts w:ascii="Arial" w:hAnsi="Arial" w:cs="Arial"/>
          <w:lang w:eastAsia="en-IN"/>
        </w:rPr>
        <w:t>,</w:t>
      </w:r>
      <w:r w:rsidRPr="007402E4">
        <w:rPr>
          <w:rFonts w:ascii="Arial" w:hAnsi="Arial" w:cs="Arial"/>
          <w:lang w:eastAsia="en-IN"/>
        </w:rPr>
        <w:t xml:space="preserve"> 356–364.</w:t>
      </w:r>
    </w:p>
    <w:p w14:paraId="095C59AB" w14:textId="2C851163" w:rsidR="00BF7AB2" w:rsidRPr="007402E4" w:rsidRDefault="00130A1B"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European Food Safety Authority. (2014). Conclusion on the peer review of the pesticide risk assessment of the active substance topramezone. EFSA Journal, 12(2), 3540. </w:t>
      </w:r>
      <w:hyperlink r:id="rId16" w:history="1">
        <w:r w:rsidRPr="007402E4">
          <w:rPr>
            <w:rStyle w:val="Hyperlink"/>
            <w:rFonts w:ascii="Arial" w:hAnsi="Arial" w:cs="Arial"/>
            <w:lang w:eastAsia="en-IN"/>
          </w:rPr>
          <w:t>https://doi.org/10.2903/j.efsa.2014.3540</w:t>
        </w:r>
      </w:hyperlink>
      <w:r w:rsidRPr="007402E4">
        <w:rPr>
          <w:rFonts w:ascii="Arial" w:hAnsi="Arial" w:cs="Arial"/>
          <w:lang w:eastAsia="en-IN"/>
        </w:rPr>
        <w:t xml:space="preserve"> </w:t>
      </w:r>
    </w:p>
    <w:p w14:paraId="36E8AAC5" w14:textId="3AE015FB" w:rsidR="00BF7AB2" w:rsidRPr="007402E4" w:rsidRDefault="001D4EBC" w:rsidP="007402E4">
      <w:pPr>
        <w:spacing w:before="100" w:beforeAutospacing="1" w:after="100" w:afterAutospacing="1"/>
        <w:jc w:val="both"/>
        <w:rPr>
          <w:rFonts w:ascii="Arial" w:hAnsi="Arial" w:cs="Arial"/>
          <w:lang w:eastAsia="en-IN"/>
        </w:rPr>
      </w:pPr>
      <w:r w:rsidRPr="007402E4">
        <w:rPr>
          <w:rFonts w:ascii="Arial" w:hAnsi="Arial" w:cs="Arial"/>
        </w:rPr>
        <w:t xml:space="preserve">Gustafson, D. I. (1989). Groundwater ubiquity score: A simple method for assessing pesticide leachability. Environmental Toxicology and Chemistry, 8(4), 339–357. </w:t>
      </w:r>
      <w:hyperlink r:id="rId17" w:history="1">
        <w:r w:rsidRPr="007402E4">
          <w:rPr>
            <w:rStyle w:val="Hyperlink"/>
            <w:rFonts w:ascii="Arial" w:hAnsi="Arial" w:cs="Arial"/>
          </w:rPr>
          <w:t>https://doi.org/10.1002/etc.5620080411</w:t>
        </w:r>
      </w:hyperlink>
      <w:r w:rsidRPr="007402E4">
        <w:rPr>
          <w:rFonts w:ascii="Arial" w:hAnsi="Arial" w:cs="Arial"/>
        </w:rPr>
        <w:t xml:space="preserve"> </w:t>
      </w:r>
      <w:r w:rsidR="00BF7AB2" w:rsidRPr="007402E4">
        <w:rPr>
          <w:rFonts w:ascii="Arial" w:hAnsi="Arial" w:cs="Arial"/>
        </w:rPr>
        <w:t xml:space="preserve"> </w:t>
      </w:r>
    </w:p>
    <w:p w14:paraId="16EC2382" w14:textId="739723EB"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Hollaway, K.L., Walker, S.R</w:t>
      </w:r>
      <w:r w:rsidR="00530D85" w:rsidRPr="007402E4">
        <w:rPr>
          <w:rFonts w:ascii="Arial" w:hAnsi="Arial" w:cs="Arial"/>
          <w:lang w:eastAsia="en-IN"/>
        </w:rPr>
        <w:t>, &amp;</w:t>
      </w:r>
      <w:r w:rsidRPr="007402E4">
        <w:rPr>
          <w:rFonts w:ascii="Arial" w:hAnsi="Arial" w:cs="Arial"/>
          <w:lang w:eastAsia="en-IN"/>
        </w:rPr>
        <w:t xml:space="preserve"> Preston, C. </w:t>
      </w:r>
      <w:r w:rsidR="00530D85" w:rsidRPr="007402E4">
        <w:rPr>
          <w:rFonts w:ascii="Arial" w:hAnsi="Arial" w:cs="Arial"/>
          <w:lang w:eastAsia="en-IN"/>
        </w:rPr>
        <w:t>(</w:t>
      </w:r>
      <w:r w:rsidRPr="007402E4">
        <w:rPr>
          <w:rFonts w:ascii="Arial" w:hAnsi="Arial" w:cs="Arial"/>
          <w:lang w:eastAsia="en-IN"/>
        </w:rPr>
        <w:t>2013</w:t>
      </w:r>
      <w:r w:rsidR="00530D85" w:rsidRPr="007402E4">
        <w:rPr>
          <w:rFonts w:ascii="Arial" w:hAnsi="Arial" w:cs="Arial"/>
          <w:lang w:eastAsia="en-IN"/>
        </w:rPr>
        <w:t>)</w:t>
      </w:r>
      <w:r w:rsidRPr="007402E4">
        <w:rPr>
          <w:rFonts w:ascii="Arial" w:hAnsi="Arial" w:cs="Arial"/>
          <w:lang w:eastAsia="en-IN"/>
        </w:rPr>
        <w:t xml:space="preserve">. Influence of soil pH and organic carbon on sorption and degradation of </w:t>
      </w:r>
      <w:proofErr w:type="spellStart"/>
      <w:r w:rsidRPr="007402E4">
        <w:rPr>
          <w:rFonts w:ascii="Arial" w:hAnsi="Arial" w:cs="Arial"/>
          <w:lang w:eastAsia="en-IN"/>
        </w:rPr>
        <w:t>mesotrione</w:t>
      </w:r>
      <w:proofErr w:type="spellEnd"/>
      <w:r w:rsidRPr="007402E4">
        <w:rPr>
          <w:rFonts w:ascii="Arial" w:hAnsi="Arial" w:cs="Arial"/>
          <w:lang w:eastAsia="en-IN"/>
        </w:rPr>
        <w:t xml:space="preserve"> and </w:t>
      </w:r>
      <w:proofErr w:type="spellStart"/>
      <w:r w:rsidRPr="007402E4">
        <w:rPr>
          <w:rFonts w:ascii="Arial" w:hAnsi="Arial" w:cs="Arial"/>
          <w:lang w:eastAsia="en-IN"/>
        </w:rPr>
        <w:t>tembotrione</w:t>
      </w:r>
      <w:proofErr w:type="spellEnd"/>
      <w:r w:rsidRPr="007402E4">
        <w:rPr>
          <w:rFonts w:ascii="Arial" w:hAnsi="Arial" w:cs="Arial"/>
          <w:lang w:eastAsia="en-IN"/>
        </w:rPr>
        <w:t xml:space="preserve">. </w:t>
      </w:r>
      <w:r w:rsidRPr="007402E4">
        <w:rPr>
          <w:rFonts w:ascii="Arial" w:hAnsi="Arial" w:cs="Arial"/>
          <w:i/>
          <w:iCs/>
          <w:lang w:eastAsia="en-IN"/>
        </w:rPr>
        <w:t>Pest Management Science</w:t>
      </w:r>
      <w:r w:rsidR="00530D85" w:rsidRPr="007402E4">
        <w:rPr>
          <w:rFonts w:ascii="Arial" w:hAnsi="Arial" w:cs="Arial"/>
          <w:lang w:eastAsia="en-IN"/>
        </w:rPr>
        <w:t>.</w:t>
      </w:r>
      <w:r w:rsidRPr="007402E4">
        <w:rPr>
          <w:rFonts w:ascii="Arial" w:hAnsi="Arial" w:cs="Arial"/>
          <w:lang w:eastAsia="en-IN"/>
        </w:rPr>
        <w:t xml:space="preserve"> 69</w:t>
      </w:r>
      <w:r w:rsidR="00530D85" w:rsidRPr="007402E4">
        <w:rPr>
          <w:rFonts w:ascii="Arial" w:hAnsi="Arial" w:cs="Arial"/>
          <w:lang w:eastAsia="en-IN"/>
        </w:rPr>
        <w:t>,</w:t>
      </w:r>
      <w:r w:rsidRPr="007402E4">
        <w:rPr>
          <w:rFonts w:ascii="Arial" w:hAnsi="Arial" w:cs="Arial"/>
          <w:lang w:eastAsia="en-IN"/>
        </w:rPr>
        <w:t xml:space="preserve"> 1492–1498.</w:t>
      </w:r>
    </w:p>
    <w:p w14:paraId="7C1AE0D4" w14:textId="16BF8237" w:rsidR="00BF7AB2" w:rsidRPr="007402E4" w:rsidRDefault="008443F3" w:rsidP="007402E4">
      <w:pPr>
        <w:spacing w:before="100" w:beforeAutospacing="1" w:after="100" w:afterAutospacing="1"/>
        <w:jc w:val="both"/>
        <w:rPr>
          <w:rFonts w:ascii="Arial" w:hAnsi="Arial" w:cs="Arial"/>
          <w:lang w:eastAsia="en-IN"/>
        </w:rPr>
      </w:pPr>
      <w:r w:rsidRPr="007402E4">
        <w:rPr>
          <w:rStyle w:val="author0"/>
          <w:rFonts w:ascii="Arial" w:hAnsi="Arial" w:cs="Arial"/>
          <w:color w:val="1C1D1E"/>
          <w:shd w:val="clear" w:color="auto" w:fill="FFFFFF"/>
        </w:rPr>
        <w:t xml:space="preserve">Madhavi, M., Prakash, T. R., Srinivas, A., &amp; </w:t>
      </w:r>
      <w:proofErr w:type="spellStart"/>
      <w:r w:rsidRPr="007402E4">
        <w:rPr>
          <w:rStyle w:val="author0"/>
          <w:rFonts w:ascii="Arial" w:hAnsi="Arial" w:cs="Arial"/>
          <w:color w:val="1C1D1E"/>
          <w:shd w:val="clear" w:color="auto" w:fill="FFFFFF"/>
        </w:rPr>
        <w:t>Yakadri</w:t>
      </w:r>
      <w:proofErr w:type="spellEnd"/>
      <w:r w:rsidRPr="007402E4">
        <w:rPr>
          <w:rStyle w:val="author0"/>
          <w:rFonts w:ascii="Arial" w:hAnsi="Arial" w:cs="Arial"/>
          <w:color w:val="1C1D1E"/>
          <w:shd w:val="clear" w:color="auto" w:fill="FFFFFF"/>
        </w:rPr>
        <w:t>, M. (2013). Integrated weed management in maize (</w:t>
      </w:r>
      <w:proofErr w:type="spellStart"/>
      <w:r w:rsidRPr="007402E4">
        <w:rPr>
          <w:rStyle w:val="author0"/>
          <w:rFonts w:ascii="Arial" w:hAnsi="Arial" w:cs="Arial"/>
          <w:color w:val="1C1D1E"/>
          <w:shd w:val="clear" w:color="auto" w:fill="FFFFFF"/>
        </w:rPr>
        <w:t>Zea</w:t>
      </w:r>
      <w:proofErr w:type="spellEnd"/>
      <w:r w:rsidRPr="007402E4">
        <w:rPr>
          <w:rStyle w:val="author0"/>
          <w:rFonts w:ascii="Arial" w:hAnsi="Arial" w:cs="Arial"/>
          <w:color w:val="1C1D1E"/>
          <w:shd w:val="clear" w:color="auto" w:fill="FFFFFF"/>
        </w:rPr>
        <w:t xml:space="preserve"> mays L.) for supporting food security in Andhra Pradesh, India. The role of weed science in supporting food security by 2020. In *Proceedings of the 24th Asian-Pacific Weed Science Society Conference*, Bandung, Indonesia (pp. 510–516). </w:t>
      </w:r>
      <w:hyperlink r:id="rId18" w:history="1">
        <w:r w:rsidRPr="007402E4">
          <w:rPr>
            <w:rStyle w:val="Hyperlink"/>
            <w:rFonts w:ascii="Arial" w:hAnsi="Arial" w:cs="Arial"/>
            <w:shd w:val="clear" w:color="auto" w:fill="FFFFFF"/>
          </w:rPr>
          <w:t>https://oar.icrisat.org/8000/1/Proceedings_of_the_24th_Asian-Pacific_Weed_Science_Society_Conference_October_22-25,_2013,_Bandung_Indonesia.pdf</w:t>
        </w:r>
      </w:hyperlink>
      <w:r w:rsidRPr="007402E4">
        <w:rPr>
          <w:rStyle w:val="author0"/>
          <w:rFonts w:ascii="Arial" w:hAnsi="Arial" w:cs="Arial"/>
          <w:color w:val="1C1D1E"/>
          <w:shd w:val="clear" w:color="auto" w:fill="FFFFFF"/>
        </w:rPr>
        <w:t xml:space="preserve"> </w:t>
      </w:r>
    </w:p>
    <w:p w14:paraId="2E302478" w14:textId="30DF494F" w:rsidR="00BF7AB2" w:rsidRPr="007402E4" w:rsidRDefault="001A3870"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Mitchell, G., Bartlett, D. W., Fraser, T. E., Hawkes, T. R., Holt, D. C., Townson, J. K., &amp; </w:t>
      </w:r>
      <w:proofErr w:type="spellStart"/>
      <w:r w:rsidRPr="007402E4">
        <w:rPr>
          <w:rFonts w:ascii="Arial" w:hAnsi="Arial" w:cs="Arial"/>
          <w:lang w:eastAsia="en-IN"/>
        </w:rPr>
        <w:t>Wichert</w:t>
      </w:r>
      <w:proofErr w:type="spellEnd"/>
      <w:r w:rsidRPr="007402E4">
        <w:rPr>
          <w:rFonts w:ascii="Arial" w:hAnsi="Arial" w:cs="Arial"/>
          <w:lang w:eastAsia="en-IN"/>
        </w:rPr>
        <w:t xml:space="preserve">, R. A. (2001). </w:t>
      </w:r>
      <w:proofErr w:type="spellStart"/>
      <w:r w:rsidRPr="007402E4">
        <w:rPr>
          <w:rFonts w:ascii="Arial" w:hAnsi="Arial" w:cs="Arial"/>
          <w:lang w:eastAsia="en-IN"/>
        </w:rPr>
        <w:t>Mesotrione</w:t>
      </w:r>
      <w:proofErr w:type="spellEnd"/>
      <w:r w:rsidRPr="007402E4">
        <w:rPr>
          <w:rFonts w:ascii="Arial" w:hAnsi="Arial" w:cs="Arial"/>
          <w:lang w:eastAsia="en-IN"/>
        </w:rPr>
        <w:t xml:space="preserve">: a new selective herbicide for use in maize. Pest Management Science, 57(2), 120-128. </w:t>
      </w:r>
      <w:hyperlink r:id="rId19" w:history="1">
        <w:r w:rsidRPr="007402E4">
          <w:rPr>
            <w:rStyle w:val="Hyperlink"/>
            <w:rFonts w:ascii="Arial" w:hAnsi="Arial" w:cs="Arial"/>
            <w:lang w:eastAsia="en-IN"/>
          </w:rPr>
          <w:t>https://doi.org/10.1002/1526-4998(200102)57:2&lt;120::AID-PS254&gt;3.0.CO;2-E</w:t>
        </w:r>
      </w:hyperlink>
      <w:r w:rsidRPr="007402E4">
        <w:rPr>
          <w:rFonts w:ascii="Arial" w:hAnsi="Arial" w:cs="Arial"/>
          <w:lang w:eastAsia="en-IN"/>
        </w:rPr>
        <w:t xml:space="preserve"> </w:t>
      </w:r>
    </w:p>
    <w:p w14:paraId="07F3E863" w14:textId="4F9B4BD8" w:rsidR="00BF7AB2" w:rsidRPr="007402E4" w:rsidRDefault="00BF7AB2" w:rsidP="007402E4">
      <w:pPr>
        <w:spacing w:before="100" w:beforeAutospacing="1" w:after="100" w:afterAutospacing="1"/>
        <w:jc w:val="both"/>
        <w:rPr>
          <w:rFonts w:ascii="Arial" w:hAnsi="Arial" w:cs="Arial"/>
          <w:lang w:eastAsia="en-IN"/>
        </w:rPr>
      </w:pPr>
      <w:proofErr w:type="spellStart"/>
      <w:r w:rsidRPr="007402E4">
        <w:rPr>
          <w:rFonts w:ascii="Arial" w:hAnsi="Arial" w:cs="Arial"/>
          <w:lang w:eastAsia="en-IN"/>
        </w:rPr>
        <w:lastRenderedPageBreak/>
        <w:t>Pusino</w:t>
      </w:r>
      <w:proofErr w:type="spellEnd"/>
      <w:r w:rsidRPr="007402E4">
        <w:rPr>
          <w:rFonts w:ascii="Arial" w:hAnsi="Arial" w:cs="Arial"/>
          <w:lang w:eastAsia="en-IN"/>
        </w:rPr>
        <w:t xml:space="preserve">, A., </w:t>
      </w:r>
      <w:proofErr w:type="spellStart"/>
      <w:r w:rsidRPr="007402E4">
        <w:rPr>
          <w:rFonts w:ascii="Arial" w:hAnsi="Arial" w:cs="Arial"/>
          <w:lang w:eastAsia="en-IN"/>
        </w:rPr>
        <w:t>Petretto</w:t>
      </w:r>
      <w:proofErr w:type="spellEnd"/>
      <w:r w:rsidRPr="007402E4">
        <w:rPr>
          <w:rFonts w:ascii="Arial" w:hAnsi="Arial" w:cs="Arial"/>
          <w:lang w:eastAsia="en-IN"/>
        </w:rPr>
        <w:t xml:space="preserve">, S </w:t>
      </w:r>
      <w:r w:rsidR="00530D85" w:rsidRPr="007402E4">
        <w:rPr>
          <w:rFonts w:ascii="Arial" w:hAnsi="Arial" w:cs="Arial"/>
          <w:lang w:eastAsia="en-IN"/>
        </w:rPr>
        <w:t>&amp;</w:t>
      </w:r>
      <w:r w:rsidRPr="007402E4">
        <w:rPr>
          <w:rFonts w:ascii="Arial" w:hAnsi="Arial" w:cs="Arial"/>
          <w:lang w:eastAsia="en-IN"/>
        </w:rPr>
        <w:t xml:space="preserve"> </w:t>
      </w:r>
      <w:proofErr w:type="spellStart"/>
      <w:r w:rsidRPr="007402E4">
        <w:rPr>
          <w:rFonts w:ascii="Arial" w:hAnsi="Arial" w:cs="Arial"/>
          <w:lang w:eastAsia="en-IN"/>
        </w:rPr>
        <w:t>Gessa</w:t>
      </w:r>
      <w:proofErr w:type="spellEnd"/>
      <w:r w:rsidRPr="007402E4">
        <w:rPr>
          <w:rFonts w:ascii="Arial" w:hAnsi="Arial" w:cs="Arial"/>
          <w:lang w:eastAsia="en-IN"/>
        </w:rPr>
        <w:t xml:space="preserve">, C. </w:t>
      </w:r>
      <w:r w:rsidR="00530D85" w:rsidRPr="007402E4">
        <w:rPr>
          <w:rFonts w:ascii="Arial" w:hAnsi="Arial" w:cs="Arial"/>
          <w:lang w:eastAsia="en-IN"/>
        </w:rPr>
        <w:t>(</w:t>
      </w:r>
      <w:r w:rsidRPr="007402E4">
        <w:rPr>
          <w:rFonts w:ascii="Arial" w:hAnsi="Arial" w:cs="Arial"/>
          <w:lang w:eastAsia="en-IN"/>
        </w:rPr>
        <w:t>2010</w:t>
      </w:r>
      <w:r w:rsidR="00530D85" w:rsidRPr="007402E4">
        <w:rPr>
          <w:rFonts w:ascii="Arial" w:hAnsi="Arial" w:cs="Arial"/>
          <w:lang w:eastAsia="en-IN"/>
        </w:rPr>
        <w:t>)</w:t>
      </w:r>
      <w:r w:rsidRPr="007402E4">
        <w:rPr>
          <w:rFonts w:ascii="Arial" w:hAnsi="Arial" w:cs="Arial"/>
          <w:lang w:eastAsia="en-IN"/>
        </w:rPr>
        <w:t xml:space="preserve">. Adsorption and desorption of </w:t>
      </w:r>
      <w:proofErr w:type="spellStart"/>
      <w:r w:rsidRPr="007402E4">
        <w:rPr>
          <w:rFonts w:ascii="Arial" w:hAnsi="Arial" w:cs="Arial"/>
          <w:lang w:eastAsia="en-IN"/>
        </w:rPr>
        <w:t>mesotrione</w:t>
      </w:r>
      <w:proofErr w:type="spellEnd"/>
      <w:r w:rsidRPr="007402E4">
        <w:rPr>
          <w:rFonts w:ascii="Arial" w:hAnsi="Arial" w:cs="Arial"/>
          <w:lang w:eastAsia="en-IN"/>
        </w:rPr>
        <w:t xml:space="preserve"> on agricultural soils. </w:t>
      </w:r>
      <w:r w:rsidRPr="007402E4">
        <w:rPr>
          <w:rFonts w:ascii="Arial" w:hAnsi="Arial" w:cs="Arial"/>
          <w:i/>
          <w:iCs/>
          <w:lang w:eastAsia="en-IN"/>
        </w:rPr>
        <w:t>Journal of Environmental Science and Health,</w:t>
      </w:r>
      <w:r w:rsidRPr="007402E4">
        <w:rPr>
          <w:rFonts w:ascii="Arial" w:hAnsi="Arial" w:cs="Arial"/>
          <w:lang w:eastAsia="en-IN"/>
        </w:rPr>
        <w:t xml:space="preserve"> 45</w:t>
      </w:r>
      <w:r w:rsidR="00530D85" w:rsidRPr="007402E4">
        <w:rPr>
          <w:rFonts w:ascii="Arial" w:hAnsi="Arial" w:cs="Arial"/>
          <w:lang w:eastAsia="en-IN"/>
        </w:rPr>
        <w:t>,</w:t>
      </w:r>
      <w:r w:rsidRPr="007402E4">
        <w:rPr>
          <w:rFonts w:ascii="Arial" w:hAnsi="Arial" w:cs="Arial"/>
          <w:lang w:eastAsia="en-IN"/>
        </w:rPr>
        <w:t xml:space="preserve"> 539–543.</w:t>
      </w:r>
    </w:p>
    <w:p w14:paraId="3326DACF" w14:textId="50BAE19A"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Ramanathan, R., Jordan, D.L</w:t>
      </w:r>
      <w:r w:rsidR="00530D85" w:rsidRPr="007402E4">
        <w:rPr>
          <w:rFonts w:ascii="Arial" w:hAnsi="Arial" w:cs="Arial"/>
          <w:lang w:eastAsia="en-IN"/>
        </w:rPr>
        <w:t xml:space="preserve">, &amp; </w:t>
      </w:r>
      <w:r w:rsidRPr="007402E4">
        <w:rPr>
          <w:rFonts w:ascii="Arial" w:hAnsi="Arial" w:cs="Arial"/>
          <w:lang w:eastAsia="en-IN"/>
        </w:rPr>
        <w:t xml:space="preserve">Monks, D.W. </w:t>
      </w:r>
      <w:r w:rsidR="00530D85" w:rsidRPr="007402E4">
        <w:rPr>
          <w:rFonts w:ascii="Arial" w:hAnsi="Arial" w:cs="Arial"/>
          <w:lang w:eastAsia="en-IN"/>
        </w:rPr>
        <w:t>(</w:t>
      </w:r>
      <w:r w:rsidRPr="007402E4">
        <w:rPr>
          <w:rFonts w:ascii="Arial" w:hAnsi="Arial" w:cs="Arial"/>
          <w:lang w:eastAsia="en-IN"/>
        </w:rPr>
        <w:t>2022</w:t>
      </w:r>
      <w:r w:rsidR="00530D85" w:rsidRPr="007402E4">
        <w:rPr>
          <w:rFonts w:ascii="Arial" w:hAnsi="Arial" w:cs="Arial"/>
          <w:lang w:eastAsia="en-IN"/>
        </w:rPr>
        <w:t>0</w:t>
      </w:r>
      <w:r w:rsidRPr="007402E4">
        <w:rPr>
          <w:rFonts w:ascii="Arial" w:hAnsi="Arial" w:cs="Arial"/>
          <w:lang w:eastAsia="en-IN"/>
        </w:rPr>
        <w:t xml:space="preserve">. Field persistence and efficacy of topramezone in warm-season maize systems. </w:t>
      </w:r>
      <w:r w:rsidRPr="007402E4">
        <w:rPr>
          <w:rFonts w:ascii="Arial" w:hAnsi="Arial" w:cs="Arial"/>
          <w:i/>
          <w:iCs/>
          <w:lang w:eastAsia="en-IN"/>
        </w:rPr>
        <w:t>Agron</w:t>
      </w:r>
      <w:r w:rsidR="004456E6" w:rsidRPr="007402E4">
        <w:rPr>
          <w:rFonts w:ascii="Arial" w:hAnsi="Arial" w:cs="Arial"/>
          <w:i/>
          <w:iCs/>
          <w:lang w:eastAsia="en-IN"/>
        </w:rPr>
        <w:t>omy</w:t>
      </w:r>
      <w:r w:rsidRPr="007402E4">
        <w:rPr>
          <w:rFonts w:ascii="Arial" w:hAnsi="Arial" w:cs="Arial"/>
          <w:i/>
          <w:iCs/>
          <w:lang w:eastAsia="en-IN"/>
        </w:rPr>
        <w:t xml:space="preserve"> J</w:t>
      </w:r>
      <w:r w:rsidR="004456E6" w:rsidRPr="007402E4">
        <w:rPr>
          <w:rFonts w:ascii="Arial" w:hAnsi="Arial" w:cs="Arial"/>
          <w:i/>
          <w:iCs/>
          <w:lang w:eastAsia="en-IN"/>
        </w:rPr>
        <w:t>ournal,</w:t>
      </w:r>
      <w:r w:rsidRPr="007402E4">
        <w:rPr>
          <w:rFonts w:ascii="Arial" w:hAnsi="Arial" w:cs="Arial"/>
          <w:lang w:eastAsia="en-IN"/>
        </w:rPr>
        <w:t xml:space="preserve"> 114</w:t>
      </w:r>
      <w:r w:rsidR="004456E6" w:rsidRPr="007402E4">
        <w:rPr>
          <w:rFonts w:ascii="Arial" w:hAnsi="Arial" w:cs="Arial"/>
          <w:lang w:eastAsia="en-IN"/>
        </w:rPr>
        <w:t>,</w:t>
      </w:r>
      <w:r w:rsidRPr="007402E4">
        <w:rPr>
          <w:rFonts w:ascii="Arial" w:hAnsi="Arial" w:cs="Arial"/>
          <w:lang w:eastAsia="en-IN"/>
        </w:rPr>
        <w:t xml:space="preserve"> 2910–2922.</w:t>
      </w:r>
    </w:p>
    <w:p w14:paraId="74A4FD8E" w14:textId="5B968A7C" w:rsidR="00BF7AB2" w:rsidRPr="007402E4" w:rsidRDefault="003C4ABE" w:rsidP="007402E4">
      <w:pPr>
        <w:spacing w:before="100" w:beforeAutospacing="1" w:after="100" w:afterAutospacing="1"/>
        <w:jc w:val="both"/>
        <w:rPr>
          <w:rFonts w:ascii="Arial" w:hAnsi="Arial" w:cs="Arial"/>
        </w:rPr>
      </w:pPr>
      <w:r w:rsidRPr="007402E4">
        <w:rPr>
          <w:rFonts w:ascii="Arial" w:hAnsi="Arial" w:cs="Arial"/>
        </w:rPr>
        <w:t xml:space="preserve">Rao, P. L., </w:t>
      </w:r>
      <w:proofErr w:type="spellStart"/>
      <w:r w:rsidRPr="007402E4">
        <w:rPr>
          <w:rFonts w:ascii="Arial" w:hAnsi="Arial" w:cs="Arial"/>
        </w:rPr>
        <w:t>Jayasree</w:t>
      </w:r>
      <w:proofErr w:type="spellEnd"/>
      <w:r w:rsidRPr="007402E4">
        <w:rPr>
          <w:rFonts w:ascii="Arial" w:hAnsi="Arial" w:cs="Arial"/>
        </w:rPr>
        <w:t>, G., Pratibha, G., &amp; Ram Prakash, T. (2017). Effect of Soil Amendments on Physical Properties of Soil in Maize (</w:t>
      </w:r>
      <w:proofErr w:type="spellStart"/>
      <w:r w:rsidRPr="007402E4">
        <w:rPr>
          <w:rFonts w:ascii="Arial" w:hAnsi="Arial" w:cs="Arial"/>
        </w:rPr>
        <w:t>Zea</w:t>
      </w:r>
      <w:proofErr w:type="spellEnd"/>
      <w:r w:rsidRPr="007402E4">
        <w:rPr>
          <w:rFonts w:ascii="Arial" w:hAnsi="Arial" w:cs="Arial"/>
        </w:rPr>
        <w:t xml:space="preserve"> mays L.). International Journal of Current Microbiology and Applied Sciences, 6(6), 2082-2091 </w:t>
      </w:r>
      <w:hyperlink r:id="rId20" w:history="1">
        <w:r w:rsidRPr="007402E4">
          <w:rPr>
            <w:rStyle w:val="Hyperlink"/>
            <w:rFonts w:ascii="Arial" w:hAnsi="Arial" w:cs="Arial"/>
          </w:rPr>
          <w:t>https://doi.org/10.20546/ijcmas.2017.606.247</w:t>
        </w:r>
      </w:hyperlink>
      <w:r w:rsidRPr="007402E4">
        <w:rPr>
          <w:rFonts w:ascii="Arial" w:hAnsi="Arial" w:cs="Arial"/>
        </w:rPr>
        <w:t xml:space="preserve"> </w:t>
      </w:r>
    </w:p>
    <w:p w14:paraId="78A01FED" w14:textId="21E9AB9E" w:rsidR="00BF7AB2" w:rsidRPr="007402E4" w:rsidRDefault="008E419E" w:rsidP="007402E4">
      <w:pPr>
        <w:spacing w:before="100" w:beforeAutospacing="1" w:after="100" w:afterAutospacing="1"/>
        <w:jc w:val="both"/>
        <w:rPr>
          <w:rFonts w:ascii="Arial" w:hAnsi="Arial" w:cs="Arial"/>
        </w:rPr>
      </w:pPr>
      <w:r w:rsidRPr="007402E4">
        <w:rPr>
          <w:rFonts w:ascii="Arial" w:hAnsi="Arial" w:cs="Arial"/>
        </w:rPr>
        <w:t xml:space="preserve">Richards, L. A. (Ed.). (1954). Diagnosis and improvement of saline and alkali soils. USDA Handbook No. 60. U.S. Salinity Laboratory, U.S. Department of Agriculture. </w:t>
      </w:r>
      <w:hyperlink r:id="rId21" w:history="1">
        <w:r w:rsidRPr="007402E4">
          <w:rPr>
            <w:rStyle w:val="Hyperlink"/>
            <w:rFonts w:ascii="Arial" w:hAnsi="Arial" w:cs="Arial"/>
          </w:rPr>
          <w:t>https://www.ars.usda.gov/pacific-west-area/riverside-ca/ussl/docs/handbook-no-60/</w:t>
        </w:r>
      </w:hyperlink>
      <w:r w:rsidRPr="007402E4">
        <w:rPr>
          <w:rFonts w:ascii="Arial" w:hAnsi="Arial" w:cs="Arial"/>
        </w:rPr>
        <w:t xml:space="preserve"> </w:t>
      </w:r>
    </w:p>
    <w:p w14:paraId="31F5C44E" w14:textId="3F03D99F"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rPr>
        <w:t xml:space="preserve">U.S. EPA. </w:t>
      </w:r>
      <w:r w:rsidR="00760D48" w:rsidRPr="007402E4">
        <w:rPr>
          <w:rFonts w:ascii="Arial" w:hAnsi="Arial" w:cs="Arial"/>
        </w:rPr>
        <w:t>(</w:t>
      </w:r>
      <w:r w:rsidRPr="007402E4">
        <w:rPr>
          <w:rFonts w:ascii="Arial" w:hAnsi="Arial" w:cs="Arial"/>
        </w:rPr>
        <w:t>2013</w:t>
      </w:r>
      <w:r w:rsidR="00760D48" w:rsidRPr="007402E4">
        <w:rPr>
          <w:rFonts w:ascii="Arial" w:hAnsi="Arial" w:cs="Arial"/>
        </w:rPr>
        <w:t>)</w:t>
      </w:r>
      <w:r w:rsidRPr="007402E4">
        <w:rPr>
          <w:rFonts w:ascii="Arial" w:hAnsi="Arial" w:cs="Arial"/>
        </w:rPr>
        <w:t xml:space="preserve">. </w:t>
      </w:r>
      <w:r w:rsidRPr="007402E4">
        <w:rPr>
          <w:rStyle w:val="Emphasis"/>
          <w:rFonts w:ascii="Arial" w:eastAsiaTheme="majorEastAsia" w:hAnsi="Arial" w:cs="Arial"/>
        </w:rPr>
        <w:t>Environmental Fate and Ecological Risk Assessment for Topramezone</w:t>
      </w:r>
      <w:r w:rsidRPr="007402E4">
        <w:rPr>
          <w:rFonts w:ascii="Arial" w:hAnsi="Arial" w:cs="Arial"/>
        </w:rPr>
        <w:t>. Office of Pesticide Programs, Washington D.C</w:t>
      </w:r>
    </w:p>
    <w:p w14:paraId="3C78ABE5" w14:textId="297BA67D" w:rsidR="00BF7AB2" w:rsidRPr="007402E4" w:rsidRDefault="00BF7AB2" w:rsidP="007402E4">
      <w:pPr>
        <w:spacing w:before="100" w:beforeAutospacing="1" w:after="100" w:afterAutospacing="1"/>
        <w:jc w:val="both"/>
        <w:rPr>
          <w:rFonts w:ascii="Arial" w:hAnsi="Arial" w:cs="Arial"/>
          <w:lang w:eastAsia="en-IN"/>
        </w:rPr>
      </w:pPr>
      <w:r w:rsidRPr="007402E4">
        <w:rPr>
          <w:rFonts w:ascii="Arial" w:hAnsi="Arial" w:cs="Arial"/>
          <w:lang w:eastAsia="en-IN"/>
        </w:rPr>
        <w:t xml:space="preserve">Walker A. </w:t>
      </w:r>
      <w:r w:rsidR="00760D48" w:rsidRPr="007402E4">
        <w:rPr>
          <w:rFonts w:ascii="Arial" w:hAnsi="Arial" w:cs="Arial"/>
          <w:lang w:eastAsia="en-IN"/>
        </w:rPr>
        <w:t>(</w:t>
      </w:r>
      <w:r w:rsidRPr="007402E4">
        <w:rPr>
          <w:rFonts w:ascii="Arial" w:hAnsi="Arial" w:cs="Arial"/>
          <w:lang w:eastAsia="en-IN"/>
        </w:rPr>
        <w:t>1974</w:t>
      </w:r>
      <w:r w:rsidR="00760D48" w:rsidRPr="007402E4">
        <w:rPr>
          <w:rFonts w:ascii="Arial" w:hAnsi="Arial" w:cs="Arial"/>
          <w:lang w:eastAsia="en-IN"/>
        </w:rPr>
        <w:t>)</w:t>
      </w:r>
      <w:r w:rsidRPr="007402E4">
        <w:rPr>
          <w:rFonts w:ascii="Arial" w:hAnsi="Arial" w:cs="Arial"/>
          <w:lang w:eastAsia="en-IN"/>
        </w:rPr>
        <w:t>. A simulation model for prediction of herbicide persistence.</w:t>
      </w:r>
      <w:r w:rsidRPr="007402E4">
        <w:rPr>
          <w:rFonts w:ascii="Arial" w:hAnsi="Arial" w:cs="Arial"/>
          <w:i/>
          <w:iCs/>
          <w:lang w:eastAsia="en-IN"/>
        </w:rPr>
        <w:t xml:space="preserve"> Journal of Environmental Quality,</w:t>
      </w:r>
      <w:r w:rsidRPr="007402E4">
        <w:rPr>
          <w:rFonts w:ascii="Arial" w:hAnsi="Arial" w:cs="Arial"/>
          <w:b/>
          <w:bCs/>
          <w:lang w:eastAsia="en-IN"/>
        </w:rPr>
        <w:t xml:space="preserve"> </w:t>
      </w:r>
      <w:r w:rsidRPr="007402E4">
        <w:rPr>
          <w:rFonts w:ascii="Arial" w:hAnsi="Arial" w:cs="Arial"/>
          <w:lang w:eastAsia="en-IN"/>
        </w:rPr>
        <w:t>3</w:t>
      </w:r>
      <w:r w:rsidR="00760D48" w:rsidRPr="007402E4">
        <w:rPr>
          <w:rFonts w:ascii="Arial" w:hAnsi="Arial" w:cs="Arial"/>
          <w:lang w:eastAsia="en-IN"/>
        </w:rPr>
        <w:t xml:space="preserve">, </w:t>
      </w:r>
      <w:r w:rsidRPr="007402E4">
        <w:rPr>
          <w:rFonts w:ascii="Arial" w:hAnsi="Arial" w:cs="Arial"/>
          <w:lang w:eastAsia="en-IN"/>
        </w:rPr>
        <w:t>396–401.</w:t>
      </w:r>
    </w:p>
    <w:p w14:paraId="7C673592" w14:textId="2F30BF47" w:rsidR="00BF7AB2" w:rsidRPr="007402E4" w:rsidRDefault="001E6790" w:rsidP="007402E4">
      <w:pPr>
        <w:spacing w:before="100" w:beforeAutospacing="1" w:after="100" w:afterAutospacing="1"/>
        <w:jc w:val="both"/>
        <w:rPr>
          <w:rFonts w:ascii="Arial" w:hAnsi="Arial" w:cs="Arial"/>
          <w:lang w:eastAsia="en-IN"/>
        </w:rPr>
      </w:pPr>
      <w:r w:rsidRPr="007402E4">
        <w:rPr>
          <w:rFonts w:ascii="Arial" w:hAnsi="Arial" w:cs="Arial"/>
        </w:rPr>
        <w:t xml:space="preserve">Walkley, A., &amp; Black, I. A. (1934). An examination of the </w:t>
      </w:r>
      <w:proofErr w:type="spellStart"/>
      <w:r w:rsidRPr="007402E4">
        <w:rPr>
          <w:rFonts w:ascii="Arial" w:hAnsi="Arial" w:cs="Arial"/>
        </w:rPr>
        <w:t>Degtjareff</w:t>
      </w:r>
      <w:proofErr w:type="spellEnd"/>
      <w:r w:rsidRPr="007402E4">
        <w:rPr>
          <w:rFonts w:ascii="Arial" w:hAnsi="Arial" w:cs="Arial"/>
        </w:rPr>
        <w:t xml:space="preserve"> method for determining soil organic matter and a proposed modification of the chromic acid titration method. Soil Science, 37, 29–38. </w:t>
      </w:r>
      <w:hyperlink r:id="rId22" w:history="1">
        <w:r w:rsidRPr="007402E4">
          <w:rPr>
            <w:rStyle w:val="Hyperlink"/>
            <w:rFonts w:ascii="Arial" w:hAnsi="Arial" w:cs="Arial"/>
          </w:rPr>
          <w:t>https://doi.org/10.1097/00010694-193401000-00003</w:t>
        </w:r>
      </w:hyperlink>
      <w:r w:rsidRPr="007402E4">
        <w:rPr>
          <w:rFonts w:ascii="Arial" w:hAnsi="Arial" w:cs="Arial"/>
        </w:rPr>
        <w:t xml:space="preserve"> </w:t>
      </w:r>
    </w:p>
    <w:p w14:paraId="1F4300F3" w14:textId="77777777" w:rsidR="00BF7AB2" w:rsidRPr="005458A1" w:rsidRDefault="00BF7AB2" w:rsidP="005458A1">
      <w:pPr>
        <w:pStyle w:val="Body"/>
        <w:spacing w:after="0"/>
        <w:rPr>
          <w:rFonts w:ascii="Arial" w:hAnsi="Arial" w:cs="Arial"/>
        </w:rPr>
      </w:pPr>
    </w:p>
    <w:sectPr w:rsidR="00BF7AB2" w:rsidRPr="005458A1" w:rsidSect="00291AD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DDDB" w14:textId="77777777" w:rsidR="001C3200" w:rsidRDefault="001C3200" w:rsidP="00C37E61">
      <w:r>
        <w:separator/>
      </w:r>
    </w:p>
  </w:endnote>
  <w:endnote w:type="continuationSeparator" w:id="0">
    <w:p w14:paraId="6FF7F16B" w14:textId="77777777" w:rsidR="001C3200" w:rsidRDefault="001C32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90E" w14:textId="77777777" w:rsidR="00291AD5" w:rsidRDefault="0029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262E" w14:textId="77777777" w:rsidR="00291AD5" w:rsidRDefault="00291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815F7" w14:textId="2991B910" w:rsidR="00754C9A" w:rsidRPr="00942456" w:rsidRDefault="00754C9A" w:rsidP="0094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D3754" w14:textId="77777777" w:rsidR="001C3200" w:rsidRDefault="001C3200" w:rsidP="00C37E61">
      <w:r>
        <w:separator/>
      </w:r>
    </w:p>
  </w:footnote>
  <w:footnote w:type="continuationSeparator" w:id="0">
    <w:p w14:paraId="3FF0B42D" w14:textId="77777777" w:rsidR="001C3200" w:rsidRDefault="001C32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FC43" w14:textId="66E9743B" w:rsidR="00291AD5" w:rsidRDefault="00291AD5">
    <w:pPr>
      <w:pStyle w:val="Header"/>
    </w:pPr>
    <w:r>
      <w:rPr>
        <w:noProof/>
      </w:rPr>
      <w:pict w14:anchorId="577CB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98895" w14:textId="3D57FB13" w:rsidR="00291AD5" w:rsidRDefault="00291AD5">
    <w:pPr>
      <w:pStyle w:val="Header"/>
    </w:pPr>
    <w:r>
      <w:rPr>
        <w:noProof/>
      </w:rPr>
      <w:pict w14:anchorId="09DB4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A8F5" w14:textId="1B167B0E" w:rsidR="00296529" w:rsidRPr="00296529" w:rsidRDefault="00291AD5" w:rsidP="00296529">
    <w:pPr>
      <w:ind w:left="2160"/>
      <w:jc w:val="center"/>
      <w:rPr>
        <w:rFonts w:ascii="Times New Roman" w:eastAsia="Calibri" w:hAnsi="Times New Roman"/>
        <w:i/>
        <w:sz w:val="18"/>
        <w:szCs w:val="22"/>
      </w:rPr>
    </w:pPr>
    <w:r>
      <w:rPr>
        <w:noProof/>
      </w:rPr>
      <w:pict w14:anchorId="3F5E2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9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F38F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CE8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0549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DE06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992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26D73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CB0F40"/>
    <w:multiLevelType w:val="hybridMultilevel"/>
    <w:tmpl w:val="6820FE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A1B"/>
    <w:rsid w:val="00130F17"/>
    <w:rsid w:val="001320BF"/>
    <w:rsid w:val="00136701"/>
    <w:rsid w:val="00163BC4"/>
    <w:rsid w:val="00191062"/>
    <w:rsid w:val="00192B72"/>
    <w:rsid w:val="00197F3F"/>
    <w:rsid w:val="001A29D8"/>
    <w:rsid w:val="001A3870"/>
    <w:rsid w:val="001A5CAA"/>
    <w:rsid w:val="001A6BB1"/>
    <w:rsid w:val="001B0427"/>
    <w:rsid w:val="001C3200"/>
    <w:rsid w:val="001D3A51"/>
    <w:rsid w:val="001D4EBC"/>
    <w:rsid w:val="001E10D2"/>
    <w:rsid w:val="001E25B4"/>
    <w:rsid w:val="001E44FE"/>
    <w:rsid w:val="001E6790"/>
    <w:rsid w:val="00200595"/>
    <w:rsid w:val="00204835"/>
    <w:rsid w:val="00213B6E"/>
    <w:rsid w:val="00231920"/>
    <w:rsid w:val="0023195C"/>
    <w:rsid w:val="0024282C"/>
    <w:rsid w:val="002460DC"/>
    <w:rsid w:val="00250985"/>
    <w:rsid w:val="002556F6"/>
    <w:rsid w:val="00283105"/>
    <w:rsid w:val="00284C4C"/>
    <w:rsid w:val="00287E68"/>
    <w:rsid w:val="00291AD5"/>
    <w:rsid w:val="00296529"/>
    <w:rsid w:val="002B27FB"/>
    <w:rsid w:val="002B685A"/>
    <w:rsid w:val="002C57D2"/>
    <w:rsid w:val="002E0D56"/>
    <w:rsid w:val="00315186"/>
    <w:rsid w:val="0033343E"/>
    <w:rsid w:val="003512C2"/>
    <w:rsid w:val="00371FB6"/>
    <w:rsid w:val="003763C1"/>
    <w:rsid w:val="00376BBE"/>
    <w:rsid w:val="00381209"/>
    <w:rsid w:val="0039224F"/>
    <w:rsid w:val="003A43A4"/>
    <w:rsid w:val="003A7E18"/>
    <w:rsid w:val="003C4ABE"/>
    <w:rsid w:val="003C4C86"/>
    <w:rsid w:val="003C6258"/>
    <w:rsid w:val="003E0ACD"/>
    <w:rsid w:val="003E2904"/>
    <w:rsid w:val="00401927"/>
    <w:rsid w:val="0041027F"/>
    <w:rsid w:val="00412475"/>
    <w:rsid w:val="00423789"/>
    <w:rsid w:val="0043463D"/>
    <w:rsid w:val="00440F43"/>
    <w:rsid w:val="00441B6F"/>
    <w:rsid w:val="004456E6"/>
    <w:rsid w:val="00446221"/>
    <w:rsid w:val="00450E62"/>
    <w:rsid w:val="004539DB"/>
    <w:rsid w:val="00465C84"/>
    <w:rsid w:val="00471A80"/>
    <w:rsid w:val="004D305E"/>
    <w:rsid w:val="004D4277"/>
    <w:rsid w:val="00502516"/>
    <w:rsid w:val="00505F06"/>
    <w:rsid w:val="00506828"/>
    <w:rsid w:val="00526244"/>
    <w:rsid w:val="0053056E"/>
    <w:rsid w:val="00530D85"/>
    <w:rsid w:val="005458A1"/>
    <w:rsid w:val="00554FDA"/>
    <w:rsid w:val="00571CE3"/>
    <w:rsid w:val="0058619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0AB"/>
    <w:rsid w:val="006D30FF"/>
    <w:rsid w:val="006D6940"/>
    <w:rsid w:val="006F11EC"/>
    <w:rsid w:val="0070082C"/>
    <w:rsid w:val="007369E6"/>
    <w:rsid w:val="007402E4"/>
    <w:rsid w:val="00746E59"/>
    <w:rsid w:val="00754C9A"/>
    <w:rsid w:val="0075599A"/>
    <w:rsid w:val="00760D48"/>
    <w:rsid w:val="00761D52"/>
    <w:rsid w:val="0077749E"/>
    <w:rsid w:val="00790ADA"/>
    <w:rsid w:val="007D2288"/>
    <w:rsid w:val="007E088F"/>
    <w:rsid w:val="007F7B32"/>
    <w:rsid w:val="00804BC2"/>
    <w:rsid w:val="0081431A"/>
    <w:rsid w:val="0083216F"/>
    <w:rsid w:val="008443F3"/>
    <w:rsid w:val="00852A0B"/>
    <w:rsid w:val="00860000"/>
    <w:rsid w:val="00863BD3"/>
    <w:rsid w:val="008641ED"/>
    <w:rsid w:val="00866D66"/>
    <w:rsid w:val="008671C6"/>
    <w:rsid w:val="00875803"/>
    <w:rsid w:val="00891C4F"/>
    <w:rsid w:val="00892FF4"/>
    <w:rsid w:val="008A794B"/>
    <w:rsid w:val="008B459E"/>
    <w:rsid w:val="008E13AE"/>
    <w:rsid w:val="008E1506"/>
    <w:rsid w:val="008E419E"/>
    <w:rsid w:val="008E710C"/>
    <w:rsid w:val="008F69D6"/>
    <w:rsid w:val="00902823"/>
    <w:rsid w:val="00915CA6"/>
    <w:rsid w:val="00927834"/>
    <w:rsid w:val="00942456"/>
    <w:rsid w:val="009500A6"/>
    <w:rsid w:val="00957C18"/>
    <w:rsid w:val="009631D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F38"/>
    <w:rsid w:val="00A51431"/>
    <w:rsid w:val="00A539AD"/>
    <w:rsid w:val="00A6655E"/>
    <w:rsid w:val="00A94063"/>
    <w:rsid w:val="00AA6219"/>
    <w:rsid w:val="00AA74E0"/>
    <w:rsid w:val="00AB703F"/>
    <w:rsid w:val="00AC6BB8"/>
    <w:rsid w:val="00AE008F"/>
    <w:rsid w:val="00B01FCD"/>
    <w:rsid w:val="00B1776C"/>
    <w:rsid w:val="00B52583"/>
    <w:rsid w:val="00B52896"/>
    <w:rsid w:val="00B923A0"/>
    <w:rsid w:val="00B95236"/>
    <w:rsid w:val="00B96BD9"/>
    <w:rsid w:val="00BA1B01"/>
    <w:rsid w:val="00BA2641"/>
    <w:rsid w:val="00BB37AA"/>
    <w:rsid w:val="00BC53A0"/>
    <w:rsid w:val="00BE62AD"/>
    <w:rsid w:val="00BF121F"/>
    <w:rsid w:val="00BF1F80"/>
    <w:rsid w:val="00BF7AB2"/>
    <w:rsid w:val="00C166EF"/>
    <w:rsid w:val="00C17EB0"/>
    <w:rsid w:val="00C27F5F"/>
    <w:rsid w:val="00C30A0F"/>
    <w:rsid w:val="00C37E61"/>
    <w:rsid w:val="00C57985"/>
    <w:rsid w:val="00C70F1B"/>
    <w:rsid w:val="00C71A47"/>
    <w:rsid w:val="00C7464C"/>
    <w:rsid w:val="00C85588"/>
    <w:rsid w:val="00CD6755"/>
    <w:rsid w:val="00CD6856"/>
    <w:rsid w:val="00CE0089"/>
    <w:rsid w:val="00CE793C"/>
    <w:rsid w:val="00CF193C"/>
    <w:rsid w:val="00D173F1"/>
    <w:rsid w:val="00D6796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29B0"/>
    <w:rsid w:val="00E8407C"/>
    <w:rsid w:val="00E84F3C"/>
    <w:rsid w:val="00E92AAF"/>
    <w:rsid w:val="00EA012C"/>
    <w:rsid w:val="00EC6A55"/>
    <w:rsid w:val="00ED0288"/>
    <w:rsid w:val="00EE52CB"/>
    <w:rsid w:val="00EF581D"/>
    <w:rsid w:val="00EF7FD8"/>
    <w:rsid w:val="00F06F59"/>
    <w:rsid w:val="00F0779E"/>
    <w:rsid w:val="00F17988"/>
    <w:rsid w:val="00F207C6"/>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3B13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8120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7F3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624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891C4F"/>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891C4F"/>
    <w:rPr>
      <w:b/>
      <w:bCs/>
    </w:rPr>
  </w:style>
  <w:style w:type="character" w:customStyle="1" w:styleId="Heading3Char">
    <w:name w:val="Heading 3 Char"/>
    <w:basedOn w:val="DefaultParagraphFont"/>
    <w:link w:val="Heading3"/>
    <w:semiHidden/>
    <w:rsid w:val="00197F3F"/>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197F3F"/>
  </w:style>
  <w:style w:type="character" w:customStyle="1" w:styleId="vlist-s">
    <w:name w:val="vlist-s"/>
    <w:basedOn w:val="DefaultParagraphFont"/>
    <w:rsid w:val="00197F3F"/>
  </w:style>
  <w:style w:type="character" w:customStyle="1" w:styleId="Heading2Char">
    <w:name w:val="Heading 2 Char"/>
    <w:basedOn w:val="DefaultParagraphFont"/>
    <w:link w:val="Heading2"/>
    <w:uiPriority w:val="9"/>
    <w:semiHidden/>
    <w:rsid w:val="00381209"/>
    <w:rPr>
      <w:rFonts w:asciiTheme="majorHAnsi" w:eastAsiaTheme="majorEastAsia" w:hAnsiTheme="majorHAnsi" w:cstheme="majorBidi"/>
      <w:color w:val="365F91" w:themeColor="accent1" w:themeShade="BF"/>
      <w:sz w:val="26"/>
      <w:szCs w:val="26"/>
    </w:rPr>
  </w:style>
  <w:style w:type="character" w:customStyle="1" w:styleId="nlmstring-name">
    <w:name w:val="nlm_string-name"/>
    <w:basedOn w:val="DefaultParagraphFont"/>
    <w:rsid w:val="00B923A0"/>
  </w:style>
  <w:style w:type="character" w:customStyle="1" w:styleId="nlmarticle-title">
    <w:name w:val="nlm_article-title"/>
    <w:basedOn w:val="DefaultParagraphFont"/>
    <w:rsid w:val="00B923A0"/>
  </w:style>
  <w:style w:type="character" w:customStyle="1" w:styleId="nlmyear">
    <w:name w:val="nlm_year"/>
    <w:basedOn w:val="DefaultParagraphFont"/>
    <w:rsid w:val="00B923A0"/>
  </w:style>
  <w:style w:type="character" w:customStyle="1" w:styleId="nlmvolume">
    <w:name w:val="nlm_volume"/>
    <w:basedOn w:val="DefaultParagraphFont"/>
    <w:rsid w:val="00B923A0"/>
  </w:style>
  <w:style w:type="character" w:customStyle="1" w:styleId="nlmfpage">
    <w:name w:val="nlm_fpage"/>
    <w:basedOn w:val="DefaultParagraphFont"/>
    <w:rsid w:val="00B923A0"/>
  </w:style>
  <w:style w:type="character" w:customStyle="1" w:styleId="nlmlpage">
    <w:name w:val="nlm_lpage"/>
    <w:basedOn w:val="DefaultParagraphFont"/>
    <w:rsid w:val="00B923A0"/>
  </w:style>
  <w:style w:type="character" w:customStyle="1" w:styleId="Heading4Char">
    <w:name w:val="Heading 4 Char"/>
    <w:basedOn w:val="DefaultParagraphFont"/>
    <w:link w:val="Heading4"/>
    <w:uiPriority w:val="9"/>
    <w:semiHidden/>
    <w:rsid w:val="00526244"/>
    <w:rPr>
      <w:rFonts w:asciiTheme="majorHAnsi" w:eastAsiaTheme="majorEastAsia" w:hAnsiTheme="majorHAnsi" w:cstheme="majorBidi"/>
      <w:i/>
      <w:iCs/>
      <w:color w:val="365F91" w:themeColor="accent1" w:themeShade="BF"/>
      <w:sz w:val="22"/>
      <w:szCs w:val="22"/>
      <w:lang w:val="en-IN"/>
    </w:rPr>
  </w:style>
  <w:style w:type="character" w:customStyle="1" w:styleId="author0">
    <w:name w:val="author"/>
    <w:basedOn w:val="DefaultParagraphFont"/>
    <w:rsid w:val="00BF7AB2"/>
  </w:style>
  <w:style w:type="character" w:customStyle="1" w:styleId="othertitle">
    <w:name w:val="othertitle"/>
    <w:basedOn w:val="DefaultParagraphFont"/>
    <w:rsid w:val="00BF7AB2"/>
  </w:style>
  <w:style w:type="character" w:customStyle="1" w:styleId="vol">
    <w:name w:val="vol"/>
    <w:basedOn w:val="DefaultParagraphFont"/>
    <w:rsid w:val="00BF7AB2"/>
  </w:style>
  <w:style w:type="character" w:customStyle="1" w:styleId="pagefirst">
    <w:name w:val="pagefirst"/>
    <w:basedOn w:val="DefaultParagraphFont"/>
    <w:rsid w:val="00BF7AB2"/>
  </w:style>
  <w:style w:type="character" w:customStyle="1" w:styleId="pagelast">
    <w:name w:val="pagelast"/>
    <w:basedOn w:val="DefaultParagraphFont"/>
    <w:rsid w:val="00BF7AB2"/>
  </w:style>
  <w:style w:type="paragraph" w:styleId="ListParagraph">
    <w:name w:val="List Paragraph"/>
    <w:basedOn w:val="Normal"/>
    <w:uiPriority w:val="34"/>
    <w:qFormat/>
    <w:rsid w:val="0013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ar.icrisat.org/8000/1/Proceedings_of_the_24th_Asian-Pacific_Weed_Science_Society_Conference_October_22-25,_2013,_Bandung_Indonesia.pdf" TargetMode="External"/><Relationship Id="rId3" Type="http://schemas.openxmlformats.org/officeDocument/2006/relationships/styles" Target="styles.xml"/><Relationship Id="rId21" Type="http://schemas.openxmlformats.org/officeDocument/2006/relationships/hyperlink" Target="https://www.ars.usda.gov/pacific-west-area/riverside-ca/ussl/docs/handbook-no-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etc.5620080411" TargetMode="External"/><Relationship Id="rId2" Type="http://schemas.openxmlformats.org/officeDocument/2006/relationships/numbering" Target="numbering.xml"/><Relationship Id="rId16" Type="http://schemas.openxmlformats.org/officeDocument/2006/relationships/hyperlink" Target="https://doi.org/10.2903/j.efsa.2014.3540" TargetMode="External"/><Relationship Id="rId20" Type="http://schemas.openxmlformats.org/officeDocument/2006/relationships/hyperlink" Target="https://doi.org/10.20546/ijcmas.2017.606.2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2/1526-4998(200102)57:2%3c120::AID-PS254%3e3.0.CO;2-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97/00010694-193401000-00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ity\OneDrive\Desktop\Pyrithiobac%20sodium%20adsorp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solidFill>
                  <a:sysClr val="windowText" lastClr="000000"/>
                </a:solidFill>
              </a:rPr>
              <a:t>Red soil</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403971242725094"/>
          <c:y val="3.8275398502016514E-2"/>
          <c:w val="0.79839507018144473"/>
          <c:h val="0.83490740486707449"/>
        </c:manualLayout>
      </c:layout>
      <c:scatterChart>
        <c:scatterStyle val="smoothMarker"/>
        <c:varyColors val="0"/>
        <c:ser>
          <c:idx val="0"/>
          <c:order val="0"/>
          <c:tx>
            <c:strRef>
              <c:f>'Diss red (3)'!$D$3</c:f>
              <c:strCache>
                <c:ptCount val="1"/>
                <c:pt idx="0">
                  <c:v>Field Capacity</c:v>
                </c:pt>
              </c:strCache>
            </c:strRef>
          </c:tx>
          <c:spPr>
            <a:ln w="12700" cap="rnd">
              <a:solidFill>
                <a:sysClr val="windowText" lastClr="000000"/>
              </a:solidFill>
              <a:round/>
            </a:ln>
            <a:effectLst/>
          </c:spPr>
          <c:marker>
            <c:symbol val="circle"/>
            <c:size val="5"/>
            <c:spPr>
              <a:solidFill>
                <a:schemeClr val="tx1"/>
              </a:solidFill>
              <a:ln w="12700">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8.8358468200147436E-2"/>
                  <c:y val="-0.36408006691471256"/>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aseline="0">
                        <a:solidFill>
                          <a:sysClr val="windowText" lastClr="000000"/>
                        </a:solidFill>
                      </a:rPr>
                      <a:t>y = 87.316e</a:t>
                    </a:r>
                    <a:r>
                      <a:rPr lang="en-US" baseline="30000">
                        <a:solidFill>
                          <a:sysClr val="windowText" lastClr="000000"/>
                        </a:solidFill>
                      </a:rPr>
                      <a:t>-0.0057x</a:t>
                    </a:r>
                    <a:br>
                      <a:rPr lang="en-US" baseline="0">
                        <a:solidFill>
                          <a:sysClr val="windowText" lastClr="000000"/>
                        </a:solidFill>
                      </a:rPr>
                    </a:br>
                    <a:r>
                      <a:rPr lang="en-US" baseline="0">
                        <a:solidFill>
                          <a:sysClr val="windowText" lastClr="000000"/>
                        </a:solidFill>
                      </a:rPr>
                      <a:t>R² = 0.9709</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'Diss red (3)'!$C$4:$C$11</c:f>
              <c:numCache>
                <c:formatCode>General</c:formatCode>
                <c:ptCount val="8"/>
                <c:pt idx="0">
                  <c:v>0</c:v>
                </c:pt>
                <c:pt idx="1">
                  <c:v>15</c:v>
                </c:pt>
                <c:pt idx="2">
                  <c:v>30</c:v>
                </c:pt>
                <c:pt idx="3">
                  <c:v>45</c:v>
                </c:pt>
                <c:pt idx="4">
                  <c:v>60</c:v>
                </c:pt>
                <c:pt idx="5">
                  <c:v>90</c:v>
                </c:pt>
                <c:pt idx="6">
                  <c:v>120</c:v>
                </c:pt>
                <c:pt idx="7">
                  <c:v>135</c:v>
                </c:pt>
              </c:numCache>
            </c:numRef>
          </c:xVal>
          <c:yVal>
            <c:numRef>
              <c:f>'Diss red (3)'!$D$4:$D$11</c:f>
              <c:numCache>
                <c:formatCode>General</c:formatCode>
                <c:ptCount val="8"/>
                <c:pt idx="0">
                  <c:v>90.61</c:v>
                </c:pt>
                <c:pt idx="1">
                  <c:v>80.209999999999994</c:v>
                </c:pt>
                <c:pt idx="2">
                  <c:v>69.22</c:v>
                </c:pt>
                <c:pt idx="3">
                  <c:v>60.23</c:v>
                </c:pt>
                <c:pt idx="4">
                  <c:v>56.12</c:v>
                </c:pt>
                <c:pt idx="5">
                  <c:v>50.74</c:v>
                </c:pt>
                <c:pt idx="6">
                  <c:v>42.56</c:v>
                </c:pt>
                <c:pt idx="7">
                  <c:v>32.119999999999997</c:v>
                </c:pt>
              </c:numCache>
            </c:numRef>
          </c:yVal>
          <c:smooth val="1"/>
          <c:extLst>
            <c:ext xmlns:c16="http://schemas.microsoft.com/office/drawing/2014/chart" uri="{C3380CC4-5D6E-409C-BE32-E72D297353CC}">
              <c16:uniqueId val="{00000001-DC0E-40A0-B0AF-BE5CA6FC4AF1}"/>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max val="95"/>
          <c:min val="25"/>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a:solidFill>
                  <a:sysClr val="windowText" lastClr="000000"/>
                </a:solidFill>
              </a:rPr>
              <a:t>Black</a:t>
            </a:r>
            <a:r>
              <a:rPr lang="en-US" sz="1200" baseline="0">
                <a:solidFill>
                  <a:sysClr val="windowText" lastClr="000000"/>
                </a:solidFill>
              </a:rPr>
              <a:t> </a:t>
            </a:r>
            <a:r>
              <a:rPr lang="en-US" sz="1200">
                <a:solidFill>
                  <a:sysClr val="windowText" lastClr="000000"/>
                </a:solidFill>
              </a:rPr>
              <a:t>soil</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412850897163947"/>
          <c:y val="8.7672226250906468E-2"/>
          <c:w val="0.78199749008806907"/>
          <c:h val="0.74410248211359364"/>
        </c:manualLayout>
      </c:layout>
      <c:scatterChart>
        <c:scatterStyle val="smoothMarker"/>
        <c:varyColors val="0"/>
        <c:ser>
          <c:idx val="0"/>
          <c:order val="0"/>
          <c:tx>
            <c:strRef>
              <c:f>'Diss Black (2)'!$D$3</c:f>
              <c:strCache>
                <c:ptCount val="1"/>
                <c:pt idx="0">
                  <c:v>Field Capacity</c:v>
                </c:pt>
              </c:strCache>
            </c:strRef>
          </c:tx>
          <c:spPr>
            <a:ln w="12700" cap="rnd">
              <a:solidFill>
                <a:sysClr val="windowText" lastClr="000000"/>
              </a:solidFill>
              <a:round/>
            </a:ln>
            <a:effectLst/>
          </c:spPr>
          <c:marker>
            <c:symbol val="circle"/>
            <c:size val="5"/>
            <c:spPr>
              <a:solidFill>
                <a:schemeClr val="tx1"/>
              </a:solidFill>
              <a:ln w="12700">
                <a:solidFill>
                  <a:sysClr val="windowText" lastClr="000000"/>
                </a:solidFill>
              </a:ln>
              <a:effectLst/>
            </c:spPr>
          </c:marker>
          <c:trendline>
            <c:spPr>
              <a:ln w="19050" cap="rnd">
                <a:solidFill>
                  <a:schemeClr val="tx1"/>
                </a:solidFill>
                <a:prstDash val="sysDot"/>
              </a:ln>
              <a:effectLst/>
            </c:spPr>
            <c:trendlineType val="exp"/>
            <c:dispRSqr val="1"/>
            <c:dispEq val="1"/>
            <c:trendlineLbl>
              <c:layout>
                <c:manualLayout>
                  <c:x val="7.5684580330138557E-2"/>
                  <c:y val="-0.33162967573215785"/>
                </c:manualLayout>
              </c:layout>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baseline="0">
                        <a:solidFill>
                          <a:sysClr val="windowText" lastClr="000000"/>
                        </a:solidFill>
                      </a:rPr>
                      <a:t>y = 89.262e</a:t>
                    </a:r>
                    <a:r>
                      <a:rPr lang="en-US" baseline="30000">
                        <a:solidFill>
                          <a:sysClr val="windowText" lastClr="000000"/>
                        </a:solidFill>
                      </a:rPr>
                      <a:t>-0.0069x</a:t>
                    </a:r>
                    <a:br>
                      <a:rPr lang="en-US" baseline="0">
                        <a:solidFill>
                          <a:sysClr val="windowText" lastClr="000000"/>
                        </a:solidFill>
                      </a:rPr>
                    </a:br>
                    <a:r>
                      <a:rPr lang="en-US" baseline="0">
                        <a:solidFill>
                          <a:sysClr val="windowText" lastClr="000000"/>
                        </a:solidFill>
                      </a:rPr>
                      <a:t>R² = 0.9778</a:t>
                    </a:r>
                    <a:endParaRPr lang="en-US">
                      <a:solidFill>
                        <a:sysClr val="windowText" lastClr="000000"/>
                      </a:solidFill>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'Diss Black (2)'!$C$4:$C$11</c:f>
              <c:numCache>
                <c:formatCode>General</c:formatCode>
                <c:ptCount val="8"/>
                <c:pt idx="0">
                  <c:v>0</c:v>
                </c:pt>
                <c:pt idx="1">
                  <c:v>15</c:v>
                </c:pt>
                <c:pt idx="2">
                  <c:v>30</c:v>
                </c:pt>
                <c:pt idx="3">
                  <c:v>45</c:v>
                </c:pt>
                <c:pt idx="4">
                  <c:v>60</c:v>
                </c:pt>
                <c:pt idx="5">
                  <c:v>90</c:v>
                </c:pt>
                <c:pt idx="6">
                  <c:v>120</c:v>
                </c:pt>
                <c:pt idx="7">
                  <c:v>135</c:v>
                </c:pt>
              </c:numCache>
            </c:numRef>
          </c:xVal>
          <c:yVal>
            <c:numRef>
              <c:f>'Diss Black (2)'!$D$4:$D$11</c:f>
              <c:numCache>
                <c:formatCode>General</c:formatCode>
                <c:ptCount val="8"/>
                <c:pt idx="0">
                  <c:v>92.12</c:v>
                </c:pt>
                <c:pt idx="1">
                  <c:v>80.12</c:v>
                </c:pt>
                <c:pt idx="2">
                  <c:v>68.650000000000006</c:v>
                </c:pt>
                <c:pt idx="3">
                  <c:v>63.12</c:v>
                </c:pt>
                <c:pt idx="4">
                  <c:v>54.56</c:v>
                </c:pt>
                <c:pt idx="5">
                  <c:v>46.56</c:v>
                </c:pt>
                <c:pt idx="6">
                  <c:v>37.450000000000003</c:v>
                </c:pt>
                <c:pt idx="7">
                  <c:v>29.56</c:v>
                </c:pt>
              </c:numCache>
            </c:numRef>
          </c:yVal>
          <c:smooth val="1"/>
          <c:extLst>
            <c:ext xmlns:c16="http://schemas.microsoft.com/office/drawing/2014/chart" uri="{C3380CC4-5D6E-409C-BE32-E72D297353CC}">
              <c16:uniqueId val="{00000001-A0CA-4B40-A8E7-482CD36CD602}"/>
            </c:ext>
          </c:extLst>
        </c:ser>
        <c:dLbls>
          <c:showLegendKey val="0"/>
          <c:showVal val="0"/>
          <c:showCatName val="0"/>
          <c:showSerName val="0"/>
          <c:showPercent val="0"/>
          <c:showBubbleSize val="0"/>
        </c:dLbls>
        <c:axId val="1434589391"/>
        <c:axId val="1434590223"/>
      </c:scatterChart>
      <c:valAx>
        <c:axId val="1434589391"/>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434590223"/>
        <c:crosses val="autoZero"/>
        <c:crossBetween val="midCat"/>
      </c:valAx>
      <c:valAx>
        <c:axId val="1434590223"/>
        <c:scaling>
          <c:orientation val="minMax"/>
          <c:min val="25"/>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34589391"/>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55A59-76B1-4CEB-A487-2C61021E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7</Pages>
  <Words>2567</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2025-12-22T09:49:00Z</dcterms:created>
  <dcterms:modified xsi:type="dcterms:W3CDTF">2025-12-23T08:22:00Z</dcterms:modified>
</cp:coreProperties>
</file>