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37EE37" w14:textId="77777777" w:rsidR="00A369E7" w:rsidRDefault="00A369E7" w:rsidP="005A0556">
      <w:pPr>
        <w:spacing w:after="0" w:line="240" w:lineRule="auto"/>
        <w:jc w:val="right"/>
        <w:rPr>
          <w:rFonts w:ascii="Arial" w:hAnsi="Arial" w:cs="Arial"/>
          <w:b/>
          <w:bCs/>
          <w:sz w:val="36"/>
          <w:szCs w:val="36"/>
        </w:rPr>
      </w:pPr>
      <w:r w:rsidRPr="00A369E7">
        <w:rPr>
          <w:rFonts w:ascii="Arial" w:hAnsi="Arial" w:cs="Arial"/>
          <w:b/>
          <w:bCs/>
          <w:sz w:val="36"/>
          <w:szCs w:val="36"/>
        </w:rPr>
        <w:t xml:space="preserve">Original Research Article </w:t>
      </w:r>
    </w:p>
    <w:p w14:paraId="453E8A34" w14:textId="77777777" w:rsidR="00A369E7" w:rsidRDefault="00A369E7" w:rsidP="005A0556">
      <w:pPr>
        <w:spacing w:after="0" w:line="240" w:lineRule="auto"/>
        <w:jc w:val="right"/>
        <w:rPr>
          <w:rFonts w:ascii="Arial" w:hAnsi="Arial" w:cs="Arial"/>
          <w:b/>
          <w:bCs/>
          <w:sz w:val="36"/>
          <w:szCs w:val="36"/>
        </w:rPr>
      </w:pPr>
    </w:p>
    <w:p w14:paraId="1E6B6860" w14:textId="2EBA89A0" w:rsidR="005A0556" w:rsidRPr="005A0556" w:rsidRDefault="005A0556" w:rsidP="005A0556">
      <w:pPr>
        <w:spacing w:after="0" w:line="240" w:lineRule="auto"/>
        <w:jc w:val="right"/>
        <w:rPr>
          <w:rFonts w:ascii="Arial" w:hAnsi="Arial" w:cs="Arial"/>
          <w:b/>
          <w:bCs/>
          <w:sz w:val="36"/>
          <w:szCs w:val="36"/>
        </w:rPr>
      </w:pPr>
      <w:r w:rsidRPr="005A0556">
        <w:rPr>
          <w:rFonts w:ascii="Arial" w:hAnsi="Arial" w:cs="Arial"/>
          <w:b/>
          <w:bCs/>
          <w:sz w:val="36"/>
          <w:szCs w:val="36"/>
        </w:rPr>
        <w:t xml:space="preserve">Macro and Micronutrient Driven Improvement in Growth, Yield and Quality of </w:t>
      </w:r>
      <w:r w:rsidRPr="005A0556">
        <w:rPr>
          <w:rFonts w:ascii="Arial" w:hAnsi="Arial" w:cs="Arial"/>
          <w:b/>
          <w:bCs/>
          <w:i/>
          <w:iCs/>
          <w:sz w:val="36"/>
          <w:szCs w:val="36"/>
        </w:rPr>
        <w:t>Kharif</w:t>
      </w:r>
      <w:r w:rsidRPr="005A0556">
        <w:rPr>
          <w:rFonts w:ascii="Arial" w:hAnsi="Arial" w:cs="Arial"/>
          <w:b/>
          <w:bCs/>
          <w:sz w:val="36"/>
          <w:szCs w:val="36"/>
        </w:rPr>
        <w:t xml:space="preserve"> Sunflower </w:t>
      </w:r>
    </w:p>
    <w:p w14:paraId="5B2B7F40" w14:textId="1090CF3F" w:rsidR="005A0556" w:rsidRPr="005A0556" w:rsidRDefault="005A0556" w:rsidP="005A0556">
      <w:pPr>
        <w:spacing w:after="0" w:line="240" w:lineRule="auto"/>
        <w:jc w:val="right"/>
        <w:rPr>
          <w:rFonts w:ascii="Arial" w:hAnsi="Arial" w:cs="Arial"/>
          <w:b/>
          <w:bCs/>
          <w:sz w:val="36"/>
          <w:szCs w:val="36"/>
        </w:rPr>
      </w:pPr>
      <w:r w:rsidRPr="005A0556">
        <w:rPr>
          <w:rFonts w:ascii="Arial" w:hAnsi="Arial" w:cs="Arial"/>
          <w:b/>
          <w:bCs/>
          <w:sz w:val="36"/>
          <w:szCs w:val="36"/>
        </w:rPr>
        <w:t>(</w:t>
      </w:r>
      <w:r w:rsidRPr="005A0556">
        <w:rPr>
          <w:rFonts w:ascii="Arial" w:hAnsi="Arial" w:cs="Arial"/>
          <w:b/>
          <w:bCs/>
          <w:i/>
          <w:iCs/>
          <w:sz w:val="36"/>
          <w:szCs w:val="36"/>
        </w:rPr>
        <w:t>Helianthus annuus</w:t>
      </w:r>
      <w:r w:rsidRPr="005A0556">
        <w:rPr>
          <w:rFonts w:ascii="Arial" w:hAnsi="Arial" w:cs="Arial"/>
          <w:b/>
          <w:bCs/>
          <w:sz w:val="36"/>
          <w:szCs w:val="36"/>
        </w:rPr>
        <w:t xml:space="preserve"> L.)</w:t>
      </w:r>
    </w:p>
    <w:p w14:paraId="43309A2C" w14:textId="77777777" w:rsidR="005A0556" w:rsidRDefault="005A0556" w:rsidP="005A0556">
      <w:pPr>
        <w:spacing w:line="240" w:lineRule="auto"/>
        <w:jc w:val="right"/>
        <w:rPr>
          <w:rFonts w:ascii="Arial" w:hAnsi="Arial" w:cs="Arial"/>
          <w:szCs w:val="22"/>
        </w:rPr>
      </w:pPr>
    </w:p>
    <w:bookmarkStart w:id="0" w:name="_GoBack"/>
    <w:bookmarkEnd w:id="0"/>
    <w:p w14:paraId="227CB38E" w14:textId="0F4649ED" w:rsidR="00E63DD4" w:rsidRPr="005A0556" w:rsidRDefault="00E63DD4" w:rsidP="00E63DD4">
      <w:pPr>
        <w:spacing w:line="240" w:lineRule="auto"/>
        <w:rPr>
          <w:rFonts w:ascii="Arial" w:hAnsi="Arial" w:cs="Arial"/>
          <w:szCs w:val="22"/>
        </w:rPr>
      </w:pPr>
      <w:r>
        <w:rPr>
          <w:rFonts w:ascii="Arial" w:hAnsi="Arial" w:cs="Arial"/>
          <w:noProof/>
          <w:szCs w:val="22"/>
        </w:rPr>
        <mc:AlternateContent>
          <mc:Choice Requires="wps">
            <w:drawing>
              <wp:anchor distT="0" distB="0" distL="114300" distR="114300" simplePos="0" relativeHeight="251659264" behindDoc="0" locked="0" layoutInCell="1" allowOverlap="1" wp14:anchorId="168EB875" wp14:editId="13E45197">
                <wp:simplePos x="0" y="0"/>
                <wp:positionH relativeFrom="column">
                  <wp:posOffset>0</wp:posOffset>
                </wp:positionH>
                <wp:positionV relativeFrom="paragraph">
                  <wp:posOffset>10160</wp:posOffset>
                </wp:positionV>
                <wp:extent cx="5715000" cy="0"/>
                <wp:effectExtent l="0" t="0" r="0" b="0"/>
                <wp:wrapNone/>
                <wp:docPr id="404475141" name="Straight Connector 3"/>
                <wp:cNvGraphicFramePr/>
                <a:graphic xmlns:a="http://schemas.openxmlformats.org/drawingml/2006/main">
                  <a:graphicData uri="http://schemas.microsoft.com/office/word/2010/wordprocessingShape">
                    <wps:wsp>
                      <wps:cNvCnPr/>
                      <wps:spPr>
                        <a:xfrm>
                          <a:off x="0" y="0"/>
                          <a:ext cx="5715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DE22748"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8pt" to="45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" strokecolor="black [3200]" strokeweight="1.5pt">
                <v:stroke joinstyle="miter"/>
              </v:line>
            </w:pict>
          </mc:Fallback>
        </mc:AlternateContent>
      </w:r>
    </w:p>
    <w:p w14:paraId="342B424F" w14:textId="3CB2D07F" w:rsidR="005A0556" w:rsidRPr="005A0556" w:rsidRDefault="005A0556" w:rsidP="00E63DD4">
      <w:pPr>
        <w:spacing w:before="240" w:line="240" w:lineRule="auto"/>
        <w:jc w:val="both"/>
        <w:rPr>
          <w:rFonts w:ascii="Arial" w:hAnsi="Arial" w:cs="Arial"/>
          <w:b/>
          <w:bCs/>
          <w:szCs w:val="22"/>
        </w:rPr>
      </w:pPr>
      <w:r w:rsidRPr="005A0556">
        <w:rPr>
          <w:rFonts w:ascii="Arial" w:hAnsi="Arial" w:cs="Arial"/>
          <w:b/>
          <w:bCs/>
          <w:szCs w:val="22"/>
        </w:rPr>
        <w:t xml:space="preserve">ABSTRACT </w:t>
      </w:r>
    </w:p>
    <w:p w14:paraId="7A9B8FEF" w14:textId="2C979AE3" w:rsidR="005A0556" w:rsidRPr="00CB770A" w:rsidRDefault="007326CA" w:rsidP="005A0556">
      <w:pPr>
        <w:spacing w:line="240" w:lineRule="auto"/>
        <w:jc w:val="both"/>
        <w:rPr>
          <w:rFonts w:ascii="Arial" w:hAnsi="Arial" w:cs="Arial"/>
          <w:sz w:val="20"/>
        </w:rPr>
      </w:pPr>
      <w:r w:rsidRPr="00CB770A">
        <w:rPr>
          <w:rFonts w:ascii="Arial" w:hAnsi="Arial" w:cs="Arial"/>
          <w:sz w:val="20"/>
        </w:rPr>
        <w:t xml:space="preserve">Sunflower crops </w:t>
      </w:r>
      <w:r w:rsidR="006554D2" w:rsidRPr="00CB770A">
        <w:rPr>
          <w:rFonts w:ascii="Arial" w:hAnsi="Arial" w:cs="Arial"/>
          <w:sz w:val="20"/>
        </w:rPr>
        <w:t xml:space="preserve">rely </w:t>
      </w:r>
      <w:r w:rsidRPr="00CB770A">
        <w:rPr>
          <w:rFonts w:ascii="Arial" w:hAnsi="Arial" w:cs="Arial"/>
          <w:sz w:val="20"/>
        </w:rPr>
        <w:t xml:space="preserve">heavily on micronutrients, yet they are frequently overlooked in </w:t>
      </w:r>
      <w:proofErr w:type="spellStart"/>
      <w:r w:rsidRPr="00CB770A">
        <w:rPr>
          <w:rFonts w:ascii="Arial" w:hAnsi="Arial" w:cs="Arial"/>
          <w:sz w:val="20"/>
        </w:rPr>
        <w:t>favor</w:t>
      </w:r>
      <w:proofErr w:type="spellEnd"/>
      <w:r w:rsidRPr="00CB770A">
        <w:rPr>
          <w:rFonts w:ascii="Arial" w:hAnsi="Arial" w:cs="Arial"/>
          <w:sz w:val="20"/>
        </w:rPr>
        <w:t xml:space="preserve"> of macronutrients. A lack of these essential elements leads to reduced yield and poorer oil quality. Therefore, t</w:t>
      </w:r>
      <w:r w:rsidR="002D3FAF" w:rsidRPr="00CB770A">
        <w:rPr>
          <w:rFonts w:ascii="Arial" w:hAnsi="Arial" w:cs="Arial"/>
          <w:sz w:val="20"/>
        </w:rPr>
        <w:t xml:space="preserve">he present investigation aims to study the response of sunflower to different micronutrients with respect to growth, yield, quality parameters and economics. </w:t>
      </w:r>
      <w:r w:rsidR="00E63DD4" w:rsidRPr="00CB770A">
        <w:rPr>
          <w:rFonts w:ascii="Arial" w:hAnsi="Arial" w:cs="Arial"/>
          <w:sz w:val="20"/>
        </w:rPr>
        <w:t>The</w:t>
      </w:r>
      <w:r w:rsidR="002D3FAF" w:rsidRPr="00CB770A">
        <w:rPr>
          <w:rFonts w:ascii="Arial" w:hAnsi="Arial" w:cs="Arial"/>
          <w:sz w:val="20"/>
        </w:rPr>
        <w:t xml:space="preserve"> field</w:t>
      </w:r>
      <w:r w:rsidR="00E63DD4" w:rsidRPr="00CB770A">
        <w:rPr>
          <w:rFonts w:ascii="Arial" w:hAnsi="Arial" w:cs="Arial"/>
          <w:sz w:val="20"/>
        </w:rPr>
        <w:t xml:space="preserve"> experiment </w:t>
      </w:r>
      <w:r w:rsidR="002D3FAF" w:rsidRPr="00CB770A">
        <w:rPr>
          <w:rFonts w:ascii="Arial" w:hAnsi="Arial" w:cs="Arial"/>
          <w:sz w:val="20"/>
        </w:rPr>
        <w:t xml:space="preserve">was </w:t>
      </w:r>
      <w:r w:rsidR="00E63DD4" w:rsidRPr="00CB770A">
        <w:rPr>
          <w:rFonts w:ascii="Arial" w:hAnsi="Arial" w:cs="Arial"/>
          <w:sz w:val="20"/>
        </w:rPr>
        <w:t xml:space="preserve">laid out in randomized block design </w:t>
      </w:r>
      <w:r w:rsidR="005A0556" w:rsidRPr="00CB770A">
        <w:rPr>
          <w:rFonts w:ascii="Arial" w:hAnsi="Arial" w:cs="Arial"/>
          <w:sz w:val="20"/>
        </w:rPr>
        <w:t xml:space="preserve">during </w:t>
      </w:r>
      <w:r w:rsidR="005A0556" w:rsidRPr="00CB770A">
        <w:rPr>
          <w:rFonts w:ascii="Arial" w:hAnsi="Arial" w:cs="Arial"/>
          <w:i/>
          <w:iCs/>
          <w:sz w:val="20"/>
        </w:rPr>
        <w:t xml:space="preserve">kharif </w:t>
      </w:r>
      <w:r w:rsidR="005A0556" w:rsidRPr="00CB770A">
        <w:rPr>
          <w:rFonts w:ascii="Arial" w:hAnsi="Arial" w:cs="Arial"/>
          <w:sz w:val="20"/>
        </w:rPr>
        <w:t>season of 2022 at Experimental Farm, Agronomy Section, Oilseeds Research Station, Latur</w:t>
      </w:r>
      <w:r w:rsidR="00E63DD4" w:rsidRPr="00CB770A">
        <w:rPr>
          <w:rFonts w:ascii="Arial" w:hAnsi="Arial" w:cs="Arial"/>
          <w:sz w:val="20"/>
        </w:rPr>
        <w:t>.</w:t>
      </w:r>
      <w:r w:rsidR="002D3FAF" w:rsidRPr="00CB770A">
        <w:rPr>
          <w:rFonts w:ascii="Arial" w:hAnsi="Arial" w:cs="Arial"/>
          <w:sz w:val="20"/>
        </w:rPr>
        <w:t xml:space="preserve"> </w:t>
      </w:r>
      <w:r w:rsidR="005A0556" w:rsidRPr="00CB770A">
        <w:rPr>
          <w:rFonts w:ascii="Arial" w:hAnsi="Arial" w:cs="Arial"/>
          <w:sz w:val="20"/>
        </w:rPr>
        <w:t>The treatments were T</w:t>
      </w:r>
      <w:r w:rsidR="005A0556" w:rsidRPr="00CB770A">
        <w:rPr>
          <w:rFonts w:ascii="Arial" w:hAnsi="Arial" w:cs="Arial"/>
          <w:sz w:val="20"/>
          <w:vertAlign w:val="subscript"/>
        </w:rPr>
        <w:t>1</w:t>
      </w:r>
      <w:r w:rsidR="005A0556" w:rsidRPr="00CB770A">
        <w:rPr>
          <w:rFonts w:ascii="Arial" w:hAnsi="Arial" w:cs="Arial"/>
          <w:sz w:val="20"/>
        </w:rPr>
        <w:t xml:space="preserve"> - Control, T</w:t>
      </w:r>
      <w:r w:rsidR="005A0556" w:rsidRPr="00CB770A">
        <w:rPr>
          <w:rFonts w:ascii="Arial" w:hAnsi="Arial" w:cs="Arial"/>
          <w:sz w:val="20"/>
          <w:vertAlign w:val="subscript"/>
        </w:rPr>
        <w:t>2</w:t>
      </w:r>
      <w:r w:rsidR="005A0556" w:rsidRPr="00CB770A">
        <w:rPr>
          <w:rFonts w:ascii="Arial" w:hAnsi="Arial" w:cs="Arial"/>
          <w:sz w:val="20"/>
        </w:rPr>
        <w:t xml:space="preserve"> - RDF (90:45:45 kg N:P:K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3</w:t>
      </w:r>
      <w:r w:rsidR="005A0556" w:rsidRPr="00CB770A">
        <w:rPr>
          <w:rFonts w:ascii="Arial" w:hAnsi="Arial" w:cs="Arial"/>
          <w:sz w:val="20"/>
        </w:rPr>
        <w:t xml:space="preserve"> -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4</w:t>
      </w:r>
      <w:r w:rsidR="005A0556" w:rsidRPr="00CB770A">
        <w:rPr>
          <w:rFonts w:ascii="Arial" w:hAnsi="Arial" w:cs="Arial"/>
          <w:sz w:val="20"/>
        </w:rPr>
        <w:t xml:space="preserve"> - RDF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5</w:t>
      </w:r>
      <w:r w:rsidR="005A0556" w:rsidRPr="00CB770A">
        <w:rPr>
          <w:rFonts w:ascii="Arial" w:hAnsi="Arial" w:cs="Arial"/>
          <w:sz w:val="20"/>
        </w:rPr>
        <w:t xml:space="preserve"> - RDF + Borax @ 2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6</w:t>
      </w:r>
      <w:r w:rsidR="005A0556" w:rsidRPr="00CB770A">
        <w:rPr>
          <w:rFonts w:ascii="Arial" w:hAnsi="Arial" w:cs="Arial"/>
          <w:sz w:val="20"/>
        </w:rPr>
        <w:t xml:space="preserve"> -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Borax @ 2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7</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Grade-1 @ 25 kg ha</w:t>
      </w:r>
      <w:r w:rsidR="005A0556" w:rsidRPr="00CB770A">
        <w:rPr>
          <w:rFonts w:ascii="Arial" w:hAnsi="Arial" w:cs="Arial"/>
          <w:sz w:val="20"/>
          <w:vertAlign w:val="superscript"/>
        </w:rPr>
        <w:t>-1</w:t>
      </w:r>
      <w:r w:rsidR="005A0556" w:rsidRPr="00CB770A">
        <w:rPr>
          <w:rFonts w:ascii="Arial" w:hAnsi="Arial" w:cs="Arial"/>
          <w:sz w:val="20"/>
        </w:rPr>
        <w:t>, T</w:t>
      </w:r>
      <w:r w:rsidR="005A0556" w:rsidRPr="00CB770A">
        <w:rPr>
          <w:rFonts w:ascii="Arial" w:hAnsi="Arial" w:cs="Arial"/>
          <w:sz w:val="20"/>
          <w:vertAlign w:val="subscript"/>
        </w:rPr>
        <w:t>8</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Grade-2 @ 0.2% at 20 DAS, T</w:t>
      </w:r>
      <w:r w:rsidR="005A0556" w:rsidRPr="00CB770A">
        <w:rPr>
          <w:rFonts w:ascii="Arial" w:hAnsi="Arial" w:cs="Arial"/>
          <w:sz w:val="20"/>
          <w:vertAlign w:val="subscript"/>
        </w:rPr>
        <w:t>9</w:t>
      </w:r>
      <w:r w:rsidR="005A0556" w:rsidRPr="00CB770A">
        <w:rPr>
          <w:rFonts w:ascii="Arial" w:hAnsi="Arial" w:cs="Arial"/>
          <w:sz w:val="20"/>
        </w:rPr>
        <w:t xml:space="preserve"> - RDF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Grade-1 @ 25 kg ha</w:t>
      </w:r>
      <w:r w:rsidR="005A0556" w:rsidRPr="00CB770A">
        <w:rPr>
          <w:rFonts w:ascii="Arial" w:hAnsi="Arial" w:cs="Arial"/>
          <w:sz w:val="20"/>
          <w:vertAlign w:val="superscript"/>
        </w:rPr>
        <w:t>-1</w:t>
      </w:r>
      <w:r w:rsidR="005A0556" w:rsidRPr="00CB770A">
        <w:rPr>
          <w:rFonts w:ascii="Arial" w:hAnsi="Arial" w:cs="Arial"/>
          <w:sz w:val="20"/>
        </w:rPr>
        <w:t xml:space="preserve"> + </w:t>
      </w:r>
      <w:proofErr w:type="spellStart"/>
      <w:r w:rsidR="005A0556" w:rsidRPr="00CB770A">
        <w:rPr>
          <w:rFonts w:ascii="Arial" w:hAnsi="Arial" w:cs="Arial"/>
          <w:sz w:val="20"/>
        </w:rPr>
        <w:t>Multimicronutrient</w:t>
      </w:r>
      <w:proofErr w:type="spellEnd"/>
      <w:r w:rsidR="005A0556" w:rsidRPr="00CB770A">
        <w:rPr>
          <w:rFonts w:ascii="Arial" w:hAnsi="Arial" w:cs="Arial"/>
          <w:sz w:val="20"/>
        </w:rPr>
        <w:t xml:space="preserve"> Grade-2 @ 0.2% at 20 DAS. </w:t>
      </w:r>
      <w:r w:rsidRPr="00CB770A">
        <w:rPr>
          <w:rFonts w:ascii="Arial" w:hAnsi="Arial" w:cs="Arial"/>
          <w:sz w:val="20"/>
        </w:rPr>
        <w:t>The results showed that a</w:t>
      </w:r>
      <w:r w:rsidR="005A0556" w:rsidRPr="00CB770A">
        <w:rPr>
          <w:rFonts w:ascii="Arial" w:hAnsi="Arial" w:cs="Arial"/>
          <w:sz w:val="20"/>
        </w:rPr>
        <w:t>pplication of RDF + ZnSO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FeSO</w:t>
      </w:r>
      <w:r w:rsidR="005A0556" w:rsidRPr="00CB770A">
        <w:rPr>
          <w:rFonts w:ascii="Arial" w:hAnsi="Arial" w:cs="Arial"/>
          <w:sz w:val="20"/>
          <w:vertAlign w:val="subscript"/>
        </w:rPr>
        <w:t>4</w:t>
      </w:r>
      <w:r w:rsidR="005A0556" w:rsidRPr="00CB770A">
        <w:rPr>
          <w:rFonts w:ascii="Arial" w:hAnsi="Arial" w:cs="Arial"/>
          <w:sz w:val="20"/>
        </w:rPr>
        <w:t xml:space="preserve"> @ 20 kg ha</w:t>
      </w:r>
      <w:r w:rsidR="005A0556" w:rsidRPr="00CB770A">
        <w:rPr>
          <w:rFonts w:ascii="Arial" w:hAnsi="Arial" w:cs="Arial"/>
          <w:sz w:val="20"/>
          <w:vertAlign w:val="superscript"/>
        </w:rPr>
        <w:t>-1</w:t>
      </w:r>
      <w:r w:rsidR="005A0556" w:rsidRPr="00CB770A">
        <w:rPr>
          <w:rFonts w:ascii="Arial" w:hAnsi="Arial" w:cs="Arial"/>
          <w:sz w:val="20"/>
        </w:rPr>
        <w:t xml:space="preserve"> + Borax @ 2 kg ha</w:t>
      </w:r>
      <w:r w:rsidR="005A0556" w:rsidRPr="00CB770A">
        <w:rPr>
          <w:rFonts w:ascii="Arial" w:hAnsi="Arial" w:cs="Arial"/>
          <w:sz w:val="20"/>
          <w:vertAlign w:val="superscript"/>
        </w:rPr>
        <w:t>-1</w:t>
      </w:r>
      <w:r w:rsidR="005A0556" w:rsidRPr="00CB770A">
        <w:rPr>
          <w:rFonts w:ascii="Arial" w:hAnsi="Arial" w:cs="Arial"/>
          <w:sz w:val="20"/>
        </w:rPr>
        <w:t xml:space="preserve"> (T</w:t>
      </w:r>
      <w:r w:rsidR="005A0556" w:rsidRPr="00CB770A">
        <w:rPr>
          <w:rFonts w:ascii="Arial" w:hAnsi="Arial" w:cs="Arial"/>
          <w:sz w:val="20"/>
          <w:vertAlign w:val="subscript"/>
        </w:rPr>
        <w:t>6</w:t>
      </w:r>
      <w:r w:rsidR="005A0556" w:rsidRPr="00CB770A">
        <w:rPr>
          <w:rFonts w:ascii="Arial" w:hAnsi="Arial" w:cs="Arial"/>
          <w:sz w:val="20"/>
        </w:rPr>
        <w:t xml:space="preserve">) recorded highest growth </w:t>
      </w:r>
      <w:r w:rsidR="002D3FAF" w:rsidRPr="00CB770A">
        <w:rPr>
          <w:rFonts w:ascii="Arial" w:hAnsi="Arial" w:cs="Arial"/>
          <w:sz w:val="20"/>
        </w:rPr>
        <w:t xml:space="preserve">indices </w:t>
      </w:r>
      <w:r w:rsidR="005A0556" w:rsidRPr="00CB770A">
        <w:rPr>
          <w:rFonts w:ascii="Arial" w:hAnsi="Arial" w:cs="Arial"/>
          <w:i/>
          <w:iCs/>
          <w:sz w:val="20"/>
        </w:rPr>
        <w:t xml:space="preserve">viz. </w:t>
      </w:r>
      <w:r w:rsidR="005A0556" w:rsidRPr="00CB770A">
        <w:rPr>
          <w:rFonts w:ascii="Arial" w:hAnsi="Arial" w:cs="Arial"/>
          <w:sz w:val="20"/>
        </w:rPr>
        <w:t>Absolute Growth Rate (AGR) expressed on a plant height and dry matter basis, Relative growth rate and Leaf area index.</w:t>
      </w:r>
      <w:r w:rsidR="00157C5B" w:rsidRPr="00CB770A">
        <w:rPr>
          <w:rFonts w:ascii="Arial" w:hAnsi="Arial" w:cs="Arial"/>
          <w:sz w:val="20"/>
        </w:rPr>
        <w:t xml:space="preserve"> </w:t>
      </w:r>
      <w:r w:rsidR="005A0556" w:rsidRPr="00CB770A">
        <w:rPr>
          <w:rFonts w:ascii="Arial" w:hAnsi="Arial" w:cs="Arial"/>
          <w:sz w:val="20"/>
        </w:rPr>
        <w:t xml:space="preserve">It also </w:t>
      </w:r>
      <w:r w:rsidR="00CB770A" w:rsidRPr="00CB770A">
        <w:rPr>
          <w:rFonts w:ascii="Arial" w:hAnsi="Arial" w:cs="Arial"/>
          <w:sz w:val="20"/>
        </w:rPr>
        <w:t xml:space="preserve">reported </w:t>
      </w:r>
      <w:r w:rsidR="005A0556" w:rsidRPr="00CB770A">
        <w:rPr>
          <w:rFonts w:ascii="Arial" w:hAnsi="Arial" w:cs="Arial"/>
          <w:sz w:val="20"/>
        </w:rPr>
        <w:t xml:space="preserve">significantly highest test weight, seed yield and oil content and oil yield. Similar trends were also recorded in the economical parameters of statistical data. </w:t>
      </w:r>
      <w:r w:rsidR="006554D2" w:rsidRPr="00CB770A">
        <w:rPr>
          <w:rFonts w:ascii="Arial" w:hAnsi="Arial" w:cs="Arial"/>
          <w:sz w:val="20"/>
        </w:rPr>
        <w:t>Overall, the study concludes that balanced fertilization with micronutrients enhances growth, productivity, quality and profitability of sunflower.</w:t>
      </w:r>
    </w:p>
    <w:p w14:paraId="3CEDCFB7" w14:textId="187B3E07" w:rsidR="005A0556" w:rsidRPr="005A0556" w:rsidRDefault="005A0556" w:rsidP="00802C49">
      <w:pPr>
        <w:spacing w:line="240" w:lineRule="auto"/>
        <w:rPr>
          <w:rFonts w:ascii="Arial" w:hAnsi="Arial" w:cs="Arial"/>
          <w:sz w:val="20"/>
        </w:rPr>
      </w:pPr>
      <w:r w:rsidRPr="005A0556">
        <w:rPr>
          <w:rFonts w:ascii="Arial" w:hAnsi="Arial" w:cs="Arial"/>
          <w:i/>
          <w:iCs/>
          <w:sz w:val="20"/>
        </w:rPr>
        <w:t>Keywords: AGR, RGR, LAI, micronutrient, yield and quality</w:t>
      </w:r>
    </w:p>
    <w:p w14:paraId="39D315E7" w14:textId="77777777" w:rsidR="00E11E42" w:rsidRDefault="00E11E42" w:rsidP="00E11E42">
      <w:pPr>
        <w:spacing w:line="240" w:lineRule="auto"/>
        <w:rPr>
          <w:rFonts w:ascii="Arial" w:hAnsi="Arial" w:cs="Arial"/>
          <w:b/>
          <w:bCs/>
          <w:szCs w:val="22"/>
        </w:rPr>
      </w:pPr>
    </w:p>
    <w:p w14:paraId="6DA90E9F" w14:textId="303121D3" w:rsidR="00E11E42" w:rsidRPr="00802C49" w:rsidRDefault="00BE3F9C" w:rsidP="00802C49">
      <w:pPr>
        <w:pStyle w:val="ListParagraph"/>
        <w:numPr>
          <w:ilvl w:val="0"/>
          <w:numId w:val="1"/>
        </w:numPr>
        <w:spacing w:line="240" w:lineRule="auto"/>
        <w:rPr>
          <w:rFonts w:ascii="Arial" w:hAnsi="Arial" w:cs="Arial"/>
          <w:b/>
          <w:bCs/>
          <w:szCs w:val="22"/>
        </w:rPr>
      </w:pPr>
      <w:r w:rsidRPr="00802C49">
        <w:rPr>
          <w:rFonts w:ascii="Arial" w:hAnsi="Arial" w:cs="Arial"/>
          <w:b/>
          <w:bCs/>
          <w:szCs w:val="22"/>
        </w:rPr>
        <w:t>INTRODUCTION</w:t>
      </w:r>
    </w:p>
    <w:p w14:paraId="4A50DF7D" w14:textId="238E9E67" w:rsidR="00E11E42" w:rsidRPr="00802C49" w:rsidRDefault="00E11E42" w:rsidP="00802C49">
      <w:pPr>
        <w:spacing w:line="240" w:lineRule="auto"/>
        <w:jc w:val="both"/>
        <w:rPr>
          <w:rFonts w:ascii="Arial" w:hAnsi="Arial" w:cs="Arial"/>
          <w:sz w:val="20"/>
        </w:rPr>
      </w:pPr>
      <w:r w:rsidRPr="00802C49">
        <w:rPr>
          <w:rFonts w:ascii="Arial" w:hAnsi="Arial" w:cs="Arial"/>
          <w:sz w:val="20"/>
        </w:rPr>
        <w:t>Sunflower (</w:t>
      </w:r>
      <w:r w:rsidRPr="00802C49">
        <w:rPr>
          <w:rFonts w:ascii="Arial" w:hAnsi="Arial" w:cs="Arial"/>
          <w:i/>
          <w:iCs/>
          <w:sz w:val="20"/>
        </w:rPr>
        <w:t xml:space="preserve">Helianthus annuus </w:t>
      </w:r>
      <w:r w:rsidRPr="00802C49">
        <w:rPr>
          <w:rFonts w:ascii="Arial" w:hAnsi="Arial" w:cs="Arial"/>
          <w:sz w:val="20"/>
        </w:rPr>
        <w:t>L.) is a member of Asteraceae family which originated from North America. It also known as ‘</w:t>
      </w:r>
      <w:proofErr w:type="spellStart"/>
      <w:r w:rsidRPr="00802C49">
        <w:rPr>
          <w:rFonts w:ascii="Arial" w:hAnsi="Arial" w:cs="Arial"/>
          <w:sz w:val="20"/>
        </w:rPr>
        <w:t>Surajmukhi</w:t>
      </w:r>
      <w:proofErr w:type="spellEnd"/>
      <w:r w:rsidRPr="00802C49">
        <w:rPr>
          <w:rFonts w:ascii="Arial" w:hAnsi="Arial" w:cs="Arial"/>
          <w:sz w:val="20"/>
        </w:rPr>
        <w:t xml:space="preserve">’ due to characteristic phenomenon called heliotropism </w:t>
      </w:r>
      <w:r w:rsidRPr="00802C49">
        <w:rPr>
          <w:rFonts w:ascii="Arial" w:hAnsi="Arial" w:cs="Arial"/>
          <w:i/>
          <w:iCs/>
          <w:sz w:val="20"/>
        </w:rPr>
        <w:t>i.e.</w:t>
      </w:r>
      <w:r w:rsidR="00E63DD4" w:rsidRPr="00802C49">
        <w:rPr>
          <w:rFonts w:ascii="Arial" w:hAnsi="Arial" w:cs="Arial"/>
          <w:i/>
          <w:iCs/>
          <w:sz w:val="20"/>
        </w:rPr>
        <w:t>,</w:t>
      </w:r>
      <w:r w:rsidRPr="00802C49">
        <w:rPr>
          <w:rFonts w:ascii="Arial" w:hAnsi="Arial" w:cs="Arial"/>
          <w:sz w:val="20"/>
        </w:rPr>
        <w:t xml:space="preserve"> turning with sun during flowering periods. The genus </w:t>
      </w:r>
      <w:r w:rsidRPr="00802C49">
        <w:rPr>
          <w:rFonts w:ascii="Arial" w:hAnsi="Arial" w:cs="Arial"/>
          <w:i/>
          <w:iCs/>
          <w:sz w:val="20"/>
        </w:rPr>
        <w:t xml:space="preserve">Helianthus </w:t>
      </w:r>
      <w:r w:rsidRPr="00802C49">
        <w:rPr>
          <w:rFonts w:ascii="Arial" w:hAnsi="Arial" w:cs="Arial"/>
          <w:sz w:val="20"/>
        </w:rPr>
        <w:t xml:space="preserve">is derived from Greek language </w:t>
      </w:r>
      <w:r w:rsidRPr="00802C49">
        <w:rPr>
          <w:rFonts w:ascii="Arial" w:hAnsi="Arial" w:cs="Arial"/>
          <w:i/>
          <w:iCs/>
          <w:sz w:val="20"/>
        </w:rPr>
        <w:t>i.e.</w:t>
      </w:r>
      <w:r w:rsidRPr="00802C49">
        <w:rPr>
          <w:rFonts w:ascii="Arial" w:hAnsi="Arial" w:cs="Arial"/>
          <w:sz w:val="20"/>
        </w:rPr>
        <w:t xml:space="preserve">, </w:t>
      </w:r>
      <w:proofErr w:type="spellStart"/>
      <w:r w:rsidRPr="00802C49">
        <w:rPr>
          <w:rFonts w:ascii="Arial" w:hAnsi="Arial" w:cs="Arial"/>
          <w:i/>
          <w:iCs/>
          <w:sz w:val="20"/>
        </w:rPr>
        <w:t>helios</w:t>
      </w:r>
      <w:proofErr w:type="spellEnd"/>
      <w:r w:rsidRPr="00802C49">
        <w:rPr>
          <w:rFonts w:ascii="Arial" w:hAnsi="Arial" w:cs="Arial"/>
          <w:i/>
          <w:iCs/>
          <w:sz w:val="20"/>
        </w:rPr>
        <w:t xml:space="preserve"> </w:t>
      </w:r>
      <w:r w:rsidRPr="00802C49">
        <w:rPr>
          <w:rFonts w:ascii="Arial" w:hAnsi="Arial" w:cs="Arial"/>
          <w:sz w:val="20"/>
        </w:rPr>
        <w:t xml:space="preserve">meaning sun and </w:t>
      </w:r>
      <w:proofErr w:type="spellStart"/>
      <w:r w:rsidRPr="00802C49">
        <w:rPr>
          <w:rFonts w:ascii="Arial" w:hAnsi="Arial" w:cs="Arial"/>
          <w:i/>
          <w:iCs/>
          <w:sz w:val="20"/>
        </w:rPr>
        <w:t>anthos</w:t>
      </w:r>
      <w:proofErr w:type="spellEnd"/>
      <w:r w:rsidRPr="00802C49">
        <w:rPr>
          <w:rFonts w:ascii="Arial" w:hAnsi="Arial" w:cs="Arial"/>
          <w:i/>
          <w:iCs/>
          <w:sz w:val="20"/>
        </w:rPr>
        <w:t xml:space="preserve"> </w:t>
      </w:r>
      <w:r w:rsidRPr="00802C49">
        <w:rPr>
          <w:rFonts w:ascii="Arial" w:hAnsi="Arial" w:cs="Arial"/>
          <w:sz w:val="20"/>
        </w:rPr>
        <w:t>meaning flower. To fill the lacuna in edible oil production of India, it was introduced in the country in 1969 (</w:t>
      </w:r>
      <w:proofErr w:type="spellStart"/>
      <w:r w:rsidRPr="00802C49">
        <w:rPr>
          <w:rFonts w:ascii="Arial" w:hAnsi="Arial" w:cs="Arial"/>
          <w:sz w:val="20"/>
        </w:rPr>
        <w:t>Shankergoud</w:t>
      </w:r>
      <w:proofErr w:type="spellEnd"/>
      <w:r w:rsidRPr="00802C49">
        <w:rPr>
          <w:rFonts w:ascii="Arial" w:hAnsi="Arial" w:cs="Arial"/>
          <w:sz w:val="20"/>
        </w:rPr>
        <w:t xml:space="preserve"> </w:t>
      </w:r>
      <w:r w:rsidRPr="00802C49">
        <w:rPr>
          <w:rFonts w:ascii="Arial" w:hAnsi="Arial" w:cs="Arial"/>
          <w:i/>
          <w:iCs/>
          <w:sz w:val="20"/>
        </w:rPr>
        <w:t>et al.</w:t>
      </w:r>
      <w:r w:rsidRPr="00802C49">
        <w:rPr>
          <w:rFonts w:ascii="Arial" w:hAnsi="Arial" w:cs="Arial"/>
          <w:sz w:val="20"/>
        </w:rPr>
        <w:t xml:space="preserve">, 2006). Sunflower is a day neutral crop which contains 48 to 53 % oil in kernel and 28 to 35 % in seed. Its oil is considered as premium oil due to its light hue, bland flavour, high smoke point (252-255 ºC) and good nutritional value (Rahul </w:t>
      </w:r>
      <w:r w:rsidRPr="00802C49">
        <w:rPr>
          <w:rFonts w:ascii="Arial" w:hAnsi="Arial" w:cs="Arial"/>
          <w:i/>
          <w:iCs/>
          <w:sz w:val="20"/>
        </w:rPr>
        <w:t xml:space="preserve">et al., </w:t>
      </w:r>
      <w:r w:rsidRPr="00802C49">
        <w:rPr>
          <w:rFonts w:ascii="Arial" w:hAnsi="Arial" w:cs="Arial"/>
          <w:sz w:val="20"/>
        </w:rPr>
        <w:t>2021). Sunflower oil has an enormous value due to presence of linoleic acid ranging from 40 to 67 % which reduces blood cholesterol level. Its oil has higher oxidative stability due to the presence of oleic acid content ranging from 22 to 50 %. The protein content in sunflower seeds varies from 14 to 19 % having protein score of 63 (</w:t>
      </w:r>
      <w:proofErr w:type="spellStart"/>
      <w:r w:rsidRPr="00802C49">
        <w:rPr>
          <w:rFonts w:ascii="Arial" w:hAnsi="Arial" w:cs="Arial"/>
          <w:sz w:val="20"/>
        </w:rPr>
        <w:t>Soluski</w:t>
      </w:r>
      <w:proofErr w:type="spellEnd"/>
      <w:r w:rsidRPr="00802C49">
        <w:rPr>
          <w:rFonts w:ascii="Arial" w:hAnsi="Arial" w:cs="Arial"/>
          <w:sz w:val="20"/>
        </w:rPr>
        <w:t xml:space="preserve"> and </w:t>
      </w:r>
      <w:proofErr w:type="spellStart"/>
      <w:r w:rsidRPr="00802C49">
        <w:rPr>
          <w:rFonts w:ascii="Arial" w:hAnsi="Arial" w:cs="Arial"/>
          <w:sz w:val="20"/>
        </w:rPr>
        <w:t>Saware</w:t>
      </w:r>
      <w:proofErr w:type="spellEnd"/>
      <w:r w:rsidRPr="00802C49">
        <w:rPr>
          <w:rFonts w:ascii="Arial" w:hAnsi="Arial" w:cs="Arial"/>
          <w:sz w:val="20"/>
        </w:rPr>
        <w:t>, 1973) and essential amino acid index of 68. Antinutritional constituents like chlorogenic acid (1.4 to 4.0 %) and phenolic compounds (2.6 to 3.8 %) are also present in seeds along with vitamin B complex, namely nicotinic acid (318.7 mg kg</w:t>
      </w:r>
      <w:r w:rsidRPr="00802C49">
        <w:rPr>
          <w:rFonts w:ascii="Arial" w:hAnsi="Arial" w:cs="Arial"/>
          <w:sz w:val="20"/>
          <w:vertAlign w:val="superscript"/>
        </w:rPr>
        <w:t>-1</w:t>
      </w:r>
      <w:r w:rsidRPr="00802C49">
        <w:rPr>
          <w:rFonts w:ascii="Arial" w:hAnsi="Arial" w:cs="Arial"/>
          <w:sz w:val="20"/>
        </w:rPr>
        <w:t>), thiamine (37.8 mg kg</w:t>
      </w:r>
      <w:r w:rsidRPr="00802C49">
        <w:rPr>
          <w:rFonts w:ascii="Arial" w:hAnsi="Arial" w:cs="Arial"/>
          <w:sz w:val="20"/>
          <w:vertAlign w:val="superscript"/>
        </w:rPr>
        <w:t>-1</w:t>
      </w:r>
      <w:r w:rsidRPr="00802C49">
        <w:rPr>
          <w:rFonts w:ascii="Arial" w:hAnsi="Arial" w:cs="Arial"/>
          <w:sz w:val="20"/>
        </w:rPr>
        <w:t>), pantothenic acid (44.8 mg kg</w:t>
      </w:r>
      <w:r w:rsidRPr="00802C49">
        <w:rPr>
          <w:rFonts w:ascii="Arial" w:hAnsi="Arial" w:cs="Arial"/>
          <w:sz w:val="20"/>
          <w:vertAlign w:val="superscript"/>
        </w:rPr>
        <w:t>-1</w:t>
      </w:r>
      <w:r w:rsidRPr="00802C49">
        <w:rPr>
          <w:rFonts w:ascii="Arial" w:hAnsi="Arial" w:cs="Arial"/>
          <w:sz w:val="20"/>
        </w:rPr>
        <w:t>) and riboflavin (3.6 mg kg</w:t>
      </w:r>
      <w:r w:rsidRPr="00802C49">
        <w:rPr>
          <w:rFonts w:ascii="Arial" w:hAnsi="Arial" w:cs="Arial"/>
          <w:sz w:val="20"/>
          <w:vertAlign w:val="superscript"/>
        </w:rPr>
        <w:t>-1</w:t>
      </w:r>
      <w:r w:rsidRPr="00802C49">
        <w:rPr>
          <w:rFonts w:ascii="Arial" w:hAnsi="Arial" w:cs="Arial"/>
          <w:sz w:val="20"/>
        </w:rPr>
        <w:t>). Sunflower is grown in all three seasons across the country.</w:t>
      </w:r>
      <w:r w:rsidRPr="00802C49">
        <w:rPr>
          <w:rFonts w:ascii="Arial" w:hAnsi="Arial" w:cs="Arial"/>
          <w:i/>
          <w:iCs/>
          <w:sz w:val="20"/>
        </w:rPr>
        <w:t xml:space="preserve"> Kharif </w:t>
      </w:r>
      <w:r w:rsidRPr="00802C49">
        <w:rPr>
          <w:rFonts w:ascii="Arial" w:hAnsi="Arial" w:cs="Arial"/>
          <w:sz w:val="20"/>
        </w:rPr>
        <w:t xml:space="preserve">sunflower is grown on 0.78 lakh hectares giving production of 0.72 lakh tonnes and yielding 925 kg/ha, during 2024-25 in India. In Maharashtra, </w:t>
      </w:r>
      <w:r w:rsidRPr="00802C49">
        <w:rPr>
          <w:rFonts w:ascii="Arial" w:hAnsi="Arial" w:cs="Arial"/>
          <w:i/>
          <w:iCs/>
          <w:sz w:val="20"/>
        </w:rPr>
        <w:t>kharif</w:t>
      </w:r>
      <w:r w:rsidRPr="00802C49">
        <w:rPr>
          <w:rFonts w:ascii="Arial" w:hAnsi="Arial" w:cs="Arial"/>
          <w:sz w:val="20"/>
        </w:rPr>
        <w:t xml:space="preserve"> sunflower accounts for 4.19 thousand tonnes production from 9.29 thousand-hectare area yielding 451 kg/ha (Anonymous, 2024-25)</w:t>
      </w:r>
      <w:r w:rsidR="00CB770A">
        <w:rPr>
          <w:rFonts w:ascii="Arial" w:hAnsi="Arial" w:cs="Arial"/>
          <w:sz w:val="20"/>
        </w:rPr>
        <w:t>.</w:t>
      </w:r>
    </w:p>
    <w:p w14:paraId="46173607" w14:textId="500AD316" w:rsidR="00E11E42" w:rsidRPr="00802C49" w:rsidRDefault="00E11E42" w:rsidP="00802C49">
      <w:pPr>
        <w:spacing w:line="240" w:lineRule="auto"/>
        <w:jc w:val="both"/>
        <w:rPr>
          <w:rFonts w:ascii="Arial" w:hAnsi="Arial" w:cs="Arial"/>
          <w:sz w:val="20"/>
        </w:rPr>
      </w:pPr>
      <w:r w:rsidRPr="007E3609">
        <w:rPr>
          <w:rFonts w:ascii="Arial" w:hAnsi="Arial" w:cs="Arial"/>
          <w:sz w:val="20"/>
        </w:rPr>
        <w:t xml:space="preserve">Sunflower growth, yield and quality are significantly influenced by plant nutrition. The significance of micronutrients is frequently disregarded, despite the regular application of macronutrients like potassium, phosphorus and nitrogen. </w:t>
      </w:r>
      <w:r w:rsidRPr="00802C49">
        <w:rPr>
          <w:rFonts w:ascii="Arial" w:hAnsi="Arial" w:cs="Arial"/>
          <w:sz w:val="20"/>
        </w:rPr>
        <w:t>M</w:t>
      </w:r>
      <w:r w:rsidRPr="007E3609">
        <w:rPr>
          <w:rFonts w:ascii="Arial" w:hAnsi="Arial" w:cs="Arial"/>
          <w:sz w:val="20"/>
        </w:rPr>
        <w:t xml:space="preserve">icronutrients are necessary for normal plant growth and development </w:t>
      </w:r>
      <w:r w:rsidRPr="00802C49">
        <w:rPr>
          <w:rFonts w:ascii="Arial" w:hAnsi="Arial" w:cs="Arial"/>
          <w:sz w:val="20"/>
        </w:rPr>
        <w:t>d</w:t>
      </w:r>
      <w:r w:rsidRPr="007E3609">
        <w:rPr>
          <w:rFonts w:ascii="Arial" w:hAnsi="Arial" w:cs="Arial"/>
          <w:sz w:val="20"/>
        </w:rPr>
        <w:t xml:space="preserve">ue to their critical involvement in physiological and biochemical processes even if they are needed in modest amounts. Because </w:t>
      </w:r>
      <w:r w:rsidRPr="00802C49">
        <w:rPr>
          <w:rFonts w:ascii="Arial" w:hAnsi="Arial" w:cs="Arial"/>
          <w:sz w:val="20"/>
        </w:rPr>
        <w:t>of</w:t>
      </w:r>
      <w:r w:rsidRPr="007E3609">
        <w:rPr>
          <w:rFonts w:ascii="Arial" w:hAnsi="Arial" w:cs="Arial"/>
          <w:sz w:val="20"/>
        </w:rPr>
        <w:t xml:space="preserve"> intensive agricultural systems, ongoing use of high-analysis </w:t>
      </w:r>
      <w:r w:rsidRPr="007E3609">
        <w:rPr>
          <w:rFonts w:ascii="Arial" w:hAnsi="Arial" w:cs="Arial"/>
          <w:sz w:val="20"/>
        </w:rPr>
        <w:lastRenderedPageBreak/>
        <w:t>fertili</w:t>
      </w:r>
      <w:r w:rsidRPr="00802C49">
        <w:rPr>
          <w:rFonts w:ascii="Arial" w:hAnsi="Arial" w:cs="Arial"/>
          <w:sz w:val="20"/>
        </w:rPr>
        <w:t>z</w:t>
      </w:r>
      <w:r w:rsidRPr="007E3609">
        <w:rPr>
          <w:rFonts w:ascii="Arial" w:hAnsi="Arial" w:cs="Arial"/>
          <w:sz w:val="20"/>
        </w:rPr>
        <w:t>ers devoid of micronutrients, soil erosion, low organic matter content and unbalanced fertili</w:t>
      </w:r>
      <w:r w:rsidRPr="00802C49">
        <w:rPr>
          <w:rFonts w:ascii="Arial" w:hAnsi="Arial" w:cs="Arial"/>
          <w:sz w:val="20"/>
        </w:rPr>
        <w:t>z</w:t>
      </w:r>
      <w:r w:rsidRPr="007E3609">
        <w:rPr>
          <w:rFonts w:ascii="Arial" w:hAnsi="Arial" w:cs="Arial"/>
          <w:sz w:val="20"/>
        </w:rPr>
        <w:t xml:space="preserve">er practices, micronutrient deficiencies are becoming more common. </w:t>
      </w:r>
      <w:r w:rsidRPr="00802C49">
        <w:rPr>
          <w:rFonts w:ascii="Arial" w:hAnsi="Arial" w:cs="Arial"/>
          <w:sz w:val="20"/>
        </w:rPr>
        <w:t>As a result</w:t>
      </w:r>
      <w:r w:rsidRPr="007E3609">
        <w:rPr>
          <w:rFonts w:ascii="Arial" w:hAnsi="Arial" w:cs="Arial"/>
          <w:sz w:val="20"/>
        </w:rPr>
        <w:t xml:space="preserve">, sunflower </w:t>
      </w:r>
      <w:r w:rsidRPr="00802C49">
        <w:rPr>
          <w:rFonts w:ascii="Arial" w:hAnsi="Arial" w:cs="Arial"/>
          <w:sz w:val="20"/>
        </w:rPr>
        <w:t>crops</w:t>
      </w:r>
      <w:r w:rsidRPr="007E3609">
        <w:rPr>
          <w:rFonts w:ascii="Arial" w:hAnsi="Arial" w:cs="Arial"/>
          <w:sz w:val="20"/>
        </w:rPr>
        <w:t xml:space="preserve"> often evident or concealed nutritional deficits that reduce oil quality and output.</w:t>
      </w:r>
    </w:p>
    <w:p w14:paraId="6E90A63F" w14:textId="0F6CDD9A" w:rsidR="00E11E42" w:rsidRPr="00802C49" w:rsidRDefault="00E11E42" w:rsidP="00802C49">
      <w:pPr>
        <w:tabs>
          <w:tab w:val="left" w:pos="9612"/>
        </w:tabs>
        <w:spacing w:before="1" w:line="240" w:lineRule="auto"/>
        <w:jc w:val="both"/>
        <w:rPr>
          <w:rFonts w:ascii="Arial" w:hAnsi="Arial" w:cs="Arial"/>
          <w:sz w:val="20"/>
        </w:rPr>
      </w:pPr>
      <w:r w:rsidRPr="00802C49">
        <w:rPr>
          <w:rFonts w:ascii="Arial" w:hAnsi="Arial" w:cs="Arial"/>
          <w:sz w:val="20"/>
        </w:rPr>
        <w:t xml:space="preserve">Nitrogen is a structural component of chlorophyll, amino acids and is required for numerous enzymatic reactions and is primarily responsible for the vegetative growth. Phosphorus is required for root development, crop maturity and seed production and is a major part of plant DNA and RNA. Potassium is necessary for the enzyme activation and provides ability to withstand biotic and abiotic stresses. Among the essential micronutrients, zinc (Zn), boron (B), iron (Fe), manganese (Mn), copper (Cu), and molybdenum (Mo) are particularly important for sunflower growth. Zinc plays role in the synthesis of pyruvic decarboxylase and indole acetic acid and enhances protein content, calorific value and fat in oilseed crops. Boron is involved in several metabolic processes and movement of phytohormones within plants. It is essential for flowering, germination and growth of pollen grains, development of pollen tubes, cell differentiation and development of growing tips, xylem and phloem. Boron application in sunflower was reported </w:t>
      </w:r>
      <w:r w:rsidR="00C45C28">
        <w:rPr>
          <w:rFonts w:ascii="Arial" w:hAnsi="Arial" w:cs="Arial"/>
          <w:sz w:val="20"/>
        </w:rPr>
        <w:t xml:space="preserve">to </w:t>
      </w:r>
      <w:r w:rsidRPr="00802C49">
        <w:rPr>
          <w:rFonts w:ascii="Arial" w:hAnsi="Arial" w:cs="Arial"/>
          <w:sz w:val="20"/>
        </w:rPr>
        <w:t xml:space="preserve">enhance germination and vigour index of seed (Shekhawat </w:t>
      </w:r>
      <w:r w:rsidRPr="00802C49">
        <w:rPr>
          <w:rFonts w:ascii="Arial" w:hAnsi="Arial" w:cs="Arial"/>
          <w:i/>
          <w:iCs/>
          <w:sz w:val="20"/>
        </w:rPr>
        <w:t>et al</w:t>
      </w:r>
      <w:r w:rsidRPr="00802C49">
        <w:rPr>
          <w:rFonts w:ascii="Arial" w:hAnsi="Arial" w:cs="Arial"/>
          <w:sz w:val="20"/>
        </w:rPr>
        <w:t xml:space="preserve">., 2008; Karthikeyan and Shukla, 2008).  Iron is necessary for the synthesis of chlorophyll and involved in redox reactions, activation of respiratory and photosynthetic enzymes in plants. Manganese acts as a cofactor for various enzymes required for synthesis of secondary metabolites and is essential for hill reaction, nitrogen metabolism and carbon-dioxide assimilation. Copper is a component of plastocyanin involved in electron transport chain of photosynthesis. 70% of the total copper in plants is tied in chloroplasts. Molybdenum is </w:t>
      </w:r>
      <w:r w:rsidR="00C45C28">
        <w:rPr>
          <w:rFonts w:ascii="Arial" w:hAnsi="Arial" w:cs="Arial"/>
          <w:sz w:val="20"/>
        </w:rPr>
        <w:t>necessary</w:t>
      </w:r>
      <w:r w:rsidRPr="00802C49">
        <w:rPr>
          <w:rFonts w:ascii="Arial" w:hAnsi="Arial" w:cs="Arial"/>
          <w:sz w:val="20"/>
        </w:rPr>
        <w:t xml:space="preserve"> for nitrate reductase enzyme and is a component of nitrogenase involved in nitrification. The balanced supply of these micronutrients is therefore </w:t>
      </w:r>
      <w:r w:rsidR="00C45C28">
        <w:rPr>
          <w:rFonts w:ascii="Arial" w:hAnsi="Arial" w:cs="Arial"/>
          <w:sz w:val="20"/>
        </w:rPr>
        <w:t>a pre-requisite</w:t>
      </w:r>
      <w:r w:rsidRPr="00802C49">
        <w:rPr>
          <w:rFonts w:ascii="Arial" w:hAnsi="Arial" w:cs="Arial"/>
          <w:sz w:val="20"/>
        </w:rPr>
        <w:t xml:space="preserve"> to achieve optimum sunflower growth and productivity.</w:t>
      </w:r>
    </w:p>
    <w:p w14:paraId="79874221" w14:textId="14E69FE4" w:rsidR="00E11E42" w:rsidRPr="00802C49" w:rsidRDefault="00E11E42" w:rsidP="00802C49">
      <w:pPr>
        <w:tabs>
          <w:tab w:val="left" w:pos="9612"/>
        </w:tabs>
        <w:spacing w:before="1" w:line="240" w:lineRule="auto"/>
        <w:jc w:val="both"/>
        <w:rPr>
          <w:rFonts w:ascii="Arial" w:hAnsi="Arial" w:cs="Arial"/>
          <w:sz w:val="20"/>
        </w:rPr>
      </w:pPr>
      <w:r w:rsidRPr="00C64A3E">
        <w:rPr>
          <w:rFonts w:ascii="Arial" w:hAnsi="Arial" w:cs="Arial"/>
          <w:sz w:val="20"/>
        </w:rPr>
        <w:t>Comprehensive research assessing the combined and individual effects of various micronutrients on sunflower are still scarce, despite increased awareness of the significance of micronutrients. Many farmers still only utili</w:t>
      </w:r>
      <w:r w:rsidRPr="00802C49">
        <w:rPr>
          <w:rFonts w:ascii="Arial" w:hAnsi="Arial" w:cs="Arial"/>
          <w:sz w:val="20"/>
        </w:rPr>
        <w:t>z</w:t>
      </w:r>
      <w:r w:rsidRPr="00C64A3E">
        <w:rPr>
          <w:rFonts w:ascii="Arial" w:hAnsi="Arial" w:cs="Arial"/>
          <w:sz w:val="20"/>
        </w:rPr>
        <w:t>e macronutrient fertili</w:t>
      </w:r>
      <w:r w:rsidRPr="00802C49">
        <w:rPr>
          <w:rFonts w:ascii="Arial" w:hAnsi="Arial" w:cs="Arial"/>
          <w:sz w:val="20"/>
        </w:rPr>
        <w:t>z</w:t>
      </w:r>
      <w:r w:rsidRPr="00C64A3E">
        <w:rPr>
          <w:rFonts w:ascii="Arial" w:hAnsi="Arial" w:cs="Arial"/>
          <w:sz w:val="20"/>
        </w:rPr>
        <w:t>ation, which leads to inefficient use of production inputs and subpar yields. Developing balanced fertili</w:t>
      </w:r>
      <w:r w:rsidRPr="00802C49">
        <w:rPr>
          <w:rFonts w:ascii="Arial" w:hAnsi="Arial" w:cs="Arial"/>
          <w:sz w:val="20"/>
        </w:rPr>
        <w:t>z</w:t>
      </w:r>
      <w:r w:rsidRPr="00C64A3E">
        <w:rPr>
          <w:rFonts w:ascii="Arial" w:hAnsi="Arial" w:cs="Arial"/>
          <w:sz w:val="20"/>
        </w:rPr>
        <w:t>ation techniques that increase yield, improve nutrient usage efficiency, and preserve soil health can be aided by knowing how sunflowers specifically react to various micronutrients.</w:t>
      </w:r>
      <w:r w:rsidRPr="00802C49">
        <w:rPr>
          <w:rFonts w:ascii="Arial" w:hAnsi="Arial" w:cs="Arial"/>
          <w:sz w:val="20"/>
        </w:rPr>
        <w:t xml:space="preserve"> Therefore, the present investigation aims to study the impact of sunflower to different micronutrients with respect to growth, yield, quality parameters and economics. The results of this study are expected to provide useful information for enhancing sunflower nutrient management techniques and attaining sustainable oilseed production.</w:t>
      </w:r>
    </w:p>
    <w:p w14:paraId="314D6715" w14:textId="345C6FE7" w:rsidR="00F25F2C" w:rsidRPr="00802C49" w:rsidRDefault="00BE3F9C" w:rsidP="00802C49">
      <w:pPr>
        <w:pStyle w:val="ListParagraph"/>
        <w:numPr>
          <w:ilvl w:val="0"/>
          <w:numId w:val="1"/>
        </w:numPr>
        <w:spacing w:line="240" w:lineRule="auto"/>
        <w:jc w:val="both"/>
        <w:rPr>
          <w:rFonts w:ascii="Arial" w:hAnsi="Arial" w:cs="Arial"/>
          <w:b/>
          <w:bCs/>
          <w:szCs w:val="22"/>
        </w:rPr>
      </w:pPr>
      <w:r w:rsidRPr="00802C49">
        <w:rPr>
          <w:rFonts w:ascii="Arial" w:hAnsi="Arial" w:cs="Arial"/>
          <w:b/>
          <w:bCs/>
          <w:szCs w:val="22"/>
        </w:rPr>
        <w:t xml:space="preserve">MATERIALS AND METHODS </w:t>
      </w:r>
    </w:p>
    <w:p w14:paraId="2E8706A5" w14:textId="6B81D0CD" w:rsidR="00F25F2C" w:rsidRPr="00802C49" w:rsidRDefault="00F25F2C" w:rsidP="00802C49">
      <w:pPr>
        <w:spacing w:line="240" w:lineRule="auto"/>
        <w:jc w:val="both"/>
        <w:rPr>
          <w:rFonts w:ascii="Arial" w:hAnsi="Arial" w:cs="Arial"/>
          <w:sz w:val="20"/>
        </w:rPr>
      </w:pPr>
      <w:r w:rsidRPr="00802C49">
        <w:rPr>
          <w:rFonts w:ascii="Arial" w:hAnsi="Arial" w:cs="Arial"/>
          <w:sz w:val="20"/>
        </w:rPr>
        <w:t>The experiment was conducted at Experimental Farm, Agronomy Section, Oilseeds Research Station, Latur to study the effect of different micronutrients on growth and yield of sunflower (</w:t>
      </w:r>
      <w:r w:rsidRPr="00802C49">
        <w:rPr>
          <w:rFonts w:ascii="Arial" w:hAnsi="Arial" w:cs="Arial"/>
          <w:i/>
          <w:iCs/>
          <w:sz w:val="20"/>
        </w:rPr>
        <w:t xml:space="preserve">Helianthus annuus </w:t>
      </w:r>
      <w:r w:rsidRPr="00802C49">
        <w:rPr>
          <w:rFonts w:ascii="Arial" w:hAnsi="Arial" w:cs="Arial"/>
          <w:sz w:val="20"/>
        </w:rPr>
        <w:t xml:space="preserve">L.) during </w:t>
      </w:r>
      <w:r w:rsidRPr="00802C49">
        <w:rPr>
          <w:rFonts w:ascii="Arial" w:hAnsi="Arial" w:cs="Arial"/>
          <w:i/>
          <w:iCs/>
          <w:sz w:val="20"/>
        </w:rPr>
        <w:t>kharif</w:t>
      </w:r>
      <w:r w:rsidRPr="00802C49">
        <w:rPr>
          <w:rFonts w:ascii="Arial" w:hAnsi="Arial" w:cs="Arial"/>
          <w:sz w:val="20"/>
        </w:rPr>
        <w:t>, 2022. The soil of experimental plot was clayey in texture, neutral in reaction having pH (7.02), low in available nitrogen (231 kg ha</w:t>
      </w:r>
      <w:r w:rsidRPr="00802C49">
        <w:rPr>
          <w:rFonts w:ascii="Arial" w:hAnsi="Arial" w:cs="Arial"/>
          <w:sz w:val="20"/>
          <w:vertAlign w:val="superscript"/>
        </w:rPr>
        <w:t>-1</w:t>
      </w:r>
      <w:r w:rsidRPr="00802C49">
        <w:rPr>
          <w:rFonts w:ascii="Arial" w:hAnsi="Arial" w:cs="Arial"/>
          <w:sz w:val="20"/>
        </w:rPr>
        <w:t>), very low in available phosphorus (8.57 kg ha</w:t>
      </w:r>
      <w:r w:rsidRPr="00802C49">
        <w:rPr>
          <w:rFonts w:ascii="Arial" w:hAnsi="Arial" w:cs="Arial"/>
          <w:sz w:val="20"/>
          <w:vertAlign w:val="superscript"/>
        </w:rPr>
        <w:t>-1</w:t>
      </w:r>
      <w:r w:rsidRPr="00802C49">
        <w:rPr>
          <w:rFonts w:ascii="Arial" w:hAnsi="Arial" w:cs="Arial"/>
          <w:sz w:val="20"/>
        </w:rPr>
        <w:t>), very high in available potassium (579.80 kg ha</w:t>
      </w:r>
      <w:r w:rsidRPr="00802C49">
        <w:rPr>
          <w:rFonts w:ascii="Arial" w:hAnsi="Arial" w:cs="Arial"/>
          <w:sz w:val="20"/>
          <w:vertAlign w:val="superscript"/>
        </w:rPr>
        <w:t>-1</w:t>
      </w:r>
      <w:r w:rsidRPr="00802C49">
        <w:rPr>
          <w:rFonts w:ascii="Arial" w:hAnsi="Arial" w:cs="Arial"/>
          <w:sz w:val="20"/>
        </w:rPr>
        <w:t xml:space="preserve">) and deficient in micronutrients. Soil was well-drained which was favourable for optimum growth of the crop. </w:t>
      </w:r>
    </w:p>
    <w:p w14:paraId="3ADEA0CE" w14:textId="6A21DCF8" w:rsidR="00F25F2C" w:rsidRPr="00E11E42" w:rsidRDefault="00802C49" w:rsidP="00E11E42">
      <w:pPr>
        <w:spacing w:after="0" w:line="240" w:lineRule="auto"/>
        <w:jc w:val="both"/>
        <w:rPr>
          <w:rFonts w:ascii="Arial" w:hAnsi="Arial" w:cs="Arial"/>
          <w:b/>
          <w:bCs/>
          <w:szCs w:val="22"/>
        </w:rPr>
      </w:pPr>
      <w:r>
        <w:rPr>
          <w:rFonts w:ascii="Arial" w:hAnsi="Arial" w:cs="Arial"/>
          <w:b/>
          <w:bCs/>
          <w:szCs w:val="22"/>
        </w:rPr>
        <w:t xml:space="preserve">2.1 </w:t>
      </w:r>
      <w:r w:rsidR="00F25F2C" w:rsidRPr="00E11E42">
        <w:rPr>
          <w:rFonts w:ascii="Arial" w:hAnsi="Arial" w:cs="Arial"/>
          <w:b/>
          <w:bCs/>
          <w:szCs w:val="22"/>
        </w:rPr>
        <w:t>Design and Treatments</w:t>
      </w:r>
    </w:p>
    <w:p w14:paraId="194E644E" w14:textId="77777777" w:rsidR="00F25F2C" w:rsidRPr="00802C49" w:rsidRDefault="00F25F2C" w:rsidP="00802C49">
      <w:pPr>
        <w:spacing w:line="240" w:lineRule="auto"/>
        <w:jc w:val="both"/>
        <w:rPr>
          <w:rFonts w:ascii="Arial" w:hAnsi="Arial" w:cs="Arial"/>
          <w:sz w:val="20"/>
        </w:rPr>
      </w:pPr>
      <w:r w:rsidRPr="00E11E42">
        <w:rPr>
          <w:rFonts w:ascii="Arial" w:hAnsi="Arial" w:cs="Arial"/>
          <w:szCs w:val="22"/>
        </w:rPr>
        <w:t xml:space="preserve">The </w:t>
      </w:r>
      <w:r w:rsidRPr="00802C49">
        <w:rPr>
          <w:rFonts w:ascii="Arial" w:hAnsi="Arial" w:cs="Arial"/>
          <w:sz w:val="20"/>
        </w:rPr>
        <w:t>experiment was laid out in randomized block design with 9 treatments replicated thrice. The truthful seed of sunflower var. LSFH-171 was used for sowing with a seed rate of 5 kg ha</w:t>
      </w:r>
      <w:r w:rsidRPr="00802C49">
        <w:rPr>
          <w:rFonts w:ascii="Arial" w:hAnsi="Arial" w:cs="Arial"/>
          <w:sz w:val="20"/>
          <w:vertAlign w:val="superscript"/>
        </w:rPr>
        <w:t>-1</w:t>
      </w:r>
      <w:r w:rsidRPr="00802C49">
        <w:rPr>
          <w:rFonts w:ascii="Arial" w:hAnsi="Arial" w:cs="Arial"/>
          <w:sz w:val="20"/>
        </w:rPr>
        <w:t>. Sowing was done by dibbling on 17 July, 2022 and the recommended dose of fertilizer used was 90:45:45 kg N</w:t>
      </w:r>
      <w:proofErr w:type="gramStart"/>
      <w:r w:rsidRPr="00802C49">
        <w:rPr>
          <w:rFonts w:ascii="Arial" w:hAnsi="Arial" w:cs="Arial"/>
          <w:sz w:val="20"/>
        </w:rPr>
        <w:t>:P:K</w:t>
      </w:r>
      <w:proofErr w:type="gramEnd"/>
      <w:r w:rsidRPr="00802C49">
        <w:rPr>
          <w:rFonts w:ascii="Arial" w:hAnsi="Arial" w:cs="Arial"/>
          <w:sz w:val="20"/>
        </w:rPr>
        <w:t xml:space="preserve"> ha</w:t>
      </w:r>
      <w:r w:rsidRPr="00802C49">
        <w:rPr>
          <w:rFonts w:ascii="Arial" w:hAnsi="Arial" w:cs="Arial"/>
          <w:sz w:val="20"/>
          <w:vertAlign w:val="superscript"/>
        </w:rPr>
        <w:t>-1</w:t>
      </w:r>
      <w:r w:rsidRPr="00802C49">
        <w:rPr>
          <w:rFonts w:ascii="Arial" w:hAnsi="Arial" w:cs="Arial"/>
          <w:sz w:val="20"/>
        </w:rPr>
        <w:t>. Nitrogen, phosphorus and potash (90:45:45 kg ha</w:t>
      </w:r>
      <w:r w:rsidRPr="00802C49">
        <w:rPr>
          <w:rFonts w:ascii="Arial" w:hAnsi="Arial" w:cs="Arial"/>
          <w:sz w:val="20"/>
          <w:vertAlign w:val="superscript"/>
        </w:rPr>
        <w:t>-1</w:t>
      </w:r>
      <w:r w:rsidRPr="00802C49">
        <w:rPr>
          <w:rFonts w:ascii="Arial" w:hAnsi="Arial" w:cs="Arial"/>
          <w:sz w:val="20"/>
        </w:rPr>
        <w:t>) was applied through urea (46% N), single super phosphate (16% P</w:t>
      </w:r>
      <w:r w:rsidRPr="00802C49">
        <w:rPr>
          <w:rFonts w:ascii="Arial" w:hAnsi="Arial" w:cs="Arial"/>
          <w:sz w:val="20"/>
          <w:vertAlign w:val="subscript"/>
        </w:rPr>
        <w:t>2</w:t>
      </w:r>
      <w:r w:rsidRPr="00802C49">
        <w:rPr>
          <w:rFonts w:ascii="Arial" w:hAnsi="Arial" w:cs="Arial"/>
          <w:sz w:val="20"/>
        </w:rPr>
        <w:t>O</w:t>
      </w:r>
      <w:r w:rsidRPr="00802C49">
        <w:rPr>
          <w:rFonts w:ascii="Arial" w:hAnsi="Arial" w:cs="Arial"/>
          <w:sz w:val="20"/>
          <w:vertAlign w:val="subscript"/>
        </w:rPr>
        <w:t>5</w:t>
      </w:r>
      <w:r w:rsidRPr="00802C49">
        <w:rPr>
          <w:rFonts w:ascii="Arial" w:hAnsi="Arial" w:cs="Arial"/>
          <w:sz w:val="20"/>
        </w:rPr>
        <w:t>, 48% N) and muriate of potash (60% KCl), respectively. Half dose of nitrogen and full dose of phosphorus and potash were applied in furrow at the time of sowing and remaining half dose of nitrogen was top dressed 30 DAS. Zinc sulphate (21% Zn), ferrous sulphate (19% Fe), borax (11% B) and multimicronutrient grade-1 (2% Fe, 1% Mn, 5% Zn, 0.5% Cu, 1% B) were applied as soil application at sowing while multimicronutrient grade-2 (2.5% Fe, 1% Mn, 3% Zn, 1% Cu, 0.5% B, 0.1% Mo) was foliar sprayed 20 DAS as per the treatments. In control treatment, fertilizers were not applied. The treatments were T</w:t>
      </w:r>
      <w:r w:rsidRPr="00802C49">
        <w:rPr>
          <w:rFonts w:ascii="Arial" w:hAnsi="Arial" w:cs="Arial"/>
          <w:sz w:val="20"/>
          <w:vertAlign w:val="subscript"/>
        </w:rPr>
        <w:t>1</w:t>
      </w:r>
      <w:r w:rsidRPr="00802C49">
        <w:rPr>
          <w:rFonts w:ascii="Arial" w:hAnsi="Arial" w:cs="Arial"/>
          <w:sz w:val="20"/>
        </w:rPr>
        <w:t xml:space="preserve"> - Control, T</w:t>
      </w:r>
      <w:r w:rsidRPr="00802C49">
        <w:rPr>
          <w:rFonts w:ascii="Arial" w:hAnsi="Arial" w:cs="Arial"/>
          <w:sz w:val="20"/>
          <w:vertAlign w:val="subscript"/>
        </w:rPr>
        <w:t>2</w:t>
      </w:r>
      <w:r w:rsidRPr="00802C49">
        <w:rPr>
          <w:rFonts w:ascii="Arial" w:hAnsi="Arial" w:cs="Arial"/>
          <w:sz w:val="20"/>
        </w:rPr>
        <w:t xml:space="preserve"> - RDF (90:45:45 kg N:P:K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3</w:t>
      </w:r>
      <w:r w:rsidRPr="00802C49">
        <w:rPr>
          <w:rFonts w:ascii="Arial" w:hAnsi="Arial" w:cs="Arial"/>
          <w:sz w:val="20"/>
        </w:rPr>
        <w:t xml:space="preserve"> - RDF + ZnSO</w:t>
      </w:r>
      <w:r w:rsidRPr="00802C49">
        <w:rPr>
          <w:rFonts w:ascii="Arial" w:hAnsi="Arial" w:cs="Arial"/>
          <w:sz w:val="20"/>
          <w:vertAlign w:val="subscript"/>
        </w:rPr>
        <w:t>4</w:t>
      </w:r>
      <w:r w:rsidRPr="00802C49">
        <w:rPr>
          <w:rFonts w:ascii="Arial" w:hAnsi="Arial" w:cs="Arial"/>
          <w:sz w:val="20"/>
        </w:rPr>
        <w:t xml:space="preserve"> @ 20 kg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4</w:t>
      </w:r>
      <w:r w:rsidRPr="00802C49">
        <w:rPr>
          <w:rFonts w:ascii="Arial" w:hAnsi="Arial" w:cs="Arial"/>
          <w:sz w:val="20"/>
        </w:rPr>
        <w:t xml:space="preserve"> - RDF + FeSO</w:t>
      </w:r>
      <w:r w:rsidRPr="00802C49">
        <w:rPr>
          <w:rFonts w:ascii="Arial" w:hAnsi="Arial" w:cs="Arial"/>
          <w:sz w:val="20"/>
          <w:vertAlign w:val="subscript"/>
        </w:rPr>
        <w:t>4</w:t>
      </w:r>
      <w:r w:rsidRPr="00802C49">
        <w:rPr>
          <w:rFonts w:ascii="Arial" w:hAnsi="Arial" w:cs="Arial"/>
          <w:sz w:val="20"/>
        </w:rPr>
        <w:t xml:space="preserve"> @ 20 kg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5</w:t>
      </w:r>
      <w:r w:rsidRPr="00802C49">
        <w:rPr>
          <w:rFonts w:ascii="Arial" w:hAnsi="Arial" w:cs="Arial"/>
          <w:sz w:val="20"/>
        </w:rPr>
        <w:t xml:space="preserve"> - RDF + Borax @ 2 kg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6</w:t>
      </w:r>
      <w:r w:rsidRPr="00802C49">
        <w:rPr>
          <w:rFonts w:ascii="Arial" w:hAnsi="Arial" w:cs="Arial"/>
          <w:sz w:val="20"/>
        </w:rPr>
        <w:t xml:space="preserve"> - RDF + ZnSO</w:t>
      </w:r>
      <w:r w:rsidRPr="00802C49">
        <w:rPr>
          <w:rFonts w:ascii="Arial" w:hAnsi="Arial" w:cs="Arial"/>
          <w:sz w:val="20"/>
          <w:vertAlign w:val="subscript"/>
        </w:rPr>
        <w:t>4</w:t>
      </w:r>
      <w:r w:rsidRPr="00802C49">
        <w:rPr>
          <w:rFonts w:ascii="Arial" w:hAnsi="Arial" w:cs="Arial"/>
          <w:sz w:val="20"/>
        </w:rPr>
        <w:t xml:space="preserve"> @ 20 kg ha</w:t>
      </w:r>
      <w:r w:rsidRPr="00802C49">
        <w:rPr>
          <w:rFonts w:ascii="Arial" w:hAnsi="Arial" w:cs="Arial"/>
          <w:sz w:val="20"/>
          <w:vertAlign w:val="superscript"/>
        </w:rPr>
        <w:t>-1</w:t>
      </w:r>
      <w:r w:rsidRPr="00802C49">
        <w:rPr>
          <w:rFonts w:ascii="Arial" w:hAnsi="Arial" w:cs="Arial"/>
          <w:sz w:val="20"/>
        </w:rPr>
        <w:t xml:space="preserve"> + FeSO</w:t>
      </w:r>
      <w:r w:rsidRPr="00802C49">
        <w:rPr>
          <w:rFonts w:ascii="Arial" w:hAnsi="Arial" w:cs="Arial"/>
          <w:sz w:val="20"/>
          <w:vertAlign w:val="superscript"/>
        </w:rPr>
        <w:t>4</w:t>
      </w:r>
      <w:r w:rsidRPr="00802C49">
        <w:rPr>
          <w:rFonts w:ascii="Arial" w:hAnsi="Arial" w:cs="Arial"/>
          <w:sz w:val="20"/>
        </w:rPr>
        <w:t xml:space="preserve"> @ 20 kg ha</w:t>
      </w:r>
      <w:r w:rsidRPr="00802C49">
        <w:rPr>
          <w:rFonts w:ascii="Arial" w:hAnsi="Arial" w:cs="Arial"/>
          <w:sz w:val="20"/>
          <w:vertAlign w:val="superscript"/>
        </w:rPr>
        <w:t>-1</w:t>
      </w:r>
      <w:r w:rsidRPr="00802C49">
        <w:rPr>
          <w:rFonts w:ascii="Arial" w:hAnsi="Arial" w:cs="Arial"/>
          <w:sz w:val="20"/>
        </w:rPr>
        <w:t xml:space="preserve"> + Borax @ 2 kg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7</w:t>
      </w:r>
      <w:r w:rsidRPr="00802C49">
        <w:rPr>
          <w:rFonts w:ascii="Arial" w:hAnsi="Arial" w:cs="Arial"/>
          <w:sz w:val="20"/>
        </w:rPr>
        <w:t xml:space="preserve"> - RDF + Multimicronutrient Grade-1 @ 25 kg ha</w:t>
      </w:r>
      <w:r w:rsidRPr="00802C49">
        <w:rPr>
          <w:rFonts w:ascii="Arial" w:hAnsi="Arial" w:cs="Arial"/>
          <w:sz w:val="20"/>
          <w:vertAlign w:val="superscript"/>
        </w:rPr>
        <w:t>-1</w:t>
      </w:r>
      <w:r w:rsidRPr="00802C49">
        <w:rPr>
          <w:rFonts w:ascii="Arial" w:hAnsi="Arial" w:cs="Arial"/>
          <w:sz w:val="20"/>
        </w:rPr>
        <w:t>, T</w:t>
      </w:r>
      <w:r w:rsidRPr="00802C49">
        <w:rPr>
          <w:rFonts w:ascii="Arial" w:hAnsi="Arial" w:cs="Arial"/>
          <w:sz w:val="20"/>
          <w:vertAlign w:val="subscript"/>
        </w:rPr>
        <w:t>8</w:t>
      </w:r>
      <w:r w:rsidRPr="00802C49">
        <w:rPr>
          <w:rFonts w:ascii="Arial" w:hAnsi="Arial" w:cs="Arial"/>
          <w:sz w:val="20"/>
        </w:rPr>
        <w:t xml:space="preserve"> - RDF + Multimicronutrient Grade-2 @ 0.2% at 20 DAS, T</w:t>
      </w:r>
      <w:r w:rsidRPr="00802C49">
        <w:rPr>
          <w:rFonts w:ascii="Arial" w:hAnsi="Arial" w:cs="Arial"/>
          <w:sz w:val="20"/>
          <w:vertAlign w:val="subscript"/>
        </w:rPr>
        <w:t>9</w:t>
      </w:r>
      <w:r w:rsidRPr="00802C49">
        <w:rPr>
          <w:rFonts w:ascii="Arial" w:hAnsi="Arial" w:cs="Arial"/>
          <w:sz w:val="20"/>
        </w:rPr>
        <w:t xml:space="preserve"> - RDF + Multimicronutrient Grade-1 @ 25 kg ha</w:t>
      </w:r>
      <w:r w:rsidRPr="00802C49">
        <w:rPr>
          <w:rFonts w:ascii="Arial" w:hAnsi="Arial" w:cs="Arial"/>
          <w:sz w:val="20"/>
          <w:vertAlign w:val="superscript"/>
        </w:rPr>
        <w:t>-1</w:t>
      </w:r>
      <w:r w:rsidRPr="00802C49">
        <w:rPr>
          <w:rFonts w:ascii="Arial" w:hAnsi="Arial" w:cs="Arial"/>
          <w:sz w:val="20"/>
        </w:rPr>
        <w:t xml:space="preserve"> + Multimicronutrient Grade- 2 @ 0.2% at 20 DAS. </w:t>
      </w:r>
    </w:p>
    <w:p w14:paraId="12D2A199" w14:textId="460E9322" w:rsidR="00F25F2C" w:rsidRPr="00E11E42" w:rsidRDefault="00802C49" w:rsidP="00E11E42">
      <w:pPr>
        <w:spacing w:line="240" w:lineRule="auto"/>
        <w:jc w:val="both"/>
        <w:rPr>
          <w:rFonts w:ascii="Arial" w:hAnsi="Arial" w:cs="Arial"/>
          <w:b/>
          <w:bCs/>
          <w:szCs w:val="22"/>
        </w:rPr>
      </w:pPr>
      <w:r>
        <w:rPr>
          <w:rFonts w:ascii="Arial" w:hAnsi="Arial" w:cs="Arial"/>
          <w:b/>
          <w:bCs/>
          <w:szCs w:val="22"/>
        </w:rPr>
        <w:t xml:space="preserve">2.2 </w:t>
      </w:r>
      <w:r w:rsidR="00F25F2C" w:rsidRPr="00E11E42">
        <w:rPr>
          <w:rFonts w:ascii="Arial" w:hAnsi="Arial" w:cs="Arial"/>
          <w:b/>
          <w:bCs/>
          <w:szCs w:val="22"/>
        </w:rPr>
        <w:t>Growth analysis</w:t>
      </w:r>
    </w:p>
    <w:p w14:paraId="0377D976" w14:textId="68F0F48B" w:rsidR="00F25F2C" w:rsidRPr="00802C49" w:rsidRDefault="00802C49" w:rsidP="00E11E42">
      <w:pPr>
        <w:spacing w:line="240" w:lineRule="auto"/>
        <w:jc w:val="both"/>
        <w:rPr>
          <w:rFonts w:ascii="Arial" w:hAnsi="Arial" w:cs="Arial"/>
          <w:b/>
          <w:bCs/>
          <w:sz w:val="20"/>
          <w:u w:val="single"/>
        </w:rPr>
      </w:pPr>
      <w:r w:rsidRPr="00802C49">
        <w:rPr>
          <w:rFonts w:ascii="Arial" w:hAnsi="Arial" w:cs="Arial"/>
          <w:b/>
          <w:bCs/>
          <w:sz w:val="20"/>
          <w:u w:val="single"/>
        </w:rPr>
        <w:lastRenderedPageBreak/>
        <w:t xml:space="preserve">2.2.1 </w:t>
      </w:r>
      <w:r w:rsidR="00F25F2C" w:rsidRPr="00802C49">
        <w:rPr>
          <w:rFonts w:ascii="Arial" w:hAnsi="Arial" w:cs="Arial"/>
          <w:b/>
          <w:bCs/>
          <w:sz w:val="20"/>
          <w:u w:val="single"/>
        </w:rPr>
        <w:t>Absolute Growth Rate (AGR)</w:t>
      </w:r>
    </w:p>
    <w:p w14:paraId="27DE3972" w14:textId="77777777" w:rsidR="00F25F2C" w:rsidRPr="00802C49" w:rsidRDefault="00F25F2C" w:rsidP="00802C49">
      <w:pPr>
        <w:spacing w:after="0" w:line="240" w:lineRule="auto"/>
        <w:jc w:val="both"/>
        <w:rPr>
          <w:rFonts w:ascii="Arial" w:hAnsi="Arial" w:cs="Arial"/>
          <w:sz w:val="20"/>
        </w:rPr>
      </w:pPr>
      <w:r w:rsidRPr="00E11E42">
        <w:rPr>
          <w:rFonts w:ascii="Arial" w:hAnsi="Arial" w:cs="Arial"/>
          <w:szCs w:val="22"/>
        </w:rPr>
        <w:t>T</w:t>
      </w:r>
      <w:r w:rsidRPr="00802C49">
        <w:rPr>
          <w:rFonts w:ascii="Arial" w:hAnsi="Arial" w:cs="Arial"/>
          <w:sz w:val="20"/>
        </w:rPr>
        <w:t xml:space="preserve">he rate of increase in growth variables (w) at the time (t) is called as absolute growth rate (AGR). AGR of two growth variables </w:t>
      </w:r>
      <w:r w:rsidRPr="00802C49">
        <w:rPr>
          <w:rFonts w:ascii="Arial" w:hAnsi="Arial" w:cs="Arial"/>
          <w:i/>
          <w:iCs/>
          <w:sz w:val="20"/>
        </w:rPr>
        <w:t>viz.</w:t>
      </w:r>
      <w:r w:rsidRPr="00802C49">
        <w:rPr>
          <w:rFonts w:ascii="Arial" w:hAnsi="Arial" w:cs="Arial"/>
          <w:sz w:val="20"/>
        </w:rPr>
        <w:t>, plant height and total dry matter were worked out by using following formula</w:t>
      </w:r>
    </w:p>
    <w:p w14:paraId="134E9004" w14:textId="77777777" w:rsidR="00F25F2C" w:rsidRPr="00802C49" w:rsidRDefault="00F25F2C" w:rsidP="00E11E42">
      <w:pPr>
        <w:spacing w:after="0" w:line="240" w:lineRule="auto"/>
        <w:jc w:val="both"/>
        <w:rPr>
          <w:rFonts w:ascii="Arial" w:hAnsi="Arial" w:cs="Arial"/>
          <w:sz w:val="20"/>
        </w:rPr>
      </w:pPr>
      <w:r w:rsidRPr="00802C49">
        <w:rPr>
          <w:rFonts w:ascii="Arial" w:hAnsi="Arial" w:cs="Arial"/>
          <w:sz w:val="20"/>
        </w:rPr>
        <w:t>For plant height</w:t>
      </w:r>
    </w:p>
    <w:p w14:paraId="47F7AA3A" w14:textId="6CABF0B8" w:rsidR="00F25F2C" w:rsidRPr="00802C49" w:rsidRDefault="00802C49" w:rsidP="00E11E42">
      <w:pPr>
        <w:spacing w:after="0" w:line="240" w:lineRule="auto"/>
        <w:jc w:val="center"/>
        <w:rPr>
          <w:rFonts w:ascii="Arial" w:hAnsi="Arial" w:cs="Arial"/>
          <w:sz w:val="20"/>
        </w:rPr>
      </w:pPr>
      <m:oMath>
        <m:r>
          <m:rPr>
            <m:nor/>
          </m:rPr>
          <w:rPr>
            <w:rFonts w:ascii="Arial" w:hAnsi="Arial" w:cs="Arial"/>
            <w:sz w:val="20"/>
          </w:rPr>
          <m:t xml:space="preserve">AGR = </m:t>
        </m:r>
        <m:f>
          <m:fPr>
            <m:ctrlPr>
              <w:rPr>
                <w:rFonts w:ascii="Cambria Math" w:hAnsi="Cambria Math" w:cs="Arial"/>
                <w:i/>
                <w:sz w:val="20"/>
              </w:rPr>
            </m:ctrlPr>
          </m:fPr>
          <m:num>
            <m:sSub>
              <m:sSubPr>
                <m:ctrlPr>
                  <w:rPr>
                    <w:rFonts w:ascii="Cambria Math" w:hAnsi="Cambria Math" w:cs="Arial"/>
                    <w:i/>
                    <w:sz w:val="20"/>
                  </w:rPr>
                </m:ctrlPr>
              </m:sSubPr>
              <m:e>
                <m:r>
                  <m:rPr>
                    <m:nor/>
                  </m:rPr>
                  <w:rPr>
                    <w:rFonts w:ascii="Arial" w:hAnsi="Arial" w:cs="Arial"/>
                    <w:sz w:val="20"/>
                  </w:rPr>
                  <m:t>H</m:t>
                </m:r>
              </m:e>
              <m:sub>
                <m:r>
                  <m:rPr>
                    <m:nor/>
                  </m:rPr>
                  <w:rPr>
                    <w:rFonts w:ascii="Arial" w:hAnsi="Arial" w:cs="Arial"/>
                    <w:sz w:val="20"/>
                  </w:rPr>
                  <m:t>1</m:t>
                </m:r>
              </m:sub>
            </m:sSub>
            <m:r>
              <m:rPr>
                <m:nor/>
              </m:rPr>
              <w:rPr>
                <w:rFonts w:ascii="Arial" w:hAnsi="Arial" w:cs="Arial"/>
                <w:sz w:val="20"/>
              </w:rPr>
              <m:t xml:space="preserve">- </m:t>
            </m:r>
            <m:sSub>
              <m:sSubPr>
                <m:ctrlPr>
                  <w:rPr>
                    <w:rFonts w:ascii="Cambria Math" w:hAnsi="Cambria Math" w:cs="Arial"/>
                    <w:i/>
                    <w:sz w:val="20"/>
                  </w:rPr>
                </m:ctrlPr>
              </m:sSubPr>
              <m:e>
                <m:r>
                  <m:rPr>
                    <m:nor/>
                  </m:rPr>
                  <w:rPr>
                    <w:rFonts w:ascii="Arial" w:hAnsi="Arial" w:cs="Arial"/>
                    <w:sz w:val="20"/>
                  </w:rPr>
                  <m:t>H</m:t>
                </m:r>
              </m:e>
              <m:sub>
                <m:r>
                  <m:rPr>
                    <m:nor/>
                  </m:rPr>
                  <w:rPr>
                    <w:rFonts w:ascii="Arial" w:hAnsi="Arial" w:cs="Arial"/>
                    <w:sz w:val="20"/>
                  </w:rPr>
                  <m:t>2</m:t>
                </m:r>
              </m:sub>
            </m:sSub>
          </m:num>
          <m:den>
            <m:sSub>
              <m:sSubPr>
                <m:ctrlPr>
                  <w:rPr>
                    <w:rFonts w:ascii="Cambria Math" w:hAnsi="Cambria Math" w:cs="Arial"/>
                    <w:i/>
                    <w:sz w:val="20"/>
                  </w:rPr>
                </m:ctrlPr>
              </m:sSubPr>
              <m:e>
                <m:r>
                  <m:rPr>
                    <m:nor/>
                  </m:rPr>
                  <w:rPr>
                    <w:rFonts w:ascii="Arial" w:hAnsi="Arial" w:cs="Arial"/>
                    <w:sz w:val="20"/>
                  </w:rPr>
                  <m:t>t</m:t>
                </m:r>
              </m:e>
              <m:sub>
                <m:r>
                  <m:rPr>
                    <m:nor/>
                  </m:rPr>
                  <w:rPr>
                    <w:rFonts w:ascii="Arial" w:hAnsi="Arial" w:cs="Arial"/>
                    <w:sz w:val="20"/>
                  </w:rPr>
                  <m:t>2</m:t>
                </m:r>
              </m:sub>
            </m:sSub>
            <m:r>
              <m:rPr>
                <m:nor/>
              </m:rPr>
              <w:rPr>
                <w:rFonts w:ascii="Arial" w:hAnsi="Arial" w:cs="Arial"/>
                <w:sz w:val="20"/>
              </w:rPr>
              <m:t xml:space="preserve">- </m:t>
            </m:r>
            <m:sSub>
              <m:sSubPr>
                <m:ctrlPr>
                  <w:rPr>
                    <w:rFonts w:ascii="Cambria Math" w:hAnsi="Cambria Math" w:cs="Arial"/>
                    <w:i/>
                    <w:sz w:val="20"/>
                  </w:rPr>
                </m:ctrlPr>
              </m:sSubPr>
              <m:e>
                <m:r>
                  <m:rPr>
                    <m:nor/>
                  </m:rPr>
                  <w:rPr>
                    <w:rFonts w:ascii="Arial" w:hAnsi="Arial" w:cs="Arial"/>
                    <w:sz w:val="20"/>
                  </w:rPr>
                  <m:t>t</m:t>
                </m:r>
              </m:e>
              <m:sub>
                <m:r>
                  <m:rPr>
                    <m:nor/>
                  </m:rPr>
                  <w:rPr>
                    <w:rFonts w:ascii="Arial" w:hAnsi="Arial" w:cs="Arial"/>
                    <w:sz w:val="20"/>
                  </w:rPr>
                  <m:t>1</m:t>
                </m:r>
              </m:sub>
            </m:sSub>
          </m:den>
        </m:f>
      </m:oMath>
      <w:r w:rsidR="00F25F2C" w:rsidRPr="00802C49">
        <w:rPr>
          <w:rFonts w:ascii="Arial" w:hAnsi="Arial" w:cs="Arial"/>
          <w:sz w:val="20"/>
        </w:rPr>
        <w:t xml:space="preserve">  (cm day</w:t>
      </w:r>
      <w:r w:rsidR="00F25F2C" w:rsidRPr="00802C49">
        <w:rPr>
          <w:rFonts w:ascii="Arial" w:hAnsi="Arial" w:cs="Arial"/>
          <w:sz w:val="20"/>
          <w:vertAlign w:val="superscript"/>
        </w:rPr>
        <w:t xml:space="preserve">-1 </w:t>
      </w:r>
      <w:r w:rsidR="00F25F2C" w:rsidRPr="00802C49">
        <w:rPr>
          <w:rFonts w:ascii="Arial" w:hAnsi="Arial" w:cs="Arial"/>
          <w:sz w:val="20"/>
        </w:rPr>
        <w:t>plant</w:t>
      </w:r>
      <w:r w:rsidR="00F25F2C" w:rsidRPr="00802C49">
        <w:rPr>
          <w:rFonts w:ascii="Arial" w:hAnsi="Arial" w:cs="Arial"/>
          <w:sz w:val="20"/>
          <w:vertAlign w:val="superscript"/>
        </w:rPr>
        <w:t>-1</w:t>
      </w:r>
      <w:r w:rsidR="00F25F2C" w:rsidRPr="00802C49">
        <w:rPr>
          <w:rFonts w:ascii="Arial" w:hAnsi="Arial" w:cs="Arial"/>
          <w:sz w:val="20"/>
        </w:rPr>
        <w:t>)</w:t>
      </w:r>
    </w:p>
    <w:p w14:paraId="034A612E" w14:textId="77777777" w:rsidR="00F25F2C" w:rsidRPr="00802C49" w:rsidRDefault="00F25F2C" w:rsidP="00E11E42">
      <w:pPr>
        <w:spacing w:after="0" w:line="240" w:lineRule="auto"/>
        <w:jc w:val="both"/>
        <w:rPr>
          <w:rFonts w:ascii="Arial" w:hAnsi="Arial" w:cs="Arial"/>
          <w:sz w:val="20"/>
        </w:rPr>
      </w:pPr>
      <w:r w:rsidRPr="00802C49">
        <w:rPr>
          <w:rFonts w:ascii="Arial" w:hAnsi="Arial" w:cs="Arial"/>
          <w:sz w:val="20"/>
        </w:rPr>
        <w:t>For dry matter</w:t>
      </w:r>
    </w:p>
    <w:p w14:paraId="577EE54C" w14:textId="098B41E4" w:rsidR="00F25F2C" w:rsidRPr="00802C49" w:rsidRDefault="00E11E42" w:rsidP="00802C49">
      <w:pPr>
        <w:spacing w:line="240" w:lineRule="auto"/>
        <w:jc w:val="center"/>
        <w:rPr>
          <w:rFonts w:ascii="Arial" w:hAnsi="Arial" w:cs="Arial"/>
          <w:sz w:val="20"/>
        </w:rPr>
      </w:pPr>
      <m:oMath>
        <m:r>
          <m:rPr>
            <m:nor/>
          </m:rPr>
          <w:rPr>
            <w:rFonts w:ascii="Arial" w:hAnsi="Arial" w:cs="Arial"/>
            <w:sz w:val="20"/>
          </w:rPr>
          <m:t xml:space="preserve">AGR = </m:t>
        </m:r>
        <m:f>
          <m:fPr>
            <m:ctrlPr>
              <w:rPr>
                <w:rFonts w:ascii="Cambria Math" w:hAnsi="Cambria Math" w:cs="Arial"/>
                <w:iCs/>
                <w:sz w:val="20"/>
              </w:rPr>
            </m:ctrlPr>
          </m:fPr>
          <m:num>
            <m:sSub>
              <m:sSubPr>
                <m:ctrlPr>
                  <w:rPr>
                    <w:rFonts w:ascii="Cambria Math" w:hAnsi="Cambria Math" w:cs="Arial"/>
                    <w:iCs/>
                    <w:sz w:val="20"/>
                  </w:rPr>
                </m:ctrlPr>
              </m:sSubPr>
              <m:e>
                <m:r>
                  <m:rPr>
                    <m:nor/>
                  </m:rPr>
                  <w:rPr>
                    <w:rFonts w:ascii="Arial" w:hAnsi="Arial" w:cs="Arial"/>
                    <w:sz w:val="20"/>
                  </w:rPr>
                  <m:t>W</m:t>
                </m:r>
              </m:e>
              <m:sub>
                <m:r>
                  <m:rPr>
                    <m:nor/>
                  </m:rPr>
                  <w:rPr>
                    <w:rFonts w:ascii="Arial" w:hAnsi="Arial" w:cs="Arial"/>
                    <w:sz w:val="20"/>
                  </w:rPr>
                  <m:t>2</m:t>
                </m:r>
              </m:sub>
            </m:sSub>
            <m:r>
              <m:rPr>
                <m:nor/>
              </m:rPr>
              <w:rPr>
                <w:rFonts w:ascii="Arial" w:hAnsi="Arial" w:cs="Arial"/>
                <w:sz w:val="20"/>
              </w:rPr>
              <m:t>-</m:t>
            </m:r>
            <m:sSub>
              <m:sSubPr>
                <m:ctrlPr>
                  <w:rPr>
                    <w:rFonts w:ascii="Cambria Math" w:hAnsi="Cambria Math" w:cs="Arial"/>
                    <w:iCs/>
                    <w:sz w:val="20"/>
                  </w:rPr>
                </m:ctrlPr>
              </m:sSubPr>
              <m:e>
                <m:r>
                  <m:rPr>
                    <m:nor/>
                  </m:rPr>
                  <w:rPr>
                    <w:rFonts w:ascii="Arial" w:hAnsi="Arial" w:cs="Arial"/>
                    <w:sz w:val="20"/>
                  </w:rPr>
                  <m:t>W</m:t>
                </m:r>
              </m:e>
              <m:sub>
                <m:r>
                  <m:rPr>
                    <m:nor/>
                  </m:rPr>
                  <w:rPr>
                    <w:rFonts w:ascii="Arial" w:hAnsi="Arial" w:cs="Arial"/>
                    <w:sz w:val="20"/>
                  </w:rPr>
                  <m:t>1</m:t>
                </m:r>
              </m:sub>
            </m:sSub>
          </m:num>
          <m:den>
            <m:sSub>
              <m:sSubPr>
                <m:ctrlPr>
                  <w:rPr>
                    <w:rFonts w:ascii="Cambria Math" w:hAnsi="Cambria Math" w:cs="Arial"/>
                    <w:iCs/>
                    <w:sz w:val="20"/>
                  </w:rPr>
                </m:ctrlPr>
              </m:sSubPr>
              <m:e>
                <m:r>
                  <m:rPr>
                    <m:nor/>
                  </m:rPr>
                  <w:rPr>
                    <w:rFonts w:ascii="Arial" w:hAnsi="Arial" w:cs="Arial"/>
                    <w:sz w:val="20"/>
                  </w:rPr>
                  <m:t>t</m:t>
                </m:r>
              </m:e>
              <m:sub>
                <m:r>
                  <m:rPr>
                    <m:nor/>
                  </m:rPr>
                  <w:rPr>
                    <w:rFonts w:ascii="Arial" w:hAnsi="Arial" w:cs="Arial"/>
                    <w:sz w:val="20"/>
                  </w:rPr>
                  <m:t>2</m:t>
                </m:r>
              </m:sub>
            </m:sSub>
            <m:r>
              <m:rPr>
                <m:nor/>
              </m:rPr>
              <w:rPr>
                <w:rFonts w:ascii="Arial" w:hAnsi="Arial" w:cs="Arial"/>
                <w:sz w:val="20"/>
              </w:rPr>
              <m:t xml:space="preserve">- </m:t>
            </m:r>
            <m:sSub>
              <m:sSubPr>
                <m:ctrlPr>
                  <w:rPr>
                    <w:rFonts w:ascii="Cambria Math" w:hAnsi="Cambria Math" w:cs="Arial"/>
                    <w:iCs/>
                    <w:sz w:val="20"/>
                  </w:rPr>
                </m:ctrlPr>
              </m:sSubPr>
              <m:e>
                <m:r>
                  <m:rPr>
                    <m:nor/>
                  </m:rPr>
                  <w:rPr>
                    <w:rFonts w:ascii="Arial" w:hAnsi="Arial" w:cs="Arial"/>
                    <w:sz w:val="20"/>
                  </w:rPr>
                  <m:t>t</m:t>
                </m:r>
              </m:e>
              <m:sub>
                <m:r>
                  <m:rPr>
                    <m:nor/>
                  </m:rPr>
                  <w:rPr>
                    <w:rFonts w:ascii="Arial" w:hAnsi="Arial" w:cs="Arial"/>
                    <w:sz w:val="20"/>
                  </w:rPr>
                  <m:t>1</m:t>
                </m:r>
              </m:sub>
            </m:sSub>
          </m:den>
        </m:f>
      </m:oMath>
      <w:r w:rsidR="00F25F2C" w:rsidRPr="00802C49">
        <w:rPr>
          <w:rFonts w:ascii="Arial" w:eastAsiaTheme="minorEastAsia" w:hAnsi="Arial" w:cs="Arial"/>
          <w:sz w:val="20"/>
        </w:rPr>
        <w:t xml:space="preserve"> (g day</w:t>
      </w:r>
      <w:r w:rsidR="00F25F2C" w:rsidRPr="00802C49">
        <w:rPr>
          <w:rFonts w:ascii="Arial" w:eastAsiaTheme="minorEastAsia" w:hAnsi="Arial" w:cs="Arial"/>
          <w:sz w:val="20"/>
          <w:vertAlign w:val="superscript"/>
        </w:rPr>
        <w:t>-1</w:t>
      </w:r>
      <w:r w:rsidR="00F25F2C" w:rsidRPr="00802C49">
        <w:rPr>
          <w:rFonts w:ascii="Arial" w:eastAsiaTheme="minorEastAsia" w:hAnsi="Arial" w:cs="Arial"/>
          <w:sz w:val="20"/>
        </w:rPr>
        <w:t xml:space="preserve"> plant</w:t>
      </w:r>
      <w:r w:rsidR="00F25F2C" w:rsidRPr="00802C49">
        <w:rPr>
          <w:rFonts w:ascii="Arial" w:eastAsiaTheme="minorEastAsia" w:hAnsi="Arial" w:cs="Arial"/>
          <w:sz w:val="20"/>
          <w:vertAlign w:val="superscript"/>
        </w:rPr>
        <w:t>-1</w:t>
      </w:r>
      <w:r w:rsidR="00F25F2C" w:rsidRPr="00802C49">
        <w:rPr>
          <w:rFonts w:ascii="Arial" w:eastAsiaTheme="minorEastAsia" w:hAnsi="Arial" w:cs="Arial"/>
          <w:sz w:val="20"/>
        </w:rPr>
        <w:t>)</w:t>
      </w:r>
    </w:p>
    <w:p w14:paraId="3A2F684F" w14:textId="0D839577" w:rsidR="00F25F2C" w:rsidRPr="00802C49" w:rsidRDefault="00F25F2C" w:rsidP="00802C49">
      <w:pPr>
        <w:spacing w:line="240" w:lineRule="auto"/>
        <w:jc w:val="both"/>
        <w:rPr>
          <w:rFonts w:ascii="Arial" w:eastAsiaTheme="minorEastAsia" w:hAnsi="Arial" w:cs="Arial"/>
          <w:sz w:val="20"/>
        </w:rPr>
      </w:pPr>
      <w:r w:rsidRPr="00802C49">
        <w:rPr>
          <w:rFonts w:ascii="Arial" w:eastAsiaTheme="minorEastAsia" w:hAnsi="Arial" w:cs="Arial"/>
          <w:sz w:val="20"/>
        </w:rPr>
        <w:t>Where, H</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H</w:t>
      </w:r>
      <w:r w:rsidRPr="00802C49">
        <w:rPr>
          <w:rFonts w:ascii="Arial" w:eastAsiaTheme="minorEastAsia" w:hAnsi="Arial" w:cs="Arial"/>
          <w:sz w:val="20"/>
          <w:vertAlign w:val="subscript"/>
        </w:rPr>
        <w:t>1</w:t>
      </w:r>
      <w:r w:rsidRPr="00802C49">
        <w:rPr>
          <w:rFonts w:ascii="Arial" w:eastAsiaTheme="minorEastAsia" w:hAnsi="Arial" w:cs="Arial"/>
          <w:sz w:val="20"/>
        </w:rPr>
        <w:t xml:space="preserve"> as well as W</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W</w:t>
      </w:r>
      <w:r w:rsidRPr="00802C49">
        <w:rPr>
          <w:rFonts w:ascii="Arial" w:eastAsiaTheme="minorEastAsia" w:hAnsi="Arial" w:cs="Arial"/>
          <w:sz w:val="20"/>
          <w:vertAlign w:val="subscript"/>
        </w:rPr>
        <w:t>1</w:t>
      </w:r>
      <w:r w:rsidRPr="00802C49">
        <w:rPr>
          <w:rFonts w:ascii="Arial" w:eastAsiaTheme="minorEastAsia" w:hAnsi="Arial" w:cs="Arial"/>
          <w:sz w:val="20"/>
        </w:rPr>
        <w:t xml:space="preserve"> refers to the plant height (cm) and total</w:t>
      </w:r>
      <w:r w:rsidR="00E11E42" w:rsidRPr="00802C49">
        <w:rPr>
          <w:rFonts w:ascii="Arial" w:eastAsiaTheme="minorEastAsia" w:hAnsi="Arial" w:cs="Arial"/>
          <w:sz w:val="20"/>
        </w:rPr>
        <w:t xml:space="preserve"> </w:t>
      </w:r>
      <w:r w:rsidRPr="00802C49">
        <w:rPr>
          <w:rFonts w:ascii="Arial" w:eastAsiaTheme="minorEastAsia" w:hAnsi="Arial" w:cs="Arial"/>
          <w:sz w:val="20"/>
        </w:rPr>
        <w:t>dry matter weight (g) of plant at time t</w:t>
      </w:r>
      <w:r w:rsidRPr="00802C49">
        <w:rPr>
          <w:rFonts w:ascii="Arial" w:eastAsiaTheme="minorEastAsia" w:hAnsi="Arial" w:cs="Arial"/>
          <w:sz w:val="20"/>
          <w:vertAlign w:val="subscript"/>
        </w:rPr>
        <w:t>2</w:t>
      </w:r>
      <w:r w:rsidRPr="00802C49">
        <w:rPr>
          <w:rFonts w:ascii="Arial" w:eastAsiaTheme="minorEastAsia" w:hAnsi="Arial" w:cs="Arial"/>
          <w:sz w:val="20"/>
        </w:rPr>
        <w:t xml:space="preserve"> and t</w:t>
      </w:r>
      <w:r w:rsidRPr="00802C49">
        <w:rPr>
          <w:rFonts w:ascii="Arial" w:eastAsiaTheme="minorEastAsia" w:hAnsi="Arial" w:cs="Arial"/>
          <w:sz w:val="20"/>
          <w:vertAlign w:val="subscript"/>
        </w:rPr>
        <w:t>1</w:t>
      </w:r>
      <w:r w:rsidRPr="00802C49">
        <w:rPr>
          <w:rFonts w:ascii="Arial" w:eastAsiaTheme="minorEastAsia" w:hAnsi="Arial" w:cs="Arial"/>
          <w:sz w:val="20"/>
        </w:rPr>
        <w:t>, respectively.</w:t>
      </w:r>
    </w:p>
    <w:p w14:paraId="5064CC45" w14:textId="035AC459" w:rsidR="00F25F2C" w:rsidRPr="00802C49" w:rsidRDefault="00802C49" w:rsidP="00E11E42">
      <w:pPr>
        <w:spacing w:line="240" w:lineRule="auto"/>
        <w:jc w:val="both"/>
        <w:rPr>
          <w:rFonts w:ascii="Arial" w:eastAsiaTheme="minorEastAsia" w:hAnsi="Arial" w:cs="Arial"/>
          <w:b/>
          <w:bCs/>
          <w:sz w:val="20"/>
          <w:u w:val="single"/>
        </w:rPr>
      </w:pPr>
      <w:r w:rsidRPr="00802C49">
        <w:rPr>
          <w:rFonts w:ascii="Arial" w:eastAsiaTheme="minorEastAsia" w:hAnsi="Arial" w:cs="Arial"/>
          <w:b/>
          <w:bCs/>
          <w:sz w:val="20"/>
          <w:u w:val="single"/>
        </w:rPr>
        <w:t xml:space="preserve">2.2.2 </w:t>
      </w:r>
      <w:r w:rsidR="00F25F2C" w:rsidRPr="00802C49">
        <w:rPr>
          <w:rFonts w:ascii="Arial" w:eastAsiaTheme="minorEastAsia" w:hAnsi="Arial" w:cs="Arial"/>
          <w:b/>
          <w:bCs/>
          <w:sz w:val="20"/>
          <w:u w:val="single"/>
        </w:rPr>
        <w:t>Relative Growth Rate (RGR)</w:t>
      </w:r>
    </w:p>
    <w:p w14:paraId="45FD421E" w14:textId="77777777" w:rsidR="00F25F2C" w:rsidRPr="00802C49" w:rsidRDefault="00F25F2C" w:rsidP="00802C49">
      <w:pPr>
        <w:spacing w:after="0" w:line="240" w:lineRule="auto"/>
        <w:jc w:val="both"/>
        <w:rPr>
          <w:rFonts w:ascii="Arial" w:eastAsiaTheme="minorEastAsia" w:hAnsi="Arial" w:cs="Arial"/>
          <w:sz w:val="20"/>
        </w:rPr>
      </w:pPr>
      <w:r w:rsidRPr="00802C49">
        <w:rPr>
          <w:rFonts w:ascii="Arial" w:eastAsiaTheme="minorEastAsia" w:hAnsi="Arial" w:cs="Arial"/>
          <w:sz w:val="20"/>
        </w:rPr>
        <w:t>Blackman (1919) pointed out that increase in dry matter of plant is a process of continuous compound interest, when the increments produced in any time interval are added to the capital for the growth in subsequent period. The rate of increment is called as relative growth rate (RGR). This is calculated by formula as given below and expressed in g g</w:t>
      </w:r>
      <w:r w:rsidRPr="00802C49">
        <w:rPr>
          <w:rFonts w:ascii="Arial" w:eastAsiaTheme="minorEastAsia" w:hAnsi="Arial" w:cs="Arial"/>
          <w:sz w:val="20"/>
          <w:vertAlign w:val="superscript"/>
        </w:rPr>
        <w:t>-1</w:t>
      </w:r>
      <w:r w:rsidRPr="00802C49">
        <w:rPr>
          <w:rFonts w:ascii="Arial" w:eastAsiaTheme="minorEastAsia" w:hAnsi="Arial" w:cs="Arial"/>
          <w:sz w:val="20"/>
        </w:rPr>
        <w:t xml:space="preserve"> day</w:t>
      </w:r>
      <w:r w:rsidRPr="00802C49">
        <w:rPr>
          <w:rFonts w:ascii="Arial" w:eastAsiaTheme="minorEastAsia" w:hAnsi="Arial" w:cs="Arial"/>
          <w:sz w:val="20"/>
          <w:vertAlign w:val="superscript"/>
        </w:rPr>
        <w:t>-1</w:t>
      </w:r>
      <w:r w:rsidRPr="00802C49">
        <w:rPr>
          <w:rFonts w:ascii="Arial" w:eastAsiaTheme="minorEastAsia" w:hAnsi="Arial" w:cs="Arial"/>
          <w:sz w:val="20"/>
        </w:rPr>
        <w:t>.</w:t>
      </w:r>
    </w:p>
    <w:p w14:paraId="1FDE4494" w14:textId="77DDCF20" w:rsidR="00F25F2C" w:rsidRPr="00802C49" w:rsidRDefault="004F1E8C" w:rsidP="00802C49">
      <w:pPr>
        <w:spacing w:before="240" w:after="0" w:line="240" w:lineRule="auto"/>
        <w:jc w:val="center"/>
        <w:rPr>
          <w:rFonts w:ascii="Arial" w:eastAsiaTheme="minorEastAsia" w:hAnsi="Arial" w:cs="Arial"/>
          <w:iCs/>
          <w:sz w:val="20"/>
        </w:rPr>
      </w:pPr>
      <m:oMath>
        <m:r>
          <m:rPr>
            <m:nor/>
          </m:rPr>
          <w:rPr>
            <w:rFonts w:ascii="Arial" w:eastAsiaTheme="minorEastAsia" w:hAnsi="Arial" w:cs="Arial"/>
            <w:sz w:val="20"/>
          </w:rPr>
          <m:t xml:space="preserve">RGR = </m:t>
        </m:r>
        <m:f>
          <m:fPr>
            <m:ctrlPr>
              <w:rPr>
                <w:rFonts w:ascii="Cambria Math" w:eastAsiaTheme="minorEastAsia" w:hAnsi="Cambria Math" w:cs="Arial"/>
                <w:iCs/>
                <w:sz w:val="20"/>
              </w:rPr>
            </m:ctrlPr>
          </m:fPr>
          <m:num>
            <m:sSub>
              <m:sSubPr>
                <m:ctrlPr>
                  <w:rPr>
                    <w:rFonts w:ascii="Cambria Math" w:eastAsiaTheme="minorEastAsia" w:hAnsi="Cambria Math" w:cs="Arial"/>
                    <w:iCs/>
                    <w:sz w:val="20"/>
                  </w:rPr>
                </m:ctrlPr>
              </m:sSubPr>
              <m:e>
                <m:r>
                  <m:rPr>
                    <m:nor/>
                  </m:rPr>
                  <w:rPr>
                    <w:rFonts w:ascii="Arial" w:eastAsiaTheme="minorEastAsia" w:hAnsi="Arial" w:cs="Arial"/>
                    <w:sz w:val="20"/>
                  </w:rPr>
                  <m:t>log</m:t>
                </m:r>
              </m:e>
              <m:sub>
                <m:r>
                  <m:rPr>
                    <m:nor/>
                  </m:rPr>
                  <w:rPr>
                    <w:rFonts w:ascii="Arial" w:eastAsiaTheme="minorEastAsia" w:hAnsi="Arial" w:cs="Arial"/>
                    <w:sz w:val="20"/>
                  </w:rPr>
                  <m:t xml:space="preserve">e </m:t>
                </m:r>
              </m:sub>
            </m:sSub>
            <m:sSub>
              <m:sSubPr>
                <m:ctrlPr>
                  <w:rPr>
                    <w:rFonts w:ascii="Cambria Math" w:eastAsiaTheme="minorEastAsia" w:hAnsi="Cambria Math" w:cs="Arial"/>
                    <w:iCs/>
                    <w:sz w:val="20"/>
                  </w:rPr>
                </m:ctrlPr>
              </m:sSubPr>
              <m:e>
                <m:r>
                  <m:rPr>
                    <m:nor/>
                  </m:rPr>
                  <w:rPr>
                    <w:rFonts w:ascii="Arial" w:eastAsiaTheme="minorEastAsia" w:hAnsi="Arial" w:cs="Arial"/>
                    <w:sz w:val="20"/>
                  </w:rPr>
                  <m:t>W</m:t>
                </m:r>
              </m:e>
              <m:sub>
                <m:r>
                  <m:rPr>
                    <m:nor/>
                  </m:rPr>
                  <w:rPr>
                    <w:rFonts w:ascii="Arial" w:eastAsiaTheme="minorEastAsia" w:hAnsi="Arial" w:cs="Arial"/>
                    <w:sz w:val="20"/>
                  </w:rPr>
                  <m:t xml:space="preserve">2 -  </m:t>
                </m:r>
              </m:sub>
            </m:sSub>
            <m:sSub>
              <m:sSubPr>
                <m:ctrlPr>
                  <w:rPr>
                    <w:rFonts w:ascii="Cambria Math" w:eastAsiaTheme="minorEastAsia" w:hAnsi="Cambria Math" w:cs="Arial"/>
                    <w:iCs/>
                    <w:sz w:val="20"/>
                  </w:rPr>
                </m:ctrlPr>
              </m:sSubPr>
              <m:e>
                <m:r>
                  <m:rPr>
                    <m:nor/>
                  </m:rPr>
                  <w:rPr>
                    <w:rFonts w:ascii="Arial" w:eastAsiaTheme="minorEastAsia" w:hAnsi="Arial" w:cs="Arial"/>
                    <w:sz w:val="20"/>
                  </w:rPr>
                  <m:t>log</m:t>
                </m:r>
              </m:e>
              <m:sub>
                <m:r>
                  <m:rPr>
                    <m:nor/>
                  </m:rPr>
                  <w:rPr>
                    <w:rFonts w:ascii="Arial" w:eastAsiaTheme="minorEastAsia" w:hAnsi="Arial" w:cs="Arial"/>
                    <w:sz w:val="20"/>
                  </w:rPr>
                  <m:t>e</m:t>
                </m:r>
              </m:sub>
            </m:sSub>
            <m:sSub>
              <m:sSubPr>
                <m:ctrlPr>
                  <w:rPr>
                    <w:rFonts w:ascii="Cambria Math" w:eastAsiaTheme="minorEastAsia" w:hAnsi="Cambria Math" w:cs="Arial"/>
                    <w:iCs/>
                    <w:sz w:val="20"/>
                  </w:rPr>
                </m:ctrlPr>
              </m:sSubPr>
              <m:e>
                <m:r>
                  <m:rPr>
                    <m:nor/>
                  </m:rPr>
                  <w:rPr>
                    <w:rFonts w:ascii="Arial" w:eastAsiaTheme="minorEastAsia" w:hAnsi="Arial" w:cs="Arial"/>
                    <w:sz w:val="20"/>
                  </w:rPr>
                  <m:t xml:space="preserve"> W</m:t>
                </m:r>
              </m:e>
              <m:sub>
                <m:r>
                  <m:rPr>
                    <m:nor/>
                  </m:rPr>
                  <w:rPr>
                    <w:rFonts w:ascii="Arial" w:eastAsiaTheme="minorEastAsia" w:hAnsi="Arial" w:cs="Arial"/>
                    <w:sz w:val="20"/>
                  </w:rPr>
                  <m:t>1</m:t>
                </m:r>
              </m:sub>
            </m:sSub>
          </m:num>
          <m:den>
            <m:sSub>
              <m:sSubPr>
                <m:ctrlPr>
                  <w:rPr>
                    <w:rFonts w:ascii="Cambria Math" w:eastAsiaTheme="minorEastAsia" w:hAnsi="Cambria Math" w:cs="Arial"/>
                    <w:iCs/>
                    <w:sz w:val="20"/>
                  </w:rPr>
                </m:ctrlPr>
              </m:sSubPr>
              <m:e>
                <m:r>
                  <m:rPr>
                    <m:nor/>
                  </m:rPr>
                  <w:rPr>
                    <w:rFonts w:ascii="Arial" w:eastAsiaTheme="minorEastAsia" w:hAnsi="Arial" w:cs="Arial"/>
                    <w:sz w:val="20"/>
                  </w:rPr>
                  <m:t>t</m:t>
                </m:r>
              </m:e>
              <m:sub>
                <m:r>
                  <m:rPr>
                    <m:nor/>
                  </m:rPr>
                  <w:rPr>
                    <w:rFonts w:ascii="Arial" w:eastAsiaTheme="minorEastAsia" w:hAnsi="Arial" w:cs="Arial"/>
                    <w:sz w:val="20"/>
                  </w:rPr>
                  <m:t>2</m:t>
                </m:r>
              </m:sub>
            </m:sSub>
            <m:r>
              <m:rPr>
                <m:nor/>
              </m:rPr>
              <w:rPr>
                <w:rFonts w:ascii="Arial" w:eastAsiaTheme="minorEastAsia" w:hAnsi="Arial" w:cs="Arial"/>
                <w:sz w:val="20"/>
              </w:rPr>
              <m:t xml:space="preserve">- </m:t>
            </m:r>
            <m:sSub>
              <m:sSubPr>
                <m:ctrlPr>
                  <w:rPr>
                    <w:rFonts w:ascii="Cambria Math" w:eastAsiaTheme="minorEastAsia" w:hAnsi="Cambria Math" w:cs="Arial"/>
                    <w:iCs/>
                    <w:sz w:val="20"/>
                  </w:rPr>
                </m:ctrlPr>
              </m:sSubPr>
              <m:e>
                <m:r>
                  <m:rPr>
                    <m:nor/>
                  </m:rPr>
                  <w:rPr>
                    <w:rFonts w:ascii="Arial" w:eastAsiaTheme="minorEastAsia" w:hAnsi="Arial" w:cs="Arial"/>
                    <w:sz w:val="20"/>
                  </w:rPr>
                  <m:t>t</m:t>
                </m:r>
              </m:e>
              <m:sub>
                <m:r>
                  <m:rPr>
                    <m:nor/>
                  </m:rPr>
                  <w:rPr>
                    <w:rFonts w:ascii="Arial" w:eastAsiaTheme="minorEastAsia" w:hAnsi="Arial" w:cs="Arial"/>
                    <w:sz w:val="20"/>
                  </w:rPr>
                  <m:t>1</m:t>
                </m:r>
              </m:sub>
            </m:sSub>
          </m:den>
        </m:f>
      </m:oMath>
      <w:r w:rsidR="00F25F2C" w:rsidRPr="00802C49">
        <w:rPr>
          <w:rFonts w:ascii="Arial" w:eastAsiaTheme="minorEastAsia" w:hAnsi="Arial" w:cs="Arial"/>
          <w:iCs/>
          <w:sz w:val="20"/>
        </w:rPr>
        <w:t xml:space="preserve"> (g g</w:t>
      </w:r>
      <w:r w:rsidR="00F25F2C" w:rsidRPr="00802C49">
        <w:rPr>
          <w:rFonts w:ascii="Arial" w:eastAsiaTheme="minorEastAsia" w:hAnsi="Arial" w:cs="Arial"/>
          <w:iCs/>
          <w:sz w:val="20"/>
          <w:vertAlign w:val="superscript"/>
        </w:rPr>
        <w:t>-1</w:t>
      </w:r>
      <w:r w:rsidR="00F25F2C" w:rsidRPr="00802C49">
        <w:rPr>
          <w:rFonts w:ascii="Arial" w:eastAsiaTheme="minorEastAsia" w:hAnsi="Arial" w:cs="Arial"/>
          <w:iCs/>
          <w:sz w:val="20"/>
        </w:rPr>
        <w:t xml:space="preserve"> day</w:t>
      </w:r>
      <w:r w:rsidR="00F25F2C" w:rsidRPr="00802C49">
        <w:rPr>
          <w:rFonts w:ascii="Arial" w:eastAsiaTheme="minorEastAsia" w:hAnsi="Arial" w:cs="Arial"/>
          <w:iCs/>
          <w:sz w:val="20"/>
          <w:vertAlign w:val="superscript"/>
        </w:rPr>
        <w:t>-1</w:t>
      </w:r>
      <w:r w:rsidR="00F25F2C" w:rsidRPr="00802C49">
        <w:rPr>
          <w:rFonts w:ascii="Arial" w:eastAsiaTheme="minorEastAsia" w:hAnsi="Arial" w:cs="Arial"/>
          <w:iCs/>
          <w:sz w:val="20"/>
        </w:rPr>
        <w:t>)</w:t>
      </w:r>
    </w:p>
    <w:p w14:paraId="2CF9A6C7" w14:textId="77777777" w:rsidR="00F25F2C" w:rsidRPr="00802C49" w:rsidRDefault="00F25F2C" w:rsidP="00802C49">
      <w:pPr>
        <w:spacing w:after="0" w:line="240" w:lineRule="auto"/>
        <w:jc w:val="both"/>
        <w:rPr>
          <w:rFonts w:ascii="Arial" w:eastAsiaTheme="minorEastAsia" w:hAnsi="Arial" w:cs="Arial"/>
          <w:iCs/>
          <w:sz w:val="20"/>
        </w:rPr>
      </w:pPr>
      <w:r w:rsidRPr="00802C49">
        <w:rPr>
          <w:rFonts w:ascii="Arial" w:eastAsiaTheme="minorEastAsia" w:hAnsi="Arial" w:cs="Arial"/>
          <w:iCs/>
          <w:sz w:val="20"/>
        </w:rPr>
        <w:t>Where, log</w:t>
      </w:r>
      <w:r w:rsidRPr="00802C49">
        <w:rPr>
          <w:rFonts w:ascii="Arial" w:eastAsiaTheme="minorEastAsia" w:hAnsi="Arial" w:cs="Arial"/>
          <w:iCs/>
          <w:sz w:val="20"/>
          <w:vertAlign w:val="subscript"/>
        </w:rPr>
        <w:t>e</w:t>
      </w:r>
      <w:r w:rsidRPr="00802C49">
        <w:rPr>
          <w:rFonts w:ascii="Arial" w:eastAsiaTheme="minorEastAsia" w:hAnsi="Arial" w:cs="Arial"/>
          <w:iCs/>
          <w:sz w:val="20"/>
        </w:rPr>
        <w:t xml:space="preserve"> – natural logarithm </w:t>
      </w:r>
    </w:p>
    <w:p w14:paraId="007FDEF0" w14:textId="15BF48A5" w:rsidR="00F25F2C" w:rsidRPr="00802C49" w:rsidRDefault="00F25F2C" w:rsidP="00E11E42">
      <w:pPr>
        <w:spacing w:line="240" w:lineRule="auto"/>
        <w:ind w:firstLine="720"/>
        <w:jc w:val="both"/>
        <w:rPr>
          <w:rFonts w:ascii="Arial" w:eastAsiaTheme="minorEastAsia" w:hAnsi="Arial" w:cs="Arial"/>
          <w:iCs/>
          <w:sz w:val="20"/>
        </w:rPr>
      </w:pPr>
      <w:r w:rsidRPr="00802C49">
        <w:rPr>
          <w:rFonts w:ascii="Arial" w:eastAsiaTheme="minorEastAsia" w:hAnsi="Arial" w:cs="Arial"/>
          <w:iCs/>
          <w:sz w:val="20"/>
        </w:rPr>
        <w:t>W</w:t>
      </w:r>
      <w:r w:rsidRPr="00802C49">
        <w:rPr>
          <w:rFonts w:ascii="Arial" w:eastAsiaTheme="minorEastAsia" w:hAnsi="Arial" w:cs="Arial"/>
          <w:iCs/>
          <w:sz w:val="20"/>
          <w:vertAlign w:val="subscript"/>
        </w:rPr>
        <w:t xml:space="preserve">1 </w:t>
      </w:r>
      <w:r w:rsidRPr="00802C49">
        <w:rPr>
          <w:rFonts w:ascii="Arial" w:eastAsiaTheme="minorEastAsia" w:hAnsi="Arial" w:cs="Arial"/>
          <w:iCs/>
          <w:sz w:val="20"/>
        </w:rPr>
        <w:t>and W</w:t>
      </w:r>
      <w:r w:rsidRPr="00802C49">
        <w:rPr>
          <w:rFonts w:ascii="Arial" w:eastAsiaTheme="minorEastAsia" w:hAnsi="Arial" w:cs="Arial"/>
          <w:iCs/>
          <w:sz w:val="20"/>
          <w:vertAlign w:val="subscript"/>
        </w:rPr>
        <w:t xml:space="preserve">2 </w:t>
      </w:r>
      <w:r w:rsidRPr="00802C49">
        <w:rPr>
          <w:rFonts w:ascii="Arial" w:eastAsiaTheme="minorEastAsia" w:hAnsi="Arial" w:cs="Arial"/>
          <w:iCs/>
          <w:sz w:val="20"/>
        </w:rPr>
        <w:t>are the weight of total dry matter at time t</w:t>
      </w:r>
      <w:r w:rsidRPr="00802C49">
        <w:rPr>
          <w:rFonts w:ascii="Arial" w:eastAsiaTheme="minorEastAsia" w:hAnsi="Arial" w:cs="Arial"/>
          <w:iCs/>
          <w:sz w:val="20"/>
          <w:vertAlign w:val="subscript"/>
        </w:rPr>
        <w:t>1</w:t>
      </w:r>
      <w:r w:rsidRPr="00802C49">
        <w:rPr>
          <w:rFonts w:ascii="Arial" w:eastAsiaTheme="minorEastAsia" w:hAnsi="Arial" w:cs="Arial"/>
          <w:iCs/>
          <w:sz w:val="20"/>
        </w:rPr>
        <w:t xml:space="preserve"> and t</w:t>
      </w:r>
      <w:r w:rsidRPr="00802C49">
        <w:rPr>
          <w:rFonts w:ascii="Arial" w:eastAsiaTheme="minorEastAsia" w:hAnsi="Arial" w:cs="Arial"/>
          <w:iCs/>
          <w:sz w:val="20"/>
          <w:vertAlign w:val="subscript"/>
        </w:rPr>
        <w:t>2</w:t>
      </w:r>
      <w:r w:rsidRPr="00802C49">
        <w:rPr>
          <w:rFonts w:ascii="Arial" w:eastAsiaTheme="minorEastAsia" w:hAnsi="Arial" w:cs="Arial"/>
          <w:iCs/>
          <w:sz w:val="20"/>
        </w:rPr>
        <w:t>, respectively.</w:t>
      </w:r>
    </w:p>
    <w:p w14:paraId="3F3D1AAE" w14:textId="62CD3163" w:rsidR="00F25F2C" w:rsidRPr="00802C49" w:rsidRDefault="00802C49" w:rsidP="00E11E42">
      <w:pPr>
        <w:spacing w:line="240" w:lineRule="auto"/>
        <w:jc w:val="both"/>
        <w:rPr>
          <w:rFonts w:ascii="Arial" w:eastAsiaTheme="minorEastAsia" w:hAnsi="Arial" w:cs="Arial"/>
          <w:b/>
          <w:bCs/>
          <w:iCs/>
          <w:sz w:val="20"/>
          <w:u w:val="single"/>
        </w:rPr>
      </w:pPr>
      <w:r w:rsidRPr="00802C49">
        <w:rPr>
          <w:rFonts w:ascii="Arial" w:eastAsiaTheme="minorEastAsia" w:hAnsi="Arial" w:cs="Arial"/>
          <w:b/>
          <w:bCs/>
          <w:iCs/>
          <w:sz w:val="20"/>
          <w:u w:val="single"/>
        </w:rPr>
        <w:t xml:space="preserve">2.2.3 </w:t>
      </w:r>
      <w:r w:rsidR="00F25F2C" w:rsidRPr="00802C49">
        <w:rPr>
          <w:rFonts w:ascii="Arial" w:eastAsiaTheme="minorEastAsia" w:hAnsi="Arial" w:cs="Arial"/>
          <w:b/>
          <w:bCs/>
          <w:iCs/>
          <w:sz w:val="20"/>
          <w:u w:val="single"/>
        </w:rPr>
        <w:t>Leaf Area Index (LAI)</w:t>
      </w:r>
    </w:p>
    <w:p w14:paraId="26355EC1" w14:textId="77777777" w:rsidR="00F25F2C" w:rsidRPr="00802C49" w:rsidRDefault="00F25F2C" w:rsidP="00802C49">
      <w:pPr>
        <w:spacing w:after="0" w:line="240" w:lineRule="auto"/>
        <w:jc w:val="both"/>
        <w:rPr>
          <w:rFonts w:ascii="Arial" w:eastAsiaTheme="minorEastAsia" w:hAnsi="Arial" w:cs="Arial"/>
          <w:iCs/>
          <w:sz w:val="20"/>
        </w:rPr>
      </w:pPr>
      <w:r w:rsidRPr="00802C49">
        <w:rPr>
          <w:rFonts w:ascii="Arial" w:eastAsiaTheme="minorEastAsia" w:hAnsi="Arial" w:cs="Arial"/>
          <w:iCs/>
          <w:sz w:val="20"/>
        </w:rPr>
        <w:t>Leaf area index is a dimensionless quantity that characterizes plant canopies. It is defined as the one-sided green leaf area per unit ground surface area in broadleaf plants.</w:t>
      </w:r>
    </w:p>
    <w:p w14:paraId="6880C7E9" w14:textId="1FFCD164" w:rsidR="00F25F2C" w:rsidRPr="004F1E8C" w:rsidRDefault="00E11E42" w:rsidP="00E11E42">
      <w:pPr>
        <w:spacing w:after="0" w:line="240" w:lineRule="auto"/>
        <w:jc w:val="center"/>
        <w:rPr>
          <w:rFonts w:ascii="Arial" w:eastAsiaTheme="minorEastAsia" w:hAnsi="Arial" w:cs="Arial"/>
          <w:iCs/>
          <w:sz w:val="20"/>
        </w:rPr>
      </w:pPr>
      <m:oMathPara>
        <m:oMath>
          <m:r>
            <m:rPr>
              <m:nor/>
            </m:rPr>
            <w:rPr>
              <w:rFonts w:ascii="Arial" w:eastAsiaTheme="minorEastAsia" w:hAnsi="Arial" w:cs="Arial"/>
              <w:iCs/>
              <w:sz w:val="20"/>
            </w:rPr>
            <m:t xml:space="preserve">LAI= </m:t>
          </m:r>
          <m:f>
            <m:fPr>
              <m:ctrlPr>
                <w:rPr>
                  <w:rFonts w:ascii="Cambria Math" w:eastAsiaTheme="minorEastAsia" w:hAnsi="Cambria Math" w:cs="Arial"/>
                  <w:i/>
                  <w:iCs/>
                  <w:sz w:val="20"/>
                </w:rPr>
              </m:ctrlPr>
            </m:fPr>
            <m:num>
              <m:r>
                <m:rPr>
                  <m:nor/>
                </m:rPr>
                <w:rPr>
                  <w:rFonts w:ascii="Arial" w:eastAsiaTheme="minorEastAsia" w:hAnsi="Arial" w:cs="Arial"/>
                  <w:iCs/>
                  <w:sz w:val="20"/>
                </w:rPr>
                <m:t>Leaf area (</m:t>
              </m:r>
              <m:sSup>
                <m:sSupPr>
                  <m:ctrlPr>
                    <w:rPr>
                      <w:rFonts w:ascii="Cambria Math" w:eastAsiaTheme="minorEastAsia" w:hAnsi="Cambria Math" w:cs="Arial"/>
                      <w:i/>
                      <w:iCs/>
                      <w:sz w:val="20"/>
                    </w:rPr>
                  </m:ctrlPr>
                </m:sSupPr>
                <m:e>
                  <m:r>
                    <m:rPr>
                      <m:nor/>
                    </m:rPr>
                    <w:rPr>
                      <w:rFonts w:ascii="Arial" w:eastAsiaTheme="minorEastAsia" w:hAnsi="Arial" w:cs="Arial"/>
                      <w:iCs/>
                      <w:sz w:val="20"/>
                    </w:rPr>
                    <m:t>cm</m:t>
                  </m:r>
                </m:e>
                <m:sup>
                  <m:r>
                    <m:rPr>
                      <m:nor/>
                    </m:rPr>
                    <w:rPr>
                      <w:rFonts w:ascii="Arial" w:eastAsiaTheme="minorEastAsia" w:hAnsi="Arial" w:cs="Arial"/>
                      <w:iCs/>
                      <w:sz w:val="20"/>
                    </w:rPr>
                    <m:t>2</m:t>
                  </m:r>
                </m:sup>
              </m:sSup>
              <m:r>
                <m:rPr>
                  <m:nor/>
                </m:rPr>
                <w:rPr>
                  <w:rFonts w:ascii="Arial" w:eastAsiaTheme="minorEastAsia" w:hAnsi="Arial" w:cs="Arial"/>
                  <w:iCs/>
                  <w:sz w:val="20"/>
                </w:rPr>
                <m:t>)</m:t>
              </m:r>
            </m:num>
            <m:den>
              <m:r>
                <m:rPr>
                  <m:nor/>
                </m:rPr>
                <w:rPr>
                  <w:rFonts w:ascii="Arial" w:eastAsiaTheme="minorEastAsia" w:hAnsi="Arial" w:cs="Arial"/>
                  <w:iCs/>
                  <w:sz w:val="20"/>
                </w:rPr>
                <m:t>Ground area (</m:t>
              </m:r>
              <m:sSup>
                <m:sSupPr>
                  <m:ctrlPr>
                    <w:rPr>
                      <w:rFonts w:ascii="Cambria Math" w:eastAsiaTheme="minorEastAsia" w:hAnsi="Cambria Math" w:cs="Arial"/>
                      <w:i/>
                      <w:iCs/>
                      <w:sz w:val="20"/>
                    </w:rPr>
                  </m:ctrlPr>
                </m:sSupPr>
                <m:e>
                  <m:r>
                    <m:rPr>
                      <m:nor/>
                    </m:rPr>
                    <w:rPr>
                      <w:rFonts w:ascii="Arial" w:eastAsiaTheme="minorEastAsia" w:hAnsi="Arial" w:cs="Arial"/>
                      <w:iCs/>
                      <w:sz w:val="20"/>
                    </w:rPr>
                    <m:t>cm</m:t>
                  </m:r>
                </m:e>
                <m:sup>
                  <m:r>
                    <m:rPr>
                      <m:nor/>
                    </m:rPr>
                    <w:rPr>
                      <w:rFonts w:ascii="Arial" w:eastAsiaTheme="minorEastAsia" w:hAnsi="Arial" w:cs="Arial"/>
                      <w:iCs/>
                      <w:sz w:val="20"/>
                    </w:rPr>
                    <m:t>2</m:t>
                  </m:r>
                </m:sup>
              </m:sSup>
              <m:r>
                <m:rPr>
                  <m:nor/>
                </m:rPr>
                <w:rPr>
                  <w:rFonts w:ascii="Arial" w:eastAsiaTheme="minorEastAsia" w:hAnsi="Arial" w:cs="Arial"/>
                  <w:iCs/>
                  <w:sz w:val="20"/>
                </w:rPr>
                <m:t>)</m:t>
              </m:r>
            </m:den>
          </m:f>
        </m:oMath>
      </m:oMathPara>
    </w:p>
    <w:p w14:paraId="2F821F85" w14:textId="14215011" w:rsidR="00F25F2C" w:rsidRPr="00802C49" w:rsidRDefault="00F25F2C" w:rsidP="00E11E42">
      <w:pPr>
        <w:spacing w:after="0" w:line="240" w:lineRule="auto"/>
        <w:jc w:val="both"/>
        <w:rPr>
          <w:rFonts w:ascii="Arial" w:eastAsiaTheme="minorEastAsia" w:hAnsi="Arial" w:cs="Arial"/>
          <w:iCs/>
          <w:sz w:val="20"/>
        </w:rPr>
      </w:pPr>
      <w:r w:rsidRPr="00802C49">
        <w:rPr>
          <w:rFonts w:ascii="Arial" w:eastAsiaTheme="minorEastAsia" w:hAnsi="Arial" w:cs="Arial"/>
          <w:iCs/>
          <w:sz w:val="20"/>
        </w:rPr>
        <w:t>Where, leaf area refers to one-sided green leaf area and,</w:t>
      </w:r>
    </w:p>
    <w:p w14:paraId="2DFFFE0B" w14:textId="5D0966F4" w:rsidR="00F25F2C" w:rsidRPr="00802C49" w:rsidRDefault="00F25F2C" w:rsidP="00E11E42">
      <w:pPr>
        <w:spacing w:line="240" w:lineRule="auto"/>
        <w:jc w:val="both"/>
        <w:rPr>
          <w:rFonts w:ascii="Arial" w:eastAsiaTheme="minorEastAsia" w:hAnsi="Arial" w:cs="Arial"/>
          <w:iCs/>
          <w:sz w:val="20"/>
        </w:rPr>
      </w:pPr>
      <w:r w:rsidRPr="00802C49">
        <w:rPr>
          <w:rFonts w:ascii="Arial" w:eastAsiaTheme="minorEastAsia" w:hAnsi="Arial" w:cs="Arial"/>
          <w:iCs/>
          <w:sz w:val="20"/>
        </w:rPr>
        <w:tab/>
        <w:t xml:space="preserve">ground area refers to the spacing of the crop. </w:t>
      </w:r>
    </w:p>
    <w:p w14:paraId="03BC4BE7" w14:textId="31B6CCD7" w:rsidR="00D1709C" w:rsidRPr="00E11E42" w:rsidRDefault="00BE3F9C" w:rsidP="00E11E42">
      <w:pPr>
        <w:spacing w:line="240" w:lineRule="auto"/>
        <w:jc w:val="both"/>
        <w:rPr>
          <w:rFonts w:ascii="Arial" w:eastAsiaTheme="minorEastAsia" w:hAnsi="Arial" w:cs="Arial"/>
          <w:b/>
          <w:bCs/>
          <w:szCs w:val="22"/>
        </w:rPr>
      </w:pPr>
      <w:r>
        <w:rPr>
          <w:rFonts w:ascii="Arial" w:eastAsiaTheme="minorEastAsia" w:hAnsi="Arial" w:cs="Arial"/>
          <w:b/>
          <w:bCs/>
          <w:szCs w:val="22"/>
        </w:rPr>
        <w:t xml:space="preserve">2.3 </w:t>
      </w:r>
      <w:r w:rsidR="00D1709C" w:rsidRPr="00E11E42">
        <w:rPr>
          <w:rFonts w:ascii="Arial" w:eastAsiaTheme="minorEastAsia" w:hAnsi="Arial" w:cs="Arial"/>
          <w:b/>
          <w:bCs/>
          <w:szCs w:val="22"/>
        </w:rPr>
        <w:t>Oil content (%)</w:t>
      </w:r>
    </w:p>
    <w:p w14:paraId="5AE81DB7" w14:textId="77777777" w:rsidR="00BE3F9C" w:rsidRPr="00BE3F9C" w:rsidRDefault="00D1709C" w:rsidP="00BE3F9C">
      <w:pPr>
        <w:spacing w:line="240" w:lineRule="auto"/>
        <w:jc w:val="both"/>
        <w:rPr>
          <w:rFonts w:ascii="Arial" w:eastAsiaTheme="minorEastAsia" w:hAnsi="Arial" w:cs="Arial"/>
          <w:sz w:val="20"/>
        </w:rPr>
      </w:pPr>
      <w:r w:rsidRPr="00BE3F9C">
        <w:rPr>
          <w:rFonts w:ascii="Arial" w:eastAsiaTheme="minorEastAsia" w:hAnsi="Arial" w:cs="Arial"/>
          <w:sz w:val="20"/>
        </w:rPr>
        <w:t xml:space="preserve">Oil percentage in seed was estimated treatment wise by Nuclear Magnetic Resonance (NMR) method at Main Agricultural Research Station, Raichur (Karnataka). </w:t>
      </w:r>
    </w:p>
    <w:p w14:paraId="6C693732" w14:textId="5D81EEF1" w:rsidR="00E54AAA" w:rsidRPr="00BE3F9C" w:rsidRDefault="00F25F2C" w:rsidP="00BE3F9C">
      <w:pPr>
        <w:spacing w:line="240" w:lineRule="auto"/>
        <w:jc w:val="both"/>
        <w:rPr>
          <w:rFonts w:ascii="Arial" w:eastAsiaTheme="minorEastAsia" w:hAnsi="Arial" w:cs="Arial"/>
          <w:sz w:val="20"/>
        </w:rPr>
      </w:pPr>
      <w:r w:rsidRPr="00BE3F9C">
        <w:rPr>
          <w:rFonts w:ascii="Arial" w:hAnsi="Arial" w:cs="Arial"/>
          <w:sz w:val="20"/>
        </w:rPr>
        <w:t xml:space="preserve">The recommended cultural practices and plant protection measures were undertaken as per recommendation. The crop was harvested on 12 October, 2022. Data on various variables were analyzed by analysis of variance </w:t>
      </w:r>
      <w:r w:rsidR="00BE3F9C">
        <w:rPr>
          <w:rFonts w:ascii="Arial" w:hAnsi="Arial" w:cs="Arial"/>
          <w:sz w:val="20"/>
        </w:rPr>
        <w:t xml:space="preserve">described by </w:t>
      </w:r>
      <w:proofErr w:type="spellStart"/>
      <w:r w:rsidRPr="00BE3F9C">
        <w:rPr>
          <w:rFonts w:ascii="Arial" w:hAnsi="Arial" w:cs="Arial"/>
          <w:sz w:val="20"/>
        </w:rPr>
        <w:t>Panse</w:t>
      </w:r>
      <w:proofErr w:type="spellEnd"/>
      <w:r w:rsidRPr="00BE3F9C">
        <w:rPr>
          <w:rFonts w:ascii="Arial" w:hAnsi="Arial" w:cs="Arial"/>
          <w:sz w:val="20"/>
        </w:rPr>
        <w:t xml:space="preserve"> and </w:t>
      </w:r>
      <w:proofErr w:type="spellStart"/>
      <w:r w:rsidRPr="00BE3F9C">
        <w:rPr>
          <w:rFonts w:ascii="Arial" w:hAnsi="Arial" w:cs="Arial"/>
          <w:sz w:val="20"/>
        </w:rPr>
        <w:t>Sukhatme</w:t>
      </w:r>
      <w:proofErr w:type="spellEnd"/>
      <w:r w:rsidRPr="00BE3F9C">
        <w:rPr>
          <w:rFonts w:ascii="Arial" w:hAnsi="Arial" w:cs="Arial"/>
          <w:sz w:val="20"/>
        </w:rPr>
        <w:t>, 1967</w:t>
      </w:r>
      <w:r w:rsidR="00D1709C" w:rsidRPr="00BE3F9C">
        <w:rPr>
          <w:rFonts w:ascii="Arial" w:hAnsi="Arial" w:cs="Arial"/>
          <w:sz w:val="20"/>
        </w:rPr>
        <w:t>.</w:t>
      </w:r>
    </w:p>
    <w:p w14:paraId="11B9C43E" w14:textId="5449280F" w:rsidR="006906F8" w:rsidRPr="00BE3F9C" w:rsidRDefault="00BE3F9C" w:rsidP="00BE3F9C">
      <w:pPr>
        <w:pStyle w:val="ListParagraph"/>
        <w:numPr>
          <w:ilvl w:val="0"/>
          <w:numId w:val="1"/>
        </w:numPr>
        <w:spacing w:line="240" w:lineRule="auto"/>
        <w:jc w:val="both"/>
        <w:rPr>
          <w:rFonts w:ascii="Arial" w:hAnsi="Arial" w:cs="Arial"/>
          <w:b/>
          <w:bCs/>
          <w:szCs w:val="22"/>
        </w:rPr>
      </w:pPr>
      <w:r w:rsidRPr="00BE3F9C">
        <w:rPr>
          <w:rFonts w:ascii="Arial" w:hAnsi="Arial" w:cs="Arial"/>
          <w:b/>
          <w:bCs/>
          <w:szCs w:val="22"/>
        </w:rPr>
        <w:t xml:space="preserve">RESULTS AND DISCUSSION </w:t>
      </w:r>
    </w:p>
    <w:p w14:paraId="1EAA2CC2" w14:textId="0A30B281" w:rsidR="006906F8" w:rsidRPr="00E11E42" w:rsidRDefault="00BE3F9C" w:rsidP="00996207">
      <w:pPr>
        <w:spacing w:after="0" w:line="240" w:lineRule="auto"/>
        <w:ind w:left="720" w:hanging="720"/>
        <w:jc w:val="both"/>
        <w:rPr>
          <w:rFonts w:ascii="Arial" w:hAnsi="Arial" w:cs="Arial"/>
          <w:szCs w:val="22"/>
        </w:rPr>
      </w:pPr>
      <w:r>
        <w:rPr>
          <w:rFonts w:ascii="Arial" w:hAnsi="Arial" w:cs="Arial"/>
          <w:b/>
          <w:bCs/>
          <w:szCs w:val="22"/>
        </w:rPr>
        <w:t xml:space="preserve">3.1 </w:t>
      </w:r>
      <w:r w:rsidR="00996207">
        <w:rPr>
          <w:rFonts w:ascii="Arial" w:hAnsi="Arial" w:cs="Arial"/>
          <w:b/>
          <w:bCs/>
          <w:szCs w:val="22"/>
        </w:rPr>
        <w:tab/>
      </w:r>
      <w:r w:rsidR="006906F8" w:rsidRPr="00E11E42">
        <w:rPr>
          <w:rFonts w:ascii="Arial" w:hAnsi="Arial" w:cs="Arial"/>
          <w:b/>
          <w:bCs/>
          <w:szCs w:val="22"/>
        </w:rPr>
        <w:t>Effect of recommended dose of fertilizer and micronutrients on various growth indices of sunflower</w:t>
      </w:r>
    </w:p>
    <w:p w14:paraId="0183C4BB" w14:textId="6B2551DD" w:rsidR="006906F8" w:rsidRPr="00BE3F9C" w:rsidRDefault="00BE3F9C" w:rsidP="00E11E42">
      <w:pPr>
        <w:spacing w:before="240" w:line="240" w:lineRule="auto"/>
        <w:jc w:val="both"/>
        <w:rPr>
          <w:rFonts w:ascii="Arial" w:hAnsi="Arial" w:cs="Arial"/>
          <w:b/>
          <w:bCs/>
          <w:sz w:val="20"/>
          <w:u w:val="single"/>
        </w:rPr>
      </w:pPr>
      <w:r w:rsidRPr="00BE3F9C">
        <w:rPr>
          <w:rFonts w:ascii="Arial" w:hAnsi="Arial" w:cs="Arial"/>
          <w:b/>
          <w:bCs/>
          <w:sz w:val="20"/>
          <w:u w:val="single"/>
        </w:rPr>
        <w:t xml:space="preserve">3.1.1 </w:t>
      </w:r>
      <w:r w:rsidR="006906F8" w:rsidRPr="00BE3F9C">
        <w:rPr>
          <w:rFonts w:ascii="Arial" w:hAnsi="Arial" w:cs="Arial"/>
          <w:b/>
          <w:bCs/>
          <w:sz w:val="20"/>
          <w:u w:val="single"/>
        </w:rPr>
        <w:t xml:space="preserve">Absolute </w:t>
      </w:r>
      <w:r w:rsidRPr="00BE3F9C">
        <w:rPr>
          <w:rFonts w:ascii="Arial" w:hAnsi="Arial" w:cs="Arial"/>
          <w:b/>
          <w:bCs/>
          <w:sz w:val="20"/>
          <w:u w:val="single"/>
        </w:rPr>
        <w:t xml:space="preserve">growth </w:t>
      </w:r>
      <w:r>
        <w:rPr>
          <w:rFonts w:ascii="Arial" w:hAnsi="Arial" w:cs="Arial"/>
          <w:b/>
          <w:bCs/>
          <w:sz w:val="20"/>
          <w:u w:val="single"/>
        </w:rPr>
        <w:t>r</w:t>
      </w:r>
      <w:r w:rsidR="006906F8" w:rsidRPr="00BE3F9C">
        <w:rPr>
          <w:rFonts w:ascii="Arial" w:hAnsi="Arial" w:cs="Arial"/>
          <w:b/>
          <w:bCs/>
          <w:sz w:val="20"/>
          <w:u w:val="single"/>
        </w:rPr>
        <w:t xml:space="preserve">ate </w:t>
      </w:r>
    </w:p>
    <w:p w14:paraId="44CC5125" w14:textId="21893C86" w:rsidR="009A0014" w:rsidRPr="00BE3F9C" w:rsidRDefault="006906F8" w:rsidP="00BE3F9C">
      <w:pPr>
        <w:spacing w:line="240" w:lineRule="auto"/>
        <w:jc w:val="both"/>
        <w:rPr>
          <w:rFonts w:ascii="Arial" w:hAnsi="Arial" w:cs="Arial"/>
          <w:sz w:val="20"/>
        </w:rPr>
      </w:pPr>
      <w:r w:rsidRPr="00BE3F9C">
        <w:rPr>
          <w:rFonts w:ascii="Arial" w:hAnsi="Arial" w:cs="Arial"/>
          <w:sz w:val="20"/>
        </w:rPr>
        <w:t>The data on growth parameters clearly indicated that nutrient management treatments exerted a significant influence on plant growth during both growth intervals (30–45 DAS and 45–60 DAS) as well as on leaf area development (Table 1). Absolute Growth Rate (AGR) expressed on a height basis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showed a consistent increase from 30–45 DAS to 45–60 DAS across all treatments, indicating accelerated vegetative growth during later stages. Among the treatments, the highest AGR was recorded under T</w:t>
      </w:r>
      <w:r w:rsidRPr="00BE3F9C">
        <w:rPr>
          <w:rFonts w:ascii="Arial" w:hAnsi="Arial" w:cs="Arial"/>
          <w:sz w:val="20"/>
          <w:vertAlign w:val="subscript"/>
        </w:rPr>
        <w:t>6</w:t>
      </w:r>
      <w:r w:rsidRPr="00BE3F9C">
        <w:rPr>
          <w:rFonts w:ascii="Arial" w:hAnsi="Arial" w:cs="Arial"/>
          <w:sz w:val="20"/>
        </w:rPr>
        <w:t xml:space="preserve"> (RDF + ZnSO</w:t>
      </w:r>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¹ + FeSO</w:t>
      </w:r>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¹ + Borax @ 2 kg ha</w:t>
      </w:r>
      <w:r w:rsidRPr="00BE3F9C">
        <w:rPr>
          <w:rFonts w:ascii="Cambria Math" w:hAnsi="Cambria Math" w:cs="Cambria Math"/>
          <w:sz w:val="20"/>
        </w:rPr>
        <w:t>⁻</w:t>
      </w:r>
      <w:r w:rsidRPr="00BE3F9C">
        <w:rPr>
          <w:rFonts w:ascii="Arial" w:hAnsi="Arial" w:cs="Arial"/>
          <w:sz w:val="20"/>
        </w:rPr>
        <w:t>¹), registering values of 4.382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at 30–45 DAS and 6.309 cm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at 45–60 DAS. This treatment was followed by T</w:t>
      </w:r>
      <w:r w:rsidRPr="00BE3F9C">
        <w:rPr>
          <w:rFonts w:ascii="Arial" w:hAnsi="Arial" w:cs="Arial"/>
          <w:sz w:val="20"/>
          <w:vertAlign w:val="subscript"/>
        </w:rPr>
        <w:t>5</w:t>
      </w:r>
      <w:r w:rsidRPr="00BE3F9C">
        <w:rPr>
          <w:rFonts w:ascii="Arial" w:hAnsi="Arial" w:cs="Arial"/>
          <w:sz w:val="20"/>
        </w:rPr>
        <w:t xml:space="preserve"> (RDF + Borax @ 2 kg ha</w:t>
      </w:r>
      <w:r w:rsidRPr="00BE3F9C">
        <w:rPr>
          <w:rFonts w:ascii="Cambria Math" w:hAnsi="Cambria Math" w:cs="Cambria Math"/>
          <w:sz w:val="20"/>
        </w:rPr>
        <w:t>⁻</w:t>
      </w:r>
      <w:r w:rsidRPr="00BE3F9C">
        <w:rPr>
          <w:rFonts w:ascii="Arial" w:hAnsi="Arial" w:cs="Arial"/>
          <w:sz w:val="20"/>
        </w:rPr>
        <w:t>¹) and T</w:t>
      </w:r>
      <w:r w:rsidRPr="00BE3F9C">
        <w:rPr>
          <w:rFonts w:ascii="Arial" w:hAnsi="Arial" w:cs="Arial"/>
          <w:sz w:val="20"/>
          <w:vertAlign w:val="subscript"/>
        </w:rPr>
        <w:t>3</w:t>
      </w:r>
      <w:r w:rsidRPr="00BE3F9C">
        <w:rPr>
          <w:rFonts w:ascii="Arial" w:hAnsi="Arial" w:cs="Arial"/>
          <w:sz w:val="20"/>
        </w:rPr>
        <w:t xml:space="preserve"> (RDF + ZnSO</w:t>
      </w:r>
      <w:r w:rsidRPr="00BE3F9C">
        <w:rPr>
          <w:rFonts w:ascii="Cambria Math" w:hAnsi="Cambria Math" w:cs="Cambria Math"/>
          <w:sz w:val="20"/>
        </w:rPr>
        <w:t>₄</w:t>
      </w:r>
      <w:r w:rsidRPr="00BE3F9C">
        <w:rPr>
          <w:rFonts w:ascii="Arial" w:hAnsi="Arial" w:cs="Arial"/>
          <w:sz w:val="20"/>
        </w:rPr>
        <w:t xml:space="preserve"> @ 20 kg ha</w:t>
      </w:r>
      <w:r w:rsidRPr="00BE3F9C">
        <w:rPr>
          <w:rFonts w:ascii="Cambria Math" w:hAnsi="Cambria Math" w:cs="Cambria Math"/>
          <w:sz w:val="20"/>
        </w:rPr>
        <w:t>⁻</w:t>
      </w:r>
      <w:r w:rsidRPr="00BE3F9C">
        <w:rPr>
          <w:rFonts w:ascii="Arial" w:hAnsi="Arial" w:cs="Arial"/>
          <w:sz w:val="20"/>
        </w:rPr>
        <w:t>¹). The lowest AGR was observed under the control (T</w:t>
      </w:r>
      <w:r w:rsidRPr="00BE3F9C">
        <w:rPr>
          <w:rFonts w:ascii="Arial" w:hAnsi="Arial" w:cs="Arial"/>
          <w:sz w:val="20"/>
          <w:vertAlign w:val="subscript"/>
        </w:rPr>
        <w:t>1</w:t>
      </w:r>
      <w:r w:rsidRPr="00BE3F9C">
        <w:rPr>
          <w:rFonts w:ascii="Arial" w:hAnsi="Arial" w:cs="Arial"/>
          <w:sz w:val="20"/>
        </w:rPr>
        <w:t>) at both stages. Application of RDF alone (T</w:t>
      </w:r>
      <w:r w:rsidRPr="00BE3F9C">
        <w:rPr>
          <w:rFonts w:ascii="Arial" w:hAnsi="Arial" w:cs="Arial"/>
          <w:sz w:val="20"/>
          <w:vertAlign w:val="subscript"/>
        </w:rPr>
        <w:t>2</w:t>
      </w:r>
      <w:r w:rsidRPr="00BE3F9C">
        <w:rPr>
          <w:rFonts w:ascii="Arial" w:hAnsi="Arial" w:cs="Arial"/>
          <w:sz w:val="20"/>
        </w:rPr>
        <w:t>) improved AGR compared to control, but the addition of micronutrients further enhanced growth rates.  A similar trend was observed for Absolute Growth Rate on dry matter basis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The highest dry matter accumulation rate was again recorded under T</w:t>
      </w:r>
      <w:r w:rsidRPr="00BE3F9C">
        <w:rPr>
          <w:rFonts w:ascii="Arial" w:hAnsi="Arial" w:cs="Arial"/>
          <w:sz w:val="20"/>
          <w:vertAlign w:val="subscript"/>
        </w:rPr>
        <w:t>6</w:t>
      </w:r>
      <w:r w:rsidRPr="00BE3F9C">
        <w:rPr>
          <w:rFonts w:ascii="Arial" w:hAnsi="Arial" w:cs="Arial"/>
          <w:sz w:val="20"/>
        </w:rPr>
        <w:t>, with values of 2.595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¹ during 30–45 DAS and 6.358 g day</w:t>
      </w:r>
      <w:r w:rsidRPr="00BE3F9C">
        <w:rPr>
          <w:rFonts w:ascii="Cambria Math" w:hAnsi="Cambria Math" w:cs="Cambria Math"/>
          <w:sz w:val="20"/>
        </w:rPr>
        <w:t>⁻</w:t>
      </w:r>
      <w:r w:rsidRPr="00BE3F9C">
        <w:rPr>
          <w:rFonts w:ascii="Arial" w:hAnsi="Arial" w:cs="Arial"/>
          <w:sz w:val="20"/>
        </w:rPr>
        <w:t>¹ plant</w:t>
      </w:r>
      <w:r w:rsidRPr="00BE3F9C">
        <w:rPr>
          <w:rFonts w:ascii="Cambria Math" w:hAnsi="Cambria Math" w:cs="Cambria Math"/>
          <w:sz w:val="20"/>
        </w:rPr>
        <w:t>⁻</w:t>
      </w:r>
      <w:r w:rsidRPr="00BE3F9C">
        <w:rPr>
          <w:rFonts w:ascii="Arial" w:hAnsi="Arial" w:cs="Arial"/>
          <w:sz w:val="20"/>
        </w:rPr>
        <w:t xml:space="preserve">¹ during 45–60 DAS, indicating superior biomass production under </w:t>
      </w:r>
      <w:r w:rsidRPr="00BE3F9C">
        <w:rPr>
          <w:rFonts w:ascii="Arial" w:hAnsi="Arial" w:cs="Arial"/>
          <w:sz w:val="20"/>
        </w:rPr>
        <w:lastRenderedPageBreak/>
        <w:t>combined micronutrient application. Treatments receiving individual micronutrients (Zn, Fe, or B) along with RDF also performed better than RDF alone and control. The control treatment consistently recorded the lowest dry matter AGR at both growth stages. These data are in conformity with the findings of Lotha and Dawson (2021), who also reported that the application of micronutrients along with RDF enhanced the growth rate of sunflower.</w:t>
      </w:r>
    </w:p>
    <w:p w14:paraId="35B24769" w14:textId="0E79AA2A" w:rsidR="006906F8" w:rsidRPr="00BE3F9C" w:rsidRDefault="00BE3F9C" w:rsidP="00E11E42">
      <w:pPr>
        <w:spacing w:line="240" w:lineRule="auto"/>
        <w:jc w:val="both"/>
        <w:rPr>
          <w:rFonts w:ascii="Arial" w:hAnsi="Arial" w:cs="Arial"/>
          <w:b/>
          <w:bCs/>
          <w:sz w:val="20"/>
          <w:u w:val="single"/>
        </w:rPr>
      </w:pPr>
      <w:r w:rsidRPr="00BE3F9C">
        <w:rPr>
          <w:rFonts w:ascii="Arial" w:hAnsi="Arial" w:cs="Arial"/>
          <w:b/>
          <w:bCs/>
          <w:sz w:val="20"/>
          <w:u w:val="single"/>
        </w:rPr>
        <w:t xml:space="preserve">3.1.2 </w:t>
      </w:r>
      <w:r w:rsidR="006906F8" w:rsidRPr="00BE3F9C">
        <w:rPr>
          <w:rFonts w:ascii="Arial" w:hAnsi="Arial" w:cs="Arial"/>
          <w:b/>
          <w:bCs/>
          <w:sz w:val="20"/>
          <w:u w:val="single"/>
        </w:rPr>
        <w:t>Relative growth rate and Leaf area index</w:t>
      </w:r>
    </w:p>
    <w:p w14:paraId="136A4856" w14:textId="53033D28" w:rsidR="006906F8" w:rsidRPr="00BE3F9C" w:rsidRDefault="006906F8" w:rsidP="00E11E42">
      <w:pPr>
        <w:spacing w:line="240" w:lineRule="auto"/>
        <w:ind w:firstLine="720"/>
        <w:jc w:val="both"/>
        <w:rPr>
          <w:rFonts w:ascii="Arial" w:hAnsi="Arial" w:cs="Arial"/>
          <w:sz w:val="20"/>
        </w:rPr>
      </w:pPr>
      <w:r w:rsidRPr="00BE3F9C">
        <w:rPr>
          <w:rFonts w:ascii="Arial" w:hAnsi="Arial" w:cs="Arial"/>
          <w:sz w:val="20"/>
        </w:rPr>
        <w:t>Relative Growth Rate (RGR) showed comparatively higher values during the early growth period (30–45 DAS) than during 45–60 DAS, reflecting the typical decline in relative growth with plant age</w:t>
      </w:r>
      <w:r w:rsidR="00BE3F9C">
        <w:rPr>
          <w:rFonts w:ascii="Arial" w:hAnsi="Arial" w:cs="Arial"/>
          <w:sz w:val="20"/>
        </w:rPr>
        <w:t xml:space="preserve"> (Table 1)</w:t>
      </w:r>
      <w:r w:rsidRPr="00BE3F9C">
        <w:rPr>
          <w:rFonts w:ascii="Arial" w:hAnsi="Arial" w:cs="Arial"/>
          <w:sz w:val="20"/>
        </w:rPr>
        <w:t>. During 30–45 DAS, RGR ranged from 0.114 to 0.125 g g</w:t>
      </w:r>
      <w:r w:rsidRPr="00BE3F9C">
        <w:rPr>
          <w:rFonts w:ascii="Cambria Math" w:hAnsi="Cambria Math" w:cs="Cambria Math"/>
          <w:sz w:val="20"/>
        </w:rPr>
        <w:t>⁻</w:t>
      </w:r>
      <w:r w:rsidRPr="00BE3F9C">
        <w:rPr>
          <w:rFonts w:ascii="Arial" w:hAnsi="Arial" w:cs="Arial"/>
          <w:sz w:val="20"/>
        </w:rPr>
        <w:t>¹ day</w:t>
      </w:r>
      <w:r w:rsidRPr="00BE3F9C">
        <w:rPr>
          <w:rFonts w:ascii="Cambria Math" w:hAnsi="Cambria Math" w:cs="Cambria Math"/>
          <w:sz w:val="20"/>
        </w:rPr>
        <w:t>⁻</w:t>
      </w:r>
      <w:r w:rsidRPr="00BE3F9C">
        <w:rPr>
          <w:rFonts w:ascii="Arial" w:hAnsi="Arial" w:cs="Arial"/>
          <w:sz w:val="20"/>
        </w:rPr>
        <w:t>¹, with the highest value recorded under the control, while during 45–60 DAS it ranged from 0.070 to 0.075 g g</w:t>
      </w:r>
      <w:r w:rsidRPr="00BE3F9C">
        <w:rPr>
          <w:rFonts w:ascii="Cambria Math" w:hAnsi="Cambria Math" w:cs="Cambria Math"/>
          <w:sz w:val="20"/>
        </w:rPr>
        <w:t>⁻</w:t>
      </w:r>
      <w:r w:rsidRPr="00BE3F9C">
        <w:rPr>
          <w:rFonts w:ascii="Arial" w:hAnsi="Arial" w:cs="Arial"/>
          <w:sz w:val="20"/>
        </w:rPr>
        <w:t>¹ day</w:t>
      </w:r>
      <w:r w:rsidRPr="00BE3F9C">
        <w:rPr>
          <w:rFonts w:ascii="Cambria Math" w:hAnsi="Cambria Math" w:cs="Cambria Math"/>
          <w:sz w:val="20"/>
        </w:rPr>
        <w:t>⁻</w:t>
      </w:r>
      <w:r w:rsidRPr="00BE3F9C">
        <w:rPr>
          <w:rFonts w:ascii="Arial" w:hAnsi="Arial" w:cs="Arial"/>
          <w:sz w:val="20"/>
        </w:rPr>
        <w:t>¹. Differences among treatments were relatively narrow, indicating that RGR was less responsive to nutrient treatments compared to AGR. Leaf Area Index (LAI) increased substantially from 30 DAS to 60 DAS under all treatments, reflecting enhanced canopy development</w:t>
      </w:r>
      <w:r w:rsidR="00BE3F9C">
        <w:rPr>
          <w:rFonts w:ascii="Arial" w:hAnsi="Arial" w:cs="Arial"/>
          <w:sz w:val="20"/>
        </w:rPr>
        <w:t xml:space="preserve"> (Table 1)</w:t>
      </w:r>
      <w:r w:rsidRPr="00BE3F9C">
        <w:rPr>
          <w:rFonts w:ascii="Arial" w:hAnsi="Arial" w:cs="Arial"/>
          <w:sz w:val="20"/>
        </w:rPr>
        <w:t>. At 30 DAS, LAI varied from 0.22 (T</w:t>
      </w:r>
      <w:r w:rsidRPr="00BE3F9C">
        <w:rPr>
          <w:rFonts w:ascii="Arial" w:hAnsi="Arial" w:cs="Arial"/>
          <w:sz w:val="20"/>
          <w:vertAlign w:val="subscript"/>
        </w:rPr>
        <w:t>1</w:t>
      </w:r>
      <w:r w:rsidRPr="00BE3F9C">
        <w:rPr>
          <w:rFonts w:ascii="Arial" w:hAnsi="Arial" w:cs="Arial"/>
          <w:sz w:val="20"/>
        </w:rPr>
        <w:t>) to 0.31 (T</w:t>
      </w:r>
      <w:r w:rsidRPr="00BE3F9C">
        <w:rPr>
          <w:rFonts w:ascii="Arial" w:hAnsi="Arial" w:cs="Arial"/>
          <w:sz w:val="20"/>
          <w:vertAlign w:val="subscript"/>
        </w:rPr>
        <w:t>6</w:t>
      </w:r>
      <w:r w:rsidRPr="00BE3F9C">
        <w:rPr>
          <w:rFonts w:ascii="Arial" w:hAnsi="Arial" w:cs="Arial"/>
          <w:sz w:val="20"/>
        </w:rPr>
        <w:t>), whereas at 60 DAS it ranged from 3.17 (T</w:t>
      </w:r>
      <w:r w:rsidRPr="00BE3F9C">
        <w:rPr>
          <w:rFonts w:ascii="Arial" w:hAnsi="Arial" w:cs="Arial"/>
          <w:sz w:val="20"/>
          <w:vertAlign w:val="subscript"/>
        </w:rPr>
        <w:t>1</w:t>
      </w:r>
      <w:r w:rsidRPr="00BE3F9C">
        <w:rPr>
          <w:rFonts w:ascii="Arial" w:hAnsi="Arial" w:cs="Arial"/>
          <w:sz w:val="20"/>
        </w:rPr>
        <w:t>) to 4.71 (T</w:t>
      </w:r>
      <w:r w:rsidRPr="00BE3F9C">
        <w:rPr>
          <w:rFonts w:ascii="Arial" w:hAnsi="Arial" w:cs="Arial"/>
          <w:sz w:val="20"/>
          <w:vertAlign w:val="subscript"/>
        </w:rPr>
        <w:t>6</w:t>
      </w:r>
      <w:r w:rsidRPr="00BE3F9C">
        <w:rPr>
          <w:rFonts w:ascii="Arial" w:hAnsi="Arial" w:cs="Arial"/>
          <w:sz w:val="20"/>
        </w:rPr>
        <w:t>). The combined application of Zn, Fe, and B along with RDF (T</w:t>
      </w:r>
      <w:r w:rsidRPr="00BE3F9C">
        <w:rPr>
          <w:rFonts w:ascii="Arial" w:hAnsi="Arial" w:cs="Arial"/>
          <w:sz w:val="20"/>
          <w:vertAlign w:val="subscript"/>
        </w:rPr>
        <w:t>6</w:t>
      </w:r>
      <w:r w:rsidRPr="00BE3F9C">
        <w:rPr>
          <w:rFonts w:ascii="Arial" w:hAnsi="Arial" w:cs="Arial"/>
          <w:sz w:val="20"/>
        </w:rPr>
        <w:t>) resulted in the maximum LAI, followed by T</w:t>
      </w:r>
      <w:r w:rsidRPr="00BE3F9C">
        <w:rPr>
          <w:rFonts w:ascii="Arial" w:hAnsi="Arial" w:cs="Arial"/>
          <w:sz w:val="20"/>
          <w:vertAlign w:val="subscript"/>
        </w:rPr>
        <w:t>5</w:t>
      </w:r>
      <w:r w:rsidRPr="00BE3F9C">
        <w:rPr>
          <w:rFonts w:ascii="Arial" w:hAnsi="Arial" w:cs="Arial"/>
          <w:sz w:val="20"/>
        </w:rPr>
        <w:t xml:space="preserve"> and T</w:t>
      </w:r>
      <w:r w:rsidRPr="00BE3F9C">
        <w:rPr>
          <w:rFonts w:ascii="Arial" w:hAnsi="Arial" w:cs="Arial"/>
          <w:sz w:val="20"/>
          <w:vertAlign w:val="subscript"/>
        </w:rPr>
        <w:t>3</w:t>
      </w:r>
      <w:r w:rsidRPr="00BE3F9C">
        <w:rPr>
          <w:rFonts w:ascii="Arial" w:hAnsi="Arial" w:cs="Arial"/>
          <w:sz w:val="20"/>
        </w:rPr>
        <w:t>, suggesting improved leaf expansion and photosynthetic surface area under micronutrient supplementation. RDF alone and multi-micronutrient treatments recorded moderate improvements over the control. Overall, the results clearly demonstrate that combined application of RDF with Zn, Fe, and B (T</w:t>
      </w:r>
      <w:r w:rsidRPr="00BE3F9C">
        <w:rPr>
          <w:rFonts w:ascii="Arial" w:hAnsi="Arial" w:cs="Arial"/>
          <w:sz w:val="20"/>
          <w:vertAlign w:val="subscript"/>
        </w:rPr>
        <w:t>6</w:t>
      </w:r>
      <w:r w:rsidRPr="00BE3F9C">
        <w:rPr>
          <w:rFonts w:ascii="Arial" w:hAnsi="Arial" w:cs="Arial"/>
          <w:sz w:val="20"/>
        </w:rPr>
        <w:t xml:space="preserve">) was most effective in enhancing growth rates and leaf area development, followed by individual micronutrient applications, while the control treatment consistently recorded the lowest values for all growth parameters. Kundu </w:t>
      </w:r>
      <w:r w:rsidRPr="00BE3F9C">
        <w:rPr>
          <w:rFonts w:ascii="Arial" w:hAnsi="Arial" w:cs="Arial"/>
          <w:i/>
          <w:iCs/>
          <w:sz w:val="20"/>
        </w:rPr>
        <w:t>et al.</w:t>
      </w:r>
      <w:r w:rsidRPr="00BE3F9C">
        <w:rPr>
          <w:rFonts w:ascii="Arial" w:hAnsi="Arial" w:cs="Arial"/>
          <w:sz w:val="20"/>
        </w:rPr>
        <w:t xml:space="preserve"> (2023), reported that the maximum value of LAI was obtained with the application of Zn and B with the RDF as compared to application RDF alone.</w:t>
      </w:r>
    </w:p>
    <w:p w14:paraId="51ECD215" w14:textId="77777777" w:rsidR="006906F8" w:rsidRPr="00E11E42" w:rsidRDefault="006906F8" w:rsidP="00E11E42">
      <w:pPr>
        <w:spacing w:line="240" w:lineRule="auto"/>
        <w:rPr>
          <w:rFonts w:ascii="Arial" w:hAnsi="Arial" w:cs="Arial"/>
          <w:szCs w:val="22"/>
        </w:rPr>
        <w:sectPr w:rsidR="006906F8" w:rsidRPr="00E11E42" w:rsidSect="00DB5DB2">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6" w:footer="706" w:gutter="0"/>
          <w:cols w:space="708"/>
          <w:docGrid w:linePitch="360"/>
        </w:sectPr>
      </w:pPr>
    </w:p>
    <w:p w14:paraId="28758A40" w14:textId="1951AA0B" w:rsidR="006906F8" w:rsidRPr="00BE3F9C" w:rsidRDefault="006906F8" w:rsidP="00E11E42">
      <w:pPr>
        <w:spacing w:after="0" w:line="240" w:lineRule="auto"/>
        <w:jc w:val="both"/>
        <w:rPr>
          <w:rFonts w:ascii="Arial" w:eastAsia="Times New Roman" w:hAnsi="Arial" w:cs="Arial"/>
          <w:b/>
          <w:bCs/>
          <w:color w:val="000000"/>
          <w:sz w:val="20"/>
          <w:lang w:bidi="ar-SA"/>
        </w:rPr>
      </w:pPr>
      <w:r w:rsidRPr="00BE3F9C">
        <w:rPr>
          <w:rFonts w:ascii="Arial" w:hAnsi="Arial" w:cs="Arial"/>
          <w:b/>
          <w:bCs/>
          <w:sz w:val="20"/>
        </w:rPr>
        <w:lastRenderedPageBreak/>
        <w:t>Table 1</w:t>
      </w:r>
      <w:r w:rsidR="00BE3F9C">
        <w:rPr>
          <w:rFonts w:ascii="Arial" w:hAnsi="Arial" w:cs="Arial"/>
          <w:b/>
          <w:bCs/>
          <w:sz w:val="20"/>
        </w:rPr>
        <w:t>.</w:t>
      </w:r>
      <w:bookmarkStart w:id="1" w:name="_Hlk217143441"/>
      <w:r w:rsidR="00BE3F9C">
        <w:rPr>
          <w:rFonts w:ascii="Arial" w:hAnsi="Arial" w:cs="Arial"/>
          <w:b/>
          <w:bCs/>
          <w:sz w:val="20"/>
        </w:rPr>
        <w:tab/>
      </w:r>
      <w:r w:rsidRPr="00BE3F9C">
        <w:rPr>
          <w:rFonts w:ascii="Arial" w:hAnsi="Arial" w:cs="Arial"/>
          <w:b/>
          <w:bCs/>
          <w:sz w:val="20"/>
        </w:rPr>
        <w:t xml:space="preserve">Effect of recommended dose of fertilizer and micro nutrients on the various growth indices of sunflower </w:t>
      </w:r>
      <w:bookmarkEnd w:id="1"/>
    </w:p>
    <w:tbl>
      <w:tblPr>
        <w:tblStyle w:val="TableGrid"/>
        <w:tblpPr w:leftFromText="180" w:rightFromText="180" w:horzAnchor="margin" w:tblpY="735"/>
        <w:tblW w:w="14160" w:type="dxa"/>
        <w:tblLayout w:type="fixed"/>
        <w:tblLook w:val="04A0" w:firstRow="1" w:lastRow="0" w:firstColumn="1" w:lastColumn="0" w:noHBand="0" w:noVBand="1"/>
      </w:tblPr>
      <w:tblGrid>
        <w:gridCol w:w="4194"/>
        <w:gridCol w:w="1201"/>
        <w:gridCol w:w="1350"/>
        <w:gridCol w:w="1358"/>
        <w:gridCol w:w="1304"/>
        <w:gridCol w:w="1303"/>
        <w:gridCol w:w="1304"/>
        <w:gridCol w:w="1022"/>
        <w:gridCol w:w="1124"/>
      </w:tblGrid>
      <w:tr w:rsidR="006906F8" w:rsidRPr="00BE3F9C" w14:paraId="6B1DB47F" w14:textId="77777777" w:rsidTr="00BE3F9C">
        <w:trPr>
          <w:trHeight w:val="699"/>
        </w:trPr>
        <w:tc>
          <w:tcPr>
            <w:tcW w:w="4194" w:type="dxa"/>
            <w:vMerge w:val="restart"/>
            <w:vAlign w:val="center"/>
          </w:tcPr>
          <w:p w14:paraId="12879BBA" w14:textId="77777777" w:rsidR="006906F8" w:rsidRPr="00BE3F9C" w:rsidRDefault="006906F8" w:rsidP="00E11E42">
            <w:pPr>
              <w:jc w:val="center"/>
              <w:rPr>
                <w:rFonts w:ascii="Arial" w:hAnsi="Arial" w:cs="Arial"/>
                <w:b/>
                <w:bCs/>
                <w:sz w:val="20"/>
              </w:rPr>
            </w:pPr>
            <w:r w:rsidRPr="00BE3F9C">
              <w:rPr>
                <w:rFonts w:ascii="Arial" w:eastAsia="Times New Roman" w:hAnsi="Arial" w:cs="Arial"/>
                <w:b/>
                <w:bCs/>
                <w:color w:val="000000"/>
                <w:sz w:val="20"/>
                <w:lang w:bidi="ar-SA"/>
              </w:rPr>
              <w:t>Treatments</w:t>
            </w:r>
          </w:p>
        </w:tc>
        <w:tc>
          <w:tcPr>
            <w:tcW w:w="2551" w:type="dxa"/>
            <w:gridSpan w:val="2"/>
          </w:tcPr>
          <w:p w14:paraId="776DD6E1" w14:textId="77777777" w:rsidR="006906F8" w:rsidRPr="00BE3F9C" w:rsidRDefault="006906F8" w:rsidP="00E11E42">
            <w:pPr>
              <w:ind w:right="-113"/>
              <w:jc w:val="center"/>
              <w:rPr>
                <w:rFonts w:ascii="Arial" w:hAnsi="Arial" w:cs="Arial"/>
                <w:sz w:val="20"/>
              </w:rPr>
            </w:pPr>
            <w:r w:rsidRPr="00BE3F9C">
              <w:rPr>
                <w:rFonts w:ascii="Arial" w:eastAsia="Times New Roman" w:hAnsi="Arial" w:cs="Arial"/>
                <w:b/>
                <w:bCs/>
                <w:color w:val="000000"/>
                <w:sz w:val="20"/>
                <w:lang w:bidi="ar-SA"/>
              </w:rPr>
              <w:t>Absolute Growth Rate (cm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plant</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662" w:type="dxa"/>
            <w:gridSpan w:val="2"/>
          </w:tcPr>
          <w:p w14:paraId="7BD22EA3" w14:textId="77777777" w:rsidR="00BE3F9C" w:rsidRDefault="006906F8" w:rsidP="00E11E42">
            <w:pPr>
              <w:ind w:right="-101"/>
              <w:jc w:val="center"/>
              <w:rPr>
                <w:rFonts w:ascii="Arial" w:eastAsia="Times New Roman" w:hAnsi="Arial" w:cs="Arial"/>
                <w:b/>
                <w:bCs/>
                <w:color w:val="000000"/>
                <w:sz w:val="20"/>
                <w:lang w:bidi="ar-SA"/>
              </w:rPr>
            </w:pPr>
            <w:r w:rsidRPr="00BE3F9C">
              <w:rPr>
                <w:rFonts w:ascii="Arial" w:eastAsia="Times New Roman" w:hAnsi="Arial" w:cs="Arial"/>
                <w:b/>
                <w:bCs/>
                <w:color w:val="000000"/>
                <w:sz w:val="20"/>
                <w:lang w:bidi="ar-SA"/>
              </w:rPr>
              <w:t xml:space="preserve">Absolute Growth Rate </w:t>
            </w:r>
          </w:p>
          <w:p w14:paraId="4BD976CD" w14:textId="15265D33" w:rsidR="006906F8" w:rsidRPr="00BE3F9C" w:rsidRDefault="006906F8" w:rsidP="00E11E42">
            <w:pPr>
              <w:ind w:right="-101"/>
              <w:jc w:val="center"/>
              <w:rPr>
                <w:rFonts w:ascii="Arial" w:hAnsi="Arial" w:cs="Arial"/>
                <w:sz w:val="20"/>
              </w:rPr>
            </w:pPr>
            <w:r w:rsidRPr="00BE3F9C">
              <w:rPr>
                <w:rFonts w:ascii="Arial" w:eastAsia="Times New Roman" w:hAnsi="Arial" w:cs="Arial"/>
                <w:b/>
                <w:bCs/>
                <w:color w:val="000000"/>
                <w:sz w:val="20"/>
                <w:lang w:bidi="ar-SA"/>
              </w:rPr>
              <w:t>(g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plant</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607" w:type="dxa"/>
            <w:gridSpan w:val="2"/>
          </w:tcPr>
          <w:p w14:paraId="70AF7ED8" w14:textId="77777777" w:rsidR="006906F8" w:rsidRPr="00BE3F9C" w:rsidRDefault="006906F8" w:rsidP="00E11E42">
            <w:pPr>
              <w:jc w:val="center"/>
              <w:rPr>
                <w:rFonts w:ascii="Arial" w:eastAsia="Times New Roman" w:hAnsi="Arial" w:cs="Arial"/>
                <w:b/>
                <w:bCs/>
                <w:color w:val="000000"/>
                <w:sz w:val="20"/>
                <w:lang w:bidi="ar-SA"/>
              </w:rPr>
            </w:pPr>
            <w:r w:rsidRPr="00BE3F9C">
              <w:rPr>
                <w:rFonts w:ascii="Arial" w:eastAsia="Times New Roman" w:hAnsi="Arial" w:cs="Arial"/>
                <w:b/>
                <w:bCs/>
                <w:color w:val="000000"/>
                <w:sz w:val="20"/>
                <w:lang w:bidi="ar-SA"/>
              </w:rPr>
              <w:t xml:space="preserve">Relative growth rate </w:t>
            </w:r>
          </w:p>
          <w:p w14:paraId="17A225A6" w14:textId="77777777" w:rsidR="006906F8" w:rsidRPr="00BE3F9C" w:rsidRDefault="006906F8" w:rsidP="00E11E42">
            <w:pPr>
              <w:jc w:val="center"/>
              <w:rPr>
                <w:rFonts w:ascii="Arial" w:hAnsi="Arial" w:cs="Arial"/>
                <w:sz w:val="20"/>
              </w:rPr>
            </w:pPr>
            <w:r w:rsidRPr="00BE3F9C">
              <w:rPr>
                <w:rFonts w:ascii="Arial" w:eastAsia="Times New Roman" w:hAnsi="Arial" w:cs="Arial"/>
                <w:b/>
                <w:bCs/>
                <w:color w:val="000000"/>
                <w:sz w:val="20"/>
                <w:lang w:bidi="ar-SA"/>
              </w:rPr>
              <w:t>(g g</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 xml:space="preserve"> day</w:t>
            </w:r>
            <w:r w:rsidRPr="00BE3F9C">
              <w:rPr>
                <w:rFonts w:ascii="Arial" w:eastAsia="Times New Roman" w:hAnsi="Arial" w:cs="Arial"/>
                <w:b/>
                <w:bCs/>
                <w:color w:val="000000"/>
                <w:sz w:val="20"/>
                <w:vertAlign w:val="superscript"/>
                <w:lang w:bidi="ar-SA"/>
              </w:rPr>
              <w:t>-1</w:t>
            </w:r>
            <w:r w:rsidRPr="00BE3F9C">
              <w:rPr>
                <w:rFonts w:ascii="Arial" w:eastAsia="Times New Roman" w:hAnsi="Arial" w:cs="Arial"/>
                <w:b/>
                <w:bCs/>
                <w:color w:val="000000"/>
                <w:sz w:val="20"/>
                <w:lang w:bidi="ar-SA"/>
              </w:rPr>
              <w:t>)</w:t>
            </w:r>
          </w:p>
        </w:tc>
        <w:tc>
          <w:tcPr>
            <w:tcW w:w="2146" w:type="dxa"/>
            <w:gridSpan w:val="2"/>
          </w:tcPr>
          <w:p w14:paraId="428B0A7A" w14:textId="77777777" w:rsidR="006906F8" w:rsidRPr="00BE3F9C" w:rsidRDefault="006906F8" w:rsidP="00E11E42">
            <w:pPr>
              <w:jc w:val="center"/>
              <w:rPr>
                <w:rFonts w:ascii="Arial" w:hAnsi="Arial" w:cs="Arial"/>
                <w:sz w:val="20"/>
              </w:rPr>
            </w:pPr>
            <w:r w:rsidRPr="00BE3F9C">
              <w:rPr>
                <w:rFonts w:ascii="Arial" w:eastAsia="Times New Roman" w:hAnsi="Arial" w:cs="Arial"/>
                <w:b/>
                <w:bCs/>
                <w:color w:val="000000"/>
                <w:sz w:val="20"/>
                <w:lang w:bidi="ar-SA"/>
              </w:rPr>
              <w:t>Leaf area index (LAI)</w:t>
            </w:r>
          </w:p>
        </w:tc>
      </w:tr>
      <w:tr w:rsidR="006906F8" w:rsidRPr="00BE3F9C" w14:paraId="2BC67D55" w14:textId="77777777" w:rsidTr="00BE3F9C">
        <w:trPr>
          <w:trHeight w:val="454"/>
        </w:trPr>
        <w:tc>
          <w:tcPr>
            <w:tcW w:w="4194" w:type="dxa"/>
            <w:vMerge/>
          </w:tcPr>
          <w:p w14:paraId="6DA26598" w14:textId="77777777" w:rsidR="006906F8" w:rsidRPr="00BE3F9C" w:rsidRDefault="006906F8" w:rsidP="00E11E42">
            <w:pPr>
              <w:rPr>
                <w:rFonts w:ascii="Arial" w:hAnsi="Arial" w:cs="Arial"/>
                <w:sz w:val="20"/>
              </w:rPr>
            </w:pPr>
          </w:p>
        </w:tc>
        <w:tc>
          <w:tcPr>
            <w:tcW w:w="1201" w:type="dxa"/>
          </w:tcPr>
          <w:p w14:paraId="0A2062FF" w14:textId="77777777" w:rsidR="006906F8" w:rsidRPr="00BE3F9C" w:rsidRDefault="006906F8" w:rsidP="004F1E8C">
            <w:pPr>
              <w:ind w:right="-129"/>
              <w:jc w:val="center"/>
              <w:rPr>
                <w:rFonts w:ascii="Arial" w:hAnsi="Arial" w:cs="Arial"/>
                <w:b/>
                <w:bCs/>
                <w:sz w:val="20"/>
              </w:rPr>
            </w:pPr>
            <w:r w:rsidRPr="00BE3F9C">
              <w:rPr>
                <w:rFonts w:ascii="Arial" w:hAnsi="Arial" w:cs="Arial"/>
                <w:b/>
                <w:bCs/>
                <w:sz w:val="20"/>
              </w:rPr>
              <w:t>30-45 DAS</w:t>
            </w:r>
          </w:p>
        </w:tc>
        <w:tc>
          <w:tcPr>
            <w:tcW w:w="1350" w:type="dxa"/>
          </w:tcPr>
          <w:p w14:paraId="17827DF9" w14:textId="77777777" w:rsidR="006906F8" w:rsidRPr="00BE3F9C" w:rsidRDefault="006906F8" w:rsidP="004F1E8C">
            <w:pPr>
              <w:ind w:right="-99"/>
              <w:jc w:val="center"/>
              <w:rPr>
                <w:rFonts w:ascii="Arial" w:hAnsi="Arial" w:cs="Arial"/>
                <w:b/>
                <w:bCs/>
                <w:sz w:val="20"/>
              </w:rPr>
            </w:pPr>
            <w:r w:rsidRPr="00BE3F9C">
              <w:rPr>
                <w:rFonts w:ascii="Arial" w:hAnsi="Arial" w:cs="Arial"/>
                <w:b/>
                <w:bCs/>
                <w:sz w:val="20"/>
              </w:rPr>
              <w:t>45-60 DAS</w:t>
            </w:r>
          </w:p>
        </w:tc>
        <w:tc>
          <w:tcPr>
            <w:tcW w:w="1358" w:type="dxa"/>
          </w:tcPr>
          <w:p w14:paraId="042768D1" w14:textId="77777777" w:rsidR="006906F8" w:rsidRPr="00BE3F9C" w:rsidRDefault="006906F8" w:rsidP="004F1E8C">
            <w:pPr>
              <w:ind w:right="-85"/>
              <w:jc w:val="center"/>
              <w:rPr>
                <w:rFonts w:ascii="Arial" w:hAnsi="Arial" w:cs="Arial"/>
                <w:b/>
                <w:bCs/>
                <w:sz w:val="20"/>
              </w:rPr>
            </w:pPr>
            <w:r w:rsidRPr="00BE3F9C">
              <w:rPr>
                <w:rFonts w:ascii="Arial" w:hAnsi="Arial" w:cs="Arial"/>
                <w:b/>
                <w:bCs/>
                <w:sz w:val="20"/>
              </w:rPr>
              <w:t>30-45 DAS</w:t>
            </w:r>
          </w:p>
        </w:tc>
        <w:tc>
          <w:tcPr>
            <w:tcW w:w="1304" w:type="dxa"/>
          </w:tcPr>
          <w:p w14:paraId="76ECC59B" w14:textId="77777777" w:rsidR="006906F8" w:rsidRPr="00BE3F9C" w:rsidRDefault="006906F8" w:rsidP="004F1E8C">
            <w:pPr>
              <w:ind w:right="-56"/>
              <w:jc w:val="center"/>
              <w:rPr>
                <w:rFonts w:ascii="Arial" w:hAnsi="Arial" w:cs="Arial"/>
                <w:b/>
                <w:bCs/>
                <w:sz w:val="20"/>
              </w:rPr>
            </w:pPr>
            <w:r w:rsidRPr="00BE3F9C">
              <w:rPr>
                <w:rFonts w:ascii="Arial" w:hAnsi="Arial" w:cs="Arial"/>
                <w:b/>
                <w:bCs/>
                <w:sz w:val="20"/>
              </w:rPr>
              <w:t>45-60 DAS</w:t>
            </w:r>
          </w:p>
        </w:tc>
        <w:tc>
          <w:tcPr>
            <w:tcW w:w="1303" w:type="dxa"/>
          </w:tcPr>
          <w:p w14:paraId="7465C789" w14:textId="77777777" w:rsidR="006906F8" w:rsidRPr="00BE3F9C" w:rsidRDefault="006906F8" w:rsidP="004F1E8C">
            <w:pPr>
              <w:ind w:right="-168"/>
              <w:jc w:val="center"/>
              <w:rPr>
                <w:rFonts w:ascii="Arial" w:hAnsi="Arial" w:cs="Arial"/>
                <w:b/>
                <w:bCs/>
                <w:sz w:val="20"/>
              </w:rPr>
            </w:pPr>
            <w:r w:rsidRPr="00BE3F9C">
              <w:rPr>
                <w:rFonts w:ascii="Arial" w:hAnsi="Arial" w:cs="Arial"/>
                <w:b/>
                <w:bCs/>
                <w:sz w:val="20"/>
              </w:rPr>
              <w:t>30-45 DAS</w:t>
            </w:r>
          </w:p>
        </w:tc>
        <w:tc>
          <w:tcPr>
            <w:tcW w:w="1304" w:type="dxa"/>
          </w:tcPr>
          <w:p w14:paraId="7FA4D943" w14:textId="77777777" w:rsidR="006906F8" w:rsidRPr="00BE3F9C" w:rsidRDefault="006906F8" w:rsidP="004F1E8C">
            <w:pPr>
              <w:ind w:right="-139"/>
              <w:jc w:val="center"/>
              <w:rPr>
                <w:rFonts w:ascii="Arial" w:hAnsi="Arial" w:cs="Arial"/>
                <w:b/>
                <w:bCs/>
                <w:sz w:val="20"/>
              </w:rPr>
            </w:pPr>
            <w:r w:rsidRPr="00BE3F9C">
              <w:rPr>
                <w:rFonts w:ascii="Arial" w:hAnsi="Arial" w:cs="Arial"/>
                <w:b/>
                <w:bCs/>
                <w:sz w:val="20"/>
              </w:rPr>
              <w:t>45-60 DAS</w:t>
            </w:r>
          </w:p>
        </w:tc>
        <w:tc>
          <w:tcPr>
            <w:tcW w:w="1022" w:type="dxa"/>
          </w:tcPr>
          <w:p w14:paraId="722FE156" w14:textId="77777777" w:rsidR="006906F8" w:rsidRPr="00BE3F9C" w:rsidRDefault="006906F8" w:rsidP="004F1E8C">
            <w:pPr>
              <w:jc w:val="center"/>
              <w:rPr>
                <w:rFonts w:ascii="Arial" w:hAnsi="Arial" w:cs="Arial"/>
                <w:b/>
                <w:bCs/>
                <w:sz w:val="20"/>
              </w:rPr>
            </w:pPr>
            <w:r w:rsidRPr="00BE3F9C">
              <w:rPr>
                <w:rFonts w:ascii="Arial" w:hAnsi="Arial" w:cs="Arial"/>
                <w:b/>
                <w:bCs/>
                <w:sz w:val="20"/>
              </w:rPr>
              <w:t>30 DAS</w:t>
            </w:r>
          </w:p>
        </w:tc>
        <w:tc>
          <w:tcPr>
            <w:tcW w:w="1124" w:type="dxa"/>
          </w:tcPr>
          <w:p w14:paraId="31E4A624" w14:textId="77777777" w:rsidR="006906F8" w:rsidRPr="00BE3F9C" w:rsidRDefault="006906F8" w:rsidP="004F1E8C">
            <w:pPr>
              <w:jc w:val="center"/>
              <w:rPr>
                <w:rFonts w:ascii="Arial" w:hAnsi="Arial" w:cs="Arial"/>
                <w:b/>
                <w:bCs/>
                <w:sz w:val="20"/>
              </w:rPr>
            </w:pPr>
            <w:r w:rsidRPr="00BE3F9C">
              <w:rPr>
                <w:rFonts w:ascii="Arial" w:hAnsi="Arial" w:cs="Arial"/>
                <w:b/>
                <w:bCs/>
                <w:sz w:val="20"/>
              </w:rPr>
              <w:t>60 DAS</w:t>
            </w:r>
          </w:p>
        </w:tc>
      </w:tr>
      <w:tr w:rsidR="006906F8" w:rsidRPr="00BE3F9C" w14:paraId="5DCA4406" w14:textId="77777777" w:rsidTr="00BE3F9C">
        <w:trPr>
          <w:trHeight w:val="454"/>
        </w:trPr>
        <w:tc>
          <w:tcPr>
            <w:tcW w:w="4194" w:type="dxa"/>
            <w:vAlign w:val="center"/>
          </w:tcPr>
          <w:p w14:paraId="78C2FFF1"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1</w:t>
            </w:r>
            <w:r w:rsidRPr="00BE3F9C">
              <w:rPr>
                <w:rFonts w:ascii="Arial" w:hAnsi="Arial" w:cs="Arial"/>
                <w:b/>
                <w:bCs/>
                <w:sz w:val="20"/>
              </w:rPr>
              <w:t xml:space="preserve">: </w:t>
            </w:r>
            <w:r w:rsidRPr="00BE3F9C">
              <w:rPr>
                <w:rFonts w:ascii="Arial" w:hAnsi="Arial" w:cs="Arial"/>
                <w:sz w:val="20"/>
              </w:rPr>
              <w:t>Control</w:t>
            </w:r>
          </w:p>
        </w:tc>
        <w:tc>
          <w:tcPr>
            <w:tcW w:w="1201" w:type="dxa"/>
            <w:vAlign w:val="center"/>
          </w:tcPr>
          <w:p w14:paraId="6BE1A720" w14:textId="77777777" w:rsidR="006906F8" w:rsidRPr="00BE3F9C" w:rsidRDefault="006906F8" w:rsidP="00E11E42">
            <w:pPr>
              <w:jc w:val="center"/>
              <w:rPr>
                <w:rFonts w:ascii="Arial" w:hAnsi="Arial" w:cs="Arial"/>
                <w:sz w:val="20"/>
              </w:rPr>
            </w:pPr>
            <w:r w:rsidRPr="00BE3F9C">
              <w:rPr>
                <w:rFonts w:ascii="Arial" w:hAnsi="Arial" w:cs="Arial"/>
                <w:color w:val="000000"/>
                <w:sz w:val="20"/>
              </w:rPr>
              <w:t>2.104</w:t>
            </w:r>
          </w:p>
        </w:tc>
        <w:tc>
          <w:tcPr>
            <w:tcW w:w="1350" w:type="dxa"/>
            <w:vAlign w:val="center"/>
          </w:tcPr>
          <w:p w14:paraId="4AD56A17" w14:textId="77777777" w:rsidR="006906F8" w:rsidRPr="00BE3F9C" w:rsidRDefault="006906F8" w:rsidP="00E11E42">
            <w:pPr>
              <w:jc w:val="center"/>
              <w:rPr>
                <w:rFonts w:ascii="Arial" w:hAnsi="Arial" w:cs="Arial"/>
                <w:sz w:val="20"/>
              </w:rPr>
            </w:pPr>
            <w:r w:rsidRPr="00BE3F9C">
              <w:rPr>
                <w:rFonts w:ascii="Arial" w:hAnsi="Arial" w:cs="Arial"/>
                <w:color w:val="000000"/>
                <w:sz w:val="20"/>
              </w:rPr>
              <w:t>5.015</w:t>
            </w:r>
          </w:p>
        </w:tc>
        <w:tc>
          <w:tcPr>
            <w:tcW w:w="1358" w:type="dxa"/>
            <w:vAlign w:val="center"/>
          </w:tcPr>
          <w:p w14:paraId="7853CABF" w14:textId="77777777" w:rsidR="006906F8" w:rsidRPr="00BE3F9C" w:rsidRDefault="006906F8" w:rsidP="00E11E42">
            <w:pPr>
              <w:jc w:val="center"/>
              <w:rPr>
                <w:rFonts w:ascii="Arial" w:hAnsi="Arial" w:cs="Arial"/>
                <w:sz w:val="20"/>
              </w:rPr>
            </w:pPr>
            <w:r w:rsidRPr="00BE3F9C">
              <w:rPr>
                <w:rFonts w:ascii="Arial" w:hAnsi="Arial" w:cs="Arial"/>
                <w:color w:val="000000"/>
                <w:sz w:val="20"/>
              </w:rPr>
              <w:t>1.718</w:t>
            </w:r>
          </w:p>
        </w:tc>
        <w:tc>
          <w:tcPr>
            <w:tcW w:w="1304" w:type="dxa"/>
            <w:vAlign w:val="center"/>
          </w:tcPr>
          <w:p w14:paraId="4195EBC9" w14:textId="77777777" w:rsidR="006906F8" w:rsidRPr="00BE3F9C" w:rsidRDefault="006906F8" w:rsidP="00E11E42">
            <w:pPr>
              <w:jc w:val="center"/>
              <w:rPr>
                <w:rFonts w:ascii="Arial" w:hAnsi="Arial" w:cs="Arial"/>
                <w:sz w:val="20"/>
              </w:rPr>
            </w:pPr>
            <w:r w:rsidRPr="00BE3F9C">
              <w:rPr>
                <w:rFonts w:ascii="Arial" w:hAnsi="Arial" w:cs="Arial"/>
                <w:color w:val="000000"/>
                <w:sz w:val="20"/>
              </w:rPr>
              <w:t>3.744</w:t>
            </w:r>
          </w:p>
        </w:tc>
        <w:tc>
          <w:tcPr>
            <w:tcW w:w="1303" w:type="dxa"/>
            <w:vAlign w:val="center"/>
          </w:tcPr>
          <w:p w14:paraId="2F83552A"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0.125</w:t>
            </w:r>
          </w:p>
        </w:tc>
        <w:tc>
          <w:tcPr>
            <w:tcW w:w="1304" w:type="dxa"/>
            <w:vAlign w:val="center"/>
          </w:tcPr>
          <w:p w14:paraId="5C66E93F"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0.070</w:t>
            </w:r>
          </w:p>
        </w:tc>
        <w:tc>
          <w:tcPr>
            <w:tcW w:w="1022" w:type="dxa"/>
            <w:vAlign w:val="center"/>
          </w:tcPr>
          <w:p w14:paraId="730F108B" w14:textId="77777777" w:rsidR="006906F8" w:rsidRPr="00BE3F9C" w:rsidRDefault="006906F8" w:rsidP="00E11E42">
            <w:pPr>
              <w:jc w:val="center"/>
              <w:rPr>
                <w:rFonts w:ascii="Arial" w:hAnsi="Arial" w:cs="Arial"/>
                <w:sz w:val="20"/>
              </w:rPr>
            </w:pPr>
            <w:r w:rsidRPr="00BE3F9C">
              <w:rPr>
                <w:rFonts w:ascii="Arial" w:hAnsi="Arial" w:cs="Arial"/>
                <w:color w:val="000000"/>
                <w:sz w:val="20"/>
              </w:rPr>
              <w:t>0.22</w:t>
            </w:r>
          </w:p>
        </w:tc>
        <w:tc>
          <w:tcPr>
            <w:tcW w:w="1124" w:type="dxa"/>
            <w:vAlign w:val="center"/>
          </w:tcPr>
          <w:p w14:paraId="23FA8B99" w14:textId="77777777" w:rsidR="006906F8" w:rsidRPr="00BE3F9C" w:rsidRDefault="006906F8" w:rsidP="00E11E42">
            <w:pPr>
              <w:jc w:val="center"/>
              <w:rPr>
                <w:rFonts w:ascii="Arial" w:hAnsi="Arial" w:cs="Arial"/>
                <w:sz w:val="20"/>
              </w:rPr>
            </w:pPr>
            <w:r w:rsidRPr="00BE3F9C">
              <w:rPr>
                <w:rFonts w:ascii="Arial" w:hAnsi="Arial" w:cs="Arial"/>
                <w:color w:val="000000"/>
                <w:sz w:val="20"/>
              </w:rPr>
              <w:t>3.17</w:t>
            </w:r>
          </w:p>
        </w:tc>
      </w:tr>
      <w:tr w:rsidR="006906F8" w:rsidRPr="00BE3F9C" w14:paraId="64BA4B07" w14:textId="77777777" w:rsidTr="00BE3F9C">
        <w:trPr>
          <w:trHeight w:val="454"/>
        </w:trPr>
        <w:tc>
          <w:tcPr>
            <w:tcW w:w="4194" w:type="dxa"/>
            <w:vAlign w:val="center"/>
          </w:tcPr>
          <w:p w14:paraId="33A0730C"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2</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(90:45:45 kg N:P:K ha</w:t>
            </w:r>
            <w:r w:rsidRPr="00FB5754">
              <w:rPr>
                <w:rFonts w:ascii="Arial" w:hAnsi="Arial" w:cs="Arial"/>
                <w:sz w:val="20"/>
                <w:vertAlign w:val="superscript"/>
                <w:lang w:val="fr-FR"/>
              </w:rPr>
              <w:t>-1</w:t>
            </w:r>
            <w:r w:rsidRPr="00FB5754">
              <w:rPr>
                <w:rFonts w:ascii="Arial" w:hAnsi="Arial" w:cs="Arial"/>
                <w:sz w:val="20"/>
                <w:lang w:val="fr-FR"/>
              </w:rPr>
              <w:t>)</w:t>
            </w:r>
          </w:p>
        </w:tc>
        <w:tc>
          <w:tcPr>
            <w:tcW w:w="1201" w:type="dxa"/>
            <w:vAlign w:val="center"/>
          </w:tcPr>
          <w:p w14:paraId="2D6A572C" w14:textId="77777777" w:rsidR="006906F8" w:rsidRPr="00BE3F9C" w:rsidRDefault="006906F8" w:rsidP="00E11E42">
            <w:pPr>
              <w:jc w:val="center"/>
              <w:rPr>
                <w:rFonts w:ascii="Arial" w:hAnsi="Arial" w:cs="Arial"/>
                <w:sz w:val="20"/>
              </w:rPr>
            </w:pPr>
            <w:r w:rsidRPr="00BE3F9C">
              <w:rPr>
                <w:rFonts w:ascii="Arial" w:hAnsi="Arial" w:cs="Arial"/>
                <w:color w:val="000000"/>
                <w:sz w:val="20"/>
              </w:rPr>
              <w:t>3.275</w:t>
            </w:r>
          </w:p>
        </w:tc>
        <w:tc>
          <w:tcPr>
            <w:tcW w:w="1350" w:type="dxa"/>
            <w:vAlign w:val="center"/>
          </w:tcPr>
          <w:p w14:paraId="639EF538" w14:textId="77777777" w:rsidR="006906F8" w:rsidRPr="00BE3F9C" w:rsidRDefault="006906F8" w:rsidP="00E11E42">
            <w:pPr>
              <w:jc w:val="center"/>
              <w:rPr>
                <w:rFonts w:ascii="Arial" w:hAnsi="Arial" w:cs="Arial"/>
                <w:sz w:val="20"/>
              </w:rPr>
            </w:pPr>
            <w:r w:rsidRPr="00BE3F9C">
              <w:rPr>
                <w:rFonts w:ascii="Arial" w:hAnsi="Arial" w:cs="Arial"/>
                <w:color w:val="000000"/>
                <w:sz w:val="20"/>
              </w:rPr>
              <w:t>5.822</w:t>
            </w:r>
          </w:p>
        </w:tc>
        <w:tc>
          <w:tcPr>
            <w:tcW w:w="1358" w:type="dxa"/>
            <w:vAlign w:val="center"/>
          </w:tcPr>
          <w:p w14:paraId="6432550F" w14:textId="77777777" w:rsidR="006906F8" w:rsidRPr="00BE3F9C" w:rsidRDefault="006906F8" w:rsidP="00E11E42">
            <w:pPr>
              <w:jc w:val="center"/>
              <w:rPr>
                <w:rFonts w:ascii="Arial" w:hAnsi="Arial" w:cs="Arial"/>
                <w:sz w:val="20"/>
              </w:rPr>
            </w:pPr>
            <w:r w:rsidRPr="00BE3F9C">
              <w:rPr>
                <w:rFonts w:ascii="Arial" w:hAnsi="Arial" w:cs="Arial"/>
                <w:color w:val="000000"/>
                <w:sz w:val="20"/>
              </w:rPr>
              <w:t>2.090</w:t>
            </w:r>
          </w:p>
        </w:tc>
        <w:tc>
          <w:tcPr>
            <w:tcW w:w="1304" w:type="dxa"/>
            <w:vAlign w:val="center"/>
          </w:tcPr>
          <w:p w14:paraId="79F619FB" w14:textId="77777777" w:rsidR="006906F8" w:rsidRPr="00BE3F9C" w:rsidRDefault="006906F8" w:rsidP="00E11E42">
            <w:pPr>
              <w:jc w:val="center"/>
              <w:rPr>
                <w:rFonts w:ascii="Arial" w:hAnsi="Arial" w:cs="Arial"/>
                <w:sz w:val="20"/>
              </w:rPr>
            </w:pPr>
            <w:r w:rsidRPr="00BE3F9C">
              <w:rPr>
                <w:rFonts w:ascii="Arial" w:hAnsi="Arial" w:cs="Arial"/>
                <w:color w:val="000000"/>
                <w:sz w:val="20"/>
              </w:rPr>
              <w:t>4.909</w:t>
            </w:r>
          </w:p>
        </w:tc>
        <w:tc>
          <w:tcPr>
            <w:tcW w:w="1303" w:type="dxa"/>
            <w:vAlign w:val="center"/>
          </w:tcPr>
          <w:p w14:paraId="714FA3D9"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0.115</w:t>
            </w:r>
          </w:p>
        </w:tc>
        <w:tc>
          <w:tcPr>
            <w:tcW w:w="1304" w:type="dxa"/>
            <w:vAlign w:val="center"/>
          </w:tcPr>
          <w:p w14:paraId="174DAACE"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199E54C4" w14:textId="77777777" w:rsidR="006906F8" w:rsidRPr="00BE3F9C" w:rsidRDefault="006906F8" w:rsidP="00E11E42">
            <w:pPr>
              <w:jc w:val="center"/>
              <w:rPr>
                <w:rFonts w:ascii="Arial" w:hAnsi="Arial" w:cs="Arial"/>
                <w:sz w:val="20"/>
              </w:rPr>
            </w:pPr>
            <w:r w:rsidRPr="00BE3F9C">
              <w:rPr>
                <w:rFonts w:ascii="Arial" w:hAnsi="Arial" w:cs="Arial"/>
                <w:color w:val="000000"/>
                <w:sz w:val="20"/>
              </w:rPr>
              <w:t>0.23</w:t>
            </w:r>
          </w:p>
        </w:tc>
        <w:tc>
          <w:tcPr>
            <w:tcW w:w="1124" w:type="dxa"/>
            <w:vAlign w:val="center"/>
          </w:tcPr>
          <w:p w14:paraId="6A2691F5" w14:textId="77777777" w:rsidR="006906F8" w:rsidRPr="00BE3F9C" w:rsidRDefault="006906F8" w:rsidP="00E11E42">
            <w:pPr>
              <w:jc w:val="center"/>
              <w:rPr>
                <w:rFonts w:ascii="Arial" w:hAnsi="Arial" w:cs="Arial"/>
                <w:sz w:val="20"/>
              </w:rPr>
            </w:pPr>
            <w:r w:rsidRPr="00BE3F9C">
              <w:rPr>
                <w:rFonts w:ascii="Arial" w:hAnsi="Arial" w:cs="Arial"/>
                <w:color w:val="000000"/>
                <w:sz w:val="20"/>
              </w:rPr>
              <w:t>3.67</w:t>
            </w:r>
          </w:p>
        </w:tc>
      </w:tr>
      <w:tr w:rsidR="006906F8" w:rsidRPr="00BE3F9C" w14:paraId="0947E184" w14:textId="77777777" w:rsidTr="00BE3F9C">
        <w:trPr>
          <w:trHeight w:val="454"/>
        </w:trPr>
        <w:tc>
          <w:tcPr>
            <w:tcW w:w="4194" w:type="dxa"/>
            <w:vAlign w:val="center"/>
          </w:tcPr>
          <w:p w14:paraId="59DD4261"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3</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ZnSO</w:t>
            </w:r>
            <w:r w:rsidRPr="00FB5754">
              <w:rPr>
                <w:rFonts w:ascii="Arial" w:hAnsi="Arial" w:cs="Arial"/>
                <w:sz w:val="20"/>
                <w:vertAlign w:val="subscript"/>
                <w:lang w:val="fr-FR"/>
              </w:rPr>
              <w:t>4</w:t>
            </w:r>
            <w:r w:rsidRPr="00FB5754">
              <w:rPr>
                <w:rFonts w:ascii="Arial" w:hAnsi="Arial" w:cs="Arial"/>
                <w:sz w:val="20"/>
                <w:lang w:val="fr-FR"/>
              </w:rPr>
              <w:t xml:space="preserve"> @ 20 kg ha</w:t>
            </w:r>
            <w:r w:rsidRPr="00FB5754">
              <w:rPr>
                <w:rFonts w:ascii="Arial" w:hAnsi="Arial" w:cs="Arial"/>
                <w:sz w:val="20"/>
                <w:vertAlign w:val="superscript"/>
                <w:lang w:val="fr-FR"/>
              </w:rPr>
              <w:t>-1</w:t>
            </w:r>
          </w:p>
        </w:tc>
        <w:tc>
          <w:tcPr>
            <w:tcW w:w="1201" w:type="dxa"/>
            <w:vAlign w:val="center"/>
          </w:tcPr>
          <w:p w14:paraId="1848603A" w14:textId="77777777" w:rsidR="006906F8" w:rsidRPr="00BE3F9C" w:rsidRDefault="006906F8" w:rsidP="00E11E42">
            <w:pPr>
              <w:jc w:val="center"/>
              <w:rPr>
                <w:rFonts w:ascii="Arial" w:hAnsi="Arial" w:cs="Arial"/>
                <w:sz w:val="20"/>
              </w:rPr>
            </w:pPr>
            <w:r w:rsidRPr="00BE3F9C">
              <w:rPr>
                <w:rFonts w:ascii="Arial" w:hAnsi="Arial" w:cs="Arial"/>
                <w:color w:val="000000"/>
                <w:sz w:val="20"/>
              </w:rPr>
              <w:t>4.162</w:t>
            </w:r>
          </w:p>
        </w:tc>
        <w:tc>
          <w:tcPr>
            <w:tcW w:w="1350" w:type="dxa"/>
            <w:vAlign w:val="center"/>
          </w:tcPr>
          <w:p w14:paraId="2BA05482" w14:textId="77777777" w:rsidR="006906F8" w:rsidRPr="00BE3F9C" w:rsidRDefault="006906F8" w:rsidP="00E11E42">
            <w:pPr>
              <w:jc w:val="center"/>
              <w:rPr>
                <w:rFonts w:ascii="Arial" w:hAnsi="Arial" w:cs="Arial"/>
                <w:sz w:val="20"/>
              </w:rPr>
            </w:pPr>
            <w:r w:rsidRPr="00BE3F9C">
              <w:rPr>
                <w:rFonts w:ascii="Arial" w:hAnsi="Arial" w:cs="Arial"/>
                <w:color w:val="000000"/>
                <w:sz w:val="20"/>
              </w:rPr>
              <w:t>5.836</w:t>
            </w:r>
          </w:p>
        </w:tc>
        <w:tc>
          <w:tcPr>
            <w:tcW w:w="1358" w:type="dxa"/>
            <w:vAlign w:val="center"/>
          </w:tcPr>
          <w:p w14:paraId="40D6C4FC" w14:textId="77777777" w:rsidR="006906F8" w:rsidRPr="00BE3F9C" w:rsidRDefault="006906F8" w:rsidP="00E11E42">
            <w:pPr>
              <w:jc w:val="center"/>
              <w:rPr>
                <w:rFonts w:ascii="Arial" w:hAnsi="Arial" w:cs="Arial"/>
                <w:sz w:val="20"/>
              </w:rPr>
            </w:pPr>
            <w:r w:rsidRPr="00BE3F9C">
              <w:rPr>
                <w:rFonts w:ascii="Arial" w:hAnsi="Arial" w:cs="Arial"/>
                <w:color w:val="000000"/>
                <w:sz w:val="20"/>
              </w:rPr>
              <w:t>2.239</w:t>
            </w:r>
          </w:p>
        </w:tc>
        <w:tc>
          <w:tcPr>
            <w:tcW w:w="1304" w:type="dxa"/>
            <w:vAlign w:val="center"/>
          </w:tcPr>
          <w:p w14:paraId="0A4FD583" w14:textId="77777777" w:rsidR="006906F8" w:rsidRPr="00BE3F9C" w:rsidRDefault="006906F8" w:rsidP="00E11E42">
            <w:pPr>
              <w:jc w:val="center"/>
              <w:rPr>
                <w:rFonts w:ascii="Arial" w:hAnsi="Arial" w:cs="Arial"/>
                <w:sz w:val="20"/>
              </w:rPr>
            </w:pPr>
            <w:r w:rsidRPr="00BE3F9C">
              <w:rPr>
                <w:rFonts w:ascii="Arial" w:hAnsi="Arial" w:cs="Arial"/>
                <w:color w:val="000000"/>
                <w:sz w:val="20"/>
              </w:rPr>
              <w:t>5.552</w:t>
            </w:r>
          </w:p>
        </w:tc>
        <w:tc>
          <w:tcPr>
            <w:tcW w:w="1303" w:type="dxa"/>
            <w:vAlign w:val="center"/>
          </w:tcPr>
          <w:p w14:paraId="33BEAD86"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0.115</w:t>
            </w:r>
          </w:p>
        </w:tc>
        <w:tc>
          <w:tcPr>
            <w:tcW w:w="1304" w:type="dxa"/>
            <w:vAlign w:val="center"/>
          </w:tcPr>
          <w:p w14:paraId="3513CA97"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534FE5AF" w14:textId="77777777" w:rsidR="006906F8" w:rsidRPr="00BE3F9C" w:rsidRDefault="006906F8" w:rsidP="00E11E42">
            <w:pPr>
              <w:jc w:val="center"/>
              <w:rPr>
                <w:rFonts w:ascii="Arial" w:hAnsi="Arial" w:cs="Arial"/>
                <w:sz w:val="20"/>
              </w:rPr>
            </w:pPr>
            <w:r w:rsidRPr="00BE3F9C">
              <w:rPr>
                <w:rFonts w:ascii="Arial" w:hAnsi="Arial" w:cs="Arial"/>
                <w:color w:val="000000"/>
                <w:sz w:val="20"/>
              </w:rPr>
              <w:t>0.28</w:t>
            </w:r>
          </w:p>
        </w:tc>
        <w:tc>
          <w:tcPr>
            <w:tcW w:w="1124" w:type="dxa"/>
            <w:vAlign w:val="center"/>
          </w:tcPr>
          <w:p w14:paraId="3B2B5AD1" w14:textId="77777777" w:rsidR="006906F8" w:rsidRPr="00BE3F9C" w:rsidRDefault="006906F8" w:rsidP="00E11E42">
            <w:pPr>
              <w:jc w:val="center"/>
              <w:rPr>
                <w:rFonts w:ascii="Arial" w:hAnsi="Arial" w:cs="Arial"/>
                <w:sz w:val="20"/>
              </w:rPr>
            </w:pPr>
            <w:r w:rsidRPr="00BE3F9C">
              <w:rPr>
                <w:rFonts w:ascii="Arial" w:hAnsi="Arial" w:cs="Arial"/>
                <w:color w:val="000000"/>
                <w:sz w:val="20"/>
              </w:rPr>
              <w:t>4.21</w:t>
            </w:r>
          </w:p>
        </w:tc>
      </w:tr>
      <w:tr w:rsidR="006906F8" w:rsidRPr="00BE3F9C" w14:paraId="1823AB4C" w14:textId="77777777" w:rsidTr="00BE3F9C">
        <w:trPr>
          <w:trHeight w:val="454"/>
        </w:trPr>
        <w:tc>
          <w:tcPr>
            <w:tcW w:w="4194" w:type="dxa"/>
            <w:vAlign w:val="center"/>
          </w:tcPr>
          <w:p w14:paraId="25A33369"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4</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FeSO</w:t>
            </w:r>
            <w:r w:rsidRPr="00FB5754">
              <w:rPr>
                <w:rFonts w:ascii="Arial" w:hAnsi="Arial" w:cs="Arial"/>
                <w:sz w:val="20"/>
                <w:vertAlign w:val="subscript"/>
                <w:lang w:val="fr-FR"/>
              </w:rPr>
              <w:t xml:space="preserve">4 </w:t>
            </w:r>
            <w:r w:rsidRPr="00FB5754">
              <w:rPr>
                <w:rFonts w:ascii="Arial" w:hAnsi="Arial" w:cs="Arial"/>
                <w:sz w:val="20"/>
                <w:lang w:val="fr-FR"/>
              </w:rPr>
              <w:t>@ 20 kg ha</w:t>
            </w:r>
            <w:r w:rsidRPr="00FB5754">
              <w:rPr>
                <w:rFonts w:ascii="Arial" w:hAnsi="Arial" w:cs="Arial"/>
                <w:sz w:val="20"/>
                <w:vertAlign w:val="superscript"/>
                <w:lang w:val="fr-FR"/>
              </w:rPr>
              <w:t>-1</w:t>
            </w:r>
          </w:p>
        </w:tc>
        <w:tc>
          <w:tcPr>
            <w:tcW w:w="1201" w:type="dxa"/>
            <w:vAlign w:val="center"/>
          </w:tcPr>
          <w:p w14:paraId="00F80E4D" w14:textId="77777777" w:rsidR="006906F8" w:rsidRPr="00BE3F9C" w:rsidRDefault="006906F8" w:rsidP="00E11E42">
            <w:pPr>
              <w:jc w:val="center"/>
              <w:rPr>
                <w:rFonts w:ascii="Arial" w:hAnsi="Arial" w:cs="Arial"/>
                <w:sz w:val="20"/>
              </w:rPr>
            </w:pPr>
            <w:r w:rsidRPr="00BE3F9C">
              <w:rPr>
                <w:rFonts w:ascii="Arial" w:hAnsi="Arial" w:cs="Arial"/>
                <w:color w:val="000000"/>
                <w:sz w:val="20"/>
              </w:rPr>
              <w:t>3.778</w:t>
            </w:r>
          </w:p>
        </w:tc>
        <w:tc>
          <w:tcPr>
            <w:tcW w:w="1350" w:type="dxa"/>
            <w:vAlign w:val="center"/>
          </w:tcPr>
          <w:p w14:paraId="47495A91" w14:textId="77777777" w:rsidR="006906F8" w:rsidRPr="00BE3F9C" w:rsidRDefault="006906F8" w:rsidP="00E11E42">
            <w:pPr>
              <w:jc w:val="center"/>
              <w:rPr>
                <w:rFonts w:ascii="Arial" w:hAnsi="Arial" w:cs="Arial"/>
                <w:sz w:val="20"/>
              </w:rPr>
            </w:pPr>
            <w:r w:rsidRPr="00BE3F9C">
              <w:rPr>
                <w:rFonts w:ascii="Arial" w:hAnsi="Arial" w:cs="Arial"/>
                <w:color w:val="000000"/>
                <w:sz w:val="20"/>
              </w:rPr>
              <w:t>5.521</w:t>
            </w:r>
          </w:p>
        </w:tc>
        <w:tc>
          <w:tcPr>
            <w:tcW w:w="1358" w:type="dxa"/>
            <w:vAlign w:val="center"/>
          </w:tcPr>
          <w:p w14:paraId="6424482A" w14:textId="77777777" w:rsidR="006906F8" w:rsidRPr="00BE3F9C" w:rsidRDefault="006906F8" w:rsidP="00E11E42">
            <w:pPr>
              <w:jc w:val="center"/>
              <w:rPr>
                <w:rFonts w:ascii="Arial" w:hAnsi="Arial" w:cs="Arial"/>
                <w:sz w:val="20"/>
              </w:rPr>
            </w:pPr>
            <w:r w:rsidRPr="00BE3F9C">
              <w:rPr>
                <w:rFonts w:ascii="Arial" w:hAnsi="Arial" w:cs="Arial"/>
                <w:color w:val="000000"/>
                <w:sz w:val="20"/>
              </w:rPr>
              <w:t>2.096</w:t>
            </w:r>
          </w:p>
        </w:tc>
        <w:tc>
          <w:tcPr>
            <w:tcW w:w="1304" w:type="dxa"/>
            <w:vAlign w:val="center"/>
          </w:tcPr>
          <w:p w14:paraId="5EF1503E" w14:textId="77777777" w:rsidR="006906F8" w:rsidRPr="00BE3F9C" w:rsidRDefault="006906F8" w:rsidP="00E11E42">
            <w:pPr>
              <w:jc w:val="center"/>
              <w:rPr>
                <w:rFonts w:ascii="Arial" w:hAnsi="Arial" w:cs="Arial"/>
                <w:sz w:val="20"/>
              </w:rPr>
            </w:pPr>
            <w:r w:rsidRPr="00BE3F9C">
              <w:rPr>
                <w:rFonts w:ascii="Arial" w:hAnsi="Arial" w:cs="Arial"/>
                <w:color w:val="000000"/>
                <w:sz w:val="20"/>
              </w:rPr>
              <w:t>5.195</w:t>
            </w:r>
          </w:p>
        </w:tc>
        <w:tc>
          <w:tcPr>
            <w:tcW w:w="1303" w:type="dxa"/>
            <w:vAlign w:val="center"/>
          </w:tcPr>
          <w:p w14:paraId="6AA04452"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0.117</w:t>
            </w:r>
          </w:p>
        </w:tc>
        <w:tc>
          <w:tcPr>
            <w:tcW w:w="1304" w:type="dxa"/>
            <w:vAlign w:val="center"/>
          </w:tcPr>
          <w:p w14:paraId="2169E9EA"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0.075</w:t>
            </w:r>
          </w:p>
        </w:tc>
        <w:tc>
          <w:tcPr>
            <w:tcW w:w="1022" w:type="dxa"/>
            <w:vAlign w:val="center"/>
          </w:tcPr>
          <w:p w14:paraId="773F6D9A" w14:textId="77777777" w:rsidR="006906F8" w:rsidRPr="00BE3F9C" w:rsidRDefault="006906F8" w:rsidP="00E11E42">
            <w:pPr>
              <w:jc w:val="center"/>
              <w:rPr>
                <w:rFonts w:ascii="Arial" w:hAnsi="Arial" w:cs="Arial"/>
                <w:sz w:val="20"/>
              </w:rPr>
            </w:pPr>
            <w:r w:rsidRPr="00BE3F9C">
              <w:rPr>
                <w:rFonts w:ascii="Arial" w:hAnsi="Arial" w:cs="Arial"/>
                <w:color w:val="000000"/>
                <w:sz w:val="20"/>
              </w:rPr>
              <w:t>0.27</w:t>
            </w:r>
          </w:p>
        </w:tc>
        <w:tc>
          <w:tcPr>
            <w:tcW w:w="1124" w:type="dxa"/>
            <w:vAlign w:val="center"/>
          </w:tcPr>
          <w:p w14:paraId="575CA49B" w14:textId="77777777" w:rsidR="006906F8" w:rsidRPr="00BE3F9C" w:rsidRDefault="006906F8" w:rsidP="00E11E42">
            <w:pPr>
              <w:jc w:val="center"/>
              <w:rPr>
                <w:rFonts w:ascii="Arial" w:hAnsi="Arial" w:cs="Arial"/>
                <w:sz w:val="20"/>
              </w:rPr>
            </w:pPr>
            <w:r w:rsidRPr="00BE3F9C">
              <w:rPr>
                <w:rFonts w:ascii="Arial" w:hAnsi="Arial" w:cs="Arial"/>
                <w:color w:val="000000"/>
                <w:sz w:val="20"/>
              </w:rPr>
              <w:t>4.04</w:t>
            </w:r>
          </w:p>
        </w:tc>
      </w:tr>
      <w:tr w:rsidR="006906F8" w:rsidRPr="00BE3F9C" w14:paraId="0ADBEEAF" w14:textId="77777777" w:rsidTr="00BE3F9C">
        <w:trPr>
          <w:trHeight w:val="454"/>
        </w:trPr>
        <w:tc>
          <w:tcPr>
            <w:tcW w:w="4194" w:type="dxa"/>
            <w:vAlign w:val="center"/>
          </w:tcPr>
          <w:p w14:paraId="2B6F460C"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5</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Borax @ 2 kg ha</w:t>
            </w:r>
            <w:r w:rsidRPr="00FB5754">
              <w:rPr>
                <w:rFonts w:ascii="Arial" w:hAnsi="Arial" w:cs="Arial"/>
                <w:sz w:val="20"/>
                <w:vertAlign w:val="superscript"/>
                <w:lang w:val="fr-FR"/>
              </w:rPr>
              <w:t>-1</w:t>
            </w:r>
          </w:p>
        </w:tc>
        <w:tc>
          <w:tcPr>
            <w:tcW w:w="1201" w:type="dxa"/>
            <w:vAlign w:val="center"/>
          </w:tcPr>
          <w:p w14:paraId="66DF001E" w14:textId="77777777" w:rsidR="006906F8" w:rsidRPr="00BE3F9C" w:rsidRDefault="006906F8" w:rsidP="00E11E42">
            <w:pPr>
              <w:jc w:val="center"/>
              <w:rPr>
                <w:rFonts w:ascii="Arial" w:hAnsi="Arial" w:cs="Arial"/>
                <w:sz w:val="20"/>
              </w:rPr>
            </w:pPr>
            <w:r w:rsidRPr="00BE3F9C">
              <w:rPr>
                <w:rFonts w:ascii="Arial" w:hAnsi="Arial" w:cs="Arial"/>
                <w:color w:val="000000"/>
                <w:sz w:val="20"/>
              </w:rPr>
              <w:t>4.268</w:t>
            </w:r>
          </w:p>
        </w:tc>
        <w:tc>
          <w:tcPr>
            <w:tcW w:w="1350" w:type="dxa"/>
            <w:vAlign w:val="center"/>
          </w:tcPr>
          <w:p w14:paraId="14145CDD" w14:textId="77777777" w:rsidR="006906F8" w:rsidRPr="00BE3F9C" w:rsidRDefault="006906F8" w:rsidP="00E11E42">
            <w:pPr>
              <w:jc w:val="center"/>
              <w:rPr>
                <w:rFonts w:ascii="Arial" w:hAnsi="Arial" w:cs="Arial"/>
                <w:sz w:val="20"/>
              </w:rPr>
            </w:pPr>
            <w:r w:rsidRPr="00BE3F9C">
              <w:rPr>
                <w:rFonts w:ascii="Arial" w:hAnsi="Arial" w:cs="Arial"/>
                <w:color w:val="000000"/>
                <w:sz w:val="20"/>
              </w:rPr>
              <w:t>6.036</w:t>
            </w:r>
          </w:p>
        </w:tc>
        <w:tc>
          <w:tcPr>
            <w:tcW w:w="1358" w:type="dxa"/>
            <w:vAlign w:val="center"/>
          </w:tcPr>
          <w:p w14:paraId="6C3B3537" w14:textId="77777777" w:rsidR="006906F8" w:rsidRPr="00BE3F9C" w:rsidRDefault="006906F8" w:rsidP="00E11E42">
            <w:pPr>
              <w:jc w:val="center"/>
              <w:rPr>
                <w:rFonts w:ascii="Arial" w:hAnsi="Arial" w:cs="Arial"/>
                <w:sz w:val="20"/>
              </w:rPr>
            </w:pPr>
            <w:r w:rsidRPr="00BE3F9C">
              <w:rPr>
                <w:rFonts w:ascii="Arial" w:hAnsi="Arial" w:cs="Arial"/>
                <w:color w:val="000000"/>
                <w:sz w:val="20"/>
              </w:rPr>
              <w:t>2.36</w:t>
            </w:r>
          </w:p>
        </w:tc>
        <w:tc>
          <w:tcPr>
            <w:tcW w:w="1304" w:type="dxa"/>
            <w:vAlign w:val="center"/>
          </w:tcPr>
          <w:p w14:paraId="36758241" w14:textId="77777777" w:rsidR="006906F8" w:rsidRPr="00BE3F9C" w:rsidRDefault="006906F8" w:rsidP="00E11E42">
            <w:pPr>
              <w:jc w:val="center"/>
              <w:rPr>
                <w:rFonts w:ascii="Arial" w:hAnsi="Arial" w:cs="Arial"/>
                <w:sz w:val="20"/>
              </w:rPr>
            </w:pPr>
            <w:r w:rsidRPr="00BE3F9C">
              <w:rPr>
                <w:rFonts w:ascii="Arial" w:hAnsi="Arial" w:cs="Arial"/>
                <w:color w:val="000000"/>
                <w:sz w:val="20"/>
              </w:rPr>
              <w:t>5.800</w:t>
            </w:r>
          </w:p>
        </w:tc>
        <w:tc>
          <w:tcPr>
            <w:tcW w:w="1303" w:type="dxa"/>
            <w:vAlign w:val="center"/>
          </w:tcPr>
          <w:p w14:paraId="5512DA71"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0.116</w:t>
            </w:r>
          </w:p>
        </w:tc>
        <w:tc>
          <w:tcPr>
            <w:tcW w:w="1304" w:type="dxa"/>
            <w:vAlign w:val="center"/>
          </w:tcPr>
          <w:p w14:paraId="4F53114B"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40CB47D5" w14:textId="77777777" w:rsidR="006906F8" w:rsidRPr="00BE3F9C" w:rsidRDefault="006906F8" w:rsidP="00E11E42">
            <w:pPr>
              <w:jc w:val="center"/>
              <w:rPr>
                <w:rFonts w:ascii="Arial" w:hAnsi="Arial" w:cs="Arial"/>
                <w:sz w:val="20"/>
              </w:rPr>
            </w:pPr>
            <w:r w:rsidRPr="00BE3F9C">
              <w:rPr>
                <w:rFonts w:ascii="Arial" w:hAnsi="Arial" w:cs="Arial"/>
                <w:color w:val="000000"/>
                <w:sz w:val="20"/>
              </w:rPr>
              <w:t>0.29</w:t>
            </w:r>
          </w:p>
        </w:tc>
        <w:tc>
          <w:tcPr>
            <w:tcW w:w="1124" w:type="dxa"/>
            <w:vAlign w:val="center"/>
          </w:tcPr>
          <w:p w14:paraId="518F8B32" w14:textId="77777777" w:rsidR="006906F8" w:rsidRPr="00BE3F9C" w:rsidRDefault="006906F8" w:rsidP="00E11E42">
            <w:pPr>
              <w:jc w:val="center"/>
              <w:rPr>
                <w:rFonts w:ascii="Arial" w:hAnsi="Arial" w:cs="Arial"/>
                <w:sz w:val="20"/>
              </w:rPr>
            </w:pPr>
            <w:r w:rsidRPr="00BE3F9C">
              <w:rPr>
                <w:rFonts w:ascii="Arial" w:hAnsi="Arial" w:cs="Arial"/>
                <w:color w:val="000000"/>
                <w:sz w:val="20"/>
              </w:rPr>
              <w:t>4.46</w:t>
            </w:r>
          </w:p>
        </w:tc>
      </w:tr>
      <w:tr w:rsidR="006906F8" w:rsidRPr="00BE3F9C" w14:paraId="40DE4B30" w14:textId="77777777" w:rsidTr="00BE3F9C">
        <w:trPr>
          <w:trHeight w:val="454"/>
        </w:trPr>
        <w:tc>
          <w:tcPr>
            <w:tcW w:w="4194" w:type="dxa"/>
            <w:vAlign w:val="center"/>
          </w:tcPr>
          <w:p w14:paraId="32606A2B"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6</w:t>
            </w:r>
            <w:r w:rsidRPr="00BE3F9C">
              <w:rPr>
                <w:rFonts w:ascii="Arial" w:hAnsi="Arial" w:cs="Arial"/>
                <w:b/>
                <w:bCs/>
                <w:sz w:val="20"/>
              </w:rPr>
              <w:t xml:space="preserve">: </w:t>
            </w:r>
            <w:r w:rsidRPr="00BE3F9C">
              <w:rPr>
                <w:rFonts w:ascii="Arial" w:hAnsi="Arial" w:cs="Arial"/>
                <w:sz w:val="20"/>
              </w:rPr>
              <w:t>RDF + ZnSO</w:t>
            </w:r>
            <w:r w:rsidRPr="00BE3F9C">
              <w:rPr>
                <w:rFonts w:ascii="Arial" w:hAnsi="Arial" w:cs="Arial"/>
                <w:sz w:val="20"/>
                <w:vertAlign w:val="subscript"/>
              </w:rPr>
              <w:t xml:space="preserve">4 </w:t>
            </w:r>
            <w:r w:rsidRPr="00BE3F9C">
              <w:rPr>
                <w:rFonts w:ascii="Arial" w:hAnsi="Arial" w:cs="Arial"/>
                <w:sz w:val="20"/>
              </w:rPr>
              <w:t>@ 20 kg ha</w:t>
            </w:r>
            <w:r w:rsidRPr="00BE3F9C">
              <w:rPr>
                <w:rFonts w:ascii="Arial" w:hAnsi="Arial" w:cs="Arial"/>
                <w:sz w:val="20"/>
                <w:vertAlign w:val="superscript"/>
              </w:rPr>
              <w:t>-1</w:t>
            </w:r>
            <w:r w:rsidRPr="00BE3F9C">
              <w:rPr>
                <w:rFonts w:ascii="Arial" w:hAnsi="Arial" w:cs="Arial"/>
                <w:sz w:val="20"/>
              </w:rPr>
              <w:t xml:space="preserve"> + FeSO</w:t>
            </w:r>
            <w:r w:rsidRPr="00BE3F9C">
              <w:rPr>
                <w:rFonts w:ascii="Arial" w:hAnsi="Arial" w:cs="Arial"/>
                <w:sz w:val="20"/>
                <w:vertAlign w:val="subscript"/>
              </w:rPr>
              <w:t>4</w:t>
            </w:r>
            <w:r w:rsidRPr="00BE3F9C">
              <w:rPr>
                <w:rFonts w:ascii="Arial" w:hAnsi="Arial" w:cs="Arial"/>
                <w:sz w:val="20"/>
              </w:rPr>
              <w:t xml:space="preserve"> @ 20 kg ha</w:t>
            </w:r>
            <w:r w:rsidRPr="00BE3F9C">
              <w:rPr>
                <w:rFonts w:ascii="Arial" w:hAnsi="Arial" w:cs="Arial"/>
                <w:sz w:val="20"/>
                <w:vertAlign w:val="superscript"/>
              </w:rPr>
              <w:t>-1</w:t>
            </w:r>
            <w:r w:rsidRPr="00BE3F9C">
              <w:rPr>
                <w:rFonts w:ascii="Arial" w:hAnsi="Arial" w:cs="Arial"/>
                <w:sz w:val="20"/>
                <w:vertAlign w:val="subscript"/>
              </w:rPr>
              <w:t xml:space="preserve"> </w:t>
            </w:r>
            <w:r w:rsidRPr="00BE3F9C">
              <w:rPr>
                <w:rFonts w:ascii="Arial" w:hAnsi="Arial" w:cs="Arial"/>
                <w:sz w:val="20"/>
              </w:rPr>
              <w:t>+ Borax @ 2 kg ha</w:t>
            </w:r>
            <w:r w:rsidRPr="00BE3F9C">
              <w:rPr>
                <w:rFonts w:ascii="Arial" w:hAnsi="Arial" w:cs="Arial"/>
                <w:sz w:val="20"/>
                <w:vertAlign w:val="superscript"/>
              </w:rPr>
              <w:t>-1</w:t>
            </w:r>
          </w:p>
        </w:tc>
        <w:tc>
          <w:tcPr>
            <w:tcW w:w="1201" w:type="dxa"/>
            <w:vAlign w:val="center"/>
          </w:tcPr>
          <w:p w14:paraId="37D5CF1C" w14:textId="77777777" w:rsidR="006906F8" w:rsidRPr="00BE3F9C" w:rsidRDefault="006906F8" w:rsidP="00E11E42">
            <w:pPr>
              <w:jc w:val="center"/>
              <w:rPr>
                <w:rFonts w:ascii="Arial" w:hAnsi="Arial" w:cs="Arial"/>
                <w:sz w:val="20"/>
              </w:rPr>
            </w:pPr>
            <w:r w:rsidRPr="00BE3F9C">
              <w:rPr>
                <w:rFonts w:ascii="Arial" w:hAnsi="Arial" w:cs="Arial"/>
                <w:color w:val="000000"/>
                <w:sz w:val="20"/>
              </w:rPr>
              <w:t>4.382</w:t>
            </w:r>
          </w:p>
        </w:tc>
        <w:tc>
          <w:tcPr>
            <w:tcW w:w="1350" w:type="dxa"/>
            <w:vAlign w:val="center"/>
          </w:tcPr>
          <w:p w14:paraId="207736B2" w14:textId="77777777" w:rsidR="006906F8" w:rsidRPr="00BE3F9C" w:rsidRDefault="006906F8" w:rsidP="00E11E42">
            <w:pPr>
              <w:jc w:val="center"/>
              <w:rPr>
                <w:rFonts w:ascii="Arial" w:hAnsi="Arial" w:cs="Arial"/>
                <w:sz w:val="20"/>
              </w:rPr>
            </w:pPr>
            <w:r w:rsidRPr="00BE3F9C">
              <w:rPr>
                <w:rFonts w:ascii="Arial" w:hAnsi="Arial" w:cs="Arial"/>
                <w:color w:val="000000"/>
                <w:sz w:val="20"/>
              </w:rPr>
              <w:t>6.309</w:t>
            </w:r>
          </w:p>
        </w:tc>
        <w:tc>
          <w:tcPr>
            <w:tcW w:w="1358" w:type="dxa"/>
            <w:vAlign w:val="center"/>
          </w:tcPr>
          <w:p w14:paraId="187A161F" w14:textId="77777777" w:rsidR="006906F8" w:rsidRPr="00BE3F9C" w:rsidRDefault="006906F8" w:rsidP="00E11E42">
            <w:pPr>
              <w:jc w:val="center"/>
              <w:rPr>
                <w:rFonts w:ascii="Arial" w:hAnsi="Arial" w:cs="Arial"/>
                <w:sz w:val="20"/>
              </w:rPr>
            </w:pPr>
            <w:r w:rsidRPr="00BE3F9C">
              <w:rPr>
                <w:rFonts w:ascii="Arial" w:hAnsi="Arial" w:cs="Arial"/>
                <w:color w:val="000000"/>
                <w:sz w:val="20"/>
              </w:rPr>
              <w:t>2.595</w:t>
            </w:r>
          </w:p>
        </w:tc>
        <w:tc>
          <w:tcPr>
            <w:tcW w:w="1304" w:type="dxa"/>
            <w:vAlign w:val="center"/>
          </w:tcPr>
          <w:p w14:paraId="1EAF535E" w14:textId="77777777" w:rsidR="006906F8" w:rsidRPr="00BE3F9C" w:rsidRDefault="006906F8" w:rsidP="00E11E42">
            <w:pPr>
              <w:jc w:val="center"/>
              <w:rPr>
                <w:rFonts w:ascii="Arial" w:hAnsi="Arial" w:cs="Arial"/>
                <w:sz w:val="20"/>
              </w:rPr>
            </w:pPr>
            <w:r w:rsidRPr="00BE3F9C">
              <w:rPr>
                <w:rFonts w:ascii="Arial" w:hAnsi="Arial" w:cs="Arial"/>
                <w:color w:val="000000"/>
                <w:sz w:val="20"/>
              </w:rPr>
              <w:t>6.358</w:t>
            </w:r>
          </w:p>
        </w:tc>
        <w:tc>
          <w:tcPr>
            <w:tcW w:w="1303" w:type="dxa"/>
            <w:vAlign w:val="center"/>
          </w:tcPr>
          <w:p w14:paraId="471E0827"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0.114</w:t>
            </w:r>
          </w:p>
        </w:tc>
        <w:tc>
          <w:tcPr>
            <w:tcW w:w="1304" w:type="dxa"/>
            <w:vAlign w:val="center"/>
          </w:tcPr>
          <w:p w14:paraId="662B9330"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0.074</w:t>
            </w:r>
          </w:p>
        </w:tc>
        <w:tc>
          <w:tcPr>
            <w:tcW w:w="1022" w:type="dxa"/>
            <w:vAlign w:val="center"/>
          </w:tcPr>
          <w:p w14:paraId="30BA7C2B" w14:textId="77777777" w:rsidR="006906F8" w:rsidRPr="00BE3F9C" w:rsidRDefault="006906F8" w:rsidP="00E11E42">
            <w:pPr>
              <w:jc w:val="center"/>
              <w:rPr>
                <w:rFonts w:ascii="Arial" w:hAnsi="Arial" w:cs="Arial"/>
                <w:sz w:val="20"/>
              </w:rPr>
            </w:pPr>
            <w:r w:rsidRPr="00BE3F9C">
              <w:rPr>
                <w:rFonts w:ascii="Arial" w:hAnsi="Arial" w:cs="Arial"/>
                <w:color w:val="000000"/>
                <w:sz w:val="20"/>
              </w:rPr>
              <w:t>0.31</w:t>
            </w:r>
          </w:p>
        </w:tc>
        <w:tc>
          <w:tcPr>
            <w:tcW w:w="1124" w:type="dxa"/>
            <w:vAlign w:val="center"/>
          </w:tcPr>
          <w:p w14:paraId="7D3A4E64" w14:textId="77777777" w:rsidR="006906F8" w:rsidRPr="00BE3F9C" w:rsidRDefault="006906F8" w:rsidP="00E11E42">
            <w:pPr>
              <w:jc w:val="center"/>
              <w:rPr>
                <w:rFonts w:ascii="Arial" w:hAnsi="Arial" w:cs="Arial"/>
                <w:sz w:val="20"/>
              </w:rPr>
            </w:pPr>
            <w:r w:rsidRPr="00BE3F9C">
              <w:rPr>
                <w:rFonts w:ascii="Arial" w:hAnsi="Arial" w:cs="Arial"/>
                <w:color w:val="000000"/>
                <w:sz w:val="20"/>
              </w:rPr>
              <w:t>4.71</w:t>
            </w:r>
          </w:p>
        </w:tc>
      </w:tr>
      <w:tr w:rsidR="006906F8" w:rsidRPr="00BE3F9C" w14:paraId="5632B6CB" w14:textId="77777777" w:rsidTr="00BE3F9C">
        <w:trPr>
          <w:trHeight w:val="454"/>
        </w:trPr>
        <w:tc>
          <w:tcPr>
            <w:tcW w:w="4194" w:type="dxa"/>
            <w:vAlign w:val="center"/>
          </w:tcPr>
          <w:p w14:paraId="2AF749D4"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7</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 xml:space="preserve">RDF + Multi </w:t>
            </w:r>
            <w:proofErr w:type="spellStart"/>
            <w:r w:rsidRPr="00FB5754">
              <w:rPr>
                <w:rFonts w:ascii="Arial" w:hAnsi="Arial" w:cs="Arial"/>
                <w:sz w:val="20"/>
                <w:lang w:val="fr-FR"/>
              </w:rPr>
              <w:t>micronutrient</w:t>
            </w:r>
            <w:proofErr w:type="spellEnd"/>
            <w:r w:rsidRPr="00FB5754">
              <w:rPr>
                <w:rFonts w:ascii="Arial" w:hAnsi="Arial" w:cs="Arial"/>
                <w:sz w:val="20"/>
                <w:lang w:val="fr-FR"/>
              </w:rPr>
              <w:t xml:space="preserve"> Grade</w:t>
            </w:r>
            <w:r w:rsidRPr="00FB5754">
              <w:rPr>
                <w:rFonts w:ascii="Arial" w:hAnsi="Arial" w:cs="Arial"/>
                <w:sz w:val="20"/>
                <w:vertAlign w:val="superscript"/>
                <w:lang w:val="fr-FR"/>
              </w:rPr>
              <w:t>-1</w:t>
            </w:r>
            <w:r w:rsidRPr="00FB5754">
              <w:rPr>
                <w:rFonts w:ascii="Arial" w:hAnsi="Arial" w:cs="Arial"/>
                <w:sz w:val="20"/>
                <w:lang w:val="fr-FR"/>
              </w:rPr>
              <w:t xml:space="preserve"> @</w:t>
            </w:r>
            <w:r w:rsidRPr="00FB5754">
              <w:rPr>
                <w:rFonts w:ascii="Arial" w:eastAsia="Times New Roman" w:hAnsi="Arial" w:cs="Arial"/>
                <w:sz w:val="20"/>
                <w:lang w:val="fr-FR"/>
              </w:rPr>
              <w:t xml:space="preserve"> 25 kg ha</w:t>
            </w:r>
            <w:r w:rsidRPr="00FB5754">
              <w:rPr>
                <w:rFonts w:ascii="Arial" w:eastAsia="Times New Roman" w:hAnsi="Arial" w:cs="Arial"/>
                <w:sz w:val="20"/>
                <w:vertAlign w:val="superscript"/>
                <w:lang w:val="fr-FR"/>
              </w:rPr>
              <w:t>-1</w:t>
            </w:r>
          </w:p>
        </w:tc>
        <w:tc>
          <w:tcPr>
            <w:tcW w:w="1201" w:type="dxa"/>
            <w:vAlign w:val="center"/>
          </w:tcPr>
          <w:p w14:paraId="6BD8183D" w14:textId="77777777" w:rsidR="006906F8" w:rsidRPr="00BE3F9C" w:rsidRDefault="006906F8" w:rsidP="00E11E42">
            <w:pPr>
              <w:jc w:val="center"/>
              <w:rPr>
                <w:rFonts w:ascii="Arial" w:hAnsi="Arial" w:cs="Arial"/>
                <w:sz w:val="20"/>
              </w:rPr>
            </w:pPr>
            <w:r w:rsidRPr="00BE3F9C">
              <w:rPr>
                <w:rFonts w:ascii="Arial" w:hAnsi="Arial" w:cs="Arial"/>
                <w:color w:val="000000"/>
                <w:sz w:val="20"/>
              </w:rPr>
              <w:t>3.232</w:t>
            </w:r>
          </w:p>
        </w:tc>
        <w:tc>
          <w:tcPr>
            <w:tcW w:w="1350" w:type="dxa"/>
            <w:vAlign w:val="center"/>
          </w:tcPr>
          <w:p w14:paraId="5C26CE46" w14:textId="77777777" w:rsidR="006906F8" w:rsidRPr="00BE3F9C" w:rsidRDefault="006906F8" w:rsidP="00E11E42">
            <w:pPr>
              <w:jc w:val="center"/>
              <w:rPr>
                <w:rFonts w:ascii="Arial" w:hAnsi="Arial" w:cs="Arial"/>
                <w:sz w:val="20"/>
              </w:rPr>
            </w:pPr>
            <w:r w:rsidRPr="00BE3F9C">
              <w:rPr>
                <w:rFonts w:ascii="Arial" w:hAnsi="Arial" w:cs="Arial"/>
                <w:color w:val="000000"/>
                <w:sz w:val="20"/>
              </w:rPr>
              <w:t>5.82</w:t>
            </w:r>
          </w:p>
        </w:tc>
        <w:tc>
          <w:tcPr>
            <w:tcW w:w="1358" w:type="dxa"/>
            <w:vAlign w:val="center"/>
          </w:tcPr>
          <w:p w14:paraId="57C445D8" w14:textId="77777777" w:rsidR="006906F8" w:rsidRPr="00BE3F9C" w:rsidRDefault="006906F8" w:rsidP="00E11E42">
            <w:pPr>
              <w:jc w:val="center"/>
              <w:rPr>
                <w:rFonts w:ascii="Arial" w:hAnsi="Arial" w:cs="Arial"/>
                <w:sz w:val="20"/>
              </w:rPr>
            </w:pPr>
            <w:r w:rsidRPr="00BE3F9C">
              <w:rPr>
                <w:rFonts w:ascii="Arial" w:hAnsi="Arial" w:cs="Arial"/>
                <w:color w:val="000000"/>
                <w:sz w:val="20"/>
              </w:rPr>
              <w:t>1.824</w:t>
            </w:r>
          </w:p>
        </w:tc>
        <w:tc>
          <w:tcPr>
            <w:tcW w:w="1304" w:type="dxa"/>
            <w:vAlign w:val="center"/>
          </w:tcPr>
          <w:p w14:paraId="1FB85752" w14:textId="77777777" w:rsidR="006906F8" w:rsidRPr="00BE3F9C" w:rsidRDefault="006906F8" w:rsidP="00E11E42">
            <w:pPr>
              <w:jc w:val="center"/>
              <w:rPr>
                <w:rFonts w:ascii="Arial" w:hAnsi="Arial" w:cs="Arial"/>
                <w:sz w:val="20"/>
              </w:rPr>
            </w:pPr>
            <w:r w:rsidRPr="00BE3F9C">
              <w:rPr>
                <w:rFonts w:ascii="Arial" w:hAnsi="Arial" w:cs="Arial"/>
                <w:color w:val="000000"/>
                <w:sz w:val="20"/>
              </w:rPr>
              <w:t>4.289</w:t>
            </w:r>
          </w:p>
        </w:tc>
        <w:tc>
          <w:tcPr>
            <w:tcW w:w="1303" w:type="dxa"/>
            <w:vAlign w:val="center"/>
          </w:tcPr>
          <w:p w14:paraId="7DFAB52F"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0.120</w:t>
            </w:r>
          </w:p>
        </w:tc>
        <w:tc>
          <w:tcPr>
            <w:tcW w:w="1304" w:type="dxa"/>
            <w:vAlign w:val="center"/>
          </w:tcPr>
          <w:p w14:paraId="1605C875"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0.072</w:t>
            </w:r>
          </w:p>
        </w:tc>
        <w:tc>
          <w:tcPr>
            <w:tcW w:w="1022" w:type="dxa"/>
            <w:vAlign w:val="center"/>
          </w:tcPr>
          <w:p w14:paraId="76E7F80F" w14:textId="77777777" w:rsidR="006906F8" w:rsidRPr="00BE3F9C" w:rsidRDefault="006906F8" w:rsidP="00E11E42">
            <w:pPr>
              <w:jc w:val="center"/>
              <w:rPr>
                <w:rFonts w:ascii="Arial" w:hAnsi="Arial" w:cs="Arial"/>
                <w:sz w:val="20"/>
              </w:rPr>
            </w:pPr>
            <w:r w:rsidRPr="00BE3F9C">
              <w:rPr>
                <w:rFonts w:ascii="Arial" w:hAnsi="Arial" w:cs="Arial"/>
                <w:color w:val="000000"/>
                <w:sz w:val="20"/>
              </w:rPr>
              <w:t>0.25</w:t>
            </w:r>
          </w:p>
        </w:tc>
        <w:tc>
          <w:tcPr>
            <w:tcW w:w="1124" w:type="dxa"/>
            <w:vAlign w:val="center"/>
          </w:tcPr>
          <w:p w14:paraId="3C244332" w14:textId="77777777" w:rsidR="006906F8" w:rsidRPr="00BE3F9C" w:rsidRDefault="006906F8" w:rsidP="00E11E42">
            <w:pPr>
              <w:jc w:val="center"/>
              <w:rPr>
                <w:rFonts w:ascii="Arial" w:hAnsi="Arial" w:cs="Arial"/>
                <w:sz w:val="20"/>
              </w:rPr>
            </w:pPr>
            <w:r w:rsidRPr="00BE3F9C">
              <w:rPr>
                <w:rFonts w:ascii="Arial" w:hAnsi="Arial" w:cs="Arial"/>
                <w:color w:val="000000"/>
                <w:sz w:val="20"/>
              </w:rPr>
              <w:t>3.81</w:t>
            </w:r>
          </w:p>
        </w:tc>
      </w:tr>
      <w:tr w:rsidR="006906F8" w:rsidRPr="00BE3F9C" w14:paraId="33CF6262" w14:textId="77777777" w:rsidTr="00BE3F9C">
        <w:trPr>
          <w:trHeight w:val="454"/>
        </w:trPr>
        <w:tc>
          <w:tcPr>
            <w:tcW w:w="4194" w:type="dxa"/>
            <w:vAlign w:val="center"/>
          </w:tcPr>
          <w:p w14:paraId="729B7D95" w14:textId="77777777" w:rsidR="006906F8" w:rsidRPr="00FB5754" w:rsidRDefault="006906F8" w:rsidP="00BE3F9C">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8</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eastAsia="Times New Roman" w:hAnsi="Arial" w:cs="Arial"/>
                <w:sz w:val="20"/>
                <w:lang w:val="fr-FR"/>
              </w:rPr>
              <w:t xml:space="preserve">RDF + Multi </w:t>
            </w:r>
            <w:proofErr w:type="spellStart"/>
            <w:r w:rsidRPr="00FB5754">
              <w:rPr>
                <w:rFonts w:ascii="Arial" w:eastAsia="Times New Roman" w:hAnsi="Arial" w:cs="Arial"/>
                <w:sz w:val="20"/>
                <w:lang w:val="fr-FR"/>
              </w:rPr>
              <w:t>micronutrient</w:t>
            </w:r>
            <w:proofErr w:type="spellEnd"/>
            <w:r w:rsidRPr="00FB5754">
              <w:rPr>
                <w:rFonts w:ascii="Arial" w:eastAsia="Times New Roman" w:hAnsi="Arial" w:cs="Arial"/>
                <w:sz w:val="20"/>
                <w:lang w:val="fr-FR"/>
              </w:rPr>
              <w:t xml:space="preserve"> Grade</w:t>
            </w:r>
            <w:r w:rsidRPr="00FB5754">
              <w:rPr>
                <w:rFonts w:ascii="Arial" w:eastAsia="Times New Roman" w:hAnsi="Arial" w:cs="Arial"/>
                <w:sz w:val="20"/>
                <w:vertAlign w:val="superscript"/>
                <w:lang w:val="fr-FR"/>
              </w:rPr>
              <w:t>-2</w:t>
            </w:r>
            <w:r w:rsidRPr="00FB5754">
              <w:rPr>
                <w:rFonts w:ascii="Arial" w:eastAsia="Times New Roman" w:hAnsi="Arial" w:cs="Arial"/>
                <w:sz w:val="20"/>
                <w:lang w:val="fr-FR"/>
              </w:rPr>
              <w:t xml:space="preserve"> @ 0.2 % at 20 DAS</w:t>
            </w:r>
          </w:p>
        </w:tc>
        <w:tc>
          <w:tcPr>
            <w:tcW w:w="1201" w:type="dxa"/>
            <w:vAlign w:val="center"/>
          </w:tcPr>
          <w:p w14:paraId="522DB64A" w14:textId="77777777" w:rsidR="006906F8" w:rsidRPr="00BE3F9C" w:rsidRDefault="006906F8" w:rsidP="00E11E42">
            <w:pPr>
              <w:jc w:val="center"/>
              <w:rPr>
                <w:rFonts w:ascii="Arial" w:hAnsi="Arial" w:cs="Arial"/>
                <w:sz w:val="20"/>
              </w:rPr>
            </w:pPr>
            <w:r w:rsidRPr="00BE3F9C">
              <w:rPr>
                <w:rFonts w:ascii="Arial" w:hAnsi="Arial" w:cs="Arial"/>
                <w:color w:val="000000"/>
                <w:sz w:val="20"/>
              </w:rPr>
              <w:t>3.284</w:t>
            </w:r>
          </w:p>
        </w:tc>
        <w:tc>
          <w:tcPr>
            <w:tcW w:w="1350" w:type="dxa"/>
            <w:vAlign w:val="center"/>
          </w:tcPr>
          <w:p w14:paraId="3EB703C8" w14:textId="77777777" w:rsidR="006906F8" w:rsidRPr="00BE3F9C" w:rsidRDefault="006906F8" w:rsidP="00E11E42">
            <w:pPr>
              <w:jc w:val="center"/>
              <w:rPr>
                <w:rFonts w:ascii="Arial" w:hAnsi="Arial" w:cs="Arial"/>
                <w:sz w:val="20"/>
              </w:rPr>
            </w:pPr>
            <w:r w:rsidRPr="00BE3F9C">
              <w:rPr>
                <w:rFonts w:ascii="Arial" w:hAnsi="Arial" w:cs="Arial"/>
                <w:color w:val="000000"/>
                <w:sz w:val="20"/>
              </w:rPr>
              <w:t>5.807</w:t>
            </w:r>
          </w:p>
        </w:tc>
        <w:tc>
          <w:tcPr>
            <w:tcW w:w="1358" w:type="dxa"/>
            <w:vAlign w:val="center"/>
          </w:tcPr>
          <w:p w14:paraId="0E18F3C4" w14:textId="77777777" w:rsidR="006906F8" w:rsidRPr="00BE3F9C" w:rsidRDefault="006906F8" w:rsidP="00E11E42">
            <w:pPr>
              <w:jc w:val="center"/>
              <w:rPr>
                <w:rFonts w:ascii="Arial" w:hAnsi="Arial" w:cs="Arial"/>
                <w:sz w:val="20"/>
              </w:rPr>
            </w:pPr>
            <w:r w:rsidRPr="00BE3F9C">
              <w:rPr>
                <w:rFonts w:ascii="Arial" w:hAnsi="Arial" w:cs="Arial"/>
                <w:color w:val="000000"/>
                <w:sz w:val="20"/>
              </w:rPr>
              <w:t>1.775</w:t>
            </w:r>
          </w:p>
        </w:tc>
        <w:tc>
          <w:tcPr>
            <w:tcW w:w="1304" w:type="dxa"/>
            <w:vAlign w:val="center"/>
          </w:tcPr>
          <w:p w14:paraId="6E4C4D17" w14:textId="77777777" w:rsidR="006906F8" w:rsidRPr="00BE3F9C" w:rsidRDefault="006906F8" w:rsidP="00E11E42">
            <w:pPr>
              <w:jc w:val="center"/>
              <w:rPr>
                <w:rFonts w:ascii="Arial" w:hAnsi="Arial" w:cs="Arial"/>
                <w:sz w:val="20"/>
              </w:rPr>
            </w:pPr>
            <w:r w:rsidRPr="00BE3F9C">
              <w:rPr>
                <w:rFonts w:ascii="Arial" w:hAnsi="Arial" w:cs="Arial"/>
                <w:color w:val="000000"/>
                <w:sz w:val="20"/>
              </w:rPr>
              <w:t>4.077</w:t>
            </w:r>
          </w:p>
        </w:tc>
        <w:tc>
          <w:tcPr>
            <w:tcW w:w="1303" w:type="dxa"/>
            <w:vAlign w:val="center"/>
          </w:tcPr>
          <w:p w14:paraId="00364F9D" w14:textId="77777777" w:rsidR="006906F8" w:rsidRPr="00BE3F9C" w:rsidRDefault="006906F8" w:rsidP="00E11E42">
            <w:pPr>
              <w:jc w:val="center"/>
              <w:rPr>
                <w:rFonts w:ascii="Arial" w:hAnsi="Arial" w:cs="Arial"/>
                <w:sz w:val="20"/>
              </w:rPr>
            </w:pPr>
            <w:r w:rsidRPr="00BE3F9C">
              <w:rPr>
                <w:rFonts w:ascii="Arial" w:hAnsi="Arial" w:cs="Arial"/>
                <w:color w:val="000000"/>
                <w:sz w:val="20"/>
              </w:rPr>
              <w:t>0.124</w:t>
            </w:r>
          </w:p>
        </w:tc>
        <w:tc>
          <w:tcPr>
            <w:tcW w:w="1304" w:type="dxa"/>
            <w:vAlign w:val="center"/>
          </w:tcPr>
          <w:p w14:paraId="3E98EF03"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0.071</w:t>
            </w:r>
          </w:p>
        </w:tc>
        <w:tc>
          <w:tcPr>
            <w:tcW w:w="1022" w:type="dxa"/>
            <w:vAlign w:val="center"/>
          </w:tcPr>
          <w:p w14:paraId="0C1609AE" w14:textId="77777777" w:rsidR="006906F8" w:rsidRPr="00BE3F9C" w:rsidRDefault="006906F8" w:rsidP="00E11E42">
            <w:pPr>
              <w:jc w:val="center"/>
              <w:rPr>
                <w:rFonts w:ascii="Arial" w:hAnsi="Arial" w:cs="Arial"/>
                <w:sz w:val="20"/>
              </w:rPr>
            </w:pPr>
            <w:r w:rsidRPr="00BE3F9C">
              <w:rPr>
                <w:rFonts w:ascii="Arial" w:hAnsi="Arial" w:cs="Arial"/>
                <w:color w:val="000000"/>
                <w:sz w:val="20"/>
              </w:rPr>
              <w:t>0.24</w:t>
            </w:r>
          </w:p>
        </w:tc>
        <w:tc>
          <w:tcPr>
            <w:tcW w:w="1124" w:type="dxa"/>
            <w:vAlign w:val="center"/>
          </w:tcPr>
          <w:p w14:paraId="447E13EE" w14:textId="77777777" w:rsidR="006906F8" w:rsidRPr="00BE3F9C" w:rsidRDefault="006906F8" w:rsidP="00E11E42">
            <w:pPr>
              <w:jc w:val="center"/>
              <w:rPr>
                <w:rFonts w:ascii="Arial" w:hAnsi="Arial" w:cs="Arial"/>
                <w:sz w:val="20"/>
              </w:rPr>
            </w:pPr>
            <w:r w:rsidRPr="00BE3F9C">
              <w:rPr>
                <w:rFonts w:ascii="Arial" w:hAnsi="Arial" w:cs="Arial"/>
                <w:color w:val="000000"/>
                <w:sz w:val="20"/>
              </w:rPr>
              <w:t>3.69</w:t>
            </w:r>
          </w:p>
        </w:tc>
      </w:tr>
      <w:tr w:rsidR="006906F8" w:rsidRPr="00BE3F9C" w14:paraId="05CB150C" w14:textId="77777777" w:rsidTr="00BE3F9C">
        <w:trPr>
          <w:trHeight w:val="454"/>
        </w:trPr>
        <w:tc>
          <w:tcPr>
            <w:tcW w:w="4194" w:type="dxa"/>
            <w:vAlign w:val="center"/>
          </w:tcPr>
          <w:p w14:paraId="35FE2A09" w14:textId="77777777" w:rsidR="006906F8" w:rsidRPr="00BE3F9C" w:rsidRDefault="006906F8" w:rsidP="00BE3F9C">
            <w:pPr>
              <w:rPr>
                <w:rFonts w:ascii="Arial" w:hAnsi="Arial" w:cs="Arial"/>
                <w:sz w:val="20"/>
              </w:rPr>
            </w:pPr>
            <w:r w:rsidRPr="00BE3F9C">
              <w:rPr>
                <w:rFonts w:ascii="Arial" w:hAnsi="Arial" w:cs="Arial"/>
                <w:b/>
                <w:bCs/>
                <w:sz w:val="20"/>
              </w:rPr>
              <w:t>T</w:t>
            </w:r>
            <w:r w:rsidRPr="00BE3F9C">
              <w:rPr>
                <w:rFonts w:ascii="Arial" w:hAnsi="Arial" w:cs="Arial"/>
                <w:b/>
                <w:bCs/>
                <w:sz w:val="20"/>
                <w:vertAlign w:val="subscript"/>
              </w:rPr>
              <w:t>9</w:t>
            </w:r>
            <w:r w:rsidRPr="00BE3F9C">
              <w:rPr>
                <w:rFonts w:ascii="Arial" w:hAnsi="Arial" w:cs="Arial"/>
                <w:b/>
                <w:bCs/>
                <w:sz w:val="20"/>
              </w:rPr>
              <w:t xml:space="preserve">: </w:t>
            </w:r>
            <w:r w:rsidRPr="00BE3F9C">
              <w:rPr>
                <w:rFonts w:ascii="Arial" w:eastAsia="Times New Roman" w:hAnsi="Arial" w:cs="Arial"/>
                <w:sz w:val="20"/>
              </w:rPr>
              <w:t>RDF + Multi micronutrient Grade</w:t>
            </w:r>
            <w:r w:rsidRPr="00BE3F9C">
              <w:rPr>
                <w:rFonts w:ascii="Arial" w:eastAsia="Times New Roman" w:hAnsi="Arial" w:cs="Arial"/>
                <w:sz w:val="20"/>
                <w:vertAlign w:val="superscript"/>
              </w:rPr>
              <w:t>-1</w:t>
            </w:r>
            <w:r w:rsidRPr="00BE3F9C">
              <w:rPr>
                <w:rFonts w:ascii="Arial" w:eastAsia="Times New Roman" w:hAnsi="Arial" w:cs="Arial"/>
                <w:sz w:val="20"/>
              </w:rPr>
              <w:t xml:space="preserve"> @ 25 kg ha</w:t>
            </w:r>
            <w:r w:rsidRPr="00BE3F9C">
              <w:rPr>
                <w:rFonts w:ascii="Arial" w:eastAsia="Times New Roman" w:hAnsi="Arial" w:cs="Arial"/>
                <w:sz w:val="20"/>
                <w:vertAlign w:val="superscript"/>
              </w:rPr>
              <w:t>-1</w:t>
            </w:r>
            <w:r w:rsidRPr="00BE3F9C">
              <w:rPr>
                <w:rFonts w:ascii="Arial" w:eastAsia="Times New Roman" w:hAnsi="Arial" w:cs="Arial"/>
                <w:sz w:val="20"/>
              </w:rPr>
              <w:t xml:space="preserve"> + Multi micronutrient Grade-2 @ 0.2 % at 20 DAS</w:t>
            </w:r>
          </w:p>
        </w:tc>
        <w:tc>
          <w:tcPr>
            <w:tcW w:w="1201" w:type="dxa"/>
            <w:vAlign w:val="center"/>
          </w:tcPr>
          <w:p w14:paraId="729F6C57" w14:textId="77777777" w:rsidR="006906F8" w:rsidRPr="00BE3F9C" w:rsidRDefault="006906F8" w:rsidP="00E11E42">
            <w:pPr>
              <w:jc w:val="center"/>
              <w:rPr>
                <w:rFonts w:ascii="Arial" w:hAnsi="Arial" w:cs="Arial"/>
                <w:sz w:val="20"/>
              </w:rPr>
            </w:pPr>
            <w:r w:rsidRPr="00BE3F9C">
              <w:rPr>
                <w:rFonts w:ascii="Arial" w:hAnsi="Arial" w:cs="Arial"/>
                <w:color w:val="000000"/>
                <w:sz w:val="20"/>
              </w:rPr>
              <w:t>3.464</w:t>
            </w:r>
          </w:p>
        </w:tc>
        <w:tc>
          <w:tcPr>
            <w:tcW w:w="1350" w:type="dxa"/>
            <w:vAlign w:val="center"/>
          </w:tcPr>
          <w:p w14:paraId="690C33F9" w14:textId="77777777" w:rsidR="006906F8" w:rsidRPr="00BE3F9C" w:rsidRDefault="006906F8" w:rsidP="00E11E42">
            <w:pPr>
              <w:jc w:val="center"/>
              <w:rPr>
                <w:rFonts w:ascii="Arial" w:hAnsi="Arial" w:cs="Arial"/>
                <w:sz w:val="20"/>
              </w:rPr>
            </w:pPr>
            <w:r w:rsidRPr="00BE3F9C">
              <w:rPr>
                <w:rFonts w:ascii="Arial" w:hAnsi="Arial" w:cs="Arial"/>
                <w:color w:val="000000"/>
                <w:sz w:val="20"/>
              </w:rPr>
              <w:t>5.754</w:t>
            </w:r>
          </w:p>
        </w:tc>
        <w:tc>
          <w:tcPr>
            <w:tcW w:w="1358" w:type="dxa"/>
            <w:vAlign w:val="center"/>
          </w:tcPr>
          <w:p w14:paraId="1432C6BB" w14:textId="77777777" w:rsidR="006906F8" w:rsidRPr="00BE3F9C" w:rsidRDefault="006906F8" w:rsidP="00E11E42">
            <w:pPr>
              <w:jc w:val="center"/>
              <w:rPr>
                <w:rFonts w:ascii="Arial" w:hAnsi="Arial" w:cs="Arial"/>
                <w:sz w:val="20"/>
              </w:rPr>
            </w:pPr>
            <w:r w:rsidRPr="00BE3F9C">
              <w:rPr>
                <w:rFonts w:ascii="Arial" w:hAnsi="Arial" w:cs="Arial"/>
                <w:color w:val="000000"/>
                <w:sz w:val="20"/>
              </w:rPr>
              <w:t>1.860</w:t>
            </w:r>
          </w:p>
        </w:tc>
        <w:tc>
          <w:tcPr>
            <w:tcW w:w="1304" w:type="dxa"/>
            <w:vAlign w:val="center"/>
          </w:tcPr>
          <w:p w14:paraId="7AFE9D4A" w14:textId="77777777" w:rsidR="006906F8" w:rsidRPr="00BE3F9C" w:rsidRDefault="006906F8" w:rsidP="00E11E42">
            <w:pPr>
              <w:jc w:val="center"/>
              <w:rPr>
                <w:rFonts w:ascii="Arial" w:hAnsi="Arial" w:cs="Arial"/>
                <w:sz w:val="20"/>
              </w:rPr>
            </w:pPr>
            <w:r w:rsidRPr="00BE3F9C">
              <w:rPr>
                <w:rFonts w:ascii="Arial" w:hAnsi="Arial" w:cs="Arial"/>
                <w:color w:val="000000"/>
                <w:sz w:val="20"/>
              </w:rPr>
              <w:t>4.73</w:t>
            </w:r>
          </w:p>
        </w:tc>
        <w:tc>
          <w:tcPr>
            <w:tcW w:w="1303" w:type="dxa"/>
            <w:vAlign w:val="center"/>
          </w:tcPr>
          <w:p w14:paraId="14E52A47" w14:textId="77777777" w:rsidR="006906F8" w:rsidRPr="00BE3F9C" w:rsidRDefault="006906F8" w:rsidP="00E11E42">
            <w:pPr>
              <w:jc w:val="center"/>
              <w:rPr>
                <w:rFonts w:ascii="Arial" w:hAnsi="Arial" w:cs="Arial"/>
                <w:sz w:val="20"/>
              </w:rPr>
            </w:pPr>
            <w:r w:rsidRPr="00BE3F9C">
              <w:rPr>
                <w:rFonts w:ascii="Arial" w:hAnsi="Arial" w:cs="Arial"/>
                <w:color w:val="000000"/>
                <w:sz w:val="20"/>
              </w:rPr>
              <w:t>0.117</w:t>
            </w:r>
          </w:p>
        </w:tc>
        <w:tc>
          <w:tcPr>
            <w:tcW w:w="1304" w:type="dxa"/>
            <w:vAlign w:val="center"/>
          </w:tcPr>
          <w:p w14:paraId="3693AC27" w14:textId="77777777" w:rsidR="006906F8" w:rsidRPr="00BE3F9C" w:rsidRDefault="006906F8" w:rsidP="00E11E42">
            <w:pPr>
              <w:jc w:val="center"/>
              <w:rPr>
                <w:rFonts w:ascii="Arial" w:hAnsi="Arial" w:cs="Arial"/>
                <w:sz w:val="20"/>
              </w:rPr>
            </w:pPr>
            <w:r w:rsidRPr="00BE3F9C">
              <w:rPr>
                <w:rFonts w:ascii="Arial" w:hAnsi="Arial" w:cs="Arial"/>
                <w:color w:val="000000"/>
                <w:sz w:val="20"/>
              </w:rPr>
              <w:t>0.075</w:t>
            </w:r>
          </w:p>
        </w:tc>
        <w:tc>
          <w:tcPr>
            <w:tcW w:w="1022" w:type="dxa"/>
            <w:vAlign w:val="center"/>
          </w:tcPr>
          <w:p w14:paraId="5A401D26" w14:textId="77777777" w:rsidR="006906F8" w:rsidRPr="00BE3F9C" w:rsidRDefault="006906F8" w:rsidP="00E11E42">
            <w:pPr>
              <w:jc w:val="center"/>
              <w:rPr>
                <w:rFonts w:ascii="Arial" w:hAnsi="Arial" w:cs="Arial"/>
                <w:sz w:val="20"/>
              </w:rPr>
            </w:pPr>
            <w:r w:rsidRPr="00BE3F9C">
              <w:rPr>
                <w:rFonts w:ascii="Arial" w:hAnsi="Arial" w:cs="Arial"/>
                <w:color w:val="000000"/>
                <w:sz w:val="20"/>
              </w:rPr>
              <w:t>0.26</w:t>
            </w:r>
          </w:p>
        </w:tc>
        <w:tc>
          <w:tcPr>
            <w:tcW w:w="1124" w:type="dxa"/>
            <w:vAlign w:val="center"/>
          </w:tcPr>
          <w:p w14:paraId="68AB117F" w14:textId="77777777" w:rsidR="006906F8" w:rsidRPr="00BE3F9C" w:rsidRDefault="006906F8" w:rsidP="00E11E42">
            <w:pPr>
              <w:jc w:val="center"/>
              <w:rPr>
                <w:rFonts w:ascii="Arial" w:hAnsi="Arial" w:cs="Arial"/>
                <w:sz w:val="20"/>
              </w:rPr>
            </w:pPr>
            <w:r w:rsidRPr="00BE3F9C">
              <w:rPr>
                <w:rFonts w:ascii="Arial" w:hAnsi="Arial" w:cs="Arial"/>
                <w:color w:val="000000"/>
                <w:sz w:val="20"/>
              </w:rPr>
              <w:t>3.88</w:t>
            </w:r>
          </w:p>
        </w:tc>
      </w:tr>
      <w:tr w:rsidR="006906F8" w:rsidRPr="00BE3F9C" w14:paraId="0473BE3F" w14:textId="77777777" w:rsidTr="00BE3F9C">
        <w:trPr>
          <w:trHeight w:val="454"/>
        </w:trPr>
        <w:tc>
          <w:tcPr>
            <w:tcW w:w="4194" w:type="dxa"/>
            <w:vAlign w:val="center"/>
          </w:tcPr>
          <w:p w14:paraId="5AF33404" w14:textId="286D2581" w:rsidR="006906F8" w:rsidRPr="00BE3F9C" w:rsidRDefault="004F1E8C" w:rsidP="00BE3F9C">
            <w:pPr>
              <w:rPr>
                <w:rFonts w:ascii="Arial" w:hAnsi="Arial" w:cs="Arial"/>
                <w:b/>
                <w:bCs/>
                <w:sz w:val="20"/>
              </w:rPr>
            </w:pPr>
            <w:r>
              <w:rPr>
                <w:rFonts w:ascii="Arial" w:hAnsi="Arial" w:cs="Arial"/>
                <w:b/>
                <w:bCs/>
                <w:sz w:val="20"/>
              </w:rPr>
              <w:t>M</w:t>
            </w:r>
            <w:r w:rsidR="006906F8" w:rsidRPr="00BE3F9C">
              <w:rPr>
                <w:rFonts w:ascii="Arial" w:hAnsi="Arial" w:cs="Arial"/>
                <w:b/>
                <w:bCs/>
                <w:sz w:val="20"/>
              </w:rPr>
              <w:t>ean</w:t>
            </w:r>
          </w:p>
        </w:tc>
        <w:tc>
          <w:tcPr>
            <w:tcW w:w="1201" w:type="dxa"/>
            <w:vAlign w:val="center"/>
          </w:tcPr>
          <w:p w14:paraId="3F1F624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3.550</w:t>
            </w:r>
          </w:p>
        </w:tc>
        <w:tc>
          <w:tcPr>
            <w:tcW w:w="1350" w:type="dxa"/>
            <w:vAlign w:val="center"/>
          </w:tcPr>
          <w:p w14:paraId="320B36E9"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5.769</w:t>
            </w:r>
          </w:p>
        </w:tc>
        <w:tc>
          <w:tcPr>
            <w:tcW w:w="1358" w:type="dxa"/>
            <w:vAlign w:val="center"/>
          </w:tcPr>
          <w:p w14:paraId="734643A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2.062</w:t>
            </w:r>
          </w:p>
        </w:tc>
        <w:tc>
          <w:tcPr>
            <w:tcW w:w="1304" w:type="dxa"/>
            <w:vAlign w:val="center"/>
          </w:tcPr>
          <w:p w14:paraId="699F95D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4.962</w:t>
            </w:r>
          </w:p>
        </w:tc>
        <w:tc>
          <w:tcPr>
            <w:tcW w:w="1303" w:type="dxa"/>
            <w:vAlign w:val="center"/>
          </w:tcPr>
          <w:p w14:paraId="2A456B3F"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0.119</w:t>
            </w:r>
          </w:p>
        </w:tc>
        <w:tc>
          <w:tcPr>
            <w:tcW w:w="1304" w:type="dxa"/>
            <w:vAlign w:val="center"/>
          </w:tcPr>
          <w:p w14:paraId="4430248E"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0.074</w:t>
            </w:r>
          </w:p>
        </w:tc>
        <w:tc>
          <w:tcPr>
            <w:tcW w:w="1022" w:type="dxa"/>
            <w:vAlign w:val="center"/>
          </w:tcPr>
          <w:p w14:paraId="05F73F2B"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1.68</w:t>
            </w:r>
          </w:p>
        </w:tc>
        <w:tc>
          <w:tcPr>
            <w:tcW w:w="1124" w:type="dxa"/>
            <w:vAlign w:val="center"/>
          </w:tcPr>
          <w:p w14:paraId="793F1774" w14:textId="77777777" w:rsidR="006906F8" w:rsidRPr="00BE3F9C" w:rsidRDefault="006906F8" w:rsidP="00E11E42">
            <w:pPr>
              <w:jc w:val="center"/>
              <w:rPr>
                <w:rFonts w:ascii="Arial" w:hAnsi="Arial" w:cs="Arial"/>
                <w:b/>
                <w:bCs/>
                <w:sz w:val="20"/>
              </w:rPr>
            </w:pPr>
            <w:r w:rsidRPr="00BE3F9C">
              <w:rPr>
                <w:rFonts w:ascii="Arial" w:hAnsi="Arial" w:cs="Arial"/>
                <w:b/>
                <w:bCs/>
                <w:color w:val="000000"/>
                <w:sz w:val="20"/>
              </w:rPr>
              <w:t>3.96</w:t>
            </w:r>
          </w:p>
        </w:tc>
      </w:tr>
    </w:tbl>
    <w:p w14:paraId="6624E646" w14:textId="77777777" w:rsidR="00674EA2" w:rsidRPr="00E11E42" w:rsidRDefault="00674EA2" w:rsidP="00E11E42">
      <w:pPr>
        <w:spacing w:line="240" w:lineRule="auto"/>
        <w:rPr>
          <w:rFonts w:ascii="Arial" w:hAnsi="Arial" w:cs="Arial"/>
          <w:szCs w:val="22"/>
        </w:rPr>
      </w:pPr>
    </w:p>
    <w:p w14:paraId="3DD6B43F" w14:textId="77777777" w:rsidR="006906F8" w:rsidRPr="00E11E42" w:rsidRDefault="006906F8" w:rsidP="00E11E42">
      <w:pPr>
        <w:spacing w:line="240" w:lineRule="auto"/>
        <w:rPr>
          <w:rFonts w:ascii="Arial" w:hAnsi="Arial" w:cs="Arial"/>
          <w:szCs w:val="22"/>
        </w:rPr>
      </w:pPr>
    </w:p>
    <w:p w14:paraId="1F55B47E" w14:textId="77777777" w:rsidR="006906F8" w:rsidRPr="00E11E42" w:rsidRDefault="006906F8" w:rsidP="00E11E42">
      <w:pPr>
        <w:spacing w:line="240" w:lineRule="auto"/>
        <w:rPr>
          <w:rFonts w:ascii="Arial" w:hAnsi="Arial" w:cs="Arial"/>
          <w:szCs w:val="22"/>
        </w:rPr>
      </w:pPr>
    </w:p>
    <w:p w14:paraId="543D4281" w14:textId="77777777" w:rsidR="006906F8" w:rsidRPr="00E11E42" w:rsidRDefault="006906F8" w:rsidP="00E11E42">
      <w:pPr>
        <w:spacing w:line="240" w:lineRule="auto"/>
        <w:rPr>
          <w:rFonts w:ascii="Arial" w:hAnsi="Arial" w:cs="Arial"/>
          <w:szCs w:val="22"/>
        </w:rPr>
      </w:pPr>
    </w:p>
    <w:p w14:paraId="772F803D" w14:textId="77777777" w:rsidR="006906F8" w:rsidRPr="00E11E42" w:rsidRDefault="006906F8" w:rsidP="00E11E42">
      <w:pPr>
        <w:spacing w:line="240" w:lineRule="auto"/>
        <w:rPr>
          <w:rFonts w:ascii="Arial" w:hAnsi="Arial" w:cs="Arial"/>
          <w:szCs w:val="22"/>
        </w:rPr>
        <w:sectPr w:rsidR="006906F8" w:rsidRPr="00E11E42" w:rsidSect="006906F8">
          <w:pgSz w:w="16838" w:h="11906" w:orient="landscape"/>
          <w:pgMar w:top="1440" w:right="1440" w:bottom="1440" w:left="1440" w:header="708" w:footer="708" w:gutter="0"/>
          <w:cols w:space="708"/>
          <w:docGrid w:linePitch="360"/>
        </w:sectPr>
      </w:pPr>
    </w:p>
    <w:p w14:paraId="1408679F" w14:textId="28849B84" w:rsidR="006906F8" w:rsidRPr="00E11E42" w:rsidRDefault="00996207" w:rsidP="00996207">
      <w:pPr>
        <w:spacing w:after="0" w:line="240" w:lineRule="auto"/>
        <w:ind w:left="720" w:hanging="720"/>
        <w:jc w:val="both"/>
        <w:rPr>
          <w:rFonts w:ascii="Arial" w:hAnsi="Arial" w:cs="Arial"/>
          <w:b/>
          <w:bCs/>
          <w:szCs w:val="22"/>
        </w:rPr>
      </w:pPr>
      <w:r>
        <w:rPr>
          <w:rFonts w:ascii="Arial" w:hAnsi="Arial" w:cs="Arial"/>
          <w:b/>
          <w:bCs/>
          <w:szCs w:val="22"/>
        </w:rPr>
        <w:lastRenderedPageBreak/>
        <w:t>3.2</w:t>
      </w:r>
      <w:r>
        <w:rPr>
          <w:rFonts w:ascii="Arial" w:hAnsi="Arial" w:cs="Arial"/>
          <w:b/>
          <w:bCs/>
          <w:szCs w:val="22"/>
        </w:rPr>
        <w:tab/>
      </w:r>
      <w:r w:rsidR="006906F8" w:rsidRPr="00E11E42">
        <w:rPr>
          <w:rFonts w:ascii="Arial" w:hAnsi="Arial" w:cs="Arial"/>
          <w:b/>
          <w:bCs/>
          <w:szCs w:val="22"/>
        </w:rPr>
        <w:t xml:space="preserve">Effect of recommended dose of fertilizer and micronutrients on yield and quality parameters of sunflower </w:t>
      </w:r>
    </w:p>
    <w:p w14:paraId="217BF982" w14:textId="09CE00EA" w:rsidR="006906F8" w:rsidRPr="00996207" w:rsidRDefault="00996207" w:rsidP="00E11E42">
      <w:pPr>
        <w:spacing w:before="240" w:line="240" w:lineRule="auto"/>
        <w:rPr>
          <w:rFonts w:ascii="Arial" w:hAnsi="Arial" w:cs="Arial"/>
          <w:b/>
          <w:bCs/>
          <w:sz w:val="20"/>
          <w:u w:val="single"/>
        </w:rPr>
      </w:pPr>
      <w:r w:rsidRPr="00996207">
        <w:rPr>
          <w:rFonts w:ascii="Arial" w:hAnsi="Arial" w:cs="Arial"/>
          <w:b/>
          <w:bCs/>
          <w:sz w:val="20"/>
          <w:u w:val="single"/>
        </w:rPr>
        <w:t xml:space="preserve">3.2.1 </w:t>
      </w:r>
      <w:r w:rsidR="006906F8" w:rsidRPr="00996207">
        <w:rPr>
          <w:rFonts w:ascii="Arial" w:hAnsi="Arial" w:cs="Arial"/>
          <w:b/>
          <w:bCs/>
          <w:sz w:val="20"/>
          <w:u w:val="single"/>
        </w:rPr>
        <w:t>Test weight and seed yield</w:t>
      </w:r>
    </w:p>
    <w:p w14:paraId="2C1FB34A" w14:textId="3D5501CB" w:rsidR="006906F8" w:rsidRPr="00996207" w:rsidRDefault="006906F8" w:rsidP="00996207">
      <w:pPr>
        <w:spacing w:line="240" w:lineRule="auto"/>
        <w:jc w:val="both"/>
        <w:rPr>
          <w:rFonts w:ascii="Arial" w:hAnsi="Arial" w:cs="Arial"/>
          <w:sz w:val="20"/>
        </w:rPr>
      </w:pPr>
      <w:r w:rsidRPr="00996207">
        <w:rPr>
          <w:rFonts w:ascii="Arial" w:hAnsi="Arial" w:cs="Arial"/>
          <w:sz w:val="20"/>
        </w:rPr>
        <w:t>The data presented in Table 2 revealed that yield attributes, seed yield, oil content, and oil yield of the crop were markedly influenced by different nutrient management treatments. Test weight varied from 52.00 g in the control (T</w:t>
      </w:r>
      <w:r w:rsidRPr="00996207">
        <w:rPr>
          <w:rFonts w:ascii="Arial" w:hAnsi="Arial" w:cs="Arial"/>
          <w:sz w:val="20"/>
          <w:vertAlign w:val="subscript"/>
        </w:rPr>
        <w:t>1</w:t>
      </w:r>
      <w:r w:rsidRPr="00996207">
        <w:rPr>
          <w:rFonts w:ascii="Arial" w:hAnsi="Arial" w:cs="Arial"/>
          <w:sz w:val="20"/>
        </w:rPr>
        <w:t>) to 66.97 g under T</w:t>
      </w:r>
      <w:r w:rsidRPr="00996207">
        <w:rPr>
          <w:rFonts w:ascii="Arial" w:hAnsi="Arial" w:cs="Arial"/>
          <w:sz w:val="20"/>
          <w:vertAlign w:val="subscript"/>
        </w:rPr>
        <w:t>6</w:t>
      </w:r>
      <w:r w:rsidRPr="00996207">
        <w:rPr>
          <w:rFonts w:ascii="Arial" w:hAnsi="Arial" w:cs="Arial"/>
          <w:sz w:val="20"/>
        </w:rPr>
        <w:t xml:space="preserve"> (RDF + ZnSO</w:t>
      </w:r>
      <w:r w:rsidRPr="00996207">
        <w:rPr>
          <w:rFonts w:ascii="Cambria Math" w:hAnsi="Cambria Math" w:cs="Cambria Math"/>
          <w:sz w:val="20"/>
        </w:rPr>
        <w:t>₄</w:t>
      </w:r>
      <w:r w:rsidRPr="00996207">
        <w:rPr>
          <w:rFonts w:ascii="Arial" w:hAnsi="Arial" w:cs="Arial"/>
          <w:sz w:val="20"/>
        </w:rPr>
        <w:t xml:space="preserve"> + FeSO</w:t>
      </w:r>
      <w:r w:rsidRPr="00996207">
        <w:rPr>
          <w:rFonts w:ascii="Cambria Math" w:hAnsi="Cambria Math" w:cs="Cambria Math"/>
          <w:sz w:val="20"/>
        </w:rPr>
        <w:t>₄</w:t>
      </w:r>
      <w:r w:rsidRPr="00996207">
        <w:rPr>
          <w:rFonts w:ascii="Arial" w:hAnsi="Arial" w:cs="Arial"/>
          <w:sz w:val="20"/>
        </w:rPr>
        <w:t xml:space="preserve"> + Borax). Although higher test weight values were recorded with micronutrient application in combination with RDF, particularly under T</w:t>
      </w:r>
      <w:r w:rsidRPr="00996207">
        <w:rPr>
          <w:rFonts w:ascii="Arial" w:hAnsi="Arial" w:cs="Arial"/>
          <w:sz w:val="20"/>
          <w:vertAlign w:val="subscript"/>
        </w:rPr>
        <w:t>6</w:t>
      </w:r>
      <w:r w:rsidRPr="00996207">
        <w:rPr>
          <w:rFonts w:ascii="Arial" w:hAnsi="Arial" w:cs="Arial"/>
          <w:sz w:val="20"/>
        </w:rPr>
        <w:t xml:space="preserve"> (66.97 g) and T</w:t>
      </w:r>
      <w:r w:rsidRPr="00996207">
        <w:rPr>
          <w:rFonts w:ascii="Arial" w:hAnsi="Arial" w:cs="Arial"/>
          <w:sz w:val="20"/>
          <w:vertAlign w:val="subscript"/>
        </w:rPr>
        <w:t>5</w:t>
      </w:r>
      <w:r w:rsidRPr="00996207">
        <w:rPr>
          <w:rFonts w:ascii="Arial" w:hAnsi="Arial" w:cs="Arial"/>
          <w:sz w:val="20"/>
        </w:rPr>
        <w:t xml:space="preserve"> (66.53 g), the differences among treatments were non-significant, as indicated by the CD at 5% level. This suggests that seed weight was relatively less responsive to nutrient treatments compared to yield parameters. Seed yield was significantly influenced by nutrient management practices. The lowest seed yield was recorded in the control (771 kg ha</w:t>
      </w:r>
      <w:r w:rsidRPr="00996207">
        <w:rPr>
          <w:rFonts w:ascii="Cambria Math" w:hAnsi="Cambria Math" w:cs="Cambria Math"/>
          <w:sz w:val="20"/>
        </w:rPr>
        <w:t>⁻</w:t>
      </w:r>
      <w:r w:rsidRPr="00996207">
        <w:rPr>
          <w:rFonts w:ascii="Arial" w:hAnsi="Arial" w:cs="Arial"/>
          <w:sz w:val="20"/>
        </w:rPr>
        <w:t>¹), while the highest yield was obtained under T</w:t>
      </w:r>
      <w:r w:rsidRPr="00996207">
        <w:rPr>
          <w:rFonts w:ascii="Arial" w:hAnsi="Arial" w:cs="Arial"/>
          <w:sz w:val="20"/>
          <w:vertAlign w:val="subscript"/>
        </w:rPr>
        <w:t>6</w:t>
      </w:r>
      <w:r w:rsidRPr="00996207">
        <w:rPr>
          <w:rFonts w:ascii="Arial" w:hAnsi="Arial" w:cs="Arial"/>
          <w:sz w:val="20"/>
        </w:rPr>
        <w:t xml:space="preserve"> (1791 kg ha</w:t>
      </w:r>
      <w:r w:rsidRPr="00996207">
        <w:rPr>
          <w:rFonts w:ascii="Cambria Math" w:hAnsi="Cambria Math" w:cs="Cambria Math"/>
          <w:sz w:val="20"/>
        </w:rPr>
        <w:t>⁻</w:t>
      </w:r>
      <w:r w:rsidRPr="00996207">
        <w:rPr>
          <w:rFonts w:ascii="Arial" w:hAnsi="Arial" w:cs="Arial"/>
          <w:sz w:val="20"/>
        </w:rPr>
        <w:t>¹), which was statistically superior to the control and on par with other micronutrient-treated plots</w:t>
      </w:r>
      <w:r w:rsidR="00791D6D">
        <w:rPr>
          <w:rFonts w:ascii="Arial" w:hAnsi="Arial" w:cs="Arial"/>
          <w:sz w:val="20"/>
        </w:rPr>
        <w:t xml:space="preserve"> (T</w:t>
      </w:r>
      <w:r w:rsidR="00791D6D">
        <w:rPr>
          <w:rFonts w:ascii="Arial" w:hAnsi="Arial" w:cs="Arial"/>
          <w:sz w:val="20"/>
          <w:vertAlign w:val="subscript"/>
        </w:rPr>
        <w:t xml:space="preserve">5 </w:t>
      </w:r>
      <w:r w:rsidR="00791D6D">
        <w:rPr>
          <w:rFonts w:ascii="Arial" w:hAnsi="Arial" w:cs="Arial"/>
          <w:sz w:val="20"/>
        </w:rPr>
        <w:t>and T</w:t>
      </w:r>
      <w:r w:rsidR="00791D6D">
        <w:rPr>
          <w:rFonts w:ascii="Arial" w:hAnsi="Arial" w:cs="Arial"/>
          <w:sz w:val="20"/>
          <w:vertAlign w:val="subscript"/>
        </w:rPr>
        <w:t>3</w:t>
      </w:r>
      <w:r w:rsidR="00791D6D">
        <w:rPr>
          <w:rFonts w:ascii="Arial" w:hAnsi="Arial" w:cs="Arial"/>
          <w:sz w:val="20"/>
        </w:rPr>
        <w:t>)</w:t>
      </w:r>
      <w:r w:rsidRPr="00996207">
        <w:rPr>
          <w:rFonts w:ascii="Arial" w:hAnsi="Arial" w:cs="Arial"/>
          <w:sz w:val="20"/>
        </w:rPr>
        <w:t>. Application of RDF alone (T</w:t>
      </w:r>
      <w:r w:rsidRPr="00996207">
        <w:rPr>
          <w:rFonts w:ascii="Arial" w:hAnsi="Arial" w:cs="Arial"/>
          <w:sz w:val="20"/>
          <w:vertAlign w:val="subscript"/>
        </w:rPr>
        <w:t>2</w:t>
      </w:r>
      <w:r w:rsidRPr="00996207">
        <w:rPr>
          <w:rFonts w:ascii="Arial" w:hAnsi="Arial" w:cs="Arial"/>
          <w:sz w:val="20"/>
        </w:rPr>
        <w:t>) significantly increased seed yield (1179 kg ha</w:t>
      </w:r>
      <w:r w:rsidRPr="00996207">
        <w:rPr>
          <w:rFonts w:ascii="Cambria Math" w:hAnsi="Cambria Math" w:cs="Cambria Math"/>
          <w:sz w:val="20"/>
        </w:rPr>
        <w:t>⁻</w:t>
      </w:r>
      <w:r w:rsidRPr="00996207">
        <w:rPr>
          <w:rFonts w:ascii="Arial" w:hAnsi="Arial" w:cs="Arial"/>
          <w:sz w:val="20"/>
        </w:rPr>
        <w:t>¹) over control, whereas the addition of individual micronutrients such as Zn, Fe, or B further enhanced seed yield, with T</w:t>
      </w:r>
      <w:r w:rsidRPr="00996207">
        <w:rPr>
          <w:rFonts w:ascii="Arial" w:hAnsi="Arial" w:cs="Arial"/>
          <w:sz w:val="20"/>
          <w:vertAlign w:val="subscript"/>
        </w:rPr>
        <w:t>5</w:t>
      </w:r>
      <w:r w:rsidRPr="00996207">
        <w:rPr>
          <w:rFonts w:ascii="Arial" w:hAnsi="Arial" w:cs="Arial"/>
          <w:sz w:val="20"/>
        </w:rPr>
        <w:t xml:space="preserve"> (1612 kg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(1565 kg ha</w:t>
      </w:r>
      <w:r w:rsidRPr="00996207">
        <w:rPr>
          <w:rFonts w:ascii="Cambria Math" w:hAnsi="Cambria Math" w:cs="Cambria Math"/>
          <w:sz w:val="20"/>
        </w:rPr>
        <w:t>⁻</w:t>
      </w:r>
      <w:r w:rsidRPr="00996207">
        <w:rPr>
          <w:rFonts w:ascii="Arial" w:hAnsi="Arial" w:cs="Arial"/>
          <w:sz w:val="20"/>
        </w:rPr>
        <w:t>¹) showing substantial improvements. The critical difference (CD = 230 kg ha</w:t>
      </w:r>
      <w:r w:rsidRPr="00996207">
        <w:rPr>
          <w:rFonts w:ascii="Cambria Math" w:hAnsi="Cambria Math" w:cs="Cambria Math"/>
          <w:sz w:val="20"/>
        </w:rPr>
        <w:t>⁻</w:t>
      </w:r>
      <w:r w:rsidRPr="00996207">
        <w:rPr>
          <w:rFonts w:ascii="Arial" w:hAnsi="Arial" w:cs="Arial"/>
          <w:sz w:val="20"/>
        </w:rPr>
        <w:t xml:space="preserve">¹) indicated that treatments receiving combined micronutrients produced significantly higher seed yield than RDF alone. Zinc and boron play a very important role in quantitative and qualitative development of plants which results in higher seed weight. </w:t>
      </w:r>
      <w:r w:rsidR="00791D6D">
        <w:rPr>
          <w:rFonts w:ascii="Arial" w:hAnsi="Arial" w:cs="Arial"/>
          <w:sz w:val="20"/>
        </w:rPr>
        <w:t>A</w:t>
      </w:r>
      <w:r w:rsidRPr="00996207">
        <w:rPr>
          <w:rFonts w:ascii="Arial" w:hAnsi="Arial" w:cs="Arial"/>
          <w:sz w:val="20"/>
        </w:rPr>
        <w:t xml:space="preserve">pplication of zinc promotes reproduction and development of seed </w:t>
      </w:r>
      <w:r w:rsidR="00791D6D">
        <w:rPr>
          <w:rFonts w:ascii="Arial" w:hAnsi="Arial" w:cs="Arial"/>
          <w:sz w:val="20"/>
        </w:rPr>
        <w:t>(</w:t>
      </w:r>
      <w:r w:rsidR="00791D6D" w:rsidRPr="00996207">
        <w:rPr>
          <w:rFonts w:ascii="Arial" w:hAnsi="Arial" w:cs="Arial"/>
          <w:sz w:val="20"/>
        </w:rPr>
        <w:t xml:space="preserve">Baloch </w:t>
      </w:r>
      <w:r w:rsidR="00791D6D" w:rsidRPr="00996207">
        <w:rPr>
          <w:rFonts w:ascii="Arial" w:hAnsi="Arial" w:cs="Arial"/>
          <w:i/>
          <w:iCs/>
          <w:sz w:val="20"/>
        </w:rPr>
        <w:t>et al</w:t>
      </w:r>
      <w:r w:rsidR="00791D6D" w:rsidRPr="00996207">
        <w:rPr>
          <w:rFonts w:ascii="Arial" w:hAnsi="Arial" w:cs="Arial"/>
          <w:sz w:val="20"/>
        </w:rPr>
        <w:t>.</w:t>
      </w:r>
      <w:r w:rsidR="00791D6D">
        <w:rPr>
          <w:rFonts w:ascii="Arial" w:hAnsi="Arial" w:cs="Arial"/>
          <w:sz w:val="20"/>
        </w:rPr>
        <w:t xml:space="preserve">, </w:t>
      </w:r>
      <w:r w:rsidR="00791D6D" w:rsidRPr="00996207">
        <w:rPr>
          <w:rFonts w:ascii="Arial" w:hAnsi="Arial" w:cs="Arial"/>
          <w:sz w:val="20"/>
        </w:rPr>
        <w:t>2015</w:t>
      </w:r>
      <w:r w:rsidR="00791D6D">
        <w:rPr>
          <w:rFonts w:ascii="Arial" w:hAnsi="Arial" w:cs="Arial"/>
          <w:sz w:val="20"/>
        </w:rPr>
        <w:t>;</w:t>
      </w:r>
      <w:r w:rsidR="00791D6D" w:rsidRPr="00996207">
        <w:rPr>
          <w:rFonts w:ascii="Arial" w:hAnsi="Arial" w:cs="Arial"/>
          <w:sz w:val="20"/>
        </w:rPr>
        <w:t xml:space="preserve"> </w:t>
      </w:r>
      <w:r w:rsidRPr="00996207">
        <w:rPr>
          <w:rFonts w:ascii="Arial" w:hAnsi="Arial" w:cs="Arial"/>
          <w:sz w:val="20"/>
        </w:rPr>
        <w:t>Lotha and Dawson</w:t>
      </w:r>
      <w:r w:rsidR="00791D6D">
        <w:rPr>
          <w:rFonts w:ascii="Arial" w:hAnsi="Arial" w:cs="Arial"/>
          <w:sz w:val="20"/>
        </w:rPr>
        <w:t xml:space="preserve">, </w:t>
      </w:r>
      <w:r w:rsidRPr="00996207">
        <w:rPr>
          <w:rFonts w:ascii="Arial" w:hAnsi="Arial" w:cs="Arial"/>
          <w:sz w:val="20"/>
        </w:rPr>
        <w:t xml:space="preserve">2021). Farokhi </w:t>
      </w:r>
      <w:r w:rsidRPr="00996207">
        <w:rPr>
          <w:rFonts w:ascii="Arial" w:hAnsi="Arial" w:cs="Arial"/>
          <w:i/>
          <w:iCs/>
          <w:sz w:val="20"/>
        </w:rPr>
        <w:t xml:space="preserve">et al. </w:t>
      </w:r>
      <w:r w:rsidRPr="00996207">
        <w:rPr>
          <w:rFonts w:ascii="Arial" w:hAnsi="Arial" w:cs="Arial"/>
          <w:sz w:val="20"/>
        </w:rPr>
        <w:t>(2014) reported that consumption of FeSO</w:t>
      </w:r>
      <w:r w:rsidRPr="00996207">
        <w:rPr>
          <w:rFonts w:ascii="Arial" w:hAnsi="Arial" w:cs="Arial"/>
          <w:sz w:val="20"/>
          <w:vertAlign w:val="subscript"/>
        </w:rPr>
        <w:t>4</w:t>
      </w:r>
      <w:r w:rsidRPr="00996207">
        <w:rPr>
          <w:rFonts w:ascii="Arial" w:hAnsi="Arial" w:cs="Arial"/>
          <w:sz w:val="20"/>
        </w:rPr>
        <w:t>, ZnSO</w:t>
      </w:r>
      <w:r w:rsidRPr="00996207">
        <w:rPr>
          <w:rFonts w:ascii="Arial" w:hAnsi="Arial" w:cs="Arial"/>
          <w:sz w:val="20"/>
          <w:vertAlign w:val="subscript"/>
        </w:rPr>
        <w:t>4</w:t>
      </w:r>
      <w:r w:rsidRPr="00996207">
        <w:rPr>
          <w:rFonts w:ascii="Arial" w:hAnsi="Arial" w:cs="Arial"/>
          <w:sz w:val="20"/>
        </w:rPr>
        <w:t xml:space="preserve"> and boron either single or combined had optimistic effect on plant height and head diameter. Ravikumar </w:t>
      </w:r>
      <w:r w:rsidRPr="00F93186">
        <w:rPr>
          <w:rFonts w:ascii="Arial" w:hAnsi="Arial" w:cs="Arial"/>
          <w:i/>
          <w:iCs/>
          <w:sz w:val="20"/>
        </w:rPr>
        <w:t xml:space="preserve">et al. </w:t>
      </w:r>
      <w:r w:rsidR="00F93186">
        <w:rPr>
          <w:rFonts w:ascii="Arial" w:hAnsi="Arial" w:cs="Arial"/>
          <w:sz w:val="20"/>
        </w:rPr>
        <w:t>(</w:t>
      </w:r>
      <w:r w:rsidRPr="00996207">
        <w:rPr>
          <w:rFonts w:ascii="Arial" w:hAnsi="Arial" w:cs="Arial"/>
          <w:sz w:val="20"/>
        </w:rPr>
        <w:t>2021</w:t>
      </w:r>
      <w:r w:rsidR="00F93186">
        <w:rPr>
          <w:rFonts w:ascii="Arial" w:hAnsi="Arial" w:cs="Arial"/>
          <w:sz w:val="20"/>
        </w:rPr>
        <w:t>)</w:t>
      </w:r>
      <w:r w:rsidRPr="00996207">
        <w:rPr>
          <w:rFonts w:ascii="Arial" w:hAnsi="Arial" w:cs="Arial"/>
          <w:sz w:val="20"/>
        </w:rPr>
        <w:t>, also confirmed that the application of micronutrients (Zn and B) with the RDF showed significant effect on the seed yield of sunflower as compared to the application RDF alone.</w:t>
      </w:r>
    </w:p>
    <w:p w14:paraId="572DE729" w14:textId="6EDA74BA" w:rsidR="006906F8" w:rsidRPr="00996207" w:rsidRDefault="00996207" w:rsidP="00E11E42">
      <w:pPr>
        <w:spacing w:before="240" w:line="240" w:lineRule="auto"/>
        <w:jc w:val="both"/>
        <w:rPr>
          <w:rFonts w:ascii="Arial" w:hAnsi="Arial" w:cs="Arial"/>
          <w:b/>
          <w:bCs/>
          <w:sz w:val="20"/>
          <w:u w:val="single"/>
        </w:rPr>
      </w:pPr>
      <w:r w:rsidRPr="00996207">
        <w:rPr>
          <w:rFonts w:ascii="Arial" w:hAnsi="Arial" w:cs="Arial"/>
          <w:b/>
          <w:bCs/>
          <w:sz w:val="20"/>
          <w:u w:val="single"/>
        </w:rPr>
        <w:t xml:space="preserve">3.2.2 </w:t>
      </w:r>
      <w:r w:rsidR="006906F8" w:rsidRPr="00996207">
        <w:rPr>
          <w:rFonts w:ascii="Arial" w:hAnsi="Arial" w:cs="Arial"/>
          <w:b/>
          <w:bCs/>
          <w:sz w:val="20"/>
          <w:u w:val="single"/>
        </w:rPr>
        <w:t xml:space="preserve">Oil content and oil yield </w:t>
      </w:r>
    </w:p>
    <w:p w14:paraId="170A0276" w14:textId="77777777" w:rsidR="006906F8" w:rsidRDefault="006906F8" w:rsidP="00996207">
      <w:pPr>
        <w:spacing w:line="240" w:lineRule="auto"/>
        <w:jc w:val="both"/>
        <w:rPr>
          <w:rFonts w:ascii="Arial" w:hAnsi="Arial" w:cs="Arial"/>
          <w:sz w:val="20"/>
        </w:rPr>
      </w:pPr>
      <w:r w:rsidRPr="00996207">
        <w:rPr>
          <w:rFonts w:ascii="Arial" w:hAnsi="Arial" w:cs="Arial"/>
          <w:sz w:val="20"/>
        </w:rPr>
        <w:t>Oil content ranged from 29.14% in the control to 31.80% under T</w:t>
      </w:r>
      <w:r w:rsidRPr="00996207">
        <w:rPr>
          <w:rFonts w:ascii="Arial" w:hAnsi="Arial" w:cs="Arial"/>
          <w:sz w:val="20"/>
          <w:vertAlign w:val="subscript"/>
        </w:rPr>
        <w:t>6</w:t>
      </w:r>
      <w:r w:rsidRPr="00996207">
        <w:rPr>
          <w:rFonts w:ascii="Arial" w:hAnsi="Arial" w:cs="Arial"/>
          <w:sz w:val="20"/>
        </w:rPr>
        <w:t>. Although a numerical increase in oil content was observed with micronutrient application, especially under combined and individual micronutrient treatments, the variation among treatments was non-significant at the 5% level, indicating that oil concentration in seed was comparatively stable across treatments. In contrast, oil yield (kg ha</w:t>
      </w:r>
      <w:r w:rsidRPr="00996207">
        <w:rPr>
          <w:rFonts w:ascii="Cambria Math" w:hAnsi="Cambria Math" w:cs="Cambria Math"/>
          <w:sz w:val="20"/>
        </w:rPr>
        <w:t>⁻</w:t>
      </w:r>
      <w:r w:rsidRPr="00996207">
        <w:rPr>
          <w:rFonts w:ascii="Arial" w:hAnsi="Arial" w:cs="Arial"/>
          <w:sz w:val="20"/>
        </w:rPr>
        <w:t>¹) was significantly affected by nutrient management, primarily due to differences in seed yield. The highest oil yield was recorded under T</w:t>
      </w:r>
      <w:r w:rsidRPr="00996207">
        <w:rPr>
          <w:rFonts w:ascii="Arial" w:hAnsi="Arial" w:cs="Arial"/>
          <w:sz w:val="20"/>
          <w:vertAlign w:val="subscript"/>
        </w:rPr>
        <w:t>6</w:t>
      </w:r>
      <w:r w:rsidRPr="00996207">
        <w:rPr>
          <w:rFonts w:ascii="Arial" w:hAnsi="Arial" w:cs="Arial"/>
          <w:sz w:val="20"/>
        </w:rPr>
        <w:t xml:space="preserve"> (569 kg ha</w:t>
      </w:r>
      <w:r w:rsidRPr="00996207">
        <w:rPr>
          <w:rFonts w:ascii="Cambria Math" w:hAnsi="Cambria Math" w:cs="Cambria Math"/>
          <w:sz w:val="20"/>
        </w:rPr>
        <w:t>⁻</w:t>
      </w:r>
      <w:r w:rsidRPr="00996207">
        <w:rPr>
          <w:rFonts w:ascii="Arial" w:hAnsi="Arial" w:cs="Arial"/>
          <w:sz w:val="20"/>
        </w:rPr>
        <w:t>¹), followed by T</w:t>
      </w:r>
      <w:r w:rsidRPr="00996207">
        <w:rPr>
          <w:rFonts w:ascii="Arial" w:hAnsi="Arial" w:cs="Arial"/>
          <w:sz w:val="20"/>
          <w:vertAlign w:val="subscript"/>
        </w:rPr>
        <w:t>5</w:t>
      </w:r>
      <w:r w:rsidRPr="00996207">
        <w:rPr>
          <w:rFonts w:ascii="Arial" w:hAnsi="Arial" w:cs="Arial"/>
          <w:sz w:val="20"/>
        </w:rPr>
        <w:t xml:space="preserve"> (507 kg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(489 kg ha</w:t>
      </w:r>
      <w:r w:rsidRPr="00996207">
        <w:rPr>
          <w:rFonts w:ascii="Cambria Math" w:hAnsi="Cambria Math" w:cs="Cambria Math"/>
          <w:sz w:val="20"/>
        </w:rPr>
        <w:t>⁻</w:t>
      </w:r>
      <w:r w:rsidRPr="00996207">
        <w:rPr>
          <w:rFonts w:ascii="Arial" w:hAnsi="Arial" w:cs="Arial"/>
          <w:sz w:val="20"/>
        </w:rPr>
        <w:t>¹), while the lowest oil yield was observed in the control (223 kg ha</w:t>
      </w:r>
      <w:r w:rsidRPr="00996207">
        <w:rPr>
          <w:rFonts w:ascii="Cambria Math" w:hAnsi="Cambria Math" w:cs="Cambria Math"/>
          <w:sz w:val="20"/>
        </w:rPr>
        <w:t>⁻</w:t>
      </w:r>
      <w:r w:rsidRPr="00996207">
        <w:rPr>
          <w:rFonts w:ascii="Arial" w:hAnsi="Arial" w:cs="Arial"/>
          <w:sz w:val="20"/>
        </w:rPr>
        <w:t>¹). The critical difference value (CD = 93 kg ha</w:t>
      </w:r>
      <w:r w:rsidRPr="00996207">
        <w:rPr>
          <w:rFonts w:ascii="Cambria Math" w:hAnsi="Cambria Math" w:cs="Cambria Math"/>
          <w:sz w:val="20"/>
        </w:rPr>
        <w:t>⁻</w:t>
      </w:r>
      <w:r w:rsidRPr="00996207">
        <w:rPr>
          <w:rFonts w:ascii="Arial" w:hAnsi="Arial" w:cs="Arial"/>
          <w:sz w:val="20"/>
        </w:rPr>
        <w:t>¹) indicated a significant superiority of combined micronutrient application over RDF alone and control treatments. Overall, the results clearly demonstrate that combined application of RDF with Zn, Fe, and B (T</w:t>
      </w:r>
      <w:r w:rsidRPr="00996207">
        <w:rPr>
          <w:rFonts w:ascii="Arial" w:hAnsi="Arial" w:cs="Arial"/>
          <w:sz w:val="20"/>
          <w:vertAlign w:val="subscript"/>
        </w:rPr>
        <w:t>6</w:t>
      </w:r>
      <w:r w:rsidRPr="00996207">
        <w:rPr>
          <w:rFonts w:ascii="Arial" w:hAnsi="Arial" w:cs="Arial"/>
          <w:sz w:val="20"/>
        </w:rPr>
        <w:t xml:space="preserve">) was most effective in improving seed yield and oil yield, while test weight and oil content remained statistically unaffected by nutrient treatments. Rahul </w:t>
      </w:r>
      <w:r w:rsidRPr="00996207">
        <w:rPr>
          <w:rFonts w:ascii="Arial" w:hAnsi="Arial" w:cs="Arial"/>
          <w:i/>
          <w:iCs/>
          <w:sz w:val="20"/>
        </w:rPr>
        <w:t>et al</w:t>
      </w:r>
      <w:r w:rsidRPr="00996207">
        <w:rPr>
          <w:rFonts w:ascii="Arial" w:hAnsi="Arial" w:cs="Arial"/>
          <w:sz w:val="20"/>
        </w:rPr>
        <w:t xml:space="preserve">. (2021) revealed that the application of boron along with macronutrients improved oil content, which consequently contributed to higher oil yield in sunflower. The seed oil content is an important parameter of sunflower (Kundu </w:t>
      </w:r>
      <w:r w:rsidRPr="00996207">
        <w:rPr>
          <w:rFonts w:ascii="Arial" w:hAnsi="Arial" w:cs="Arial"/>
          <w:i/>
          <w:iCs/>
          <w:sz w:val="20"/>
        </w:rPr>
        <w:t>et al</w:t>
      </w:r>
      <w:r w:rsidRPr="00996207">
        <w:rPr>
          <w:rFonts w:ascii="Arial" w:hAnsi="Arial" w:cs="Arial"/>
          <w:sz w:val="20"/>
        </w:rPr>
        <w:t xml:space="preserve">., 2023). Oil content decided the oil yield and oil yields mirrored the response of seed yields being significantly increased due to the Zn and B fertilization (Sheoran </w:t>
      </w:r>
      <w:r w:rsidRPr="00996207">
        <w:rPr>
          <w:rFonts w:ascii="Arial" w:hAnsi="Arial" w:cs="Arial"/>
          <w:i/>
          <w:iCs/>
          <w:sz w:val="20"/>
        </w:rPr>
        <w:t>et al</w:t>
      </w:r>
      <w:r w:rsidRPr="00996207">
        <w:rPr>
          <w:rFonts w:ascii="Arial" w:hAnsi="Arial" w:cs="Arial"/>
          <w:sz w:val="20"/>
        </w:rPr>
        <w:t xml:space="preserve">., 2018). The higher oil content and oil yield might be due to enzymatic activity in the formation of glucosides, </w:t>
      </w:r>
      <w:proofErr w:type="spellStart"/>
      <w:r w:rsidRPr="00996207">
        <w:rPr>
          <w:rFonts w:ascii="Arial" w:hAnsi="Arial" w:cs="Arial"/>
          <w:sz w:val="20"/>
        </w:rPr>
        <w:t>glucosinolates</w:t>
      </w:r>
      <w:proofErr w:type="spellEnd"/>
      <w:r w:rsidRPr="00996207">
        <w:rPr>
          <w:rFonts w:ascii="Arial" w:hAnsi="Arial" w:cs="Arial"/>
          <w:sz w:val="20"/>
        </w:rPr>
        <w:t xml:space="preserve"> and additionally </w:t>
      </w:r>
      <w:proofErr w:type="spellStart"/>
      <w:r w:rsidRPr="00996207">
        <w:rPr>
          <w:rFonts w:ascii="Arial" w:hAnsi="Arial" w:cs="Arial"/>
          <w:sz w:val="20"/>
        </w:rPr>
        <w:t>sulphydril</w:t>
      </w:r>
      <w:proofErr w:type="spellEnd"/>
      <w:r w:rsidRPr="00996207">
        <w:rPr>
          <w:rFonts w:ascii="Arial" w:hAnsi="Arial" w:cs="Arial"/>
          <w:sz w:val="20"/>
        </w:rPr>
        <w:t xml:space="preserve">-linkage in biochemical reaction within the plant which helps in bio-synthesis of oil. These results are also in accordance with the earliest finding of Suryavanshi </w:t>
      </w:r>
      <w:r w:rsidRPr="00996207">
        <w:rPr>
          <w:rFonts w:ascii="Arial" w:hAnsi="Arial" w:cs="Arial"/>
          <w:i/>
          <w:iCs/>
          <w:sz w:val="20"/>
        </w:rPr>
        <w:t>et al</w:t>
      </w:r>
      <w:r w:rsidRPr="00996207">
        <w:rPr>
          <w:rFonts w:ascii="Arial" w:hAnsi="Arial" w:cs="Arial"/>
          <w:sz w:val="20"/>
        </w:rPr>
        <w:t xml:space="preserve">. (2015) and Sheoran </w:t>
      </w:r>
      <w:r w:rsidRPr="00996207">
        <w:rPr>
          <w:rFonts w:ascii="Arial" w:hAnsi="Arial" w:cs="Arial"/>
          <w:i/>
          <w:iCs/>
          <w:sz w:val="20"/>
        </w:rPr>
        <w:t>et al</w:t>
      </w:r>
      <w:r w:rsidRPr="00996207">
        <w:rPr>
          <w:rFonts w:ascii="Arial" w:hAnsi="Arial" w:cs="Arial"/>
          <w:sz w:val="20"/>
        </w:rPr>
        <w:t>. (2016).</w:t>
      </w:r>
    </w:p>
    <w:p w14:paraId="3D5B6BF6" w14:textId="77777777" w:rsidR="00996207" w:rsidRDefault="00996207" w:rsidP="00996207">
      <w:pPr>
        <w:spacing w:line="240" w:lineRule="auto"/>
        <w:jc w:val="both"/>
        <w:rPr>
          <w:rFonts w:ascii="Arial" w:hAnsi="Arial" w:cs="Arial"/>
          <w:sz w:val="20"/>
        </w:rPr>
      </w:pPr>
    </w:p>
    <w:p w14:paraId="5D3C7F1D" w14:textId="77777777" w:rsidR="00996207" w:rsidRDefault="00996207" w:rsidP="00996207">
      <w:pPr>
        <w:spacing w:line="240" w:lineRule="auto"/>
        <w:jc w:val="both"/>
        <w:rPr>
          <w:rFonts w:ascii="Arial" w:hAnsi="Arial" w:cs="Arial"/>
          <w:sz w:val="20"/>
        </w:rPr>
      </w:pPr>
    </w:p>
    <w:p w14:paraId="1FD1F57A" w14:textId="77777777" w:rsidR="00996207" w:rsidRDefault="00996207" w:rsidP="00996207">
      <w:pPr>
        <w:spacing w:line="240" w:lineRule="auto"/>
        <w:jc w:val="both"/>
        <w:rPr>
          <w:rFonts w:ascii="Arial" w:hAnsi="Arial" w:cs="Arial"/>
          <w:sz w:val="20"/>
        </w:rPr>
      </w:pPr>
    </w:p>
    <w:p w14:paraId="596E5880" w14:textId="77777777" w:rsidR="00996207" w:rsidRDefault="00996207" w:rsidP="00996207">
      <w:pPr>
        <w:spacing w:line="240" w:lineRule="auto"/>
        <w:jc w:val="both"/>
        <w:rPr>
          <w:rFonts w:ascii="Arial" w:hAnsi="Arial" w:cs="Arial"/>
          <w:sz w:val="20"/>
        </w:rPr>
      </w:pPr>
    </w:p>
    <w:p w14:paraId="1147F016" w14:textId="77777777" w:rsidR="00996207" w:rsidRDefault="00996207" w:rsidP="00996207">
      <w:pPr>
        <w:spacing w:line="240" w:lineRule="auto"/>
        <w:jc w:val="both"/>
        <w:rPr>
          <w:rFonts w:ascii="Arial" w:hAnsi="Arial" w:cs="Arial"/>
          <w:sz w:val="20"/>
        </w:rPr>
      </w:pPr>
    </w:p>
    <w:p w14:paraId="0E14D907" w14:textId="77777777" w:rsidR="00996207" w:rsidRDefault="00996207" w:rsidP="00996207">
      <w:pPr>
        <w:spacing w:line="240" w:lineRule="auto"/>
        <w:jc w:val="both"/>
        <w:rPr>
          <w:rFonts w:ascii="Arial" w:hAnsi="Arial" w:cs="Arial"/>
          <w:sz w:val="20"/>
        </w:rPr>
      </w:pPr>
    </w:p>
    <w:p w14:paraId="52F7744C" w14:textId="77777777" w:rsidR="00996207" w:rsidRPr="00996207" w:rsidRDefault="00996207" w:rsidP="00996207">
      <w:pPr>
        <w:spacing w:line="240" w:lineRule="auto"/>
        <w:jc w:val="both"/>
        <w:rPr>
          <w:rFonts w:ascii="Arial" w:hAnsi="Arial" w:cs="Arial"/>
          <w:sz w:val="20"/>
        </w:rPr>
      </w:pPr>
    </w:p>
    <w:p w14:paraId="07021D6D" w14:textId="37181BF5" w:rsidR="006906F8" w:rsidRPr="00996207" w:rsidRDefault="006906F8" w:rsidP="00996207">
      <w:pPr>
        <w:spacing w:line="240" w:lineRule="auto"/>
        <w:ind w:left="1440" w:hanging="1440"/>
        <w:jc w:val="both"/>
        <w:rPr>
          <w:rFonts w:ascii="Arial" w:eastAsia="Times New Roman" w:hAnsi="Arial" w:cs="Arial"/>
          <w:b/>
          <w:bCs/>
          <w:color w:val="000000"/>
          <w:sz w:val="20"/>
          <w:lang w:bidi="ar-SA"/>
        </w:rPr>
      </w:pPr>
      <w:r w:rsidRPr="00996207">
        <w:rPr>
          <w:rFonts w:ascii="Arial" w:hAnsi="Arial" w:cs="Arial"/>
          <w:b/>
          <w:bCs/>
          <w:sz w:val="20"/>
        </w:rPr>
        <w:lastRenderedPageBreak/>
        <w:t>Table 2</w:t>
      </w:r>
      <w:r w:rsidR="00996207">
        <w:rPr>
          <w:rFonts w:ascii="Arial" w:hAnsi="Arial" w:cs="Arial"/>
          <w:b/>
          <w:bCs/>
          <w:sz w:val="20"/>
        </w:rPr>
        <w:t>.</w:t>
      </w:r>
      <w:r w:rsidRPr="00996207">
        <w:rPr>
          <w:rFonts w:ascii="Arial" w:hAnsi="Arial" w:cs="Arial"/>
          <w:b/>
          <w:bCs/>
          <w:sz w:val="20"/>
        </w:rPr>
        <w:t xml:space="preserve"> </w:t>
      </w:r>
      <w:r w:rsidR="00996207">
        <w:rPr>
          <w:rFonts w:ascii="Arial" w:hAnsi="Arial" w:cs="Arial"/>
          <w:b/>
          <w:bCs/>
          <w:sz w:val="20"/>
        </w:rPr>
        <w:tab/>
      </w:r>
      <w:r w:rsidRPr="00996207">
        <w:rPr>
          <w:rFonts w:ascii="Arial" w:hAnsi="Arial" w:cs="Arial"/>
          <w:b/>
          <w:bCs/>
          <w:sz w:val="20"/>
        </w:rPr>
        <w:t xml:space="preserve">Effect of recommended dose of fertilizer and micronutrients on the yield and quality parameters of sunflower </w:t>
      </w:r>
    </w:p>
    <w:tbl>
      <w:tblPr>
        <w:tblStyle w:val="TableGrid"/>
        <w:tblW w:w="0" w:type="auto"/>
        <w:tblLook w:val="04A0" w:firstRow="1" w:lastRow="0" w:firstColumn="1" w:lastColumn="0" w:noHBand="0" w:noVBand="1"/>
      </w:tblPr>
      <w:tblGrid>
        <w:gridCol w:w="3775"/>
        <w:gridCol w:w="1350"/>
        <w:gridCol w:w="1391"/>
        <w:gridCol w:w="1276"/>
        <w:gridCol w:w="1224"/>
      </w:tblGrid>
      <w:tr w:rsidR="006906F8" w:rsidRPr="00996207" w14:paraId="5083AC12" w14:textId="77777777" w:rsidTr="00996207">
        <w:tc>
          <w:tcPr>
            <w:tcW w:w="3775" w:type="dxa"/>
            <w:vAlign w:val="center"/>
          </w:tcPr>
          <w:p w14:paraId="1AA282ED" w14:textId="5CF5D7E8" w:rsidR="006906F8" w:rsidRPr="00996207" w:rsidRDefault="006906F8" w:rsidP="00E11E42">
            <w:pPr>
              <w:rPr>
                <w:rFonts w:ascii="Arial" w:hAnsi="Arial" w:cs="Arial"/>
                <w:b/>
                <w:bCs/>
                <w:sz w:val="20"/>
              </w:rPr>
            </w:pPr>
            <w:r w:rsidRPr="00996207">
              <w:rPr>
                <w:rFonts w:ascii="Arial" w:eastAsia="Times New Roman" w:hAnsi="Arial" w:cs="Arial"/>
                <w:b/>
                <w:bCs/>
                <w:color w:val="000000"/>
                <w:sz w:val="20"/>
                <w:lang w:bidi="ar-SA"/>
              </w:rPr>
              <w:t>Treatments</w:t>
            </w:r>
          </w:p>
        </w:tc>
        <w:tc>
          <w:tcPr>
            <w:tcW w:w="1350" w:type="dxa"/>
            <w:vAlign w:val="center"/>
          </w:tcPr>
          <w:p w14:paraId="67858C3F" w14:textId="5E68B60C"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Test weight (g)</w:t>
            </w:r>
          </w:p>
        </w:tc>
        <w:tc>
          <w:tcPr>
            <w:tcW w:w="1391" w:type="dxa"/>
            <w:vAlign w:val="center"/>
          </w:tcPr>
          <w:p w14:paraId="0962380A" w14:textId="2FB0C178"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 xml:space="preserve">Seed yield </w:t>
            </w:r>
            <w:r w:rsidR="00996207">
              <w:rPr>
                <w:rFonts w:ascii="Arial" w:eastAsia="Times New Roman" w:hAnsi="Arial" w:cs="Arial"/>
                <w:b/>
                <w:bCs/>
                <w:color w:val="000000"/>
                <w:sz w:val="20"/>
                <w:lang w:bidi="ar-SA"/>
              </w:rPr>
              <w:t>(</w:t>
            </w:r>
            <w:r w:rsidRPr="00996207">
              <w:rPr>
                <w:rFonts w:ascii="Arial" w:eastAsia="Times New Roman" w:hAnsi="Arial" w:cs="Arial"/>
                <w:b/>
                <w:bCs/>
                <w:color w:val="000000"/>
                <w:sz w:val="20"/>
                <w:lang w:bidi="ar-SA"/>
              </w:rPr>
              <w:t>kg/ha</w:t>
            </w:r>
            <w:r w:rsidR="00996207">
              <w:rPr>
                <w:rFonts w:ascii="Arial" w:eastAsia="Times New Roman" w:hAnsi="Arial" w:cs="Arial"/>
                <w:b/>
                <w:bCs/>
                <w:color w:val="000000"/>
                <w:sz w:val="20"/>
                <w:lang w:bidi="ar-SA"/>
              </w:rPr>
              <w:t>)</w:t>
            </w:r>
          </w:p>
        </w:tc>
        <w:tc>
          <w:tcPr>
            <w:tcW w:w="1276" w:type="dxa"/>
            <w:vAlign w:val="center"/>
          </w:tcPr>
          <w:p w14:paraId="180C815F" w14:textId="5693D3B2"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Oil content (%)</w:t>
            </w:r>
          </w:p>
        </w:tc>
        <w:tc>
          <w:tcPr>
            <w:tcW w:w="1224" w:type="dxa"/>
            <w:vAlign w:val="center"/>
          </w:tcPr>
          <w:p w14:paraId="002D38E5" w14:textId="77777777" w:rsidR="006906F8" w:rsidRPr="00996207" w:rsidRDefault="006906F8" w:rsidP="00996207">
            <w:pPr>
              <w:jc w:val="center"/>
              <w:rPr>
                <w:rFonts w:ascii="Arial" w:eastAsia="Times New Roman" w:hAnsi="Arial" w:cs="Arial"/>
                <w:b/>
                <w:bCs/>
                <w:color w:val="000000"/>
                <w:sz w:val="20"/>
                <w:lang w:bidi="ar-SA"/>
              </w:rPr>
            </w:pPr>
            <w:r w:rsidRPr="00996207">
              <w:rPr>
                <w:rFonts w:ascii="Arial" w:eastAsia="Times New Roman" w:hAnsi="Arial" w:cs="Arial"/>
                <w:b/>
                <w:bCs/>
                <w:color w:val="000000"/>
                <w:sz w:val="20"/>
                <w:lang w:bidi="ar-SA"/>
              </w:rPr>
              <w:t>Oil yield</w:t>
            </w:r>
          </w:p>
          <w:p w14:paraId="32CBD3A8" w14:textId="03C89FA3" w:rsidR="006906F8" w:rsidRPr="00996207" w:rsidRDefault="006906F8" w:rsidP="00996207">
            <w:pPr>
              <w:jc w:val="center"/>
              <w:rPr>
                <w:rFonts w:ascii="Arial" w:hAnsi="Arial" w:cs="Arial"/>
                <w:b/>
                <w:bCs/>
                <w:sz w:val="20"/>
              </w:rPr>
            </w:pPr>
            <w:r w:rsidRPr="00996207">
              <w:rPr>
                <w:rFonts w:ascii="Arial" w:eastAsia="Times New Roman" w:hAnsi="Arial" w:cs="Arial"/>
                <w:b/>
                <w:bCs/>
                <w:color w:val="000000"/>
                <w:sz w:val="20"/>
                <w:lang w:bidi="ar-SA"/>
              </w:rPr>
              <w:t>(kg/ha)</w:t>
            </w:r>
          </w:p>
        </w:tc>
      </w:tr>
      <w:tr w:rsidR="006906F8" w:rsidRPr="00996207" w14:paraId="084FA79E" w14:textId="77777777" w:rsidTr="00996207">
        <w:tc>
          <w:tcPr>
            <w:tcW w:w="3775" w:type="dxa"/>
            <w:vAlign w:val="center"/>
          </w:tcPr>
          <w:p w14:paraId="666D18C9" w14:textId="45F3638B"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1</w:t>
            </w:r>
            <w:r w:rsidRPr="00996207">
              <w:rPr>
                <w:rFonts w:ascii="Arial" w:hAnsi="Arial" w:cs="Arial"/>
                <w:b/>
                <w:bCs/>
                <w:sz w:val="20"/>
              </w:rPr>
              <w:t xml:space="preserve">: </w:t>
            </w:r>
            <w:r w:rsidRPr="00996207">
              <w:rPr>
                <w:rFonts w:ascii="Arial" w:hAnsi="Arial" w:cs="Arial"/>
                <w:sz w:val="20"/>
              </w:rPr>
              <w:t>Control</w:t>
            </w:r>
          </w:p>
        </w:tc>
        <w:tc>
          <w:tcPr>
            <w:tcW w:w="1350" w:type="dxa"/>
            <w:vAlign w:val="center"/>
          </w:tcPr>
          <w:p w14:paraId="025CC698" w14:textId="253E9454" w:rsidR="006906F8" w:rsidRPr="00996207" w:rsidRDefault="006906F8" w:rsidP="00996207">
            <w:pPr>
              <w:jc w:val="center"/>
              <w:rPr>
                <w:rFonts w:ascii="Arial" w:hAnsi="Arial" w:cs="Arial"/>
                <w:sz w:val="20"/>
              </w:rPr>
            </w:pPr>
            <w:r w:rsidRPr="00996207">
              <w:rPr>
                <w:rFonts w:ascii="Arial" w:hAnsi="Arial" w:cs="Arial"/>
                <w:sz w:val="20"/>
              </w:rPr>
              <w:t>52.00</w:t>
            </w:r>
          </w:p>
        </w:tc>
        <w:tc>
          <w:tcPr>
            <w:tcW w:w="1391" w:type="dxa"/>
            <w:vAlign w:val="center"/>
          </w:tcPr>
          <w:p w14:paraId="3C3B5417" w14:textId="6CCD2345" w:rsidR="006906F8" w:rsidRPr="00996207" w:rsidRDefault="006906F8" w:rsidP="00996207">
            <w:pPr>
              <w:jc w:val="center"/>
              <w:rPr>
                <w:rFonts w:ascii="Arial" w:hAnsi="Arial" w:cs="Arial"/>
                <w:sz w:val="20"/>
              </w:rPr>
            </w:pPr>
            <w:r w:rsidRPr="00996207">
              <w:rPr>
                <w:rFonts w:ascii="Arial" w:hAnsi="Arial" w:cs="Arial"/>
                <w:sz w:val="20"/>
              </w:rPr>
              <w:t>771</w:t>
            </w:r>
          </w:p>
        </w:tc>
        <w:tc>
          <w:tcPr>
            <w:tcW w:w="1276" w:type="dxa"/>
            <w:vAlign w:val="center"/>
          </w:tcPr>
          <w:p w14:paraId="4B15C9E7" w14:textId="14CEF638"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29.14</w:t>
            </w:r>
          </w:p>
        </w:tc>
        <w:tc>
          <w:tcPr>
            <w:tcW w:w="1224" w:type="dxa"/>
            <w:vAlign w:val="center"/>
          </w:tcPr>
          <w:p w14:paraId="1DEF81B4" w14:textId="62C88866"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223</w:t>
            </w:r>
          </w:p>
        </w:tc>
      </w:tr>
      <w:tr w:rsidR="006906F8" w:rsidRPr="00996207" w14:paraId="09B87CA7" w14:textId="77777777" w:rsidTr="00996207">
        <w:tc>
          <w:tcPr>
            <w:tcW w:w="3775" w:type="dxa"/>
            <w:vAlign w:val="center"/>
          </w:tcPr>
          <w:p w14:paraId="72DE07FA" w14:textId="4225AAE3"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2</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(90:45:45 kg N:P: K ha</w:t>
            </w:r>
            <w:r w:rsidRPr="00FB5754">
              <w:rPr>
                <w:rFonts w:ascii="Arial" w:hAnsi="Arial" w:cs="Arial"/>
                <w:sz w:val="20"/>
                <w:vertAlign w:val="superscript"/>
                <w:lang w:val="fr-FR"/>
              </w:rPr>
              <w:t>-1</w:t>
            </w:r>
            <w:r w:rsidRPr="00FB5754">
              <w:rPr>
                <w:rFonts w:ascii="Arial" w:hAnsi="Arial" w:cs="Arial"/>
                <w:sz w:val="20"/>
                <w:lang w:val="fr-FR"/>
              </w:rPr>
              <w:t>)</w:t>
            </w:r>
          </w:p>
        </w:tc>
        <w:tc>
          <w:tcPr>
            <w:tcW w:w="1350" w:type="dxa"/>
            <w:vAlign w:val="center"/>
          </w:tcPr>
          <w:p w14:paraId="4AE4E8C5" w14:textId="3A19ADA4" w:rsidR="006906F8" w:rsidRPr="00996207" w:rsidRDefault="006906F8" w:rsidP="00996207">
            <w:pPr>
              <w:jc w:val="center"/>
              <w:rPr>
                <w:rFonts w:ascii="Arial" w:hAnsi="Arial" w:cs="Arial"/>
                <w:sz w:val="20"/>
              </w:rPr>
            </w:pPr>
            <w:r w:rsidRPr="00996207">
              <w:rPr>
                <w:rFonts w:ascii="Arial" w:hAnsi="Arial" w:cs="Arial"/>
                <w:color w:val="000000"/>
                <w:sz w:val="20"/>
              </w:rPr>
              <w:t>60.10</w:t>
            </w:r>
          </w:p>
        </w:tc>
        <w:tc>
          <w:tcPr>
            <w:tcW w:w="1391" w:type="dxa"/>
            <w:vAlign w:val="center"/>
          </w:tcPr>
          <w:p w14:paraId="4AC2BD95" w14:textId="06274AFE" w:rsidR="006906F8" w:rsidRPr="00996207" w:rsidRDefault="006906F8" w:rsidP="00996207">
            <w:pPr>
              <w:jc w:val="center"/>
              <w:rPr>
                <w:rFonts w:ascii="Arial" w:hAnsi="Arial" w:cs="Arial"/>
                <w:sz w:val="20"/>
              </w:rPr>
            </w:pPr>
            <w:r w:rsidRPr="00996207">
              <w:rPr>
                <w:rFonts w:ascii="Arial" w:hAnsi="Arial" w:cs="Arial"/>
                <w:color w:val="000000"/>
                <w:sz w:val="20"/>
              </w:rPr>
              <w:t>1179</w:t>
            </w:r>
          </w:p>
        </w:tc>
        <w:tc>
          <w:tcPr>
            <w:tcW w:w="1276" w:type="dxa"/>
            <w:vAlign w:val="center"/>
          </w:tcPr>
          <w:p w14:paraId="2BEFEC2D" w14:textId="2C74A0A8"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30.12</w:t>
            </w:r>
          </w:p>
        </w:tc>
        <w:tc>
          <w:tcPr>
            <w:tcW w:w="1224" w:type="dxa"/>
            <w:vAlign w:val="center"/>
          </w:tcPr>
          <w:p w14:paraId="2E44352B" w14:textId="11441138"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356</w:t>
            </w:r>
          </w:p>
        </w:tc>
      </w:tr>
      <w:tr w:rsidR="006906F8" w:rsidRPr="00996207" w14:paraId="0E72A913" w14:textId="77777777" w:rsidTr="00996207">
        <w:tc>
          <w:tcPr>
            <w:tcW w:w="3775" w:type="dxa"/>
            <w:vAlign w:val="center"/>
          </w:tcPr>
          <w:p w14:paraId="0592D7D5" w14:textId="7B55500E"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3</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ZnSO</w:t>
            </w:r>
            <w:r w:rsidRPr="00FB5754">
              <w:rPr>
                <w:rFonts w:ascii="Arial" w:hAnsi="Arial" w:cs="Arial"/>
                <w:sz w:val="20"/>
                <w:vertAlign w:val="subscript"/>
                <w:lang w:val="fr-FR"/>
              </w:rPr>
              <w:t>4</w:t>
            </w:r>
            <w:r w:rsidRPr="00FB5754">
              <w:rPr>
                <w:rFonts w:ascii="Arial" w:hAnsi="Arial" w:cs="Arial"/>
                <w:sz w:val="20"/>
                <w:lang w:val="fr-FR"/>
              </w:rPr>
              <w:t xml:space="preserve"> @ 20 kg ha</w:t>
            </w:r>
            <w:r w:rsidRPr="00FB5754">
              <w:rPr>
                <w:rFonts w:ascii="Arial" w:hAnsi="Arial" w:cs="Arial"/>
                <w:sz w:val="20"/>
                <w:vertAlign w:val="superscript"/>
                <w:lang w:val="fr-FR"/>
              </w:rPr>
              <w:t>-1</w:t>
            </w:r>
          </w:p>
        </w:tc>
        <w:tc>
          <w:tcPr>
            <w:tcW w:w="1350" w:type="dxa"/>
            <w:vAlign w:val="center"/>
          </w:tcPr>
          <w:p w14:paraId="6D6EAC97" w14:textId="12ED2A91" w:rsidR="006906F8" w:rsidRPr="00996207" w:rsidRDefault="006906F8" w:rsidP="00996207">
            <w:pPr>
              <w:jc w:val="center"/>
              <w:rPr>
                <w:rFonts w:ascii="Arial" w:hAnsi="Arial" w:cs="Arial"/>
                <w:sz w:val="20"/>
              </w:rPr>
            </w:pPr>
            <w:r w:rsidRPr="00996207">
              <w:rPr>
                <w:rFonts w:ascii="Arial" w:hAnsi="Arial" w:cs="Arial"/>
                <w:color w:val="000000"/>
                <w:sz w:val="20"/>
              </w:rPr>
              <w:t>63.73</w:t>
            </w:r>
          </w:p>
        </w:tc>
        <w:tc>
          <w:tcPr>
            <w:tcW w:w="1391" w:type="dxa"/>
            <w:vAlign w:val="center"/>
          </w:tcPr>
          <w:p w14:paraId="49E00F1F" w14:textId="2F86AB5C" w:rsidR="006906F8" w:rsidRPr="00996207" w:rsidRDefault="006906F8" w:rsidP="00996207">
            <w:pPr>
              <w:jc w:val="center"/>
              <w:rPr>
                <w:rFonts w:ascii="Arial" w:hAnsi="Arial" w:cs="Arial"/>
                <w:sz w:val="20"/>
              </w:rPr>
            </w:pPr>
            <w:r w:rsidRPr="00996207">
              <w:rPr>
                <w:rFonts w:ascii="Arial" w:hAnsi="Arial" w:cs="Arial"/>
                <w:color w:val="000000"/>
                <w:sz w:val="20"/>
              </w:rPr>
              <w:t>1565</w:t>
            </w:r>
          </w:p>
        </w:tc>
        <w:tc>
          <w:tcPr>
            <w:tcW w:w="1276" w:type="dxa"/>
            <w:vAlign w:val="center"/>
          </w:tcPr>
          <w:p w14:paraId="33B0F240" w14:textId="5C68A21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31.45</w:t>
            </w:r>
          </w:p>
        </w:tc>
        <w:tc>
          <w:tcPr>
            <w:tcW w:w="1224" w:type="dxa"/>
            <w:vAlign w:val="center"/>
          </w:tcPr>
          <w:p w14:paraId="264A60DC" w14:textId="35202D7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489</w:t>
            </w:r>
          </w:p>
        </w:tc>
      </w:tr>
      <w:tr w:rsidR="006906F8" w:rsidRPr="00996207" w14:paraId="3E5CC286" w14:textId="77777777" w:rsidTr="00996207">
        <w:tc>
          <w:tcPr>
            <w:tcW w:w="3775" w:type="dxa"/>
            <w:vAlign w:val="center"/>
          </w:tcPr>
          <w:p w14:paraId="5FCCE683" w14:textId="2E7E1763"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4</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FeSO</w:t>
            </w:r>
            <w:r w:rsidRPr="00FB5754">
              <w:rPr>
                <w:rFonts w:ascii="Arial" w:hAnsi="Arial" w:cs="Arial"/>
                <w:sz w:val="20"/>
                <w:vertAlign w:val="subscript"/>
                <w:lang w:val="fr-FR"/>
              </w:rPr>
              <w:t xml:space="preserve">4 </w:t>
            </w:r>
            <w:r w:rsidRPr="00FB5754">
              <w:rPr>
                <w:rFonts w:ascii="Arial" w:hAnsi="Arial" w:cs="Arial"/>
                <w:sz w:val="20"/>
                <w:lang w:val="fr-FR"/>
              </w:rPr>
              <w:t>@ 20 kg ha</w:t>
            </w:r>
            <w:r w:rsidRPr="00FB5754">
              <w:rPr>
                <w:rFonts w:ascii="Arial" w:hAnsi="Arial" w:cs="Arial"/>
                <w:sz w:val="20"/>
                <w:vertAlign w:val="superscript"/>
                <w:lang w:val="fr-FR"/>
              </w:rPr>
              <w:t>-1</w:t>
            </w:r>
          </w:p>
        </w:tc>
        <w:tc>
          <w:tcPr>
            <w:tcW w:w="1350" w:type="dxa"/>
            <w:vAlign w:val="center"/>
          </w:tcPr>
          <w:p w14:paraId="52B41AA9" w14:textId="3653F7EC" w:rsidR="006906F8" w:rsidRPr="00996207" w:rsidRDefault="006906F8" w:rsidP="00996207">
            <w:pPr>
              <w:jc w:val="center"/>
              <w:rPr>
                <w:rFonts w:ascii="Arial" w:hAnsi="Arial" w:cs="Arial"/>
                <w:sz w:val="20"/>
              </w:rPr>
            </w:pPr>
            <w:r w:rsidRPr="00996207">
              <w:rPr>
                <w:rFonts w:ascii="Arial" w:hAnsi="Arial" w:cs="Arial"/>
                <w:color w:val="000000"/>
                <w:sz w:val="20"/>
              </w:rPr>
              <w:t>60.60</w:t>
            </w:r>
          </w:p>
        </w:tc>
        <w:tc>
          <w:tcPr>
            <w:tcW w:w="1391" w:type="dxa"/>
            <w:vAlign w:val="center"/>
          </w:tcPr>
          <w:p w14:paraId="626FB4E3" w14:textId="4E5AF319" w:rsidR="006906F8" w:rsidRPr="00996207" w:rsidRDefault="006906F8" w:rsidP="00996207">
            <w:pPr>
              <w:jc w:val="center"/>
              <w:rPr>
                <w:rFonts w:ascii="Arial" w:hAnsi="Arial" w:cs="Arial"/>
                <w:sz w:val="20"/>
              </w:rPr>
            </w:pPr>
            <w:r w:rsidRPr="00996207">
              <w:rPr>
                <w:rFonts w:ascii="Arial" w:hAnsi="Arial" w:cs="Arial"/>
                <w:color w:val="000000"/>
                <w:sz w:val="20"/>
              </w:rPr>
              <w:t>1461</w:t>
            </w:r>
          </w:p>
        </w:tc>
        <w:tc>
          <w:tcPr>
            <w:tcW w:w="1276" w:type="dxa"/>
            <w:vAlign w:val="center"/>
          </w:tcPr>
          <w:p w14:paraId="727B4D17" w14:textId="122CE22C"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31.24</w:t>
            </w:r>
          </w:p>
        </w:tc>
        <w:tc>
          <w:tcPr>
            <w:tcW w:w="1224" w:type="dxa"/>
            <w:vAlign w:val="center"/>
          </w:tcPr>
          <w:p w14:paraId="7F496962" w14:textId="5EED6E86"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454</w:t>
            </w:r>
          </w:p>
        </w:tc>
      </w:tr>
      <w:tr w:rsidR="006906F8" w:rsidRPr="00996207" w14:paraId="5F704D94" w14:textId="77777777" w:rsidTr="00996207">
        <w:tc>
          <w:tcPr>
            <w:tcW w:w="3775" w:type="dxa"/>
            <w:vAlign w:val="center"/>
          </w:tcPr>
          <w:p w14:paraId="079F5424" w14:textId="55B601E4"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5</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RDF + Borax @ 2 kg ha</w:t>
            </w:r>
            <w:r w:rsidRPr="00FB5754">
              <w:rPr>
                <w:rFonts w:ascii="Arial" w:hAnsi="Arial" w:cs="Arial"/>
                <w:sz w:val="20"/>
                <w:vertAlign w:val="superscript"/>
                <w:lang w:val="fr-FR"/>
              </w:rPr>
              <w:t>-1</w:t>
            </w:r>
          </w:p>
        </w:tc>
        <w:tc>
          <w:tcPr>
            <w:tcW w:w="1350" w:type="dxa"/>
            <w:vAlign w:val="center"/>
          </w:tcPr>
          <w:p w14:paraId="066BAB2B" w14:textId="4273614B" w:rsidR="006906F8" w:rsidRPr="00996207" w:rsidRDefault="006906F8" w:rsidP="00996207">
            <w:pPr>
              <w:jc w:val="center"/>
              <w:rPr>
                <w:rFonts w:ascii="Arial" w:hAnsi="Arial" w:cs="Arial"/>
                <w:sz w:val="20"/>
              </w:rPr>
            </w:pPr>
            <w:r w:rsidRPr="00996207">
              <w:rPr>
                <w:rFonts w:ascii="Arial" w:hAnsi="Arial" w:cs="Arial"/>
                <w:color w:val="000000"/>
                <w:sz w:val="20"/>
              </w:rPr>
              <w:t>66.53</w:t>
            </w:r>
          </w:p>
        </w:tc>
        <w:tc>
          <w:tcPr>
            <w:tcW w:w="1391" w:type="dxa"/>
            <w:vAlign w:val="center"/>
          </w:tcPr>
          <w:p w14:paraId="6B924C09" w14:textId="5F684F70" w:rsidR="006906F8" w:rsidRPr="00996207" w:rsidRDefault="006906F8" w:rsidP="00996207">
            <w:pPr>
              <w:jc w:val="center"/>
              <w:rPr>
                <w:rFonts w:ascii="Arial" w:hAnsi="Arial" w:cs="Arial"/>
                <w:sz w:val="20"/>
              </w:rPr>
            </w:pPr>
            <w:r w:rsidRPr="00996207">
              <w:rPr>
                <w:rFonts w:ascii="Arial" w:hAnsi="Arial" w:cs="Arial"/>
                <w:color w:val="000000"/>
                <w:sz w:val="20"/>
              </w:rPr>
              <w:t>1612</w:t>
            </w:r>
          </w:p>
        </w:tc>
        <w:tc>
          <w:tcPr>
            <w:tcW w:w="1276" w:type="dxa"/>
            <w:vAlign w:val="center"/>
          </w:tcPr>
          <w:p w14:paraId="667BF70B" w14:textId="3FBC69AF"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31.02</w:t>
            </w:r>
          </w:p>
        </w:tc>
        <w:tc>
          <w:tcPr>
            <w:tcW w:w="1224" w:type="dxa"/>
            <w:vAlign w:val="center"/>
          </w:tcPr>
          <w:p w14:paraId="3CC151EA" w14:textId="3A2F2AED"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507</w:t>
            </w:r>
          </w:p>
        </w:tc>
      </w:tr>
      <w:tr w:rsidR="006906F8" w:rsidRPr="00996207" w14:paraId="65148151" w14:textId="77777777" w:rsidTr="00996207">
        <w:tc>
          <w:tcPr>
            <w:tcW w:w="3775" w:type="dxa"/>
            <w:vAlign w:val="center"/>
          </w:tcPr>
          <w:p w14:paraId="725D2338" w14:textId="3E8EA375"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6</w:t>
            </w:r>
            <w:r w:rsidRPr="00996207">
              <w:rPr>
                <w:rFonts w:ascii="Arial" w:hAnsi="Arial" w:cs="Arial"/>
                <w:b/>
                <w:bCs/>
                <w:sz w:val="20"/>
              </w:rPr>
              <w:t xml:space="preserve">: </w:t>
            </w:r>
            <w:r w:rsidRPr="00996207">
              <w:rPr>
                <w:rFonts w:ascii="Arial" w:hAnsi="Arial" w:cs="Arial"/>
                <w:sz w:val="20"/>
              </w:rPr>
              <w:t>RDF + ZnSO</w:t>
            </w:r>
            <w:r w:rsidRPr="00996207">
              <w:rPr>
                <w:rFonts w:ascii="Arial" w:hAnsi="Arial" w:cs="Arial"/>
                <w:sz w:val="20"/>
                <w:vertAlign w:val="subscript"/>
              </w:rPr>
              <w:t xml:space="preserve">4 </w:t>
            </w:r>
            <w:r w:rsidRPr="00996207">
              <w:rPr>
                <w:rFonts w:ascii="Arial" w:hAnsi="Arial" w:cs="Arial"/>
                <w:sz w:val="20"/>
              </w:rPr>
              <w:t>@ 20 kg ha</w:t>
            </w:r>
            <w:r w:rsidRPr="00996207">
              <w:rPr>
                <w:rFonts w:ascii="Arial" w:hAnsi="Arial" w:cs="Arial"/>
                <w:sz w:val="20"/>
                <w:vertAlign w:val="superscript"/>
              </w:rPr>
              <w:t>-1</w:t>
            </w:r>
            <w:r w:rsidRPr="00996207">
              <w:rPr>
                <w:rFonts w:ascii="Arial" w:hAnsi="Arial" w:cs="Arial"/>
                <w:sz w:val="20"/>
              </w:rPr>
              <w:t xml:space="preserve"> + FeSO</w:t>
            </w:r>
            <w:r w:rsidRPr="00996207">
              <w:rPr>
                <w:rFonts w:ascii="Arial" w:hAnsi="Arial" w:cs="Arial"/>
                <w:sz w:val="20"/>
                <w:vertAlign w:val="subscript"/>
              </w:rPr>
              <w:t>4</w:t>
            </w:r>
            <w:r w:rsidRPr="00996207">
              <w:rPr>
                <w:rFonts w:ascii="Arial" w:hAnsi="Arial" w:cs="Arial"/>
                <w:sz w:val="20"/>
              </w:rPr>
              <w:t xml:space="preserve"> @ 20 kg ha</w:t>
            </w:r>
            <w:r w:rsidRPr="00996207">
              <w:rPr>
                <w:rFonts w:ascii="Arial" w:hAnsi="Arial" w:cs="Arial"/>
                <w:sz w:val="20"/>
                <w:vertAlign w:val="superscript"/>
              </w:rPr>
              <w:t>-1</w:t>
            </w:r>
            <w:r w:rsidRPr="00996207">
              <w:rPr>
                <w:rFonts w:ascii="Arial" w:hAnsi="Arial" w:cs="Arial"/>
                <w:sz w:val="20"/>
                <w:vertAlign w:val="subscript"/>
              </w:rPr>
              <w:t xml:space="preserve"> </w:t>
            </w:r>
            <w:r w:rsidRPr="00996207">
              <w:rPr>
                <w:rFonts w:ascii="Arial" w:hAnsi="Arial" w:cs="Arial"/>
                <w:sz w:val="20"/>
              </w:rPr>
              <w:t>+ Borax @ 2 kg ha</w:t>
            </w:r>
            <w:r w:rsidRPr="00996207">
              <w:rPr>
                <w:rFonts w:ascii="Arial" w:hAnsi="Arial" w:cs="Arial"/>
                <w:sz w:val="20"/>
                <w:vertAlign w:val="superscript"/>
              </w:rPr>
              <w:t>-1</w:t>
            </w:r>
          </w:p>
        </w:tc>
        <w:tc>
          <w:tcPr>
            <w:tcW w:w="1350" w:type="dxa"/>
            <w:vAlign w:val="center"/>
          </w:tcPr>
          <w:p w14:paraId="7A1D103B" w14:textId="0121A5C9" w:rsidR="006906F8" w:rsidRPr="00996207" w:rsidRDefault="006906F8" w:rsidP="00996207">
            <w:pPr>
              <w:jc w:val="center"/>
              <w:rPr>
                <w:rFonts w:ascii="Arial" w:hAnsi="Arial" w:cs="Arial"/>
                <w:sz w:val="20"/>
              </w:rPr>
            </w:pPr>
            <w:r w:rsidRPr="00996207">
              <w:rPr>
                <w:rFonts w:ascii="Arial" w:hAnsi="Arial" w:cs="Arial"/>
                <w:color w:val="000000"/>
                <w:sz w:val="20"/>
              </w:rPr>
              <w:t>66.97</w:t>
            </w:r>
          </w:p>
        </w:tc>
        <w:tc>
          <w:tcPr>
            <w:tcW w:w="1391" w:type="dxa"/>
            <w:vAlign w:val="center"/>
          </w:tcPr>
          <w:p w14:paraId="48048F0F" w14:textId="02E1C12D" w:rsidR="006906F8" w:rsidRPr="00996207" w:rsidRDefault="006906F8" w:rsidP="00996207">
            <w:pPr>
              <w:jc w:val="center"/>
              <w:rPr>
                <w:rFonts w:ascii="Arial" w:hAnsi="Arial" w:cs="Arial"/>
                <w:sz w:val="20"/>
              </w:rPr>
            </w:pPr>
            <w:r w:rsidRPr="00996207">
              <w:rPr>
                <w:rFonts w:ascii="Arial" w:hAnsi="Arial" w:cs="Arial"/>
                <w:color w:val="000000"/>
                <w:sz w:val="20"/>
              </w:rPr>
              <w:t>1791</w:t>
            </w:r>
          </w:p>
        </w:tc>
        <w:tc>
          <w:tcPr>
            <w:tcW w:w="1276" w:type="dxa"/>
            <w:vAlign w:val="center"/>
          </w:tcPr>
          <w:p w14:paraId="71F11461" w14:textId="29BC94D2"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31.80</w:t>
            </w:r>
          </w:p>
        </w:tc>
        <w:tc>
          <w:tcPr>
            <w:tcW w:w="1224" w:type="dxa"/>
            <w:vAlign w:val="center"/>
          </w:tcPr>
          <w:p w14:paraId="48A7B696" w14:textId="42A6077A"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569</w:t>
            </w:r>
          </w:p>
        </w:tc>
      </w:tr>
      <w:tr w:rsidR="006906F8" w:rsidRPr="00996207" w14:paraId="72166196" w14:textId="77777777" w:rsidTr="00996207">
        <w:tc>
          <w:tcPr>
            <w:tcW w:w="3775" w:type="dxa"/>
            <w:vAlign w:val="center"/>
          </w:tcPr>
          <w:p w14:paraId="5EB1DEAF" w14:textId="7679B3F0"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7</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hAnsi="Arial" w:cs="Arial"/>
                <w:sz w:val="20"/>
                <w:lang w:val="fr-FR"/>
              </w:rPr>
              <w:t xml:space="preserve">RDF + </w:t>
            </w:r>
            <w:proofErr w:type="spellStart"/>
            <w:r w:rsidRPr="00FB5754">
              <w:rPr>
                <w:rFonts w:ascii="Arial" w:hAnsi="Arial" w:cs="Arial"/>
                <w:sz w:val="20"/>
                <w:lang w:val="fr-FR"/>
              </w:rPr>
              <w:t>Multimicronutrient</w:t>
            </w:r>
            <w:proofErr w:type="spellEnd"/>
            <w:r w:rsidRPr="00FB5754">
              <w:rPr>
                <w:rFonts w:ascii="Arial" w:hAnsi="Arial" w:cs="Arial"/>
                <w:sz w:val="20"/>
                <w:lang w:val="fr-FR"/>
              </w:rPr>
              <w:t xml:space="preserve"> Grade-1 @</w:t>
            </w:r>
            <w:r w:rsidRPr="00FB5754">
              <w:rPr>
                <w:rFonts w:ascii="Arial" w:eastAsia="Times New Roman" w:hAnsi="Arial" w:cs="Arial"/>
                <w:sz w:val="20"/>
                <w:lang w:val="fr-FR"/>
              </w:rPr>
              <w:t xml:space="preserve"> 25 kg ha</w:t>
            </w:r>
            <w:r w:rsidRPr="00FB5754">
              <w:rPr>
                <w:rFonts w:ascii="Arial" w:eastAsia="Times New Roman" w:hAnsi="Arial" w:cs="Arial"/>
                <w:sz w:val="20"/>
                <w:vertAlign w:val="superscript"/>
                <w:lang w:val="fr-FR"/>
              </w:rPr>
              <w:t>-1</w:t>
            </w:r>
          </w:p>
        </w:tc>
        <w:tc>
          <w:tcPr>
            <w:tcW w:w="1350" w:type="dxa"/>
            <w:vAlign w:val="center"/>
          </w:tcPr>
          <w:p w14:paraId="68B8CCBE" w14:textId="35F8F3D3" w:rsidR="006906F8" w:rsidRPr="00996207" w:rsidRDefault="006906F8" w:rsidP="00996207">
            <w:pPr>
              <w:jc w:val="center"/>
              <w:rPr>
                <w:rFonts w:ascii="Arial" w:hAnsi="Arial" w:cs="Arial"/>
                <w:sz w:val="20"/>
              </w:rPr>
            </w:pPr>
            <w:r w:rsidRPr="00996207">
              <w:rPr>
                <w:rFonts w:ascii="Arial" w:hAnsi="Arial" w:cs="Arial"/>
                <w:color w:val="000000"/>
                <w:sz w:val="20"/>
              </w:rPr>
              <w:t>58.03</w:t>
            </w:r>
          </w:p>
        </w:tc>
        <w:tc>
          <w:tcPr>
            <w:tcW w:w="1391" w:type="dxa"/>
            <w:vAlign w:val="center"/>
          </w:tcPr>
          <w:p w14:paraId="149387D1" w14:textId="2AAEC663" w:rsidR="006906F8" w:rsidRPr="00996207" w:rsidRDefault="006906F8" w:rsidP="00996207">
            <w:pPr>
              <w:jc w:val="center"/>
              <w:rPr>
                <w:rFonts w:ascii="Arial" w:hAnsi="Arial" w:cs="Arial"/>
                <w:sz w:val="20"/>
              </w:rPr>
            </w:pPr>
            <w:r w:rsidRPr="00996207">
              <w:rPr>
                <w:rFonts w:ascii="Arial" w:hAnsi="Arial" w:cs="Arial"/>
                <w:color w:val="000000"/>
                <w:sz w:val="20"/>
              </w:rPr>
              <w:t>1267</w:t>
            </w:r>
          </w:p>
        </w:tc>
        <w:tc>
          <w:tcPr>
            <w:tcW w:w="1276" w:type="dxa"/>
            <w:vAlign w:val="center"/>
          </w:tcPr>
          <w:p w14:paraId="7ACE1AE3" w14:textId="0DFD8A8D"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30.56</w:t>
            </w:r>
          </w:p>
        </w:tc>
        <w:tc>
          <w:tcPr>
            <w:tcW w:w="1224" w:type="dxa"/>
            <w:vAlign w:val="center"/>
          </w:tcPr>
          <w:p w14:paraId="4FEA7EFC" w14:textId="52B8FABE"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379</w:t>
            </w:r>
          </w:p>
        </w:tc>
      </w:tr>
      <w:tr w:rsidR="006906F8" w:rsidRPr="00996207" w14:paraId="0A81D7F3" w14:textId="77777777" w:rsidTr="00996207">
        <w:tc>
          <w:tcPr>
            <w:tcW w:w="3775" w:type="dxa"/>
            <w:vAlign w:val="center"/>
          </w:tcPr>
          <w:p w14:paraId="5FAAA1BD" w14:textId="1D783BB8" w:rsidR="006906F8" w:rsidRPr="00FB5754" w:rsidRDefault="006906F8" w:rsidP="00E11E42">
            <w:pPr>
              <w:rPr>
                <w:rFonts w:ascii="Arial" w:hAnsi="Arial" w:cs="Arial"/>
                <w:sz w:val="20"/>
                <w:lang w:val="fr-FR"/>
              </w:rPr>
            </w:pPr>
            <w:r w:rsidRPr="00FB5754">
              <w:rPr>
                <w:rFonts w:ascii="Arial" w:hAnsi="Arial" w:cs="Arial"/>
                <w:b/>
                <w:bCs/>
                <w:sz w:val="20"/>
                <w:lang w:val="fr-FR"/>
              </w:rPr>
              <w:t>T</w:t>
            </w:r>
            <w:proofErr w:type="gramStart"/>
            <w:r w:rsidRPr="00FB5754">
              <w:rPr>
                <w:rFonts w:ascii="Arial" w:hAnsi="Arial" w:cs="Arial"/>
                <w:b/>
                <w:bCs/>
                <w:sz w:val="20"/>
                <w:vertAlign w:val="subscript"/>
                <w:lang w:val="fr-FR"/>
              </w:rPr>
              <w:t>8</w:t>
            </w:r>
            <w:r w:rsidRPr="00FB5754">
              <w:rPr>
                <w:rFonts w:ascii="Arial" w:hAnsi="Arial" w:cs="Arial"/>
                <w:b/>
                <w:bCs/>
                <w:sz w:val="20"/>
                <w:lang w:val="fr-FR"/>
              </w:rPr>
              <w:t>:</w:t>
            </w:r>
            <w:proofErr w:type="gramEnd"/>
            <w:r w:rsidRPr="00FB5754">
              <w:rPr>
                <w:rFonts w:ascii="Arial" w:hAnsi="Arial" w:cs="Arial"/>
                <w:b/>
                <w:bCs/>
                <w:sz w:val="20"/>
                <w:lang w:val="fr-FR"/>
              </w:rPr>
              <w:t xml:space="preserve"> </w:t>
            </w:r>
            <w:r w:rsidRPr="00FB5754">
              <w:rPr>
                <w:rFonts w:ascii="Arial" w:eastAsia="Times New Roman" w:hAnsi="Arial" w:cs="Arial"/>
                <w:sz w:val="20"/>
                <w:lang w:val="fr-FR"/>
              </w:rPr>
              <w:t xml:space="preserve">RDF + </w:t>
            </w:r>
            <w:proofErr w:type="spellStart"/>
            <w:r w:rsidRPr="00FB5754">
              <w:rPr>
                <w:rFonts w:ascii="Arial" w:eastAsia="Times New Roman" w:hAnsi="Arial" w:cs="Arial"/>
                <w:sz w:val="20"/>
                <w:lang w:val="fr-FR"/>
              </w:rPr>
              <w:t>Multimicronutrient</w:t>
            </w:r>
            <w:proofErr w:type="spellEnd"/>
            <w:r w:rsidRPr="00FB5754">
              <w:rPr>
                <w:rFonts w:ascii="Arial" w:eastAsia="Times New Roman" w:hAnsi="Arial" w:cs="Arial"/>
                <w:sz w:val="20"/>
                <w:lang w:val="fr-FR"/>
              </w:rPr>
              <w:t xml:space="preserve"> Grade</w:t>
            </w:r>
            <w:r w:rsidRPr="00FB5754">
              <w:rPr>
                <w:rFonts w:ascii="Arial" w:eastAsia="Times New Roman" w:hAnsi="Arial" w:cs="Arial"/>
                <w:sz w:val="20"/>
                <w:vertAlign w:val="superscript"/>
                <w:lang w:val="fr-FR"/>
              </w:rPr>
              <w:t>-2</w:t>
            </w:r>
            <w:r w:rsidRPr="00FB5754">
              <w:rPr>
                <w:rFonts w:ascii="Arial" w:eastAsia="Times New Roman" w:hAnsi="Arial" w:cs="Arial"/>
                <w:sz w:val="20"/>
                <w:lang w:val="fr-FR"/>
              </w:rPr>
              <w:t xml:space="preserve"> @ 0.2 % at 20 DAS</w:t>
            </w:r>
          </w:p>
        </w:tc>
        <w:tc>
          <w:tcPr>
            <w:tcW w:w="1350" w:type="dxa"/>
            <w:vAlign w:val="center"/>
          </w:tcPr>
          <w:p w14:paraId="300BBF61" w14:textId="2897BC84" w:rsidR="006906F8" w:rsidRPr="00996207" w:rsidRDefault="006906F8" w:rsidP="00996207">
            <w:pPr>
              <w:jc w:val="center"/>
              <w:rPr>
                <w:rFonts w:ascii="Arial" w:hAnsi="Arial" w:cs="Arial"/>
                <w:sz w:val="20"/>
              </w:rPr>
            </w:pPr>
            <w:r w:rsidRPr="00996207">
              <w:rPr>
                <w:rFonts w:ascii="Arial" w:hAnsi="Arial" w:cs="Arial"/>
                <w:color w:val="000000"/>
                <w:sz w:val="20"/>
              </w:rPr>
              <w:t>57.63</w:t>
            </w:r>
          </w:p>
        </w:tc>
        <w:tc>
          <w:tcPr>
            <w:tcW w:w="1391" w:type="dxa"/>
            <w:vAlign w:val="center"/>
          </w:tcPr>
          <w:p w14:paraId="4DB9BF68" w14:textId="6027D00B" w:rsidR="006906F8" w:rsidRPr="00996207" w:rsidRDefault="006906F8" w:rsidP="00996207">
            <w:pPr>
              <w:jc w:val="center"/>
              <w:rPr>
                <w:rFonts w:ascii="Arial" w:hAnsi="Arial" w:cs="Arial"/>
                <w:sz w:val="20"/>
              </w:rPr>
            </w:pPr>
            <w:r w:rsidRPr="00996207">
              <w:rPr>
                <w:rFonts w:ascii="Arial" w:hAnsi="Arial" w:cs="Arial"/>
                <w:color w:val="000000"/>
                <w:sz w:val="20"/>
              </w:rPr>
              <w:t>1236</w:t>
            </w:r>
          </w:p>
        </w:tc>
        <w:tc>
          <w:tcPr>
            <w:tcW w:w="1276" w:type="dxa"/>
            <w:vAlign w:val="center"/>
          </w:tcPr>
          <w:p w14:paraId="69F0EA72" w14:textId="726529C2"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30.36</w:t>
            </w:r>
          </w:p>
        </w:tc>
        <w:tc>
          <w:tcPr>
            <w:tcW w:w="1224" w:type="dxa"/>
            <w:vAlign w:val="center"/>
          </w:tcPr>
          <w:p w14:paraId="5A5F064F" w14:textId="2DFFE9AB"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372</w:t>
            </w:r>
          </w:p>
        </w:tc>
      </w:tr>
      <w:tr w:rsidR="006906F8" w:rsidRPr="00996207" w14:paraId="7DE1D620" w14:textId="77777777" w:rsidTr="00996207">
        <w:tc>
          <w:tcPr>
            <w:tcW w:w="3775" w:type="dxa"/>
            <w:vAlign w:val="center"/>
          </w:tcPr>
          <w:p w14:paraId="32463130" w14:textId="4DB41811" w:rsidR="006906F8" w:rsidRPr="00996207" w:rsidRDefault="006906F8" w:rsidP="00E11E42">
            <w:pPr>
              <w:rPr>
                <w:rFonts w:ascii="Arial" w:hAnsi="Arial" w:cs="Arial"/>
                <w:sz w:val="20"/>
              </w:rPr>
            </w:pPr>
            <w:r w:rsidRPr="00996207">
              <w:rPr>
                <w:rFonts w:ascii="Arial" w:hAnsi="Arial" w:cs="Arial"/>
                <w:b/>
                <w:bCs/>
                <w:sz w:val="20"/>
              </w:rPr>
              <w:t>T</w:t>
            </w:r>
            <w:r w:rsidRPr="00996207">
              <w:rPr>
                <w:rFonts w:ascii="Arial" w:hAnsi="Arial" w:cs="Arial"/>
                <w:b/>
                <w:bCs/>
                <w:sz w:val="20"/>
                <w:vertAlign w:val="subscript"/>
              </w:rPr>
              <w:t>9</w:t>
            </w:r>
            <w:r w:rsidRPr="00996207">
              <w:rPr>
                <w:rFonts w:ascii="Arial" w:hAnsi="Arial" w:cs="Arial"/>
                <w:b/>
                <w:bCs/>
                <w:sz w:val="20"/>
              </w:rPr>
              <w:t xml:space="preserve">: </w:t>
            </w:r>
            <w:r w:rsidRPr="00996207">
              <w:rPr>
                <w:rFonts w:ascii="Arial" w:eastAsia="Times New Roman" w:hAnsi="Arial" w:cs="Arial"/>
                <w:sz w:val="20"/>
              </w:rPr>
              <w:t>RDF + Multimicronutrient Grade-1 @ 25 kg ha</w:t>
            </w:r>
            <w:r w:rsidRPr="00996207">
              <w:rPr>
                <w:rFonts w:ascii="Arial" w:eastAsia="Times New Roman" w:hAnsi="Arial" w:cs="Arial"/>
                <w:sz w:val="20"/>
                <w:vertAlign w:val="superscript"/>
              </w:rPr>
              <w:t>-1</w:t>
            </w:r>
            <w:r w:rsidRPr="00996207">
              <w:rPr>
                <w:rFonts w:ascii="Arial" w:eastAsia="Times New Roman" w:hAnsi="Arial" w:cs="Arial"/>
                <w:sz w:val="20"/>
              </w:rPr>
              <w:t xml:space="preserve"> + Multimicronutrient Grade</w:t>
            </w:r>
            <w:r w:rsidRPr="00996207">
              <w:rPr>
                <w:rFonts w:ascii="Arial" w:eastAsia="Times New Roman" w:hAnsi="Arial" w:cs="Arial"/>
                <w:sz w:val="20"/>
                <w:vertAlign w:val="superscript"/>
              </w:rPr>
              <w:t>-2</w:t>
            </w:r>
            <w:r w:rsidRPr="00996207">
              <w:rPr>
                <w:rFonts w:ascii="Arial" w:eastAsia="Times New Roman" w:hAnsi="Arial" w:cs="Arial"/>
                <w:sz w:val="20"/>
              </w:rPr>
              <w:t xml:space="preserve"> @ 0.2 % at 20 DAS</w:t>
            </w:r>
          </w:p>
        </w:tc>
        <w:tc>
          <w:tcPr>
            <w:tcW w:w="1350" w:type="dxa"/>
            <w:vAlign w:val="center"/>
          </w:tcPr>
          <w:p w14:paraId="49D9C2D9" w14:textId="110C20F1" w:rsidR="006906F8" w:rsidRPr="00996207" w:rsidRDefault="006906F8" w:rsidP="00996207">
            <w:pPr>
              <w:jc w:val="center"/>
              <w:rPr>
                <w:rFonts w:ascii="Arial" w:hAnsi="Arial" w:cs="Arial"/>
                <w:sz w:val="20"/>
              </w:rPr>
            </w:pPr>
            <w:r w:rsidRPr="00996207">
              <w:rPr>
                <w:rFonts w:ascii="Arial" w:hAnsi="Arial" w:cs="Arial"/>
                <w:color w:val="000000"/>
                <w:sz w:val="20"/>
              </w:rPr>
              <w:t>58.33</w:t>
            </w:r>
          </w:p>
        </w:tc>
        <w:tc>
          <w:tcPr>
            <w:tcW w:w="1391" w:type="dxa"/>
            <w:vAlign w:val="center"/>
          </w:tcPr>
          <w:p w14:paraId="4214D274" w14:textId="19586C15" w:rsidR="006906F8" w:rsidRPr="00996207" w:rsidRDefault="006906F8" w:rsidP="00996207">
            <w:pPr>
              <w:jc w:val="center"/>
              <w:rPr>
                <w:rFonts w:ascii="Arial" w:hAnsi="Arial" w:cs="Arial"/>
                <w:sz w:val="20"/>
              </w:rPr>
            </w:pPr>
            <w:r w:rsidRPr="00996207">
              <w:rPr>
                <w:rFonts w:ascii="Arial" w:hAnsi="Arial" w:cs="Arial"/>
                <w:color w:val="000000"/>
                <w:sz w:val="20"/>
              </w:rPr>
              <w:t>1415</w:t>
            </w:r>
          </w:p>
        </w:tc>
        <w:tc>
          <w:tcPr>
            <w:tcW w:w="1276" w:type="dxa"/>
            <w:vAlign w:val="center"/>
          </w:tcPr>
          <w:p w14:paraId="33DA7AE4" w14:textId="703733BF"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30.81</w:t>
            </w:r>
          </w:p>
        </w:tc>
        <w:tc>
          <w:tcPr>
            <w:tcW w:w="1224" w:type="dxa"/>
            <w:vAlign w:val="center"/>
          </w:tcPr>
          <w:p w14:paraId="5FA952FE" w14:textId="10C92997" w:rsidR="006906F8" w:rsidRPr="00996207" w:rsidRDefault="006906F8" w:rsidP="00996207">
            <w:pPr>
              <w:jc w:val="center"/>
              <w:rPr>
                <w:rFonts w:ascii="Arial" w:hAnsi="Arial" w:cs="Arial"/>
                <w:sz w:val="20"/>
              </w:rPr>
            </w:pPr>
            <w:r w:rsidRPr="00996207">
              <w:rPr>
                <w:rFonts w:ascii="Arial" w:eastAsia="Times New Roman" w:hAnsi="Arial" w:cs="Arial"/>
                <w:color w:val="000000"/>
                <w:sz w:val="20"/>
                <w:lang w:bidi="ar-SA"/>
              </w:rPr>
              <w:t>434</w:t>
            </w:r>
          </w:p>
        </w:tc>
      </w:tr>
      <w:tr w:rsidR="006906F8" w:rsidRPr="00996207" w14:paraId="4F12F533" w14:textId="77777777" w:rsidTr="00996207">
        <w:tc>
          <w:tcPr>
            <w:tcW w:w="3775" w:type="dxa"/>
            <w:vAlign w:val="center"/>
          </w:tcPr>
          <w:p w14:paraId="5BE0937E" w14:textId="104D3B6F" w:rsidR="006906F8" w:rsidRPr="00CB770A" w:rsidRDefault="006906F8" w:rsidP="00E11E42">
            <w:pPr>
              <w:rPr>
                <w:rFonts w:ascii="Arial" w:hAnsi="Arial" w:cs="Arial"/>
                <w:sz w:val="20"/>
              </w:rPr>
            </w:pPr>
            <w:r w:rsidRPr="00CB770A">
              <w:rPr>
                <w:rFonts w:ascii="Arial" w:eastAsia="Times New Roman" w:hAnsi="Arial" w:cs="Arial"/>
                <w:color w:val="000000"/>
                <w:sz w:val="20"/>
                <w:lang w:bidi="ar-SA"/>
              </w:rPr>
              <w:t>S.E(m) ±</w:t>
            </w:r>
          </w:p>
        </w:tc>
        <w:tc>
          <w:tcPr>
            <w:tcW w:w="1350" w:type="dxa"/>
            <w:vAlign w:val="center"/>
          </w:tcPr>
          <w:p w14:paraId="51872B01" w14:textId="7DEDBFED"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3.01</w:t>
            </w:r>
          </w:p>
        </w:tc>
        <w:tc>
          <w:tcPr>
            <w:tcW w:w="1391" w:type="dxa"/>
            <w:vAlign w:val="center"/>
          </w:tcPr>
          <w:p w14:paraId="4989A439" w14:textId="24E8E68D"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79</w:t>
            </w:r>
          </w:p>
        </w:tc>
        <w:tc>
          <w:tcPr>
            <w:tcW w:w="1276" w:type="dxa"/>
            <w:vAlign w:val="center"/>
          </w:tcPr>
          <w:p w14:paraId="406DF6E6" w14:textId="15E18804"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1.90</w:t>
            </w:r>
          </w:p>
        </w:tc>
        <w:tc>
          <w:tcPr>
            <w:tcW w:w="1224" w:type="dxa"/>
            <w:vAlign w:val="center"/>
          </w:tcPr>
          <w:p w14:paraId="55A5A760" w14:textId="082BBE4C"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32</w:t>
            </w:r>
          </w:p>
        </w:tc>
      </w:tr>
      <w:tr w:rsidR="006906F8" w:rsidRPr="00996207" w14:paraId="019A7513" w14:textId="77777777" w:rsidTr="00996207">
        <w:tc>
          <w:tcPr>
            <w:tcW w:w="3775" w:type="dxa"/>
            <w:vAlign w:val="center"/>
          </w:tcPr>
          <w:p w14:paraId="255591E0" w14:textId="11302FF8" w:rsidR="006906F8" w:rsidRPr="00996207" w:rsidRDefault="006906F8" w:rsidP="00E11E42">
            <w:pPr>
              <w:rPr>
                <w:rFonts w:ascii="Arial" w:hAnsi="Arial" w:cs="Arial"/>
                <w:sz w:val="20"/>
              </w:rPr>
            </w:pPr>
            <w:r w:rsidRPr="00996207">
              <w:rPr>
                <w:rFonts w:ascii="Arial" w:eastAsia="Times New Roman" w:hAnsi="Arial" w:cs="Arial"/>
                <w:color w:val="000000"/>
                <w:sz w:val="20"/>
                <w:lang w:bidi="ar-SA"/>
              </w:rPr>
              <w:t>C.D. at 5%</w:t>
            </w:r>
          </w:p>
        </w:tc>
        <w:tc>
          <w:tcPr>
            <w:tcW w:w="1350" w:type="dxa"/>
            <w:vAlign w:val="center"/>
          </w:tcPr>
          <w:p w14:paraId="5ECA0AE0" w14:textId="00AD0614" w:rsidR="006906F8" w:rsidRPr="00996207" w:rsidRDefault="006906F8" w:rsidP="00996207">
            <w:pPr>
              <w:jc w:val="center"/>
              <w:rPr>
                <w:rFonts w:ascii="Arial" w:hAnsi="Arial" w:cs="Arial"/>
                <w:sz w:val="20"/>
              </w:rPr>
            </w:pPr>
            <w:r w:rsidRPr="00996207">
              <w:rPr>
                <w:rFonts w:ascii="Arial" w:hAnsi="Arial" w:cs="Arial"/>
                <w:color w:val="000000"/>
                <w:sz w:val="20"/>
              </w:rPr>
              <w:t>NS</w:t>
            </w:r>
          </w:p>
        </w:tc>
        <w:tc>
          <w:tcPr>
            <w:tcW w:w="1391" w:type="dxa"/>
            <w:vAlign w:val="center"/>
          </w:tcPr>
          <w:p w14:paraId="08101EAD" w14:textId="08CEDD99"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230</w:t>
            </w:r>
          </w:p>
        </w:tc>
        <w:tc>
          <w:tcPr>
            <w:tcW w:w="1276" w:type="dxa"/>
            <w:vAlign w:val="center"/>
          </w:tcPr>
          <w:p w14:paraId="6D758A84" w14:textId="0317F022"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NS</w:t>
            </w:r>
          </w:p>
        </w:tc>
        <w:tc>
          <w:tcPr>
            <w:tcW w:w="1224" w:type="dxa"/>
            <w:vAlign w:val="center"/>
          </w:tcPr>
          <w:p w14:paraId="514FE895" w14:textId="4863F426" w:rsidR="006906F8" w:rsidRPr="00996207" w:rsidRDefault="006906F8" w:rsidP="00996207">
            <w:pPr>
              <w:jc w:val="center"/>
              <w:rPr>
                <w:rFonts w:ascii="Arial" w:hAnsi="Arial" w:cs="Arial"/>
                <w:sz w:val="20"/>
              </w:rPr>
            </w:pPr>
            <w:r w:rsidRPr="00996207">
              <w:rPr>
                <w:rFonts w:ascii="Arial" w:eastAsia="Times New Roman" w:hAnsi="Arial" w:cs="Arial"/>
                <w:sz w:val="20"/>
                <w:lang w:bidi="ar-SA"/>
              </w:rPr>
              <w:t>93</w:t>
            </w:r>
          </w:p>
        </w:tc>
      </w:tr>
    </w:tbl>
    <w:p w14:paraId="65898685" w14:textId="77777777" w:rsidR="006906F8" w:rsidRPr="00E11E42" w:rsidRDefault="006906F8" w:rsidP="00E11E42">
      <w:pPr>
        <w:spacing w:line="240" w:lineRule="auto"/>
        <w:rPr>
          <w:rFonts w:ascii="Arial" w:hAnsi="Arial" w:cs="Arial"/>
          <w:szCs w:val="22"/>
        </w:rPr>
      </w:pPr>
    </w:p>
    <w:p w14:paraId="4FAC39FA" w14:textId="01329268" w:rsidR="006906F8" w:rsidRPr="00E11E42" w:rsidRDefault="00996207" w:rsidP="00996207">
      <w:pPr>
        <w:spacing w:line="240" w:lineRule="auto"/>
        <w:ind w:left="720" w:hanging="720"/>
        <w:jc w:val="both"/>
        <w:rPr>
          <w:rFonts w:ascii="Arial" w:hAnsi="Arial" w:cs="Arial"/>
          <w:b/>
          <w:bCs/>
          <w:szCs w:val="22"/>
        </w:rPr>
      </w:pPr>
      <w:r>
        <w:rPr>
          <w:rFonts w:ascii="Arial" w:hAnsi="Arial" w:cs="Arial"/>
          <w:b/>
          <w:bCs/>
          <w:szCs w:val="22"/>
        </w:rPr>
        <w:t>3.3</w:t>
      </w:r>
      <w:r>
        <w:rPr>
          <w:rFonts w:ascii="Arial" w:hAnsi="Arial" w:cs="Arial"/>
          <w:b/>
          <w:bCs/>
          <w:szCs w:val="22"/>
        </w:rPr>
        <w:tab/>
      </w:r>
      <w:r w:rsidR="006906F8" w:rsidRPr="00E11E42">
        <w:rPr>
          <w:rFonts w:ascii="Arial" w:hAnsi="Arial" w:cs="Arial"/>
          <w:b/>
          <w:bCs/>
          <w:szCs w:val="22"/>
        </w:rPr>
        <w:t xml:space="preserve">Effect of recommended dose of fertilizer and micronutrients on economics of sunflower </w:t>
      </w:r>
    </w:p>
    <w:p w14:paraId="1D391DA4" w14:textId="0C27421A" w:rsidR="006906F8" w:rsidRPr="00996207" w:rsidRDefault="006906F8" w:rsidP="00996207">
      <w:pPr>
        <w:spacing w:line="240" w:lineRule="auto"/>
        <w:jc w:val="both"/>
        <w:rPr>
          <w:rFonts w:ascii="Arial" w:hAnsi="Arial" w:cs="Arial"/>
          <w:sz w:val="20"/>
        </w:rPr>
      </w:pPr>
      <w:r w:rsidRPr="00996207">
        <w:rPr>
          <w:rFonts w:ascii="Arial" w:hAnsi="Arial" w:cs="Arial"/>
          <w:sz w:val="20"/>
        </w:rPr>
        <w:t>The data presented in Fig. 1 revealed that seed yield and economic returns were significantly influenced by different nutrient management treatments. Gross monetary returns (GMR) followed a trend similar to seed yield. The lowest GMR was recorded under the control (₹49,352 ha</w:t>
      </w:r>
      <w:r w:rsidRPr="00996207">
        <w:rPr>
          <w:rFonts w:ascii="Cambria Math" w:hAnsi="Cambria Math" w:cs="Cambria Math"/>
          <w:sz w:val="20"/>
        </w:rPr>
        <w:t>⁻</w:t>
      </w:r>
      <w:r w:rsidRPr="00996207">
        <w:rPr>
          <w:rFonts w:ascii="Arial" w:hAnsi="Arial" w:cs="Arial"/>
          <w:sz w:val="20"/>
        </w:rPr>
        <w:t>¹), while the highest GMR was obtained under T</w:t>
      </w:r>
      <w:r w:rsidRPr="00996207">
        <w:rPr>
          <w:rFonts w:ascii="Arial" w:hAnsi="Arial" w:cs="Arial"/>
          <w:sz w:val="20"/>
          <w:vertAlign w:val="subscript"/>
        </w:rPr>
        <w:t>6</w:t>
      </w:r>
      <w:r w:rsidRPr="00996207">
        <w:rPr>
          <w:rFonts w:ascii="Arial" w:hAnsi="Arial" w:cs="Arial"/>
          <w:sz w:val="20"/>
        </w:rPr>
        <w:t xml:space="preserve"> (₹1</w:t>
      </w:r>
      <w:r w:rsidR="00791D6D">
        <w:rPr>
          <w:rFonts w:ascii="Arial" w:hAnsi="Arial" w:cs="Arial"/>
          <w:sz w:val="20"/>
        </w:rPr>
        <w:t>,</w:t>
      </w:r>
      <w:r w:rsidRPr="00996207">
        <w:rPr>
          <w:rFonts w:ascii="Arial" w:hAnsi="Arial" w:cs="Arial"/>
          <w:sz w:val="20"/>
        </w:rPr>
        <w:t>14,633 ha</w:t>
      </w:r>
      <w:r w:rsidRPr="00996207">
        <w:rPr>
          <w:rFonts w:ascii="Cambria Math" w:hAnsi="Cambria Math" w:cs="Cambria Math"/>
          <w:sz w:val="20"/>
        </w:rPr>
        <w:t>⁻</w:t>
      </w:r>
      <w:r w:rsidRPr="00996207">
        <w:rPr>
          <w:rFonts w:ascii="Arial" w:hAnsi="Arial" w:cs="Arial"/>
          <w:sz w:val="20"/>
        </w:rPr>
        <w:t>¹). Treatments supplemented with individual micronutrients along with RDF also recorded higher GMR compared to RDF alone. The differences in GMR among treatments were significant, as evidenced by the CD value of ₹14,759 ha</w:t>
      </w:r>
      <w:r w:rsidRPr="00996207">
        <w:rPr>
          <w:rFonts w:ascii="Cambria Math" w:hAnsi="Cambria Math" w:cs="Cambria Math"/>
          <w:sz w:val="20"/>
        </w:rPr>
        <w:t>⁻</w:t>
      </w:r>
      <w:r w:rsidRPr="00996207">
        <w:rPr>
          <w:rFonts w:ascii="Arial" w:hAnsi="Arial" w:cs="Arial"/>
          <w:sz w:val="20"/>
        </w:rPr>
        <w:t>¹. Cost of cultivation (COC) varied slightly among treatments, ranging from ₹33,800 ha</w:t>
      </w:r>
      <w:r w:rsidRPr="00996207">
        <w:rPr>
          <w:rFonts w:ascii="Cambria Math" w:hAnsi="Cambria Math" w:cs="Cambria Math"/>
          <w:sz w:val="20"/>
        </w:rPr>
        <w:t>⁻</w:t>
      </w:r>
      <w:r w:rsidRPr="00996207">
        <w:rPr>
          <w:rFonts w:ascii="Arial" w:hAnsi="Arial" w:cs="Arial"/>
          <w:sz w:val="20"/>
        </w:rPr>
        <w:t>¹ in the control to ₹44,685 ha</w:t>
      </w:r>
      <w:r w:rsidRPr="00996207">
        <w:rPr>
          <w:rFonts w:ascii="Cambria Math" w:hAnsi="Cambria Math" w:cs="Cambria Math"/>
          <w:sz w:val="20"/>
        </w:rPr>
        <w:t>⁻</w:t>
      </w:r>
      <w:r w:rsidRPr="00996207">
        <w:rPr>
          <w:rFonts w:ascii="Arial" w:hAnsi="Arial" w:cs="Arial"/>
          <w:sz w:val="20"/>
        </w:rPr>
        <w:t>¹ under T</w:t>
      </w:r>
      <w:r w:rsidRPr="00996207">
        <w:rPr>
          <w:rFonts w:ascii="Arial" w:hAnsi="Arial" w:cs="Arial"/>
          <w:sz w:val="20"/>
          <w:vertAlign w:val="subscript"/>
        </w:rPr>
        <w:t>9</w:t>
      </w:r>
      <w:r w:rsidRPr="00996207">
        <w:rPr>
          <w:rFonts w:ascii="Arial" w:hAnsi="Arial" w:cs="Arial"/>
          <w:sz w:val="20"/>
        </w:rPr>
        <w:t>, mainly due to the additional cost of micronutrient fertilizers. Despite the marginal increase in cultivation cost, micronutrient-treated plots recorded substantially higher returns. Net monetary returns (NMR) were significantly influenced by nutrient management practices. The maximum NMR was recorded under T</w:t>
      </w:r>
      <w:r w:rsidRPr="00996207">
        <w:rPr>
          <w:rFonts w:ascii="Arial" w:hAnsi="Arial" w:cs="Arial"/>
          <w:sz w:val="20"/>
          <w:vertAlign w:val="subscript"/>
        </w:rPr>
        <w:t>6</w:t>
      </w:r>
      <w:r w:rsidRPr="00996207">
        <w:rPr>
          <w:rFonts w:ascii="Arial" w:hAnsi="Arial" w:cs="Arial"/>
          <w:sz w:val="20"/>
        </w:rPr>
        <w:t xml:space="preserve"> (₹71,588 ha</w:t>
      </w:r>
      <w:r w:rsidRPr="00996207">
        <w:rPr>
          <w:rFonts w:ascii="Cambria Math" w:hAnsi="Cambria Math" w:cs="Cambria Math"/>
          <w:sz w:val="20"/>
        </w:rPr>
        <w:t>⁻</w:t>
      </w:r>
      <w:r w:rsidRPr="00996207">
        <w:rPr>
          <w:rFonts w:ascii="Arial" w:hAnsi="Arial" w:cs="Arial"/>
          <w:sz w:val="20"/>
        </w:rPr>
        <w:t>¹), followed by T</w:t>
      </w:r>
      <w:r w:rsidRPr="00996207">
        <w:rPr>
          <w:rFonts w:ascii="Arial" w:hAnsi="Arial" w:cs="Arial"/>
          <w:sz w:val="20"/>
          <w:vertAlign w:val="subscript"/>
        </w:rPr>
        <w:t>5</w:t>
      </w:r>
      <w:r w:rsidRPr="00996207">
        <w:rPr>
          <w:rFonts w:ascii="Arial" w:hAnsi="Arial" w:cs="Arial"/>
          <w:sz w:val="20"/>
        </w:rPr>
        <w:t xml:space="preserve"> (₹61,558 ha</w:t>
      </w:r>
      <w:r w:rsidRPr="00996207">
        <w:rPr>
          <w:rFonts w:ascii="Cambria Math" w:hAnsi="Cambria Math" w:cs="Cambria Math"/>
          <w:sz w:val="20"/>
        </w:rPr>
        <w:t>⁻</w:t>
      </w:r>
      <w:r w:rsidRPr="00996207">
        <w:rPr>
          <w:rFonts w:ascii="Arial" w:hAnsi="Arial" w:cs="Arial"/>
          <w:sz w:val="20"/>
        </w:rPr>
        <w:t>¹) and T</w:t>
      </w:r>
      <w:r w:rsidRPr="00996207">
        <w:rPr>
          <w:rFonts w:ascii="Arial" w:hAnsi="Arial" w:cs="Arial"/>
          <w:sz w:val="20"/>
          <w:vertAlign w:val="subscript"/>
        </w:rPr>
        <w:t>3</w:t>
      </w:r>
      <w:r w:rsidRPr="00996207">
        <w:rPr>
          <w:rFonts w:ascii="Arial" w:hAnsi="Arial" w:cs="Arial"/>
          <w:sz w:val="20"/>
        </w:rPr>
        <w:t xml:space="preserve"> (₹57,703 ha</w:t>
      </w:r>
      <w:r w:rsidRPr="00996207">
        <w:rPr>
          <w:rFonts w:ascii="Cambria Math" w:hAnsi="Cambria Math" w:cs="Cambria Math"/>
          <w:sz w:val="20"/>
        </w:rPr>
        <w:t>⁻</w:t>
      </w:r>
      <w:r w:rsidRPr="00996207">
        <w:rPr>
          <w:rFonts w:ascii="Arial" w:hAnsi="Arial" w:cs="Arial"/>
          <w:sz w:val="20"/>
        </w:rPr>
        <w:t>¹), while the lowest NMR was observed in the control (₹15,552 ha</w:t>
      </w:r>
      <w:r w:rsidRPr="00996207">
        <w:rPr>
          <w:rFonts w:ascii="Cambria Math" w:hAnsi="Cambria Math" w:cs="Cambria Math"/>
          <w:sz w:val="20"/>
        </w:rPr>
        <w:t>⁻</w:t>
      </w:r>
      <w:r w:rsidRPr="00996207">
        <w:rPr>
          <w:rFonts w:ascii="Arial" w:hAnsi="Arial" w:cs="Arial"/>
          <w:sz w:val="20"/>
        </w:rPr>
        <w:t>¹). The CD value (₹14,759 ha</w:t>
      </w:r>
      <w:r w:rsidRPr="00996207">
        <w:rPr>
          <w:rFonts w:ascii="Cambria Math" w:hAnsi="Cambria Math" w:cs="Cambria Math"/>
          <w:sz w:val="20"/>
        </w:rPr>
        <w:t>⁻</w:t>
      </w:r>
      <w:r w:rsidRPr="00996207">
        <w:rPr>
          <w:rFonts w:ascii="Arial" w:hAnsi="Arial" w:cs="Arial"/>
          <w:sz w:val="20"/>
        </w:rPr>
        <w:t>¹) indicated that combined micronutrient application resulted in significantly higher net returns compared to RDF alone. The benefit–cost (B:C) ratio ranged from 1.46 in the control to 2.66 under T</w:t>
      </w:r>
      <w:r w:rsidRPr="00996207">
        <w:rPr>
          <w:rFonts w:ascii="Arial" w:hAnsi="Arial" w:cs="Arial"/>
          <w:sz w:val="20"/>
          <w:vertAlign w:val="subscript"/>
        </w:rPr>
        <w:t>6</w:t>
      </w:r>
      <w:r w:rsidRPr="00996207">
        <w:rPr>
          <w:rFonts w:ascii="Arial" w:hAnsi="Arial" w:cs="Arial"/>
          <w:sz w:val="20"/>
        </w:rPr>
        <w:t>, indicating better economic viability of micronutrient supplementation. Treatments receiving combined or individual micronutrients in conjunction with RDF recorded higher B:C ratios than RDF alone, demonstrating improved profitability. Overall, the results clearly indicate that combined application of RDF with Zn, Fe, and B (T</w:t>
      </w:r>
      <w:r w:rsidRPr="00027B4C">
        <w:rPr>
          <w:rFonts w:ascii="Arial" w:hAnsi="Arial" w:cs="Arial"/>
          <w:sz w:val="20"/>
          <w:vertAlign w:val="subscript"/>
        </w:rPr>
        <w:t>6</w:t>
      </w:r>
      <w:r w:rsidRPr="00996207">
        <w:rPr>
          <w:rFonts w:ascii="Arial" w:hAnsi="Arial" w:cs="Arial"/>
          <w:sz w:val="20"/>
        </w:rPr>
        <w:t xml:space="preserve">) was the most economically profitable treatment, owing to higher seed yield and monetary returns despite a marginal increase in cost of cultivation. </w:t>
      </w:r>
      <w:bookmarkStart w:id="2" w:name="_Hlk138623296"/>
      <w:r w:rsidRPr="00996207">
        <w:rPr>
          <w:rFonts w:ascii="Arial" w:hAnsi="Arial" w:cs="Arial"/>
          <w:sz w:val="20"/>
        </w:rPr>
        <w:t xml:space="preserve">Jyothi and Anjaiah (2018) </w:t>
      </w:r>
      <w:bookmarkEnd w:id="2"/>
      <w:r w:rsidRPr="00996207">
        <w:rPr>
          <w:rFonts w:ascii="Arial" w:hAnsi="Arial" w:cs="Arial"/>
          <w:sz w:val="20"/>
        </w:rPr>
        <w:t xml:space="preserve">also revealed that maximum gross returns were obtained with the application boron whereas maximum net returns and B:C ratio were obtained with the application of boron with the RDF. Similar results were obtained by the Rao </w:t>
      </w:r>
      <w:r w:rsidRPr="00996207">
        <w:rPr>
          <w:rFonts w:ascii="Arial" w:hAnsi="Arial" w:cs="Arial"/>
          <w:i/>
          <w:iCs/>
          <w:sz w:val="20"/>
        </w:rPr>
        <w:t>et al.</w:t>
      </w:r>
      <w:r w:rsidRPr="00996207">
        <w:rPr>
          <w:rFonts w:ascii="Arial" w:hAnsi="Arial" w:cs="Arial"/>
          <w:sz w:val="20"/>
        </w:rPr>
        <w:t xml:space="preserve"> (2020). </w:t>
      </w:r>
    </w:p>
    <w:p w14:paraId="713D171A" w14:textId="51BB172D" w:rsidR="006906F8" w:rsidRPr="00E11E42" w:rsidRDefault="006906F8" w:rsidP="00E11E42">
      <w:pPr>
        <w:spacing w:line="240" w:lineRule="auto"/>
        <w:rPr>
          <w:rFonts w:ascii="Arial" w:hAnsi="Arial" w:cs="Arial"/>
          <w:szCs w:val="22"/>
        </w:rPr>
      </w:pPr>
      <w:r w:rsidRPr="00E11E42">
        <w:rPr>
          <w:rFonts w:ascii="Arial" w:hAnsi="Arial" w:cs="Arial"/>
          <w:noProof/>
          <w:szCs w:val="22"/>
        </w:rPr>
        <w:lastRenderedPageBreak/>
        <w:drawing>
          <wp:inline distT="0" distB="0" distL="0" distR="0" wp14:anchorId="1174F2AA" wp14:editId="6B7EB0DB">
            <wp:extent cx="5731510" cy="3581195"/>
            <wp:effectExtent l="0" t="0" r="2540" b="635"/>
            <wp:docPr id="23118553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A8A2A7C" w14:textId="752E530E" w:rsidR="006906F8" w:rsidRPr="00615958" w:rsidRDefault="006906F8" w:rsidP="00615958">
      <w:pPr>
        <w:spacing w:line="240" w:lineRule="auto"/>
        <w:rPr>
          <w:rFonts w:ascii="Arial" w:hAnsi="Arial" w:cs="Arial"/>
          <w:b/>
          <w:bCs/>
          <w:sz w:val="20"/>
        </w:rPr>
      </w:pPr>
      <w:r w:rsidRPr="00615958">
        <w:rPr>
          <w:rFonts w:ascii="Arial" w:hAnsi="Arial" w:cs="Arial"/>
          <w:b/>
          <w:bCs/>
          <w:sz w:val="20"/>
        </w:rPr>
        <w:t>Fig</w:t>
      </w:r>
      <w:r w:rsidR="00615958" w:rsidRPr="00615958">
        <w:rPr>
          <w:rFonts w:ascii="Arial" w:hAnsi="Arial" w:cs="Arial"/>
          <w:b/>
          <w:bCs/>
          <w:sz w:val="20"/>
        </w:rPr>
        <w:t>.</w:t>
      </w:r>
      <w:r w:rsidRPr="00615958">
        <w:rPr>
          <w:rFonts w:ascii="Arial" w:hAnsi="Arial" w:cs="Arial"/>
          <w:b/>
          <w:bCs/>
          <w:sz w:val="20"/>
        </w:rPr>
        <w:t xml:space="preserve"> 1. Gross remunerative, </w:t>
      </w:r>
      <w:r w:rsidR="00027B4C">
        <w:rPr>
          <w:rFonts w:ascii="Arial" w:hAnsi="Arial" w:cs="Arial"/>
          <w:b/>
          <w:bCs/>
          <w:sz w:val="20"/>
        </w:rPr>
        <w:t>n</w:t>
      </w:r>
      <w:r w:rsidRPr="00615958">
        <w:rPr>
          <w:rFonts w:ascii="Arial" w:hAnsi="Arial" w:cs="Arial"/>
          <w:b/>
          <w:bCs/>
          <w:sz w:val="20"/>
        </w:rPr>
        <w:t xml:space="preserve">et remunerative and </w:t>
      </w:r>
      <w:r w:rsidR="00027B4C">
        <w:rPr>
          <w:rFonts w:ascii="Arial" w:hAnsi="Arial" w:cs="Arial"/>
          <w:b/>
          <w:bCs/>
          <w:sz w:val="20"/>
        </w:rPr>
        <w:t>b</w:t>
      </w:r>
      <w:r w:rsidRPr="00615958">
        <w:rPr>
          <w:rFonts w:ascii="Arial" w:hAnsi="Arial" w:cs="Arial"/>
          <w:b/>
          <w:bCs/>
          <w:sz w:val="20"/>
        </w:rPr>
        <w:t>enefit</w:t>
      </w:r>
      <w:r w:rsidR="00027B4C">
        <w:rPr>
          <w:rFonts w:ascii="Arial" w:hAnsi="Arial" w:cs="Arial"/>
          <w:b/>
          <w:bCs/>
          <w:sz w:val="20"/>
        </w:rPr>
        <w:t>-</w:t>
      </w:r>
      <w:r w:rsidRPr="00615958">
        <w:rPr>
          <w:rFonts w:ascii="Arial" w:hAnsi="Arial" w:cs="Arial"/>
          <w:b/>
          <w:bCs/>
          <w:sz w:val="20"/>
        </w:rPr>
        <w:t>cost ratio</w:t>
      </w:r>
    </w:p>
    <w:p w14:paraId="6FBC0EDE" w14:textId="191DA297" w:rsidR="00312330" w:rsidRPr="00615958" w:rsidRDefault="00615958" w:rsidP="00615958">
      <w:pPr>
        <w:spacing w:line="240" w:lineRule="auto"/>
        <w:jc w:val="both"/>
        <w:rPr>
          <w:rFonts w:ascii="Arial" w:hAnsi="Arial" w:cs="Arial"/>
          <w:szCs w:val="22"/>
        </w:rPr>
      </w:pPr>
      <w:r w:rsidRPr="00615958">
        <w:rPr>
          <w:rFonts w:ascii="Arial" w:hAnsi="Arial" w:cs="Arial"/>
          <w:b/>
          <w:bCs/>
          <w:szCs w:val="22"/>
        </w:rPr>
        <w:t>4.</w:t>
      </w:r>
      <w:r>
        <w:rPr>
          <w:rFonts w:ascii="Arial" w:hAnsi="Arial" w:cs="Arial"/>
          <w:b/>
          <w:bCs/>
          <w:szCs w:val="22"/>
        </w:rPr>
        <w:t xml:space="preserve">   </w:t>
      </w:r>
      <w:r w:rsidR="00312330" w:rsidRPr="00615958">
        <w:rPr>
          <w:rFonts w:ascii="Arial" w:hAnsi="Arial" w:cs="Arial"/>
          <w:b/>
          <w:bCs/>
          <w:szCs w:val="22"/>
        </w:rPr>
        <w:t xml:space="preserve">Conclusion </w:t>
      </w:r>
    </w:p>
    <w:p w14:paraId="1C9351B6" w14:textId="47A49542" w:rsidR="00312330" w:rsidRPr="00615958" w:rsidRDefault="00312330" w:rsidP="00615958">
      <w:pPr>
        <w:spacing w:line="240" w:lineRule="auto"/>
        <w:jc w:val="both"/>
        <w:rPr>
          <w:rFonts w:ascii="Arial" w:hAnsi="Arial" w:cs="Arial"/>
          <w:sz w:val="20"/>
        </w:rPr>
      </w:pPr>
      <w:r w:rsidRPr="00615958">
        <w:rPr>
          <w:rFonts w:ascii="Arial" w:hAnsi="Arial" w:cs="Arial"/>
          <w:sz w:val="20"/>
        </w:rPr>
        <w:t>It may be concluded that application of RDF along with combined application of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FeSO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6</w:t>
      </w:r>
      <w:r w:rsidRPr="00615958">
        <w:rPr>
          <w:rFonts w:ascii="Arial" w:hAnsi="Arial" w:cs="Arial"/>
          <w:sz w:val="20"/>
        </w:rPr>
        <w:t>) recorded higher growth</w:t>
      </w:r>
      <w:r w:rsidR="009A0014" w:rsidRPr="00615958">
        <w:rPr>
          <w:rFonts w:ascii="Arial" w:hAnsi="Arial" w:cs="Arial"/>
          <w:sz w:val="20"/>
        </w:rPr>
        <w:t xml:space="preserve"> and </w:t>
      </w:r>
      <w:r w:rsidRPr="00615958">
        <w:rPr>
          <w:rFonts w:ascii="Arial" w:hAnsi="Arial" w:cs="Arial"/>
          <w:sz w:val="20"/>
        </w:rPr>
        <w:t xml:space="preserve">yield attributes </w:t>
      </w:r>
      <w:r w:rsidR="009A0014" w:rsidRPr="00615958">
        <w:rPr>
          <w:rFonts w:ascii="Arial" w:hAnsi="Arial" w:cs="Arial"/>
          <w:sz w:val="20"/>
        </w:rPr>
        <w:t xml:space="preserve">and oil content </w:t>
      </w:r>
      <w:r w:rsidRPr="00615958">
        <w:rPr>
          <w:rFonts w:ascii="Arial" w:hAnsi="Arial" w:cs="Arial"/>
          <w:sz w:val="20"/>
        </w:rPr>
        <w:t>of sunflower followed by RDF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5</w:t>
      </w:r>
      <w:r w:rsidRPr="00615958">
        <w:rPr>
          <w:rFonts w:ascii="Arial" w:hAnsi="Arial" w:cs="Arial"/>
          <w:sz w:val="20"/>
        </w:rPr>
        <w:t>) and RDF +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3</w:t>
      </w:r>
      <w:r w:rsidRPr="00615958">
        <w:rPr>
          <w:rFonts w:ascii="Arial" w:hAnsi="Arial" w:cs="Arial"/>
          <w:sz w:val="20"/>
        </w:rPr>
        <w:t>). Application of RDF + ZnSO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FeSO</w:t>
      </w:r>
      <w:r w:rsidRPr="00615958">
        <w:rPr>
          <w:rFonts w:ascii="Arial" w:hAnsi="Arial" w:cs="Arial"/>
          <w:sz w:val="20"/>
          <w:vertAlign w:val="subscript"/>
        </w:rPr>
        <w:t>4</w:t>
      </w:r>
      <w:r w:rsidRPr="00615958">
        <w:rPr>
          <w:rFonts w:ascii="Arial" w:hAnsi="Arial" w:cs="Arial"/>
          <w:sz w:val="20"/>
        </w:rPr>
        <w:t xml:space="preserve"> @ 20 kg ha</w:t>
      </w:r>
      <w:r w:rsidRPr="00615958">
        <w:rPr>
          <w:rFonts w:ascii="Arial" w:hAnsi="Arial" w:cs="Arial"/>
          <w:sz w:val="20"/>
          <w:vertAlign w:val="superscript"/>
        </w:rPr>
        <w:t>-1</w:t>
      </w:r>
      <w:r w:rsidRPr="00615958">
        <w:rPr>
          <w:rFonts w:ascii="Arial" w:hAnsi="Arial" w:cs="Arial"/>
          <w:sz w:val="20"/>
        </w:rPr>
        <w:t xml:space="preserve"> + Borax @ 2 kg ha</w:t>
      </w:r>
      <w:r w:rsidRPr="00615958">
        <w:rPr>
          <w:rFonts w:ascii="Arial" w:hAnsi="Arial" w:cs="Arial"/>
          <w:sz w:val="20"/>
          <w:vertAlign w:val="superscript"/>
        </w:rPr>
        <w:t>-1</w:t>
      </w:r>
      <w:r w:rsidRPr="00615958">
        <w:rPr>
          <w:rFonts w:ascii="Arial" w:hAnsi="Arial" w:cs="Arial"/>
          <w:sz w:val="20"/>
        </w:rPr>
        <w:t xml:space="preserve"> (T</w:t>
      </w:r>
      <w:r w:rsidRPr="00615958">
        <w:rPr>
          <w:rFonts w:ascii="Arial" w:hAnsi="Arial" w:cs="Arial"/>
          <w:sz w:val="20"/>
          <w:vertAlign w:val="subscript"/>
        </w:rPr>
        <w:t>6</w:t>
      </w:r>
      <w:r w:rsidRPr="00615958">
        <w:rPr>
          <w:rFonts w:ascii="Arial" w:hAnsi="Arial" w:cs="Arial"/>
          <w:sz w:val="20"/>
        </w:rPr>
        <w:t>) was found to be more remunerative for getting higher GMR (1,14,633 ₹ ha</w:t>
      </w:r>
      <w:r w:rsidRPr="00615958">
        <w:rPr>
          <w:rFonts w:ascii="Arial" w:hAnsi="Arial" w:cs="Arial"/>
          <w:sz w:val="20"/>
          <w:vertAlign w:val="superscript"/>
        </w:rPr>
        <w:t>-1</w:t>
      </w:r>
      <w:r w:rsidRPr="00615958">
        <w:rPr>
          <w:rFonts w:ascii="Arial" w:hAnsi="Arial" w:cs="Arial"/>
          <w:sz w:val="20"/>
        </w:rPr>
        <w:t>), NMR (71,588 ₹ ha</w:t>
      </w:r>
      <w:r w:rsidRPr="00615958">
        <w:rPr>
          <w:rFonts w:ascii="Arial" w:hAnsi="Arial" w:cs="Arial"/>
          <w:sz w:val="20"/>
          <w:vertAlign w:val="superscript"/>
        </w:rPr>
        <w:t>-1</w:t>
      </w:r>
      <w:r w:rsidRPr="00615958">
        <w:rPr>
          <w:rFonts w:ascii="Arial" w:hAnsi="Arial" w:cs="Arial"/>
          <w:sz w:val="20"/>
        </w:rPr>
        <w:t>) and B:C ratio (2.66).</w:t>
      </w:r>
    </w:p>
    <w:p w14:paraId="5AB27EB8" w14:textId="77777777" w:rsidR="00312330" w:rsidRPr="00E11E42" w:rsidRDefault="00312330" w:rsidP="00E11E42">
      <w:pPr>
        <w:spacing w:line="240" w:lineRule="auto"/>
        <w:jc w:val="both"/>
        <w:rPr>
          <w:rFonts w:ascii="Arial" w:hAnsi="Arial" w:cs="Arial"/>
          <w:szCs w:val="22"/>
        </w:rPr>
      </w:pPr>
      <w:r w:rsidRPr="00E11E42">
        <w:rPr>
          <w:rFonts w:ascii="Arial" w:hAnsi="Arial" w:cs="Arial"/>
          <w:b/>
          <w:bCs/>
          <w:szCs w:val="22"/>
        </w:rPr>
        <w:t xml:space="preserve">Conflict of interest </w:t>
      </w:r>
    </w:p>
    <w:p w14:paraId="0CB43D40" w14:textId="77777777" w:rsidR="00312330" w:rsidRPr="00615958" w:rsidRDefault="00312330" w:rsidP="00615958">
      <w:pPr>
        <w:spacing w:line="240" w:lineRule="auto"/>
        <w:jc w:val="both"/>
        <w:rPr>
          <w:rFonts w:ascii="Arial" w:hAnsi="Arial" w:cs="Arial"/>
          <w:sz w:val="20"/>
        </w:rPr>
      </w:pPr>
      <w:r w:rsidRPr="00615958">
        <w:rPr>
          <w:rFonts w:ascii="Arial" w:hAnsi="Arial" w:cs="Arial"/>
          <w:sz w:val="20"/>
        </w:rPr>
        <w:t>The authors declare that they have no conflict of interest.</w:t>
      </w:r>
    </w:p>
    <w:p w14:paraId="5114DDDC" w14:textId="382DB9ED" w:rsidR="00312330" w:rsidRPr="00E11E42" w:rsidRDefault="00615958" w:rsidP="00E11E42">
      <w:pPr>
        <w:spacing w:line="240" w:lineRule="auto"/>
        <w:rPr>
          <w:rFonts w:ascii="Arial" w:hAnsi="Arial" w:cs="Arial"/>
          <w:b/>
          <w:bCs/>
          <w:szCs w:val="22"/>
        </w:rPr>
      </w:pPr>
      <w:r w:rsidRPr="00E11E42">
        <w:rPr>
          <w:rFonts w:ascii="Arial" w:hAnsi="Arial" w:cs="Arial"/>
          <w:b/>
          <w:bCs/>
          <w:szCs w:val="22"/>
        </w:rPr>
        <w:t>REFERENCE</w:t>
      </w:r>
      <w:r>
        <w:rPr>
          <w:rFonts w:ascii="Arial" w:hAnsi="Arial" w:cs="Arial"/>
          <w:b/>
          <w:bCs/>
          <w:szCs w:val="22"/>
        </w:rPr>
        <w:t>S</w:t>
      </w:r>
    </w:p>
    <w:p w14:paraId="62C5F244" w14:textId="77777777" w:rsidR="00E11E42" w:rsidRDefault="00E11E42" w:rsidP="00615958">
      <w:pPr>
        <w:pStyle w:val="Heading1"/>
        <w:spacing w:before="77" w:line="240" w:lineRule="auto"/>
        <w:jc w:val="both"/>
        <w:rPr>
          <w:rFonts w:ascii="Arial" w:hAnsi="Arial" w:cs="Arial"/>
          <w:color w:val="auto"/>
          <w:sz w:val="20"/>
          <w:szCs w:val="20"/>
        </w:rPr>
      </w:pPr>
      <w:proofErr w:type="spellStart"/>
      <w:r w:rsidRPr="00615958">
        <w:rPr>
          <w:rFonts w:ascii="Arial" w:hAnsi="Arial" w:cs="Arial"/>
          <w:color w:val="auto"/>
          <w:sz w:val="20"/>
          <w:szCs w:val="20"/>
        </w:rPr>
        <w:t>Shankergoud</w:t>
      </w:r>
      <w:proofErr w:type="spellEnd"/>
      <w:r w:rsidRPr="00615958">
        <w:rPr>
          <w:rFonts w:ascii="Arial" w:hAnsi="Arial" w:cs="Arial"/>
          <w:color w:val="auto"/>
          <w:sz w:val="20"/>
          <w:szCs w:val="20"/>
        </w:rPr>
        <w:t xml:space="preserve">, I., </w:t>
      </w:r>
      <w:proofErr w:type="spellStart"/>
      <w:r w:rsidRPr="00615958">
        <w:rPr>
          <w:rFonts w:ascii="Arial" w:hAnsi="Arial" w:cs="Arial"/>
          <w:color w:val="auto"/>
          <w:sz w:val="20"/>
          <w:szCs w:val="20"/>
        </w:rPr>
        <w:t>Shadakshari</w:t>
      </w:r>
      <w:proofErr w:type="spellEnd"/>
      <w:r w:rsidRPr="00615958">
        <w:rPr>
          <w:rFonts w:ascii="Arial" w:hAnsi="Arial" w:cs="Arial"/>
          <w:color w:val="auto"/>
          <w:sz w:val="20"/>
          <w:szCs w:val="20"/>
        </w:rPr>
        <w:t xml:space="preserve">, Y. G., </w:t>
      </w:r>
      <w:proofErr w:type="spellStart"/>
      <w:r w:rsidRPr="00615958">
        <w:rPr>
          <w:rFonts w:ascii="Arial" w:hAnsi="Arial" w:cs="Arial"/>
          <w:color w:val="auto"/>
          <w:sz w:val="20"/>
          <w:szCs w:val="20"/>
        </w:rPr>
        <w:t>Parameshwarappa</w:t>
      </w:r>
      <w:proofErr w:type="spellEnd"/>
      <w:r w:rsidRPr="00615958">
        <w:rPr>
          <w:rFonts w:ascii="Arial" w:hAnsi="Arial" w:cs="Arial"/>
          <w:color w:val="auto"/>
          <w:sz w:val="20"/>
          <w:szCs w:val="20"/>
        </w:rPr>
        <w:t xml:space="preserve"> K. G., Chandranath H. T., Katti, P. &amp; Mesta R. K. (2006). Sunflower and castor research in Karnataka – An Overview, University of Agricultural Sciences, Dharwad, 41.</w:t>
      </w:r>
    </w:p>
    <w:p w14:paraId="7D0C070A" w14:textId="48C5402A" w:rsidR="00FB5754" w:rsidRDefault="00FB5754" w:rsidP="00615958">
      <w:pPr>
        <w:spacing w:line="240" w:lineRule="auto"/>
        <w:jc w:val="both"/>
        <w:rPr>
          <w:rFonts w:ascii="Arial" w:hAnsi="Arial" w:cs="Arial"/>
          <w:sz w:val="20"/>
        </w:rPr>
      </w:pPr>
      <w:r w:rsidRPr="00FB5754">
        <w:rPr>
          <w:rFonts w:ascii="Arial" w:hAnsi="Arial" w:cs="Arial"/>
          <w:sz w:val="20"/>
        </w:rPr>
        <w:t xml:space="preserve">Rahul, G., Singh, R., &amp; Singh, E. (2021). Influence of sulphur and boron on yield and economics of sunflower (Helianthus </w:t>
      </w:r>
      <w:proofErr w:type="spellStart"/>
      <w:r w:rsidRPr="00FB5754">
        <w:rPr>
          <w:rFonts w:ascii="Arial" w:hAnsi="Arial" w:cs="Arial"/>
          <w:sz w:val="20"/>
        </w:rPr>
        <w:t>annuus</w:t>
      </w:r>
      <w:proofErr w:type="spellEnd"/>
      <w:r w:rsidRPr="00FB5754">
        <w:rPr>
          <w:rFonts w:ascii="Arial" w:hAnsi="Arial" w:cs="Arial"/>
          <w:sz w:val="20"/>
        </w:rPr>
        <w:t xml:space="preserve"> L.). Biological Forum–An International Journal, 13, 229-32. </w:t>
      </w:r>
      <w:hyperlink r:id="rId15" w:history="1">
        <w:r w:rsidRPr="000E0763">
          <w:rPr>
            <w:rStyle w:val="Hyperlink"/>
            <w:rFonts w:ascii="Arial" w:hAnsi="Arial" w:cs="Arial"/>
            <w:sz w:val="20"/>
          </w:rPr>
          <w:t>https://www.researchtrend.net/bfij/BF%2013(4)%20229-232.pdf</w:t>
        </w:r>
      </w:hyperlink>
    </w:p>
    <w:p w14:paraId="5EEC0DF1" w14:textId="22B46178" w:rsidR="00E11E42" w:rsidRPr="00615958" w:rsidRDefault="00E11E42" w:rsidP="00615958">
      <w:pPr>
        <w:spacing w:line="240" w:lineRule="auto"/>
        <w:jc w:val="both"/>
        <w:rPr>
          <w:rFonts w:ascii="Arial" w:hAnsi="Arial" w:cs="Arial"/>
          <w:sz w:val="20"/>
        </w:rPr>
      </w:pPr>
      <w:proofErr w:type="spellStart"/>
      <w:r w:rsidRPr="00615958">
        <w:rPr>
          <w:rFonts w:ascii="Arial" w:hAnsi="Arial" w:cs="Arial"/>
          <w:sz w:val="20"/>
        </w:rPr>
        <w:t>Soluski</w:t>
      </w:r>
      <w:proofErr w:type="spellEnd"/>
      <w:r w:rsidRPr="00615958">
        <w:rPr>
          <w:rFonts w:ascii="Arial" w:hAnsi="Arial" w:cs="Arial"/>
          <w:sz w:val="20"/>
        </w:rPr>
        <w:t xml:space="preserve">, F. W. &amp; </w:t>
      </w:r>
      <w:proofErr w:type="spellStart"/>
      <w:r w:rsidRPr="00615958">
        <w:rPr>
          <w:rFonts w:ascii="Arial" w:hAnsi="Arial" w:cs="Arial"/>
          <w:sz w:val="20"/>
        </w:rPr>
        <w:t>Sarware</w:t>
      </w:r>
      <w:proofErr w:type="spellEnd"/>
      <w:r w:rsidRPr="00615958">
        <w:rPr>
          <w:rFonts w:ascii="Arial" w:hAnsi="Arial" w:cs="Arial"/>
          <w:sz w:val="20"/>
        </w:rPr>
        <w:t>, G. (1973). Amino acid composition of oilseed meal and protein isolates. Canadian Institute of Food Science Journal. 6</w:t>
      </w:r>
      <w:r w:rsidRPr="00615958">
        <w:rPr>
          <w:rFonts w:ascii="Arial" w:hAnsi="Arial" w:cs="Arial"/>
          <w:b/>
          <w:bCs/>
          <w:sz w:val="20"/>
        </w:rPr>
        <w:t>,</w:t>
      </w:r>
      <w:r w:rsidRPr="00615958">
        <w:rPr>
          <w:rFonts w:ascii="Arial" w:hAnsi="Arial" w:cs="Arial"/>
          <w:sz w:val="20"/>
        </w:rPr>
        <w:t xml:space="preserve"> 1-5.</w:t>
      </w:r>
    </w:p>
    <w:p w14:paraId="36BFBE7A" w14:textId="5262615F" w:rsidR="00FB5754" w:rsidRDefault="00FB5754" w:rsidP="00615958">
      <w:pPr>
        <w:spacing w:line="240" w:lineRule="auto"/>
        <w:jc w:val="both"/>
        <w:rPr>
          <w:rFonts w:ascii="Arial" w:hAnsi="Arial" w:cs="Arial"/>
          <w:sz w:val="20"/>
        </w:rPr>
      </w:pPr>
      <w:r w:rsidRPr="00FB5754">
        <w:rPr>
          <w:rFonts w:ascii="Arial" w:hAnsi="Arial" w:cs="Arial"/>
          <w:sz w:val="20"/>
        </w:rPr>
        <w:t xml:space="preserve">Anonymous. (2024). All India: Crop-wise Area, Production and Productivity. Unified Portal for Agricultural Statistics, Department of Agriculture and Farmers Welfare. </w:t>
      </w:r>
      <w:hyperlink r:id="rId16" w:history="1">
        <w:r w:rsidRPr="000E0763">
          <w:rPr>
            <w:rStyle w:val="Hyperlink"/>
            <w:rFonts w:ascii="Arial" w:hAnsi="Arial" w:cs="Arial"/>
            <w:sz w:val="20"/>
          </w:rPr>
          <w:t>https://upag.gov.in/dash-reports/allindiaapy</w:t>
        </w:r>
      </w:hyperlink>
    </w:p>
    <w:p w14:paraId="119785A1" w14:textId="4900D730" w:rsidR="00FB5754" w:rsidRDefault="00FB5754" w:rsidP="00615958">
      <w:pPr>
        <w:spacing w:line="240" w:lineRule="auto"/>
        <w:jc w:val="both"/>
        <w:rPr>
          <w:rFonts w:ascii="Arial" w:hAnsi="Arial" w:cs="Arial"/>
          <w:sz w:val="20"/>
        </w:rPr>
      </w:pPr>
      <w:proofErr w:type="spellStart"/>
      <w:r w:rsidRPr="00FB5754">
        <w:rPr>
          <w:rFonts w:ascii="Arial" w:hAnsi="Arial" w:cs="Arial"/>
          <w:sz w:val="20"/>
        </w:rPr>
        <w:t>Shekhawat</w:t>
      </w:r>
      <w:proofErr w:type="spellEnd"/>
      <w:r w:rsidRPr="00FB5754">
        <w:rPr>
          <w:rFonts w:ascii="Arial" w:hAnsi="Arial" w:cs="Arial"/>
          <w:sz w:val="20"/>
        </w:rPr>
        <w:t xml:space="preserve">, K., </w:t>
      </w:r>
      <w:proofErr w:type="spellStart"/>
      <w:r w:rsidRPr="00FB5754">
        <w:rPr>
          <w:rFonts w:ascii="Arial" w:hAnsi="Arial" w:cs="Arial"/>
          <w:sz w:val="20"/>
        </w:rPr>
        <w:t>Shivay</w:t>
      </w:r>
      <w:proofErr w:type="spellEnd"/>
      <w:r w:rsidRPr="00FB5754">
        <w:rPr>
          <w:rFonts w:ascii="Arial" w:hAnsi="Arial" w:cs="Arial"/>
          <w:sz w:val="20"/>
        </w:rPr>
        <w:t xml:space="preserve">, Y. S., &amp; Kumar, D. (2008). Productivity and nutrient uptake of spring sunflower (Helianthus </w:t>
      </w:r>
      <w:proofErr w:type="spellStart"/>
      <w:r w:rsidRPr="00FB5754">
        <w:rPr>
          <w:rFonts w:ascii="Arial" w:hAnsi="Arial" w:cs="Arial"/>
          <w:sz w:val="20"/>
        </w:rPr>
        <w:t>annuus</w:t>
      </w:r>
      <w:proofErr w:type="spellEnd"/>
      <w:r w:rsidRPr="00FB5754">
        <w:rPr>
          <w:rFonts w:ascii="Arial" w:hAnsi="Arial" w:cs="Arial"/>
          <w:sz w:val="20"/>
        </w:rPr>
        <w:t xml:space="preserve"> L.) as influenced by nitrogen sources, sulphur and boron levels. Indian Journal of Agricultural Sciences, 78(1), 90-94. </w:t>
      </w:r>
      <w:hyperlink r:id="rId17" w:history="1">
        <w:r w:rsidRPr="000E0763">
          <w:rPr>
            <w:rStyle w:val="Hyperlink"/>
            <w:rFonts w:ascii="Arial" w:hAnsi="Arial" w:cs="Arial"/>
            <w:sz w:val="20"/>
          </w:rPr>
          <w:t>https://doi.org/10.56093/ijas.v78i1.9776</w:t>
        </w:r>
      </w:hyperlink>
    </w:p>
    <w:p w14:paraId="70CBD9AE" w14:textId="3E42B747" w:rsidR="00FB5754" w:rsidRDefault="00FB5754" w:rsidP="00F93186">
      <w:pPr>
        <w:spacing w:line="240" w:lineRule="auto"/>
        <w:rPr>
          <w:rFonts w:ascii="Arial" w:hAnsi="Arial" w:cs="Arial"/>
          <w:sz w:val="20"/>
        </w:rPr>
      </w:pPr>
      <w:r w:rsidRPr="00FB5754">
        <w:rPr>
          <w:rFonts w:ascii="Arial" w:hAnsi="Arial" w:cs="Arial"/>
          <w:sz w:val="20"/>
        </w:rPr>
        <w:t xml:space="preserve">Karthikeyan, K., &amp; Shukla, L. M. (2008). Effect of boron – sulphur interaction on their uptake and quality parameters of mustard (Brassica </w:t>
      </w:r>
      <w:proofErr w:type="spellStart"/>
      <w:r w:rsidRPr="00FB5754">
        <w:rPr>
          <w:rFonts w:ascii="Arial" w:hAnsi="Arial" w:cs="Arial"/>
          <w:sz w:val="20"/>
        </w:rPr>
        <w:t>juncea</w:t>
      </w:r>
      <w:proofErr w:type="spellEnd"/>
      <w:r w:rsidRPr="00FB5754">
        <w:rPr>
          <w:rFonts w:ascii="Arial" w:hAnsi="Arial" w:cs="Arial"/>
          <w:sz w:val="20"/>
        </w:rPr>
        <w:t xml:space="preserve"> L.) and sunflower (Helianthus </w:t>
      </w:r>
      <w:proofErr w:type="spellStart"/>
      <w:r w:rsidRPr="00FB5754">
        <w:rPr>
          <w:rFonts w:ascii="Arial" w:hAnsi="Arial" w:cs="Arial"/>
          <w:sz w:val="20"/>
        </w:rPr>
        <w:t>annuus</w:t>
      </w:r>
      <w:proofErr w:type="spellEnd"/>
      <w:r w:rsidRPr="00FB5754">
        <w:rPr>
          <w:rFonts w:ascii="Arial" w:hAnsi="Arial" w:cs="Arial"/>
          <w:sz w:val="20"/>
        </w:rPr>
        <w:t xml:space="preserve"> L.). Journal of </w:t>
      </w:r>
      <w:r w:rsidRPr="00FB5754">
        <w:rPr>
          <w:rFonts w:ascii="Arial" w:hAnsi="Arial" w:cs="Arial"/>
          <w:sz w:val="20"/>
        </w:rPr>
        <w:lastRenderedPageBreak/>
        <w:t xml:space="preserve">the Indian Society of Soil Science. </w:t>
      </w:r>
      <w:hyperlink r:id="rId18" w:history="1">
        <w:r w:rsidRPr="000E0763">
          <w:rPr>
            <w:rStyle w:val="Hyperlink"/>
            <w:rFonts w:ascii="Arial" w:hAnsi="Arial" w:cs="Arial"/>
            <w:sz w:val="20"/>
          </w:rPr>
          <w:t>https://www.indianjournals.com/ijor.aspx?target=ijor:jiss&amp;volume=56&amp;issue=2&amp;article=009</w:t>
        </w:r>
      </w:hyperlink>
    </w:p>
    <w:p w14:paraId="77F985E8" w14:textId="5B74077F" w:rsidR="00FB5754" w:rsidRDefault="00FB5754" w:rsidP="00F93186">
      <w:pPr>
        <w:spacing w:line="240" w:lineRule="auto"/>
        <w:jc w:val="both"/>
        <w:rPr>
          <w:rFonts w:ascii="Arial" w:hAnsi="Arial" w:cs="Arial"/>
          <w:sz w:val="20"/>
        </w:rPr>
      </w:pPr>
      <w:r w:rsidRPr="00FB5754">
        <w:rPr>
          <w:rFonts w:ascii="Arial" w:hAnsi="Arial" w:cs="Arial"/>
          <w:sz w:val="20"/>
        </w:rPr>
        <w:t xml:space="preserve">Blackman, V. H. (1919). The compound interest law and plant growth. Annals of Botany. </w:t>
      </w:r>
      <w:hyperlink r:id="rId19" w:history="1">
        <w:r w:rsidRPr="000E0763">
          <w:rPr>
            <w:rStyle w:val="Hyperlink"/>
            <w:rFonts w:ascii="Arial" w:hAnsi="Arial" w:cs="Arial"/>
            <w:sz w:val="20"/>
          </w:rPr>
          <w:t>https://doi.org/10.1093/oxfordjournals.aob.a089727</w:t>
        </w:r>
      </w:hyperlink>
    </w:p>
    <w:p w14:paraId="2DF66C45" w14:textId="6B88BE4D" w:rsidR="00F93186" w:rsidRPr="00F93186" w:rsidRDefault="00F93186" w:rsidP="00F93186">
      <w:pPr>
        <w:spacing w:line="240" w:lineRule="auto"/>
        <w:jc w:val="both"/>
        <w:rPr>
          <w:rFonts w:ascii="Arial" w:hAnsi="Arial" w:cs="Arial"/>
          <w:sz w:val="20"/>
        </w:rPr>
      </w:pPr>
      <w:proofErr w:type="spellStart"/>
      <w:r w:rsidRPr="00F93186">
        <w:rPr>
          <w:rFonts w:ascii="Arial" w:hAnsi="Arial" w:cs="Arial"/>
          <w:sz w:val="20"/>
        </w:rPr>
        <w:t>Panse</w:t>
      </w:r>
      <w:proofErr w:type="spellEnd"/>
      <w:r w:rsidRPr="00F93186">
        <w:rPr>
          <w:rFonts w:ascii="Arial" w:hAnsi="Arial" w:cs="Arial"/>
          <w:sz w:val="20"/>
        </w:rPr>
        <w:t xml:space="preserve">, V. G. &amp; </w:t>
      </w:r>
      <w:proofErr w:type="spellStart"/>
      <w:r w:rsidRPr="00F93186">
        <w:rPr>
          <w:rFonts w:ascii="Arial" w:hAnsi="Arial" w:cs="Arial"/>
          <w:sz w:val="20"/>
        </w:rPr>
        <w:t>Sukhatme</w:t>
      </w:r>
      <w:proofErr w:type="spellEnd"/>
      <w:r w:rsidRPr="00F93186">
        <w:rPr>
          <w:rFonts w:ascii="Arial" w:hAnsi="Arial" w:cs="Arial"/>
          <w:sz w:val="20"/>
        </w:rPr>
        <w:t>, P. V. (1967). Statistical methods for Agricultural Workers. New Delhi: ICAR.</w:t>
      </w:r>
    </w:p>
    <w:p w14:paraId="064A12FB" w14:textId="54C8EED1" w:rsidR="00FB5754" w:rsidRPr="00FB5754" w:rsidRDefault="00FB5754" w:rsidP="00F93186">
      <w:pPr>
        <w:spacing w:line="240" w:lineRule="auto"/>
        <w:jc w:val="both"/>
        <w:rPr>
          <w:rFonts w:ascii="Arial" w:hAnsi="Arial" w:cs="Arial"/>
          <w:sz w:val="20"/>
          <w:lang w:val="pt-BR"/>
        </w:rPr>
      </w:pPr>
      <w:proofErr w:type="spellStart"/>
      <w:r w:rsidRPr="00FB5754">
        <w:rPr>
          <w:rFonts w:ascii="Arial" w:hAnsi="Arial" w:cs="Arial"/>
          <w:sz w:val="20"/>
        </w:rPr>
        <w:t>Lotha</w:t>
      </w:r>
      <w:proofErr w:type="spellEnd"/>
      <w:r w:rsidRPr="00FB5754">
        <w:rPr>
          <w:rFonts w:ascii="Arial" w:hAnsi="Arial" w:cs="Arial"/>
          <w:sz w:val="20"/>
        </w:rPr>
        <w:t xml:space="preserve">, N., &amp; Dawson, J. (2021). Effect of micronutrients on growth and yield of sunflower (Helianthus </w:t>
      </w:r>
      <w:proofErr w:type="spellStart"/>
      <w:r w:rsidRPr="00FB5754">
        <w:rPr>
          <w:rFonts w:ascii="Arial" w:hAnsi="Arial" w:cs="Arial"/>
          <w:sz w:val="20"/>
        </w:rPr>
        <w:t>annus</w:t>
      </w:r>
      <w:proofErr w:type="spellEnd"/>
      <w:r w:rsidRPr="00FB5754">
        <w:rPr>
          <w:rFonts w:ascii="Arial" w:hAnsi="Arial" w:cs="Arial"/>
          <w:sz w:val="20"/>
        </w:rPr>
        <w:t xml:space="preserve"> L.) Variety DRSH-1. The Pharma Innovation Journal, 10(11), 1023-1026. </w:t>
      </w:r>
      <w:hyperlink r:id="rId20" w:history="1">
        <w:r w:rsidRPr="00FB5754">
          <w:rPr>
            <w:rStyle w:val="Hyperlink"/>
            <w:rFonts w:ascii="Arial" w:hAnsi="Arial" w:cs="Arial"/>
            <w:sz w:val="20"/>
            <w:lang w:val="pt-BR"/>
          </w:rPr>
          <w:t>https://www.thepharmajournal.com/archives/2021/vol10issue11/PartB/10-11-10-800.pdf</w:t>
        </w:r>
      </w:hyperlink>
    </w:p>
    <w:p w14:paraId="46A84F73" w14:textId="0D48B2E1" w:rsidR="00FB5754" w:rsidRPr="00FB5754" w:rsidRDefault="00FB5754" w:rsidP="00F93186">
      <w:pPr>
        <w:spacing w:line="240" w:lineRule="auto"/>
        <w:jc w:val="both"/>
        <w:rPr>
          <w:rFonts w:ascii="Arial" w:hAnsi="Arial" w:cs="Arial"/>
          <w:sz w:val="20"/>
        </w:rPr>
      </w:pPr>
      <w:r w:rsidRPr="00FB5754">
        <w:rPr>
          <w:rFonts w:ascii="Arial" w:hAnsi="Arial" w:cs="Arial"/>
          <w:sz w:val="20"/>
          <w:lang w:val="pt-BR"/>
        </w:rPr>
        <w:t xml:space="preserve">Kundu, C. K., Meena Devi, N., Nayak, L., Banerjee, H., Das, S., Nandi, T., &amp; Jha, S. (2023). </w:t>
      </w:r>
      <w:r w:rsidRPr="00FB5754">
        <w:rPr>
          <w:rFonts w:ascii="Arial" w:hAnsi="Arial" w:cs="Arial"/>
          <w:sz w:val="20"/>
        </w:rPr>
        <w:t xml:space="preserve">Nutritional effect of zinc and boron on growth, yield and oil content of hybrid sunflower (Helianthus </w:t>
      </w:r>
      <w:proofErr w:type="spellStart"/>
      <w:r w:rsidRPr="00FB5754">
        <w:rPr>
          <w:rFonts w:ascii="Arial" w:hAnsi="Arial" w:cs="Arial"/>
          <w:sz w:val="20"/>
        </w:rPr>
        <w:t>annuus</w:t>
      </w:r>
      <w:proofErr w:type="spellEnd"/>
      <w:r w:rsidRPr="00FB5754">
        <w:rPr>
          <w:rFonts w:ascii="Arial" w:hAnsi="Arial" w:cs="Arial"/>
          <w:sz w:val="20"/>
        </w:rPr>
        <w:t xml:space="preserve"> L.). </w:t>
      </w:r>
      <w:r w:rsidRPr="00FB5754">
        <w:rPr>
          <w:rFonts w:ascii="Arial" w:hAnsi="Arial" w:cs="Arial"/>
          <w:sz w:val="20"/>
          <w:lang w:val="pt-BR"/>
        </w:rPr>
        <w:t xml:space="preserve">Environment Conservation Journal, 24(3), 260-267. </w:t>
      </w:r>
      <w:r>
        <w:rPr>
          <w:rFonts w:ascii="Arial" w:hAnsi="Arial" w:cs="Arial"/>
          <w:sz w:val="20"/>
          <w:lang w:val="pt-BR"/>
        </w:rPr>
        <w:fldChar w:fldCharType="begin"/>
      </w:r>
      <w:r>
        <w:rPr>
          <w:rFonts w:ascii="Arial" w:hAnsi="Arial" w:cs="Arial"/>
          <w:sz w:val="20"/>
          <w:lang w:val="pt-BR"/>
        </w:rPr>
        <w:instrText xml:space="preserve"> HYPERLINK "</w:instrText>
      </w:r>
      <w:r w:rsidRPr="00FB5754">
        <w:rPr>
          <w:rFonts w:ascii="Arial" w:hAnsi="Arial" w:cs="Arial"/>
          <w:sz w:val="20"/>
          <w:lang w:val="pt-BR"/>
        </w:rPr>
        <w:instrText>https://doi.org/10.36953/ECJ.17352542</w:instrText>
      </w:r>
      <w:r>
        <w:rPr>
          <w:rFonts w:ascii="Arial" w:hAnsi="Arial" w:cs="Arial"/>
          <w:sz w:val="20"/>
          <w:lang w:val="pt-BR"/>
        </w:rPr>
        <w:instrText xml:space="preserve">" </w:instrText>
      </w:r>
      <w:r>
        <w:rPr>
          <w:rFonts w:ascii="Arial" w:hAnsi="Arial" w:cs="Arial"/>
          <w:sz w:val="20"/>
          <w:lang w:val="pt-BR"/>
        </w:rPr>
        <w:fldChar w:fldCharType="separate"/>
      </w:r>
      <w:r w:rsidRPr="00FB5754">
        <w:rPr>
          <w:rStyle w:val="Hyperlink"/>
          <w:rFonts w:ascii="Arial" w:hAnsi="Arial" w:cs="Arial"/>
          <w:sz w:val="20"/>
        </w:rPr>
        <w:t>https://doi.org/10.36953/ECJ.17352542</w:t>
      </w:r>
      <w:r>
        <w:rPr>
          <w:rFonts w:ascii="Arial" w:hAnsi="Arial" w:cs="Arial"/>
          <w:sz w:val="20"/>
          <w:lang w:val="pt-BR"/>
        </w:rPr>
        <w:fldChar w:fldCharType="end"/>
      </w:r>
    </w:p>
    <w:p w14:paraId="726E5477" w14:textId="196BEB0D" w:rsidR="00FB5754" w:rsidRDefault="00FB5754" w:rsidP="00F93186">
      <w:pPr>
        <w:spacing w:line="240" w:lineRule="auto"/>
        <w:jc w:val="both"/>
        <w:rPr>
          <w:rFonts w:ascii="Arial" w:hAnsi="Arial" w:cs="Arial"/>
          <w:sz w:val="20"/>
        </w:rPr>
      </w:pPr>
      <w:r w:rsidRPr="00FB5754">
        <w:rPr>
          <w:rFonts w:ascii="Arial" w:hAnsi="Arial" w:cs="Arial"/>
          <w:sz w:val="20"/>
        </w:rPr>
        <w:t xml:space="preserve">Baloch, R. A., Baloch, S. U., Baloch, S. K., Baloch, A. B., Baloch, H. N., Bashir, W., </w:t>
      </w:r>
      <w:proofErr w:type="spellStart"/>
      <w:r w:rsidRPr="00FB5754">
        <w:rPr>
          <w:rFonts w:ascii="Arial" w:hAnsi="Arial" w:cs="Arial"/>
          <w:sz w:val="20"/>
        </w:rPr>
        <w:t>Kashani</w:t>
      </w:r>
      <w:proofErr w:type="spellEnd"/>
      <w:r w:rsidRPr="00FB5754">
        <w:rPr>
          <w:rFonts w:ascii="Arial" w:hAnsi="Arial" w:cs="Arial"/>
          <w:sz w:val="20"/>
        </w:rPr>
        <w:t xml:space="preserve">, S., Saeed, Z., Baloch, M., </w:t>
      </w:r>
      <w:proofErr w:type="spellStart"/>
      <w:r w:rsidRPr="00FB5754">
        <w:rPr>
          <w:rFonts w:ascii="Arial" w:hAnsi="Arial" w:cs="Arial"/>
          <w:sz w:val="20"/>
        </w:rPr>
        <w:t>Akram</w:t>
      </w:r>
      <w:proofErr w:type="spellEnd"/>
      <w:r w:rsidRPr="00FB5754">
        <w:rPr>
          <w:rFonts w:ascii="Arial" w:hAnsi="Arial" w:cs="Arial"/>
          <w:sz w:val="20"/>
        </w:rPr>
        <w:t xml:space="preserve">, W., </w:t>
      </w:r>
      <w:proofErr w:type="spellStart"/>
      <w:r w:rsidRPr="00FB5754">
        <w:rPr>
          <w:rFonts w:ascii="Arial" w:hAnsi="Arial" w:cs="Arial"/>
          <w:sz w:val="20"/>
        </w:rPr>
        <w:t>Badini</w:t>
      </w:r>
      <w:proofErr w:type="spellEnd"/>
      <w:r w:rsidRPr="00FB5754">
        <w:rPr>
          <w:rFonts w:ascii="Arial" w:hAnsi="Arial" w:cs="Arial"/>
          <w:sz w:val="20"/>
        </w:rPr>
        <w:t xml:space="preserve">, S. A., Ahmed, M., &amp; </w:t>
      </w:r>
      <w:proofErr w:type="spellStart"/>
      <w:r w:rsidRPr="00FB5754">
        <w:rPr>
          <w:rFonts w:ascii="Arial" w:hAnsi="Arial" w:cs="Arial"/>
          <w:sz w:val="20"/>
        </w:rPr>
        <w:t>Ruk</w:t>
      </w:r>
      <w:proofErr w:type="spellEnd"/>
      <w:r w:rsidRPr="00FB5754">
        <w:rPr>
          <w:rFonts w:ascii="Arial" w:hAnsi="Arial" w:cs="Arial"/>
          <w:sz w:val="20"/>
        </w:rPr>
        <w:t xml:space="preserve">, A. S. (2015). Effect of Zinc and Boron in Combination with NPK on Sunflower (Helianthus </w:t>
      </w:r>
      <w:proofErr w:type="spellStart"/>
      <w:r w:rsidRPr="00FB5754">
        <w:rPr>
          <w:rFonts w:ascii="Arial" w:hAnsi="Arial" w:cs="Arial"/>
          <w:sz w:val="20"/>
        </w:rPr>
        <w:t>annuus</w:t>
      </w:r>
      <w:proofErr w:type="spellEnd"/>
      <w:r w:rsidRPr="00FB5754">
        <w:rPr>
          <w:rFonts w:ascii="Arial" w:hAnsi="Arial" w:cs="Arial"/>
          <w:sz w:val="20"/>
        </w:rPr>
        <w:t xml:space="preserve"> L.) Growth and Yield. Journal of Biology, Agriculture and Healthcare, 5(19), 101-107. </w:t>
      </w:r>
      <w:hyperlink r:id="rId21" w:history="1">
        <w:r w:rsidRPr="000E0763">
          <w:rPr>
            <w:rStyle w:val="Hyperlink"/>
            <w:rFonts w:ascii="Arial" w:hAnsi="Arial" w:cs="Arial"/>
            <w:sz w:val="20"/>
          </w:rPr>
          <w:t>https://core.ac.uk/download/pdf/234690000.pdf</w:t>
        </w:r>
      </w:hyperlink>
    </w:p>
    <w:p w14:paraId="7B5E0CDD" w14:textId="35C852EC" w:rsidR="00FB5754" w:rsidRDefault="00FB5754" w:rsidP="00F93186">
      <w:pPr>
        <w:spacing w:line="240" w:lineRule="auto"/>
        <w:jc w:val="both"/>
        <w:rPr>
          <w:rFonts w:ascii="Arial" w:hAnsi="Arial" w:cs="Arial"/>
          <w:sz w:val="20"/>
        </w:rPr>
      </w:pPr>
      <w:proofErr w:type="spellStart"/>
      <w:r w:rsidRPr="00FB5754">
        <w:rPr>
          <w:rFonts w:ascii="Arial" w:hAnsi="Arial" w:cs="Arial"/>
          <w:sz w:val="20"/>
        </w:rPr>
        <w:t>Farokhi</w:t>
      </w:r>
      <w:proofErr w:type="spellEnd"/>
      <w:r w:rsidRPr="00FB5754">
        <w:rPr>
          <w:rFonts w:ascii="Arial" w:hAnsi="Arial" w:cs="Arial"/>
          <w:sz w:val="20"/>
        </w:rPr>
        <w:t xml:space="preserve">, H., </w:t>
      </w:r>
      <w:proofErr w:type="spellStart"/>
      <w:r w:rsidRPr="00FB5754">
        <w:rPr>
          <w:rFonts w:ascii="Arial" w:hAnsi="Arial" w:cs="Arial"/>
          <w:sz w:val="20"/>
        </w:rPr>
        <w:t>Shirzadi</w:t>
      </w:r>
      <w:proofErr w:type="spellEnd"/>
      <w:r w:rsidRPr="00FB5754">
        <w:rPr>
          <w:rFonts w:ascii="Arial" w:hAnsi="Arial" w:cs="Arial"/>
          <w:sz w:val="20"/>
        </w:rPr>
        <w:t xml:space="preserve">, M. H., </w:t>
      </w:r>
      <w:proofErr w:type="spellStart"/>
      <w:r w:rsidRPr="00FB5754">
        <w:rPr>
          <w:rFonts w:ascii="Arial" w:hAnsi="Arial" w:cs="Arial"/>
          <w:sz w:val="20"/>
        </w:rPr>
        <w:t>Afsharmanesh</w:t>
      </w:r>
      <w:proofErr w:type="spellEnd"/>
      <w:r w:rsidRPr="00FB5754">
        <w:rPr>
          <w:rFonts w:ascii="Arial" w:hAnsi="Arial" w:cs="Arial"/>
          <w:sz w:val="20"/>
        </w:rPr>
        <w:t xml:space="preserve">, G., &amp; </w:t>
      </w:r>
      <w:proofErr w:type="spellStart"/>
      <w:r w:rsidRPr="00FB5754">
        <w:rPr>
          <w:rFonts w:ascii="Arial" w:hAnsi="Arial" w:cs="Arial"/>
          <w:sz w:val="20"/>
        </w:rPr>
        <w:t>Ahmadizadeh</w:t>
      </w:r>
      <w:proofErr w:type="spellEnd"/>
      <w:r w:rsidRPr="00FB5754">
        <w:rPr>
          <w:rFonts w:ascii="Arial" w:hAnsi="Arial" w:cs="Arial"/>
          <w:sz w:val="20"/>
        </w:rPr>
        <w:t xml:space="preserve">, M. (2014). Effect of different micronutrients on growth parameters and oil percent of </w:t>
      </w:r>
      <w:proofErr w:type="spellStart"/>
      <w:r w:rsidRPr="00FB5754">
        <w:rPr>
          <w:rFonts w:ascii="Arial" w:hAnsi="Arial" w:cs="Arial"/>
          <w:sz w:val="20"/>
        </w:rPr>
        <w:t>Azargol</w:t>
      </w:r>
      <w:proofErr w:type="spellEnd"/>
      <w:r w:rsidRPr="00FB5754">
        <w:rPr>
          <w:rFonts w:ascii="Arial" w:hAnsi="Arial" w:cs="Arial"/>
          <w:sz w:val="20"/>
        </w:rPr>
        <w:t xml:space="preserve"> sunflower cultivar in </w:t>
      </w:r>
      <w:proofErr w:type="spellStart"/>
      <w:r w:rsidRPr="00FB5754">
        <w:rPr>
          <w:rFonts w:ascii="Arial" w:hAnsi="Arial" w:cs="Arial"/>
          <w:sz w:val="20"/>
        </w:rPr>
        <w:t>Jiroft</w:t>
      </w:r>
      <w:proofErr w:type="spellEnd"/>
      <w:r w:rsidRPr="00FB5754">
        <w:rPr>
          <w:rFonts w:ascii="Arial" w:hAnsi="Arial" w:cs="Arial"/>
          <w:sz w:val="20"/>
        </w:rPr>
        <w:t xml:space="preserve"> region. Bulletin of Environment, Pharmacology and Life Sciences. </w:t>
      </w:r>
      <w:hyperlink r:id="rId22" w:history="1">
        <w:r w:rsidRPr="000E0763">
          <w:rPr>
            <w:rStyle w:val="Hyperlink"/>
            <w:rFonts w:ascii="Arial" w:hAnsi="Arial" w:cs="Arial"/>
            <w:sz w:val="20"/>
          </w:rPr>
          <w:t>http://www.bepls.com</w:t>
        </w:r>
      </w:hyperlink>
    </w:p>
    <w:p w14:paraId="6D76AB45" w14:textId="7F834E91" w:rsidR="00FB5754" w:rsidRPr="00FB5754" w:rsidRDefault="00FB5754" w:rsidP="00F93186">
      <w:pPr>
        <w:spacing w:line="240" w:lineRule="auto"/>
        <w:jc w:val="both"/>
        <w:rPr>
          <w:rFonts w:ascii="Arial" w:hAnsi="Arial" w:cs="Arial"/>
          <w:sz w:val="20"/>
          <w:lang w:val="pt-BR"/>
        </w:rPr>
      </w:pPr>
      <w:r w:rsidRPr="00FB5754">
        <w:rPr>
          <w:rFonts w:ascii="Arial" w:hAnsi="Arial" w:cs="Arial"/>
          <w:sz w:val="20"/>
        </w:rPr>
        <w:t xml:space="preserve">Ravikumar, C., Karthikeyan, A., </w:t>
      </w:r>
      <w:proofErr w:type="spellStart"/>
      <w:r w:rsidRPr="00FB5754">
        <w:rPr>
          <w:rFonts w:ascii="Arial" w:hAnsi="Arial" w:cs="Arial"/>
          <w:sz w:val="20"/>
        </w:rPr>
        <w:t>Senthilvalavan</w:t>
      </w:r>
      <w:proofErr w:type="spellEnd"/>
      <w:r w:rsidRPr="00FB5754">
        <w:rPr>
          <w:rFonts w:ascii="Arial" w:hAnsi="Arial" w:cs="Arial"/>
          <w:sz w:val="20"/>
        </w:rPr>
        <w:t xml:space="preserve">, P., &amp; </w:t>
      </w:r>
      <w:proofErr w:type="spellStart"/>
      <w:r w:rsidRPr="00FB5754">
        <w:rPr>
          <w:rFonts w:ascii="Arial" w:hAnsi="Arial" w:cs="Arial"/>
          <w:sz w:val="20"/>
        </w:rPr>
        <w:t>Manivannan</w:t>
      </w:r>
      <w:proofErr w:type="spellEnd"/>
      <w:r w:rsidRPr="00FB5754">
        <w:rPr>
          <w:rFonts w:ascii="Arial" w:hAnsi="Arial" w:cs="Arial"/>
          <w:sz w:val="20"/>
        </w:rPr>
        <w:t xml:space="preserve">, R. (2021). Effect of sulphur, zinc and boron on the growth and yield enhancement of sunflower (Helianthus </w:t>
      </w:r>
      <w:proofErr w:type="spellStart"/>
      <w:r w:rsidRPr="00FB5754">
        <w:rPr>
          <w:rFonts w:ascii="Arial" w:hAnsi="Arial" w:cs="Arial"/>
          <w:sz w:val="20"/>
        </w:rPr>
        <w:t>annuus</w:t>
      </w:r>
      <w:proofErr w:type="spellEnd"/>
      <w:r w:rsidRPr="00FB5754">
        <w:rPr>
          <w:rFonts w:ascii="Arial" w:hAnsi="Arial" w:cs="Arial"/>
          <w:sz w:val="20"/>
        </w:rPr>
        <w:t xml:space="preserve"> L.). Journal of Applied and Natural Science, 13(1). </w:t>
      </w:r>
      <w:hyperlink r:id="rId23" w:history="1">
        <w:r w:rsidRPr="00FB5754">
          <w:rPr>
            <w:rStyle w:val="Hyperlink"/>
            <w:rFonts w:ascii="Arial" w:hAnsi="Arial" w:cs="Arial"/>
            <w:sz w:val="20"/>
            <w:lang w:val="pt-BR"/>
          </w:rPr>
          <w:t>https://doi.org/10.31018/jans.v13i1.2540</w:t>
        </w:r>
      </w:hyperlink>
    </w:p>
    <w:p w14:paraId="7BBA642E" w14:textId="040E2241" w:rsidR="00FB5754" w:rsidRDefault="00FB5754" w:rsidP="00F93186">
      <w:pPr>
        <w:spacing w:line="240" w:lineRule="auto"/>
        <w:jc w:val="both"/>
        <w:rPr>
          <w:rFonts w:ascii="Arial" w:hAnsi="Arial" w:cs="Arial"/>
          <w:sz w:val="20"/>
        </w:rPr>
      </w:pPr>
      <w:r w:rsidRPr="00FB5754">
        <w:rPr>
          <w:rFonts w:ascii="Arial" w:hAnsi="Arial" w:cs="Arial"/>
          <w:sz w:val="20"/>
          <w:lang w:val="pt-BR"/>
        </w:rPr>
        <w:t xml:space="preserve">Sheoran, P., Sardana, V., Chander, S., Kumar, A., Meena, M. D. M., Bali, A., &amp; Sharma, P. (2018). </w:t>
      </w:r>
      <w:r w:rsidRPr="00FB5754">
        <w:rPr>
          <w:rFonts w:ascii="Arial" w:hAnsi="Arial" w:cs="Arial"/>
          <w:sz w:val="20"/>
        </w:rPr>
        <w:t xml:space="preserve">Sulphur, boron and zinc nutrition to improve productivity, profitability and oil quality in sunflower (Helianthus </w:t>
      </w:r>
      <w:proofErr w:type="spellStart"/>
      <w:r w:rsidRPr="00FB5754">
        <w:rPr>
          <w:rFonts w:ascii="Arial" w:hAnsi="Arial" w:cs="Arial"/>
          <w:sz w:val="20"/>
        </w:rPr>
        <w:t>annuus</w:t>
      </w:r>
      <w:proofErr w:type="spellEnd"/>
      <w:r w:rsidRPr="00FB5754">
        <w:rPr>
          <w:rFonts w:ascii="Arial" w:hAnsi="Arial" w:cs="Arial"/>
          <w:sz w:val="20"/>
        </w:rPr>
        <w:t xml:space="preserve">). Indian Journal of Agricultural Sciences, 88(11), 1746–1754. </w:t>
      </w:r>
      <w:hyperlink r:id="rId24" w:history="1">
        <w:r w:rsidRPr="000E0763">
          <w:rPr>
            <w:rStyle w:val="Hyperlink"/>
            <w:rFonts w:ascii="Arial" w:hAnsi="Arial" w:cs="Arial"/>
            <w:sz w:val="20"/>
          </w:rPr>
          <w:t>https://doi.org/10.56093/ijas.v88i11.84921</w:t>
        </w:r>
      </w:hyperlink>
    </w:p>
    <w:p w14:paraId="491FFDCB" w14:textId="56BF958E" w:rsidR="00FB5754" w:rsidRDefault="00FB5754" w:rsidP="00615958">
      <w:pPr>
        <w:spacing w:line="240" w:lineRule="auto"/>
        <w:jc w:val="both"/>
        <w:rPr>
          <w:rFonts w:ascii="Arial" w:hAnsi="Arial" w:cs="Arial"/>
          <w:sz w:val="20"/>
        </w:rPr>
      </w:pPr>
      <w:proofErr w:type="spellStart"/>
      <w:r w:rsidRPr="00FB5754">
        <w:rPr>
          <w:rFonts w:ascii="Arial" w:hAnsi="Arial" w:cs="Arial"/>
          <w:sz w:val="20"/>
        </w:rPr>
        <w:t>Suryavanshi</w:t>
      </w:r>
      <w:proofErr w:type="spellEnd"/>
      <w:r w:rsidRPr="00FB5754">
        <w:rPr>
          <w:rFonts w:ascii="Arial" w:hAnsi="Arial" w:cs="Arial"/>
          <w:sz w:val="20"/>
        </w:rPr>
        <w:t xml:space="preserve">, V. P., </w:t>
      </w:r>
      <w:proofErr w:type="spellStart"/>
      <w:r w:rsidRPr="00FB5754">
        <w:rPr>
          <w:rFonts w:ascii="Arial" w:hAnsi="Arial" w:cs="Arial"/>
          <w:sz w:val="20"/>
        </w:rPr>
        <w:t>Sudhakara</w:t>
      </w:r>
      <w:proofErr w:type="spellEnd"/>
      <w:r w:rsidRPr="00FB5754">
        <w:rPr>
          <w:rFonts w:ascii="Arial" w:hAnsi="Arial" w:cs="Arial"/>
          <w:sz w:val="20"/>
        </w:rPr>
        <w:t xml:space="preserve"> </w:t>
      </w:r>
      <w:proofErr w:type="spellStart"/>
      <w:r w:rsidRPr="00FB5754">
        <w:rPr>
          <w:rFonts w:ascii="Arial" w:hAnsi="Arial" w:cs="Arial"/>
          <w:sz w:val="20"/>
        </w:rPr>
        <w:t>Babu</w:t>
      </w:r>
      <w:proofErr w:type="spellEnd"/>
      <w:r w:rsidRPr="00FB5754">
        <w:rPr>
          <w:rFonts w:ascii="Arial" w:hAnsi="Arial" w:cs="Arial"/>
          <w:sz w:val="20"/>
        </w:rPr>
        <w:t xml:space="preserve">, S. N., &amp; </w:t>
      </w:r>
      <w:proofErr w:type="spellStart"/>
      <w:r w:rsidRPr="00FB5754">
        <w:rPr>
          <w:rFonts w:ascii="Arial" w:hAnsi="Arial" w:cs="Arial"/>
          <w:sz w:val="20"/>
        </w:rPr>
        <w:t>Suryawanshi</w:t>
      </w:r>
      <w:proofErr w:type="spellEnd"/>
      <w:r w:rsidRPr="00FB5754">
        <w:rPr>
          <w:rFonts w:ascii="Arial" w:hAnsi="Arial" w:cs="Arial"/>
          <w:sz w:val="20"/>
        </w:rPr>
        <w:t xml:space="preserve">, S. B. (2015). Seed yield, economics, sustainability and soil fertility as influenced by long-term nutrient management in soybean (Glycine max)–sunflower (Helianthus </w:t>
      </w:r>
      <w:proofErr w:type="spellStart"/>
      <w:r w:rsidRPr="00FB5754">
        <w:rPr>
          <w:rFonts w:ascii="Arial" w:hAnsi="Arial" w:cs="Arial"/>
          <w:sz w:val="20"/>
        </w:rPr>
        <w:t>annuus</w:t>
      </w:r>
      <w:proofErr w:type="spellEnd"/>
      <w:r w:rsidRPr="00FB5754">
        <w:rPr>
          <w:rFonts w:ascii="Arial" w:hAnsi="Arial" w:cs="Arial"/>
          <w:sz w:val="20"/>
        </w:rPr>
        <w:t xml:space="preserve">) cropping system in </w:t>
      </w:r>
      <w:proofErr w:type="spellStart"/>
      <w:r w:rsidRPr="00FB5754">
        <w:rPr>
          <w:rFonts w:ascii="Arial" w:hAnsi="Arial" w:cs="Arial"/>
          <w:sz w:val="20"/>
        </w:rPr>
        <w:t>Vertisols</w:t>
      </w:r>
      <w:proofErr w:type="spellEnd"/>
      <w:r w:rsidRPr="00FB5754">
        <w:rPr>
          <w:rFonts w:ascii="Arial" w:hAnsi="Arial" w:cs="Arial"/>
          <w:sz w:val="20"/>
        </w:rPr>
        <w:t xml:space="preserve">. Indian Journal of Agronomy, 60, 212-216. </w:t>
      </w:r>
      <w:hyperlink r:id="rId25" w:history="1">
        <w:r w:rsidRPr="000E0763">
          <w:rPr>
            <w:rStyle w:val="Hyperlink"/>
            <w:rFonts w:ascii="Arial" w:hAnsi="Arial" w:cs="Arial"/>
            <w:sz w:val="20"/>
          </w:rPr>
          <w:t>https://epubs.icar.org.in/index.php/IJA/article/view/50900</w:t>
        </w:r>
      </w:hyperlink>
    </w:p>
    <w:p w14:paraId="3DDCD9AB" w14:textId="5F7832EB" w:rsidR="00FB5754" w:rsidRDefault="00FB5754" w:rsidP="00615958">
      <w:pPr>
        <w:spacing w:line="240" w:lineRule="auto"/>
        <w:jc w:val="both"/>
        <w:rPr>
          <w:rFonts w:ascii="Arial" w:hAnsi="Arial" w:cs="Arial"/>
          <w:sz w:val="20"/>
        </w:rPr>
      </w:pPr>
      <w:proofErr w:type="spellStart"/>
      <w:r w:rsidRPr="00FB5754">
        <w:rPr>
          <w:rFonts w:ascii="Arial" w:hAnsi="Arial" w:cs="Arial"/>
          <w:sz w:val="20"/>
        </w:rPr>
        <w:t>Sheoran</w:t>
      </w:r>
      <w:proofErr w:type="spellEnd"/>
      <w:r w:rsidRPr="00FB5754">
        <w:rPr>
          <w:rFonts w:ascii="Arial" w:hAnsi="Arial" w:cs="Arial"/>
          <w:sz w:val="20"/>
        </w:rPr>
        <w:t xml:space="preserve">, P., Sardana, V., Singh, S., Kumar, A., Mann, A., &amp; Sharma, P. (2016). Agronomic and physiological assessment of nitrogen use, uptake and acquisition in sunflower. International Journal of Plant Production, 10(2), 109-122. </w:t>
      </w:r>
      <w:hyperlink r:id="rId26" w:history="1">
        <w:r w:rsidRPr="000E0763">
          <w:rPr>
            <w:rStyle w:val="Hyperlink"/>
            <w:rFonts w:ascii="Arial" w:hAnsi="Arial" w:cs="Arial"/>
            <w:sz w:val="20"/>
          </w:rPr>
          <w:t>https://doi.org/10.22069/IJPP.2016.2783</w:t>
        </w:r>
      </w:hyperlink>
    </w:p>
    <w:p w14:paraId="4E98ED2E" w14:textId="19F8E9D9" w:rsidR="00FB5754" w:rsidRDefault="00FB5754" w:rsidP="00163AFD">
      <w:pPr>
        <w:spacing w:before="240" w:line="240" w:lineRule="auto"/>
        <w:jc w:val="both"/>
        <w:rPr>
          <w:rFonts w:ascii="Arial" w:hAnsi="Arial" w:cs="Arial"/>
          <w:sz w:val="20"/>
          <w:shd w:val="clear" w:color="auto" w:fill="FFFFFF"/>
        </w:rPr>
      </w:pPr>
      <w:r w:rsidRPr="00FB5754">
        <w:rPr>
          <w:rFonts w:ascii="Arial" w:hAnsi="Arial" w:cs="Arial"/>
          <w:sz w:val="20"/>
          <w:shd w:val="clear" w:color="auto" w:fill="FFFFFF"/>
        </w:rPr>
        <w:t xml:space="preserve">Jyothi, P., &amp; </w:t>
      </w:r>
      <w:proofErr w:type="spellStart"/>
      <w:r w:rsidRPr="00FB5754">
        <w:rPr>
          <w:rFonts w:ascii="Arial" w:hAnsi="Arial" w:cs="Arial"/>
          <w:sz w:val="20"/>
          <w:shd w:val="clear" w:color="auto" w:fill="FFFFFF"/>
        </w:rPr>
        <w:t>Anjaiah</w:t>
      </w:r>
      <w:proofErr w:type="spellEnd"/>
      <w:r w:rsidRPr="00FB5754">
        <w:rPr>
          <w:rFonts w:ascii="Arial" w:hAnsi="Arial" w:cs="Arial"/>
          <w:sz w:val="20"/>
          <w:shd w:val="clear" w:color="auto" w:fill="FFFFFF"/>
        </w:rPr>
        <w:t xml:space="preserve">, T. (2018). Effect of boron and potassium on performance of sunflower (Helianthus </w:t>
      </w:r>
      <w:proofErr w:type="spellStart"/>
      <w:r w:rsidRPr="00FB5754">
        <w:rPr>
          <w:rFonts w:ascii="Arial" w:hAnsi="Arial" w:cs="Arial"/>
          <w:sz w:val="20"/>
          <w:shd w:val="clear" w:color="auto" w:fill="FFFFFF"/>
        </w:rPr>
        <w:t>annuus</w:t>
      </w:r>
      <w:proofErr w:type="spellEnd"/>
      <w:r w:rsidRPr="00FB5754">
        <w:rPr>
          <w:rFonts w:ascii="Arial" w:hAnsi="Arial" w:cs="Arial"/>
          <w:sz w:val="20"/>
          <w:shd w:val="clear" w:color="auto" w:fill="FFFFFF"/>
        </w:rPr>
        <w:t xml:space="preserve"> L.). </w:t>
      </w:r>
      <w:proofErr w:type="spellStart"/>
      <w:r w:rsidRPr="00FB5754">
        <w:rPr>
          <w:rFonts w:ascii="Arial" w:hAnsi="Arial" w:cs="Arial"/>
          <w:sz w:val="20"/>
          <w:shd w:val="clear" w:color="auto" w:fill="FFFFFF"/>
        </w:rPr>
        <w:t>Multilogic</w:t>
      </w:r>
      <w:proofErr w:type="spellEnd"/>
      <w:r w:rsidRPr="00FB5754">
        <w:rPr>
          <w:rFonts w:ascii="Arial" w:hAnsi="Arial" w:cs="Arial"/>
          <w:sz w:val="20"/>
          <w:shd w:val="clear" w:color="auto" w:fill="FFFFFF"/>
        </w:rPr>
        <w:t xml:space="preserve"> in Science, 8(E), 55-58. </w:t>
      </w:r>
      <w:hyperlink r:id="rId27" w:history="1">
        <w:r w:rsidRPr="000E0763">
          <w:rPr>
            <w:rStyle w:val="Hyperlink"/>
            <w:rFonts w:ascii="Arial" w:hAnsi="Arial" w:cs="Arial"/>
            <w:sz w:val="20"/>
            <w:shd w:val="clear" w:color="auto" w:fill="FFFFFF"/>
          </w:rPr>
          <w:t>https://www.researchgate.net/publication/327470000_EFFECT_OF_BORON_AND_POTASSIUM_ON_PERFORMANCE_OF_SUNFLOWER_Helianthus_annuus_L</w:t>
        </w:r>
      </w:hyperlink>
    </w:p>
    <w:p w14:paraId="20969803" w14:textId="7A27E697" w:rsidR="00D1709C" w:rsidRDefault="00FB5754" w:rsidP="00615958">
      <w:pPr>
        <w:spacing w:line="240" w:lineRule="auto"/>
        <w:rPr>
          <w:rFonts w:ascii="Arial" w:hAnsi="Arial" w:cs="Arial"/>
          <w:sz w:val="20"/>
        </w:rPr>
      </w:pPr>
      <w:r w:rsidRPr="00FB5754">
        <w:rPr>
          <w:rFonts w:ascii="Arial" w:hAnsi="Arial" w:cs="Arial"/>
          <w:sz w:val="20"/>
          <w:lang w:val="pt-BR"/>
        </w:rPr>
        <w:t xml:space="preserve">Rao, N. K., Rajnath, E., &amp; Kumara, K. (2020). </w:t>
      </w:r>
      <w:r w:rsidRPr="00FB5754">
        <w:rPr>
          <w:rFonts w:ascii="Arial" w:hAnsi="Arial" w:cs="Arial"/>
          <w:sz w:val="20"/>
        </w:rPr>
        <w:t xml:space="preserve">Yield, quality parameters and economics of sunflower (Helianthus </w:t>
      </w:r>
      <w:proofErr w:type="spellStart"/>
      <w:r w:rsidRPr="00FB5754">
        <w:rPr>
          <w:rFonts w:ascii="Arial" w:hAnsi="Arial" w:cs="Arial"/>
          <w:sz w:val="20"/>
        </w:rPr>
        <w:t>annuus</w:t>
      </w:r>
      <w:proofErr w:type="spellEnd"/>
      <w:r w:rsidRPr="00FB5754">
        <w:rPr>
          <w:rFonts w:ascii="Arial" w:hAnsi="Arial" w:cs="Arial"/>
          <w:sz w:val="20"/>
        </w:rPr>
        <w:t xml:space="preserve"> L.) as influenced by micronutrient mixture foliar application. International Journal of Current Microbiology &amp; Applied Sciences, 9(1), 1999-2005. </w:t>
      </w:r>
      <w:hyperlink r:id="rId28" w:history="1">
        <w:r w:rsidRPr="000E0763">
          <w:rPr>
            <w:rStyle w:val="Hyperlink"/>
            <w:rFonts w:ascii="Arial" w:hAnsi="Arial" w:cs="Arial"/>
            <w:sz w:val="20"/>
          </w:rPr>
          <w:t>https://doi.org/10.20546/ijcmas.2020.901.226</w:t>
        </w:r>
      </w:hyperlink>
    </w:p>
    <w:p w14:paraId="6C3DB8CD" w14:textId="77777777" w:rsidR="00FB5754" w:rsidRPr="00FB5754" w:rsidRDefault="00FB5754" w:rsidP="00615958">
      <w:pPr>
        <w:spacing w:line="240" w:lineRule="auto"/>
        <w:rPr>
          <w:rFonts w:ascii="Arial" w:hAnsi="Arial" w:cs="Arial"/>
          <w:sz w:val="20"/>
        </w:rPr>
      </w:pPr>
    </w:p>
    <w:p w14:paraId="6F7D7875" w14:textId="77777777" w:rsidR="00D1709C" w:rsidRPr="00615958" w:rsidRDefault="00D1709C" w:rsidP="00615958">
      <w:pPr>
        <w:spacing w:before="240" w:line="240" w:lineRule="auto"/>
        <w:rPr>
          <w:rFonts w:ascii="Arial" w:hAnsi="Arial" w:cs="Arial"/>
          <w:sz w:val="20"/>
        </w:rPr>
      </w:pPr>
    </w:p>
    <w:p w14:paraId="375C6C86" w14:textId="77777777" w:rsidR="00312330" w:rsidRPr="00E11E42" w:rsidRDefault="00312330" w:rsidP="00E11E42">
      <w:pPr>
        <w:spacing w:line="240" w:lineRule="auto"/>
        <w:rPr>
          <w:rFonts w:ascii="Arial" w:hAnsi="Arial" w:cs="Arial"/>
          <w:b/>
          <w:bCs/>
          <w:szCs w:val="22"/>
        </w:rPr>
      </w:pPr>
    </w:p>
    <w:sectPr w:rsidR="00312330" w:rsidRPr="00E11E42" w:rsidSect="006906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EB7A1" w14:textId="77777777" w:rsidR="004303E0" w:rsidRDefault="004303E0" w:rsidP="00DB5DB2">
      <w:pPr>
        <w:spacing w:after="0" w:line="240" w:lineRule="auto"/>
      </w:pPr>
      <w:r>
        <w:separator/>
      </w:r>
    </w:p>
  </w:endnote>
  <w:endnote w:type="continuationSeparator" w:id="0">
    <w:p w14:paraId="2D56096E" w14:textId="77777777" w:rsidR="004303E0" w:rsidRDefault="004303E0" w:rsidP="00DB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16BD" w14:textId="77777777" w:rsidR="00661C3E" w:rsidRDefault="00661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1FAE8" w14:textId="55E39715" w:rsidR="0035273D" w:rsidRPr="0035273D" w:rsidRDefault="0035273D" w:rsidP="0035273D">
    <w:pPr>
      <w:pStyle w:val="Footer"/>
      <w:rPr>
        <w:rFonts w:ascii="Arial" w:hAnsi="Arial" w:cs="Arial"/>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58574" w14:textId="77777777" w:rsidR="00661C3E" w:rsidRDefault="00661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2C812" w14:textId="77777777" w:rsidR="004303E0" w:rsidRDefault="004303E0" w:rsidP="00DB5DB2">
      <w:pPr>
        <w:spacing w:after="0" w:line="240" w:lineRule="auto"/>
      </w:pPr>
      <w:r>
        <w:separator/>
      </w:r>
    </w:p>
  </w:footnote>
  <w:footnote w:type="continuationSeparator" w:id="0">
    <w:p w14:paraId="39003482" w14:textId="77777777" w:rsidR="004303E0" w:rsidRDefault="004303E0" w:rsidP="00DB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A95CB" w14:textId="77135302" w:rsidR="00661C3E" w:rsidRDefault="00661C3E">
    <w:pPr>
      <w:pStyle w:val="Header"/>
    </w:pPr>
    <w:r>
      <w:rPr>
        <w:noProof/>
      </w:rPr>
      <w:pict w14:anchorId="40A0E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56AD5" w14:textId="66FEB216" w:rsidR="00661C3E" w:rsidRDefault="00661C3E">
    <w:pPr>
      <w:pStyle w:val="Header"/>
    </w:pPr>
    <w:r>
      <w:rPr>
        <w:noProof/>
      </w:rPr>
      <w:pict w14:anchorId="426991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5BDB4" w14:textId="0CCC651B" w:rsidR="00661C3E" w:rsidRDefault="00661C3E">
    <w:pPr>
      <w:pStyle w:val="Header"/>
    </w:pPr>
    <w:r>
      <w:rPr>
        <w:noProof/>
      </w:rPr>
      <w:pict w14:anchorId="6E1A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2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D238F"/>
    <w:multiLevelType w:val="hybridMultilevel"/>
    <w:tmpl w:val="72D266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0F97ACD"/>
    <w:multiLevelType w:val="hybridMultilevel"/>
    <w:tmpl w:val="0CAC78B8"/>
    <w:lvl w:ilvl="0" w:tplc="829E8E78">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7DA352A"/>
    <w:multiLevelType w:val="hybridMultilevel"/>
    <w:tmpl w:val="ED10303E"/>
    <w:lvl w:ilvl="0" w:tplc="985C7EC6">
      <w:start w:val="4"/>
      <w:numFmt w:val="bullet"/>
      <w:lvlText w:val=""/>
      <w:lvlJc w:val="left"/>
      <w:pPr>
        <w:ind w:left="720" w:hanging="360"/>
      </w:pPr>
      <w:rPr>
        <w:rFonts w:ascii="Symbol" w:eastAsiaTheme="minorHAnsi"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6F8"/>
    <w:rsid w:val="00027B4C"/>
    <w:rsid w:val="00033E58"/>
    <w:rsid w:val="00036CD9"/>
    <w:rsid w:val="0009152A"/>
    <w:rsid w:val="00157C5B"/>
    <w:rsid w:val="00163AFD"/>
    <w:rsid w:val="002D3FAF"/>
    <w:rsid w:val="00312330"/>
    <w:rsid w:val="0035273D"/>
    <w:rsid w:val="00417788"/>
    <w:rsid w:val="00424473"/>
    <w:rsid w:val="004303E0"/>
    <w:rsid w:val="0049283A"/>
    <w:rsid w:val="004F1E8C"/>
    <w:rsid w:val="005A0556"/>
    <w:rsid w:val="005E6B8C"/>
    <w:rsid w:val="00615958"/>
    <w:rsid w:val="0062682F"/>
    <w:rsid w:val="006554D2"/>
    <w:rsid w:val="00661C3E"/>
    <w:rsid w:val="00674EA2"/>
    <w:rsid w:val="006906F8"/>
    <w:rsid w:val="006A1141"/>
    <w:rsid w:val="006F05A5"/>
    <w:rsid w:val="007161A8"/>
    <w:rsid w:val="007326CA"/>
    <w:rsid w:val="00790A9B"/>
    <w:rsid w:val="00791D6D"/>
    <w:rsid w:val="00802C49"/>
    <w:rsid w:val="00856C8D"/>
    <w:rsid w:val="0098627C"/>
    <w:rsid w:val="00996207"/>
    <w:rsid w:val="009A0014"/>
    <w:rsid w:val="009E52F1"/>
    <w:rsid w:val="00A369E7"/>
    <w:rsid w:val="00A6440B"/>
    <w:rsid w:val="00BE3F9C"/>
    <w:rsid w:val="00C45C28"/>
    <w:rsid w:val="00CB770A"/>
    <w:rsid w:val="00D1709C"/>
    <w:rsid w:val="00D75AB9"/>
    <w:rsid w:val="00D9639B"/>
    <w:rsid w:val="00DB5DB2"/>
    <w:rsid w:val="00E11E42"/>
    <w:rsid w:val="00E175E2"/>
    <w:rsid w:val="00E34F07"/>
    <w:rsid w:val="00E3535B"/>
    <w:rsid w:val="00E54AAA"/>
    <w:rsid w:val="00E63DD4"/>
    <w:rsid w:val="00F25F2C"/>
    <w:rsid w:val="00F551ED"/>
    <w:rsid w:val="00F93186"/>
    <w:rsid w:val="00FB4E37"/>
    <w:rsid w:val="00FB5754"/>
    <w:rsid w:val="00FB76AB"/>
    <w:rsid w:val="00FE350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205ABA"/>
  <w15:chartTrackingRefBased/>
  <w15:docId w15:val="{02A5F047-0D2A-4154-8BF5-4779721E4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06F8"/>
    <w:rPr>
      <w:rFonts w:cs="Mangal"/>
    </w:rPr>
  </w:style>
  <w:style w:type="paragraph" w:styleId="Heading1">
    <w:name w:val="heading 1"/>
    <w:basedOn w:val="Normal"/>
    <w:next w:val="Normal"/>
    <w:link w:val="Heading1Char"/>
    <w:uiPriority w:val="9"/>
    <w:qFormat/>
    <w:rsid w:val="006906F8"/>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906F8"/>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906F8"/>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906F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06F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06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06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06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06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06F8"/>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906F8"/>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906F8"/>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906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06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06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06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06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06F8"/>
    <w:rPr>
      <w:rFonts w:eastAsiaTheme="majorEastAsia" w:cstheme="majorBidi"/>
      <w:color w:val="272727" w:themeColor="text1" w:themeTint="D8"/>
    </w:rPr>
  </w:style>
  <w:style w:type="paragraph" w:styleId="Title">
    <w:name w:val="Title"/>
    <w:basedOn w:val="Normal"/>
    <w:next w:val="Normal"/>
    <w:link w:val="TitleChar"/>
    <w:uiPriority w:val="10"/>
    <w:qFormat/>
    <w:rsid w:val="006906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906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906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906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906F8"/>
    <w:pPr>
      <w:spacing w:before="160"/>
      <w:jc w:val="center"/>
    </w:pPr>
    <w:rPr>
      <w:i/>
      <w:iCs/>
      <w:color w:val="404040" w:themeColor="text1" w:themeTint="BF"/>
    </w:rPr>
  </w:style>
  <w:style w:type="character" w:customStyle="1" w:styleId="QuoteChar">
    <w:name w:val="Quote Char"/>
    <w:basedOn w:val="DefaultParagraphFont"/>
    <w:link w:val="Quote"/>
    <w:uiPriority w:val="29"/>
    <w:rsid w:val="006906F8"/>
    <w:rPr>
      <w:rFonts w:cs="Mangal"/>
      <w:i/>
      <w:iCs/>
      <w:color w:val="404040" w:themeColor="text1" w:themeTint="BF"/>
    </w:rPr>
  </w:style>
  <w:style w:type="paragraph" w:styleId="ListParagraph">
    <w:name w:val="List Paragraph"/>
    <w:basedOn w:val="Normal"/>
    <w:uiPriority w:val="34"/>
    <w:qFormat/>
    <w:rsid w:val="006906F8"/>
    <w:pPr>
      <w:ind w:left="720"/>
      <w:contextualSpacing/>
    </w:pPr>
  </w:style>
  <w:style w:type="character" w:styleId="IntenseEmphasis">
    <w:name w:val="Intense Emphasis"/>
    <w:basedOn w:val="DefaultParagraphFont"/>
    <w:uiPriority w:val="21"/>
    <w:qFormat/>
    <w:rsid w:val="006906F8"/>
    <w:rPr>
      <w:i/>
      <w:iCs/>
      <w:color w:val="2F5496" w:themeColor="accent1" w:themeShade="BF"/>
    </w:rPr>
  </w:style>
  <w:style w:type="paragraph" w:styleId="IntenseQuote">
    <w:name w:val="Intense Quote"/>
    <w:basedOn w:val="Normal"/>
    <w:next w:val="Normal"/>
    <w:link w:val="IntenseQuoteChar"/>
    <w:uiPriority w:val="30"/>
    <w:qFormat/>
    <w:rsid w:val="006906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06F8"/>
    <w:rPr>
      <w:rFonts w:cs="Mangal"/>
      <w:i/>
      <w:iCs/>
      <w:color w:val="2F5496" w:themeColor="accent1" w:themeShade="BF"/>
    </w:rPr>
  </w:style>
  <w:style w:type="character" w:styleId="IntenseReference">
    <w:name w:val="Intense Reference"/>
    <w:basedOn w:val="DefaultParagraphFont"/>
    <w:uiPriority w:val="32"/>
    <w:qFormat/>
    <w:rsid w:val="006906F8"/>
    <w:rPr>
      <w:b/>
      <w:bCs/>
      <w:smallCaps/>
      <w:color w:val="2F5496" w:themeColor="accent1" w:themeShade="BF"/>
      <w:spacing w:val="5"/>
    </w:rPr>
  </w:style>
  <w:style w:type="table" w:styleId="TableGrid">
    <w:name w:val="Table Grid"/>
    <w:basedOn w:val="TableNormal"/>
    <w:uiPriority w:val="39"/>
    <w:rsid w:val="00690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1E42"/>
    <w:rPr>
      <w:color w:val="666666"/>
    </w:rPr>
  </w:style>
  <w:style w:type="character" w:styleId="Hyperlink">
    <w:name w:val="Hyperlink"/>
    <w:basedOn w:val="DefaultParagraphFont"/>
    <w:uiPriority w:val="99"/>
    <w:unhideWhenUsed/>
    <w:rsid w:val="00615958"/>
    <w:rPr>
      <w:color w:val="0563C1" w:themeColor="hyperlink"/>
      <w:u w:val="single"/>
    </w:rPr>
  </w:style>
  <w:style w:type="character" w:styleId="UnresolvedMention">
    <w:name w:val="Unresolved Mention"/>
    <w:basedOn w:val="DefaultParagraphFont"/>
    <w:uiPriority w:val="99"/>
    <w:semiHidden/>
    <w:unhideWhenUsed/>
    <w:rsid w:val="00615958"/>
    <w:rPr>
      <w:color w:val="605E5C"/>
      <w:shd w:val="clear" w:color="auto" w:fill="E1DFDD"/>
    </w:rPr>
  </w:style>
  <w:style w:type="paragraph" w:styleId="Header">
    <w:name w:val="header"/>
    <w:basedOn w:val="Normal"/>
    <w:link w:val="HeaderChar"/>
    <w:uiPriority w:val="99"/>
    <w:unhideWhenUsed/>
    <w:rsid w:val="00DB5D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B2"/>
    <w:rPr>
      <w:rFonts w:cs="Mangal"/>
    </w:rPr>
  </w:style>
  <w:style w:type="paragraph" w:styleId="Footer">
    <w:name w:val="footer"/>
    <w:basedOn w:val="Normal"/>
    <w:link w:val="FooterChar"/>
    <w:uiPriority w:val="99"/>
    <w:unhideWhenUsed/>
    <w:rsid w:val="00DB5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B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indianjournals.com/ijor.aspx?target=ijor:jiss&amp;volume=56&amp;issue=2&amp;article=009" TargetMode="External"/><Relationship Id="rId26" Type="http://schemas.openxmlformats.org/officeDocument/2006/relationships/hyperlink" Target="https://doi.org/10.22069/IJPP.2016.2783" TargetMode="External"/><Relationship Id="rId3" Type="http://schemas.openxmlformats.org/officeDocument/2006/relationships/styles" Target="styles.xml"/><Relationship Id="rId21" Type="http://schemas.openxmlformats.org/officeDocument/2006/relationships/hyperlink" Target="https://core.ac.uk/download/pdf/234690000.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56093/ijas.v78i1.9776" TargetMode="External"/><Relationship Id="rId25" Type="http://schemas.openxmlformats.org/officeDocument/2006/relationships/hyperlink" Target="https://epubs.icar.org.in/index.php/IJA/article/view/50900" TargetMode="External"/><Relationship Id="rId2" Type="http://schemas.openxmlformats.org/officeDocument/2006/relationships/numbering" Target="numbering.xml"/><Relationship Id="rId16" Type="http://schemas.openxmlformats.org/officeDocument/2006/relationships/hyperlink" Target="https://upag.gov.in/dash-reports/allindiaapy" TargetMode="External"/><Relationship Id="rId20" Type="http://schemas.openxmlformats.org/officeDocument/2006/relationships/hyperlink" Target="https://www.thepharmajournal.com/archives/2021/vol10issue11/PartB/10-11-10-800.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093/ijas.v88i11.84921" TargetMode="External"/><Relationship Id="rId5" Type="http://schemas.openxmlformats.org/officeDocument/2006/relationships/webSettings" Target="webSettings.xml"/><Relationship Id="rId15" Type="http://schemas.openxmlformats.org/officeDocument/2006/relationships/hyperlink" Target="https://www.researchtrend.net/bfij/BF%2013(4)%20229-232.pdf" TargetMode="External"/><Relationship Id="rId23" Type="http://schemas.openxmlformats.org/officeDocument/2006/relationships/hyperlink" Target="https://doi.org/10.31018/jans.v13i1.2540" TargetMode="External"/><Relationship Id="rId28" Type="http://schemas.openxmlformats.org/officeDocument/2006/relationships/hyperlink" Target="https://doi.org/10.20546/ijcmas.2020.901.226" TargetMode="External"/><Relationship Id="rId10" Type="http://schemas.openxmlformats.org/officeDocument/2006/relationships/footer" Target="footer1.xml"/><Relationship Id="rId19" Type="http://schemas.openxmlformats.org/officeDocument/2006/relationships/hyperlink" Target="https://doi.org/10.1093/oxfordjournals.aob.a08972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www.bepls.com" TargetMode="External"/><Relationship Id="rId27" Type="http://schemas.openxmlformats.org/officeDocument/2006/relationships/hyperlink" Target="https://www.researchgate.net/publication/327470000_EFFECT_OF_BORON_AND_POTASSIUM_ON_PERFORMANCE_OF_SUNFLOWER_Helianthus_annuus_L"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98073108133808"/>
          <c:y val="7.3247296825950464E-2"/>
          <c:w val="0.75723849386985276"/>
          <c:h val="0.71219306488976519"/>
        </c:manualLayout>
      </c:layout>
      <c:barChart>
        <c:barDir val="col"/>
        <c:grouping val="clustered"/>
        <c:varyColors val="0"/>
        <c:ser>
          <c:idx val="0"/>
          <c:order val="0"/>
          <c:tx>
            <c:strRef>
              <c:f>Sheet1!$B$1</c:f>
              <c:strCache>
                <c:ptCount val="1"/>
                <c:pt idx="0">
                  <c:v>GMR (₹/ha)</c:v>
                </c:pt>
              </c:strCache>
            </c:strRef>
          </c:tx>
          <c:spPr>
            <a:solidFill>
              <a:schemeClr val="accent4"/>
            </a:solidFill>
            <a:ln>
              <a:noFill/>
            </a:ln>
            <a:effectLst/>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Sheet1!$B$2:$B$10</c:f>
              <c:numCache>
                <c:formatCode>General</c:formatCode>
                <c:ptCount val="9"/>
                <c:pt idx="0">
                  <c:v>49352</c:v>
                </c:pt>
                <c:pt idx="1">
                  <c:v>75457</c:v>
                </c:pt>
                <c:pt idx="2">
                  <c:v>100148</c:v>
                </c:pt>
                <c:pt idx="3">
                  <c:v>93475</c:v>
                </c:pt>
                <c:pt idx="4">
                  <c:v>103143</c:v>
                </c:pt>
                <c:pt idx="5">
                  <c:v>114633</c:v>
                </c:pt>
                <c:pt idx="6">
                  <c:v>81108</c:v>
                </c:pt>
                <c:pt idx="7">
                  <c:v>79131</c:v>
                </c:pt>
                <c:pt idx="8">
                  <c:v>90592</c:v>
                </c:pt>
              </c:numCache>
            </c:numRef>
          </c:val>
          <c:extLst>
            <c:ext xmlns:c16="http://schemas.microsoft.com/office/drawing/2014/chart" uri="{C3380CC4-5D6E-409C-BE32-E72D297353CC}">
              <c16:uniqueId val="{00000000-BECB-4554-82DD-47F8716F30E3}"/>
            </c:ext>
          </c:extLst>
        </c:ser>
        <c:ser>
          <c:idx val="1"/>
          <c:order val="1"/>
          <c:tx>
            <c:strRef>
              <c:f>Sheet1!$C$1</c:f>
              <c:strCache>
                <c:ptCount val="1"/>
                <c:pt idx="0">
                  <c:v>NMR (₹/ha)</c:v>
                </c:pt>
              </c:strCache>
            </c:strRef>
          </c:tx>
          <c:spPr>
            <a:solidFill>
              <a:schemeClr val="accent6"/>
            </a:solidFill>
            <a:ln>
              <a:noFill/>
            </a:ln>
            <a:effectLst/>
          </c:spPr>
          <c:invertIfNegative val="0"/>
          <c:cat>
            <c:strRef>
              <c:f>Sheet1!$A$2:$A$10</c:f>
              <c:strCache>
                <c:ptCount val="9"/>
                <c:pt idx="0">
                  <c:v>T1</c:v>
                </c:pt>
                <c:pt idx="1">
                  <c:v>T2</c:v>
                </c:pt>
                <c:pt idx="2">
                  <c:v>T3</c:v>
                </c:pt>
                <c:pt idx="3">
                  <c:v>T4</c:v>
                </c:pt>
                <c:pt idx="4">
                  <c:v>T5</c:v>
                </c:pt>
                <c:pt idx="5">
                  <c:v>T6</c:v>
                </c:pt>
                <c:pt idx="6">
                  <c:v>T7</c:v>
                </c:pt>
                <c:pt idx="7">
                  <c:v>T8</c:v>
                </c:pt>
                <c:pt idx="8">
                  <c:v>T9</c:v>
                </c:pt>
              </c:strCache>
            </c:strRef>
          </c:cat>
          <c:val>
            <c:numRef>
              <c:f>Sheet1!$C$2:$C$10</c:f>
              <c:numCache>
                <c:formatCode>General</c:formatCode>
                <c:ptCount val="9"/>
                <c:pt idx="0">
                  <c:v>15552</c:v>
                </c:pt>
                <c:pt idx="1">
                  <c:v>34172</c:v>
                </c:pt>
                <c:pt idx="2">
                  <c:v>57703</c:v>
                </c:pt>
                <c:pt idx="3">
                  <c:v>51890</c:v>
                </c:pt>
                <c:pt idx="4">
                  <c:v>61558</c:v>
                </c:pt>
                <c:pt idx="5">
                  <c:v>71588</c:v>
                </c:pt>
                <c:pt idx="6">
                  <c:v>37823</c:v>
                </c:pt>
                <c:pt idx="7">
                  <c:v>36446</c:v>
                </c:pt>
                <c:pt idx="8">
                  <c:v>45907</c:v>
                </c:pt>
              </c:numCache>
            </c:numRef>
          </c:val>
          <c:extLst>
            <c:ext xmlns:c16="http://schemas.microsoft.com/office/drawing/2014/chart" uri="{C3380CC4-5D6E-409C-BE32-E72D297353CC}">
              <c16:uniqueId val="{00000001-BECB-4554-82DD-47F8716F30E3}"/>
            </c:ext>
          </c:extLst>
        </c:ser>
        <c:dLbls>
          <c:showLegendKey val="0"/>
          <c:showVal val="0"/>
          <c:showCatName val="0"/>
          <c:showSerName val="0"/>
          <c:showPercent val="0"/>
          <c:showBubbleSize val="0"/>
        </c:dLbls>
        <c:gapWidth val="150"/>
        <c:axId val="1298512272"/>
        <c:axId val="1298521392"/>
      </c:barChart>
      <c:lineChart>
        <c:grouping val="standard"/>
        <c:varyColors val="0"/>
        <c:ser>
          <c:idx val="2"/>
          <c:order val="2"/>
          <c:tx>
            <c:strRef>
              <c:f>Sheet1!$D$1</c:f>
              <c:strCache>
                <c:ptCount val="1"/>
                <c:pt idx="0">
                  <c:v>B:C ratio</c:v>
                </c:pt>
              </c:strCache>
            </c:strRef>
          </c:tx>
          <c:spPr>
            <a:ln w="28575" cap="rnd">
              <a:solidFill>
                <a:srgbClr val="EE0000"/>
              </a:solidFill>
              <a:round/>
            </a:ln>
            <a:effectLst/>
          </c:spPr>
          <c:marker>
            <c:symbol val="none"/>
          </c:marker>
          <c:cat>
            <c:strRef>
              <c:f>Sheet1!$A$2:$A$10</c:f>
              <c:strCache>
                <c:ptCount val="9"/>
                <c:pt idx="0">
                  <c:v>T1</c:v>
                </c:pt>
                <c:pt idx="1">
                  <c:v>T2</c:v>
                </c:pt>
                <c:pt idx="2">
                  <c:v>T3</c:v>
                </c:pt>
                <c:pt idx="3">
                  <c:v>T4</c:v>
                </c:pt>
                <c:pt idx="4">
                  <c:v>T5</c:v>
                </c:pt>
                <c:pt idx="5">
                  <c:v>T6</c:v>
                </c:pt>
                <c:pt idx="6">
                  <c:v>T7</c:v>
                </c:pt>
                <c:pt idx="7">
                  <c:v>T8</c:v>
                </c:pt>
                <c:pt idx="8">
                  <c:v>T9</c:v>
                </c:pt>
              </c:strCache>
            </c:strRef>
          </c:cat>
          <c:val>
            <c:numRef>
              <c:f>Sheet1!$D$2:$D$10</c:f>
              <c:numCache>
                <c:formatCode>General</c:formatCode>
                <c:ptCount val="9"/>
                <c:pt idx="0">
                  <c:v>1.46</c:v>
                </c:pt>
                <c:pt idx="1">
                  <c:v>1.83</c:v>
                </c:pt>
                <c:pt idx="2">
                  <c:v>2.36</c:v>
                </c:pt>
                <c:pt idx="3">
                  <c:v>2.25</c:v>
                </c:pt>
                <c:pt idx="4">
                  <c:v>2.48</c:v>
                </c:pt>
                <c:pt idx="5">
                  <c:v>2.66</c:v>
                </c:pt>
                <c:pt idx="6">
                  <c:v>1.87</c:v>
                </c:pt>
                <c:pt idx="7">
                  <c:v>1.85</c:v>
                </c:pt>
                <c:pt idx="8">
                  <c:v>2.0299999999999998</c:v>
                </c:pt>
              </c:numCache>
            </c:numRef>
          </c:val>
          <c:smooth val="0"/>
          <c:extLst>
            <c:ext xmlns:c16="http://schemas.microsoft.com/office/drawing/2014/chart" uri="{C3380CC4-5D6E-409C-BE32-E72D297353CC}">
              <c16:uniqueId val="{00000002-BECB-4554-82DD-47F8716F30E3}"/>
            </c:ext>
          </c:extLst>
        </c:ser>
        <c:dLbls>
          <c:showLegendKey val="0"/>
          <c:showVal val="0"/>
          <c:showCatName val="0"/>
          <c:showSerName val="0"/>
          <c:showPercent val="0"/>
          <c:showBubbleSize val="0"/>
        </c:dLbls>
        <c:marker val="1"/>
        <c:smooth val="0"/>
        <c:axId val="1298528592"/>
        <c:axId val="1298527632"/>
      </c:lineChart>
      <c:catAx>
        <c:axId val="129851227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21392"/>
        <c:crosses val="autoZero"/>
        <c:auto val="1"/>
        <c:lblAlgn val="ctr"/>
        <c:lblOffset val="100"/>
        <c:noMultiLvlLbl val="0"/>
      </c:catAx>
      <c:valAx>
        <c:axId val="1298521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US"/>
                  <a:t>GMR</a:t>
                </a:r>
                <a:r>
                  <a:rPr lang="en-US" baseline="0"/>
                  <a:t> (</a:t>
                </a:r>
                <a:r>
                  <a:rPr lang="en-IN" sz="1000" b="0" i="0" u="none" strike="noStrike" baseline="0">
                    <a:effectLst/>
                  </a:rPr>
                  <a:t>₹ ha</a:t>
                </a:r>
                <a:r>
                  <a:rPr lang="en-IN" sz="1000" b="0" i="0" u="none" strike="noStrike" baseline="30000">
                    <a:effectLst/>
                  </a:rPr>
                  <a:t>-1</a:t>
                </a:r>
                <a:r>
                  <a:rPr lang="en-IN" sz="1000" b="0" i="0" u="none" strike="noStrike" baseline="0">
                    <a:effectLst/>
                  </a:rPr>
                  <a:t>), NMR </a:t>
                </a:r>
                <a:r>
                  <a:rPr lang="en-US" sz="1000" b="0" i="0" u="none" strike="noStrike" kern="1200" baseline="0">
                    <a:solidFill>
                      <a:sysClr val="windowText" lastClr="000000"/>
                    </a:solidFill>
                    <a:latin typeface="Arial" panose="020B0604020202020204" pitchFamily="34" charset="0"/>
                    <a:cs typeface="Arial" panose="020B0604020202020204" pitchFamily="34" charset="0"/>
                  </a:rPr>
                  <a:t>(</a:t>
                </a: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 ha</a:t>
                </a:r>
                <a:r>
                  <a:rPr lang="en-IN" sz="1000" b="0" i="0" u="none" strike="noStrike" kern="1200" baseline="30000">
                    <a:solidFill>
                      <a:sysClr val="windowText" lastClr="000000"/>
                    </a:solidFill>
                    <a:effectLst/>
                    <a:latin typeface="Arial" panose="020B0604020202020204" pitchFamily="34" charset="0"/>
                    <a:cs typeface="Arial" panose="020B0604020202020204" pitchFamily="34" charset="0"/>
                  </a:rPr>
                  <a:t>-1</a:t>
                </a: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a:t>
                </a:r>
                <a:r>
                  <a:rPr lang="en-IN" sz="1000" b="0" i="0" u="none" strike="noStrike" baseline="0">
                    <a:effectLst/>
                  </a:rPr>
                  <a:t> </a:t>
                </a:r>
                <a:endParaRPr lang="en-US"/>
              </a:p>
            </c:rich>
          </c:tx>
          <c:layout>
            <c:manualLayout>
              <c:xMode val="edge"/>
              <c:yMode val="edge"/>
              <c:x val="1.5538837060390715E-2"/>
              <c:y val="0.2098543188396892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12272"/>
        <c:crosses val="autoZero"/>
        <c:crossBetween val="between"/>
      </c:valAx>
      <c:valAx>
        <c:axId val="1298527632"/>
        <c:scaling>
          <c:orientation val="minMax"/>
        </c:scaling>
        <c:delete val="0"/>
        <c:axPos val="r"/>
        <c:title>
          <c:tx>
            <c:rich>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en-IN" sz="1000" b="0" i="0" u="none" strike="noStrike" kern="1200" baseline="0">
                    <a:solidFill>
                      <a:sysClr val="windowText" lastClr="000000"/>
                    </a:solidFill>
                    <a:effectLst/>
                    <a:latin typeface="Arial" panose="020B0604020202020204" pitchFamily="34" charset="0"/>
                    <a:cs typeface="Arial" panose="020B0604020202020204" pitchFamily="34" charset="0"/>
                  </a:rPr>
                  <a:t>B:C ratio</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1298528592"/>
        <c:crosses val="max"/>
        <c:crossBetween val="between"/>
      </c:valAx>
      <c:catAx>
        <c:axId val="1298528592"/>
        <c:scaling>
          <c:orientation val="minMax"/>
        </c:scaling>
        <c:delete val="1"/>
        <c:axPos val="b"/>
        <c:numFmt formatCode="General" sourceLinked="1"/>
        <c:majorTickMark val="out"/>
        <c:minorTickMark val="none"/>
        <c:tickLblPos val="nextTo"/>
        <c:crossAx val="1298527632"/>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50969-F1E2-4A2E-88DA-951803500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4368</Words>
  <Characters>24899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Kumar</dc:creator>
  <cp:keywords/>
  <dc:description/>
  <cp:lastModifiedBy>SDI 1084</cp:lastModifiedBy>
  <cp:revision>10</cp:revision>
  <dcterms:created xsi:type="dcterms:W3CDTF">2025-12-21T09:07:00Z</dcterms:created>
  <dcterms:modified xsi:type="dcterms:W3CDTF">2025-12-22T12:50:00Z</dcterms:modified>
</cp:coreProperties>
</file>