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5FAAD" w14:textId="1CAF895D"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t>DIAGNOSTIC UTILITY OF BONE MARROW BIOPSY IN HAEMATOLOGICAL MALIGNANCIES</w:t>
      </w:r>
      <w:r w:rsidR="00CD78FE">
        <w:rPr>
          <w:rFonts w:ascii="Times New Roman" w:hAnsi="Times New Roman" w:cs="Times New Roman"/>
          <w:b/>
          <w:bCs/>
          <w:sz w:val="24"/>
          <w:szCs w:val="24"/>
        </w:rPr>
        <w:t>- A SEVEN YEAR RETROSPECTIVE STUDY FROM NIGERIA</w:t>
      </w:r>
    </w:p>
    <w:p w14:paraId="102D9DBE" w14:textId="77777777" w:rsidR="00481232" w:rsidRDefault="00481232" w:rsidP="003F5A64">
      <w:pPr>
        <w:spacing w:line="276" w:lineRule="auto"/>
        <w:rPr>
          <w:rFonts w:ascii="Times New Roman" w:hAnsi="Times New Roman" w:cs="Times New Roman"/>
          <w:b/>
          <w:bCs/>
          <w:sz w:val="24"/>
          <w:szCs w:val="24"/>
        </w:rPr>
      </w:pPr>
    </w:p>
    <w:p w14:paraId="69CA2F80" w14:textId="019D7211"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t>ABSTRACT</w:t>
      </w:r>
    </w:p>
    <w:p w14:paraId="0C8D2D1A" w14:textId="77777777" w:rsidR="002B545D" w:rsidRPr="0089664F" w:rsidRDefault="002B545D" w:rsidP="003F5A64">
      <w:pPr>
        <w:spacing w:line="276" w:lineRule="auto"/>
        <w:jc w:val="both"/>
        <w:rPr>
          <w:rFonts w:ascii="Times New Roman" w:hAnsi="Times New Roman" w:cs="Times New Roman"/>
          <w:sz w:val="24"/>
          <w:szCs w:val="24"/>
        </w:rPr>
      </w:pPr>
      <w:r w:rsidRPr="00E6296A">
        <w:rPr>
          <w:rFonts w:ascii="Times New Roman" w:hAnsi="Times New Roman" w:cs="Times New Roman"/>
          <w:b/>
          <w:bCs/>
          <w:sz w:val="24"/>
          <w:szCs w:val="24"/>
        </w:rPr>
        <w:t>Background:</w:t>
      </w:r>
      <w:r w:rsidRPr="0089664F">
        <w:rPr>
          <w:rFonts w:ascii="Times New Roman" w:hAnsi="Times New Roman" w:cs="Times New Roman"/>
          <w:sz w:val="24"/>
          <w:szCs w:val="24"/>
        </w:rPr>
        <w:t xml:space="preserve"> </w:t>
      </w:r>
      <w:r w:rsidRPr="00E6296A">
        <w:rPr>
          <w:rFonts w:ascii="Times New Roman" w:hAnsi="Times New Roman" w:cs="Times New Roman"/>
          <w:sz w:val="24"/>
          <w:szCs w:val="24"/>
        </w:rPr>
        <w:t>Bone marrow aspirate (BMA) and bone marrow biopsy (BMB) are complementary procedures in the evaluation of haematological disorders. While aspirate smears often suffice for diagnosis, trephine biopsy provides additional value in cases with focal lesions, inadequate aspirate yield, or marrow fibrosis.</w:t>
      </w:r>
    </w:p>
    <w:p w14:paraId="1F07EBA1" w14:textId="77777777" w:rsidR="002B545D" w:rsidRPr="00E6296A"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b/>
          <w:bCs/>
          <w:sz w:val="24"/>
          <w:szCs w:val="24"/>
        </w:rPr>
        <w:t>Aim:</w:t>
      </w:r>
      <w:r w:rsidRPr="0089664F">
        <w:rPr>
          <w:rFonts w:ascii="Times New Roman" w:hAnsi="Times New Roman" w:cs="Times New Roman"/>
          <w:sz w:val="24"/>
          <w:szCs w:val="24"/>
        </w:rPr>
        <w:t xml:space="preserve"> This study aims to assess the diagnostic utility of the bone marrow bi</w:t>
      </w:r>
      <w:r>
        <w:rPr>
          <w:rFonts w:ascii="Times New Roman" w:hAnsi="Times New Roman" w:cs="Times New Roman"/>
          <w:sz w:val="24"/>
          <w:szCs w:val="24"/>
        </w:rPr>
        <w:t>opsy in haematological m</w:t>
      </w:r>
      <w:r w:rsidRPr="0089664F">
        <w:rPr>
          <w:rFonts w:ascii="Times New Roman" w:hAnsi="Times New Roman" w:cs="Times New Roman"/>
          <w:sz w:val="24"/>
          <w:szCs w:val="24"/>
        </w:rPr>
        <w:t>alignancies and determine the concordance rate of aspirate and biopsy reports in diagnosing haematological malignancies.</w:t>
      </w:r>
    </w:p>
    <w:p w14:paraId="0DE74746" w14:textId="30973A6D" w:rsidR="002B545D" w:rsidRPr="00E6296A" w:rsidRDefault="002B545D" w:rsidP="003F5A64">
      <w:pPr>
        <w:spacing w:line="276" w:lineRule="auto"/>
        <w:jc w:val="both"/>
        <w:rPr>
          <w:rFonts w:ascii="Times New Roman" w:hAnsi="Times New Roman" w:cs="Times New Roman"/>
          <w:sz w:val="24"/>
          <w:szCs w:val="24"/>
        </w:rPr>
      </w:pPr>
      <w:r w:rsidRPr="00E6296A">
        <w:rPr>
          <w:rFonts w:ascii="Times New Roman" w:hAnsi="Times New Roman" w:cs="Times New Roman"/>
          <w:b/>
          <w:bCs/>
          <w:sz w:val="24"/>
          <w:szCs w:val="24"/>
        </w:rPr>
        <w:t>Methods:</w:t>
      </w:r>
      <w:r w:rsidRPr="0089664F">
        <w:rPr>
          <w:rFonts w:ascii="Times New Roman" w:hAnsi="Times New Roman" w:cs="Times New Roman"/>
          <w:sz w:val="24"/>
          <w:szCs w:val="24"/>
        </w:rPr>
        <w:t xml:space="preserve"> </w:t>
      </w:r>
      <w:r w:rsidRPr="00E6296A">
        <w:rPr>
          <w:rFonts w:ascii="Times New Roman" w:hAnsi="Times New Roman" w:cs="Times New Roman"/>
          <w:sz w:val="24"/>
          <w:szCs w:val="24"/>
        </w:rPr>
        <w:t xml:space="preserve">This retrospective study reviewed 125 adult cases </w:t>
      </w:r>
      <w:r>
        <w:rPr>
          <w:rFonts w:ascii="Times New Roman" w:hAnsi="Times New Roman" w:cs="Times New Roman"/>
          <w:sz w:val="24"/>
          <w:szCs w:val="24"/>
        </w:rPr>
        <w:t xml:space="preserve">seen </w:t>
      </w:r>
      <w:r w:rsidRPr="00E6296A">
        <w:rPr>
          <w:rFonts w:ascii="Times New Roman" w:hAnsi="Times New Roman" w:cs="Times New Roman"/>
          <w:sz w:val="24"/>
          <w:szCs w:val="24"/>
        </w:rPr>
        <w:t xml:space="preserve">over seven years in which paired BMA and BMB were obtained from the same </w:t>
      </w:r>
      <w:r w:rsidR="00425D99">
        <w:rPr>
          <w:rFonts w:ascii="Times New Roman" w:hAnsi="Times New Roman" w:cs="Times New Roman"/>
          <w:sz w:val="24"/>
          <w:szCs w:val="24"/>
        </w:rPr>
        <w:t>instance</w:t>
      </w:r>
      <w:r w:rsidRPr="00E6296A">
        <w:rPr>
          <w:rFonts w:ascii="Times New Roman" w:hAnsi="Times New Roman" w:cs="Times New Roman"/>
          <w:sz w:val="24"/>
          <w:szCs w:val="24"/>
        </w:rPr>
        <w:t xml:space="preserve"> at a Nigerian tertiary </w:t>
      </w:r>
      <w:r w:rsidRPr="0089664F">
        <w:rPr>
          <w:rFonts w:ascii="Times New Roman" w:hAnsi="Times New Roman" w:cs="Times New Roman"/>
          <w:sz w:val="24"/>
          <w:szCs w:val="24"/>
        </w:rPr>
        <w:t>center</w:t>
      </w:r>
      <w:r w:rsidRPr="00E6296A">
        <w:rPr>
          <w:rFonts w:ascii="Times New Roman" w:hAnsi="Times New Roman" w:cs="Times New Roman"/>
          <w:sz w:val="24"/>
          <w:szCs w:val="24"/>
        </w:rPr>
        <w:t xml:space="preserve">. Clinical indications, full blood count parameters, and final </w:t>
      </w:r>
      <w:r>
        <w:rPr>
          <w:rFonts w:ascii="Times New Roman" w:hAnsi="Times New Roman" w:cs="Times New Roman"/>
          <w:sz w:val="24"/>
          <w:szCs w:val="24"/>
        </w:rPr>
        <w:t xml:space="preserve">histological </w:t>
      </w:r>
      <w:r w:rsidRPr="00E6296A">
        <w:rPr>
          <w:rFonts w:ascii="Times New Roman" w:hAnsi="Times New Roman" w:cs="Times New Roman"/>
          <w:sz w:val="24"/>
          <w:szCs w:val="24"/>
        </w:rPr>
        <w:t xml:space="preserve">diagnoses were recorded. Diagnostic concordance between BMA and BMB was determined, and discordant cases were further </w:t>
      </w:r>
      <w:r w:rsidRPr="0089664F">
        <w:rPr>
          <w:rFonts w:ascii="Times New Roman" w:hAnsi="Times New Roman" w:cs="Times New Roman"/>
          <w:sz w:val="24"/>
          <w:szCs w:val="24"/>
        </w:rPr>
        <w:t>characterized</w:t>
      </w:r>
      <w:r w:rsidRPr="00E6296A">
        <w:rPr>
          <w:rFonts w:ascii="Times New Roman" w:hAnsi="Times New Roman" w:cs="Times New Roman"/>
          <w:sz w:val="24"/>
          <w:szCs w:val="24"/>
        </w:rPr>
        <w:t>.</w:t>
      </w:r>
    </w:p>
    <w:p w14:paraId="65B2B7A4" w14:textId="7DDCBB3C" w:rsidR="00BF54DA" w:rsidRDefault="002B545D" w:rsidP="003F5A64">
      <w:pPr>
        <w:spacing w:line="276" w:lineRule="auto"/>
        <w:jc w:val="both"/>
        <w:rPr>
          <w:rFonts w:ascii="Times New Roman" w:eastAsia="Times New Roman" w:hAnsi="Times New Roman" w:cs="Times New Roman"/>
          <w:highlight w:val="yellow"/>
        </w:rPr>
      </w:pPr>
      <w:r w:rsidRPr="00E6296A">
        <w:rPr>
          <w:rFonts w:ascii="Times New Roman" w:hAnsi="Times New Roman" w:cs="Times New Roman"/>
          <w:b/>
          <w:bCs/>
          <w:sz w:val="24"/>
          <w:szCs w:val="24"/>
        </w:rPr>
        <w:t>Results:</w:t>
      </w:r>
      <w:r w:rsidRPr="0089664F">
        <w:rPr>
          <w:rFonts w:ascii="Times New Roman" w:hAnsi="Times New Roman" w:cs="Times New Roman"/>
          <w:sz w:val="24"/>
          <w:szCs w:val="24"/>
        </w:rPr>
        <w:t xml:space="preserve"> </w:t>
      </w:r>
      <w:r w:rsidRPr="008F7513">
        <w:rPr>
          <w:rFonts w:ascii="Times New Roman" w:hAnsi="Times New Roman" w:cs="Times New Roman"/>
          <w:sz w:val="24"/>
          <w:szCs w:val="24"/>
        </w:rPr>
        <w:t>Anaemia was the predominant indication for marrow evaluation, present in 90.4% of patients. Half of the cohort had normal leukocyte (50.4%) and platelet counts (50.4%), while 26.4% had leukocytosis and 40.8% had thrombocytopenia.</w:t>
      </w:r>
      <w:r w:rsidRPr="00CD78FE">
        <w:rPr>
          <w:rFonts w:ascii="Times New Roman" w:hAnsi="Times New Roman" w:cs="Times New Roman"/>
          <w:sz w:val="24"/>
          <w:szCs w:val="24"/>
        </w:rPr>
        <w:t xml:space="preserve"> </w:t>
      </w:r>
      <w:r w:rsidR="00CD78FE" w:rsidRPr="00CD78FE">
        <w:rPr>
          <w:rFonts w:ascii="Times New Roman" w:hAnsi="Times New Roman" w:cs="Times New Roman"/>
          <w:sz w:val="24"/>
          <w:szCs w:val="24"/>
        </w:rPr>
        <w:t>The most common haematological malignancies diagnosed from BMB were multiple myeloma (34 persons) and acute myeloid leukaemia (24 patients), while the least frequent were polycythemia rubra vera (1 person), and chronic eosinophilic leukaemia (1 person).</w:t>
      </w:r>
      <w:r w:rsidR="00CD78FE" w:rsidRPr="0089664F">
        <w:rPr>
          <w:rFonts w:ascii="Times New Roman" w:hAnsi="Times New Roman" w:cs="Times New Roman"/>
          <w:sz w:val="24"/>
          <w:szCs w:val="24"/>
        </w:rPr>
        <w:t xml:space="preserve"> </w:t>
      </w:r>
      <w:r w:rsidRPr="008F7513">
        <w:rPr>
          <w:rFonts w:ascii="Times New Roman" w:hAnsi="Times New Roman" w:cs="Times New Roman"/>
          <w:sz w:val="24"/>
          <w:szCs w:val="24"/>
        </w:rPr>
        <w:t>Overall, concordance between BMA and BMB was 84.8% (106/125),</w:t>
      </w:r>
      <w:r>
        <w:rPr>
          <w:rFonts w:ascii="Times New Roman" w:hAnsi="Times New Roman" w:cs="Times New Roman"/>
          <w:sz w:val="24"/>
          <w:szCs w:val="24"/>
        </w:rPr>
        <w:t xml:space="preserve"> </w:t>
      </w:r>
      <w:r w:rsidRPr="008F7513">
        <w:rPr>
          <w:rFonts w:ascii="Times New Roman" w:hAnsi="Times New Roman" w:cs="Times New Roman"/>
          <w:sz w:val="24"/>
          <w:szCs w:val="24"/>
        </w:rPr>
        <w:t>while discordance was 15.2% (19/125), with metastatic bone disease (80%) and myelofibrosis (38.5%) being the highest</w:t>
      </w:r>
      <w:r w:rsidR="0086407F">
        <w:rPr>
          <w:rFonts w:ascii="Times New Roman" w:hAnsi="Times New Roman" w:cs="Times New Roman"/>
          <w:sz w:val="24"/>
          <w:szCs w:val="24"/>
        </w:rPr>
        <w:t xml:space="preserve"> discordant diagnoses. </w:t>
      </w:r>
      <w:r w:rsidR="00BF54DA">
        <w:rPr>
          <w:rFonts w:ascii="Times New Roman" w:hAnsi="Times New Roman" w:cs="Times New Roman"/>
          <w:sz w:val="24"/>
          <w:szCs w:val="24"/>
        </w:rPr>
        <w:t xml:space="preserve">The data was entered into </w:t>
      </w:r>
      <w:r w:rsidR="00BF54DA" w:rsidRPr="00BF54DA">
        <w:rPr>
          <w:rFonts w:ascii="Times New Roman" w:eastAsia="Times New Roman" w:hAnsi="Times New Roman" w:cs="Times New Roman"/>
          <w:sz w:val="24"/>
          <w:szCs w:val="24"/>
        </w:rPr>
        <w:t xml:space="preserve">Microsoft Excel and analyzed using IBM SPSS Statistics version 29 (IBM Corp., Armonk, N.Y., USA) </w:t>
      </w:r>
    </w:p>
    <w:p w14:paraId="06CF042E" w14:textId="470559C1" w:rsidR="002B545D" w:rsidRPr="00E6296A" w:rsidRDefault="002B545D" w:rsidP="003F5A64">
      <w:pPr>
        <w:spacing w:line="276" w:lineRule="auto"/>
        <w:jc w:val="both"/>
        <w:rPr>
          <w:rFonts w:ascii="Times New Roman" w:hAnsi="Times New Roman" w:cs="Times New Roman"/>
          <w:sz w:val="24"/>
          <w:szCs w:val="24"/>
        </w:rPr>
      </w:pPr>
      <w:r w:rsidRPr="00E6296A">
        <w:rPr>
          <w:rFonts w:ascii="Times New Roman" w:hAnsi="Times New Roman" w:cs="Times New Roman"/>
          <w:b/>
          <w:bCs/>
          <w:sz w:val="24"/>
          <w:szCs w:val="24"/>
        </w:rPr>
        <w:t>Conclusion:</w:t>
      </w:r>
      <w:r w:rsidRPr="0089664F">
        <w:rPr>
          <w:rFonts w:ascii="Times New Roman" w:hAnsi="Times New Roman" w:cs="Times New Roman"/>
          <w:b/>
          <w:bCs/>
          <w:sz w:val="24"/>
          <w:szCs w:val="24"/>
        </w:rPr>
        <w:t xml:space="preserve"> </w:t>
      </w:r>
      <w:r w:rsidRPr="00491F56">
        <w:rPr>
          <w:rFonts w:ascii="Times New Roman" w:hAnsi="Times New Roman" w:cs="Times New Roman"/>
          <w:sz w:val="24"/>
          <w:szCs w:val="24"/>
        </w:rPr>
        <w:t xml:space="preserve">This study evaluated concurrent bone marrow aspiration and biopsy, demonstrating their diagnostic value. Biopsy proved superior in detecting focal lesions and </w:t>
      </w:r>
      <w:r w:rsidR="0086407F">
        <w:rPr>
          <w:rFonts w:ascii="Times New Roman" w:hAnsi="Times New Roman" w:cs="Times New Roman"/>
          <w:sz w:val="24"/>
          <w:szCs w:val="24"/>
        </w:rPr>
        <w:t xml:space="preserve">in cases of </w:t>
      </w:r>
      <w:r w:rsidRPr="00491F56">
        <w:rPr>
          <w:rFonts w:ascii="Times New Roman" w:hAnsi="Times New Roman" w:cs="Times New Roman"/>
          <w:sz w:val="24"/>
          <w:szCs w:val="24"/>
        </w:rPr>
        <w:t>"dry taps"</w:t>
      </w:r>
      <w:r w:rsidR="0086407F">
        <w:rPr>
          <w:rFonts w:ascii="Times New Roman" w:hAnsi="Times New Roman" w:cs="Times New Roman"/>
          <w:sz w:val="24"/>
          <w:szCs w:val="24"/>
        </w:rPr>
        <w:t xml:space="preserve"> in bone marrow aspirates</w:t>
      </w:r>
      <w:r w:rsidRPr="00491F56">
        <w:rPr>
          <w:rFonts w:ascii="Times New Roman" w:hAnsi="Times New Roman" w:cs="Times New Roman"/>
          <w:sz w:val="24"/>
          <w:szCs w:val="24"/>
        </w:rPr>
        <w:t>. Combining both methods enhances diagnostic accuracy, with biopsy being crucial in specific cases.</w:t>
      </w:r>
    </w:p>
    <w:p w14:paraId="4EE01960" w14:textId="0DCF0BE9" w:rsidR="002B545D" w:rsidRPr="0089664F" w:rsidRDefault="002B545D" w:rsidP="003F5A64">
      <w:pPr>
        <w:spacing w:line="276" w:lineRule="auto"/>
        <w:rPr>
          <w:rFonts w:ascii="Times New Roman" w:hAnsi="Times New Roman" w:cs="Times New Roman"/>
          <w:sz w:val="24"/>
          <w:szCs w:val="24"/>
        </w:rPr>
      </w:pPr>
      <w:r w:rsidRPr="00E6296A">
        <w:rPr>
          <w:rFonts w:ascii="Times New Roman" w:hAnsi="Times New Roman" w:cs="Times New Roman"/>
          <w:b/>
          <w:bCs/>
          <w:sz w:val="24"/>
          <w:szCs w:val="24"/>
        </w:rPr>
        <w:t>Keywords:</w:t>
      </w:r>
      <w:r w:rsidRPr="00E6296A">
        <w:rPr>
          <w:rFonts w:ascii="Times New Roman" w:hAnsi="Times New Roman" w:cs="Times New Roman"/>
          <w:sz w:val="24"/>
          <w:szCs w:val="24"/>
        </w:rPr>
        <w:t xml:space="preserve"> </w:t>
      </w:r>
      <w:r w:rsidR="00BF54DA" w:rsidRPr="00E6296A">
        <w:rPr>
          <w:rFonts w:ascii="Times New Roman" w:hAnsi="Times New Roman" w:cs="Times New Roman"/>
          <w:sz w:val="24"/>
          <w:szCs w:val="24"/>
        </w:rPr>
        <w:t>bone marrow aspirate</w:t>
      </w:r>
      <w:r w:rsidR="00BF54DA">
        <w:rPr>
          <w:rFonts w:ascii="Times New Roman" w:hAnsi="Times New Roman" w:cs="Times New Roman"/>
          <w:sz w:val="24"/>
          <w:szCs w:val="24"/>
        </w:rPr>
        <w:t>,</w:t>
      </w:r>
      <w:r w:rsidR="00BF54DA" w:rsidRPr="00E6296A">
        <w:rPr>
          <w:rFonts w:ascii="Times New Roman" w:hAnsi="Times New Roman" w:cs="Times New Roman"/>
          <w:sz w:val="24"/>
          <w:szCs w:val="24"/>
        </w:rPr>
        <w:t xml:space="preserve"> </w:t>
      </w:r>
      <w:r w:rsidR="00BF54DA">
        <w:rPr>
          <w:rFonts w:ascii="Times New Roman" w:hAnsi="Times New Roman" w:cs="Times New Roman"/>
          <w:sz w:val="24"/>
          <w:szCs w:val="24"/>
        </w:rPr>
        <w:t>bone marrow biopsy,</w:t>
      </w:r>
      <w:r w:rsidRPr="00E6296A">
        <w:rPr>
          <w:rFonts w:ascii="Times New Roman" w:hAnsi="Times New Roman" w:cs="Times New Roman"/>
          <w:sz w:val="24"/>
          <w:szCs w:val="24"/>
        </w:rPr>
        <w:t xml:space="preserve"> </w:t>
      </w:r>
      <w:r w:rsidR="007165A7">
        <w:rPr>
          <w:rFonts w:ascii="Times New Roman" w:hAnsi="Times New Roman" w:cs="Times New Roman"/>
          <w:sz w:val="24"/>
          <w:szCs w:val="24"/>
        </w:rPr>
        <w:t>cytopenias,</w:t>
      </w:r>
      <w:r w:rsidR="00BF54DA" w:rsidRPr="00E6296A">
        <w:rPr>
          <w:rFonts w:ascii="Times New Roman" w:hAnsi="Times New Roman" w:cs="Times New Roman"/>
          <w:sz w:val="24"/>
          <w:szCs w:val="24"/>
        </w:rPr>
        <w:t xml:space="preserve"> diagnostic concordance</w:t>
      </w:r>
      <w:r w:rsidR="00BF54DA">
        <w:rPr>
          <w:rFonts w:ascii="Times New Roman" w:hAnsi="Times New Roman" w:cs="Times New Roman"/>
          <w:sz w:val="24"/>
          <w:szCs w:val="24"/>
        </w:rPr>
        <w:t>,</w:t>
      </w:r>
      <w:r w:rsidR="00BF54DA" w:rsidRPr="00E6296A">
        <w:rPr>
          <w:rFonts w:ascii="Times New Roman" w:hAnsi="Times New Roman" w:cs="Times New Roman"/>
          <w:sz w:val="24"/>
          <w:szCs w:val="24"/>
        </w:rPr>
        <w:t xml:space="preserve"> </w:t>
      </w:r>
      <w:r w:rsidR="00BF54DA">
        <w:rPr>
          <w:rFonts w:ascii="Times New Roman" w:hAnsi="Times New Roman" w:cs="Times New Roman"/>
          <w:sz w:val="24"/>
          <w:szCs w:val="24"/>
        </w:rPr>
        <w:t>haematological malignancies</w:t>
      </w:r>
      <w:r w:rsidRPr="0089664F">
        <w:rPr>
          <w:rFonts w:ascii="Times New Roman" w:hAnsi="Times New Roman" w:cs="Times New Roman"/>
          <w:sz w:val="24"/>
          <w:szCs w:val="24"/>
        </w:rPr>
        <w:t>.</w:t>
      </w:r>
    </w:p>
    <w:p w14:paraId="063A485A" w14:textId="77777777" w:rsidR="002B545D" w:rsidRDefault="002B545D" w:rsidP="003F5A64">
      <w:pPr>
        <w:spacing w:line="276" w:lineRule="auto"/>
        <w:rPr>
          <w:rFonts w:ascii="Times New Roman" w:hAnsi="Times New Roman" w:cs="Times New Roman"/>
          <w:b/>
          <w:bCs/>
          <w:sz w:val="24"/>
          <w:szCs w:val="24"/>
        </w:rPr>
      </w:pPr>
    </w:p>
    <w:p w14:paraId="01C08FBD" w14:textId="410931E7" w:rsidR="00894FC9" w:rsidRDefault="00894FC9" w:rsidP="003F5A64">
      <w:pPr>
        <w:spacing w:line="276" w:lineRule="auto"/>
        <w:rPr>
          <w:rFonts w:ascii="Times New Roman" w:hAnsi="Times New Roman" w:cs="Times New Roman"/>
          <w:b/>
          <w:bCs/>
          <w:sz w:val="24"/>
          <w:szCs w:val="24"/>
        </w:rPr>
      </w:pPr>
    </w:p>
    <w:p w14:paraId="18CC52E2" w14:textId="77777777" w:rsidR="00481232" w:rsidRDefault="00481232" w:rsidP="003F5A64">
      <w:pPr>
        <w:spacing w:line="276" w:lineRule="auto"/>
        <w:rPr>
          <w:rFonts w:ascii="Times New Roman" w:hAnsi="Times New Roman" w:cs="Times New Roman"/>
          <w:b/>
          <w:bCs/>
          <w:sz w:val="24"/>
          <w:szCs w:val="24"/>
        </w:rPr>
      </w:pPr>
    </w:p>
    <w:p w14:paraId="7A1A1C39" w14:textId="77AB4D47"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lastRenderedPageBreak/>
        <w:t>INTRODUCTION</w:t>
      </w:r>
    </w:p>
    <w:p w14:paraId="56B9A2D4" w14:textId="3B80D5E2" w:rsidR="002B545D" w:rsidRDefault="002B545D" w:rsidP="003F5A64">
      <w:pPr>
        <w:spacing w:line="276" w:lineRule="auto"/>
        <w:jc w:val="both"/>
        <w:rPr>
          <w:rFonts w:ascii="Times New Roman" w:hAnsi="Times New Roman" w:cs="Times New Roman"/>
          <w:sz w:val="24"/>
          <w:szCs w:val="24"/>
        </w:rPr>
      </w:pPr>
      <w:r w:rsidRPr="004A638E">
        <w:rPr>
          <w:rFonts w:ascii="Times New Roman" w:hAnsi="Times New Roman" w:cs="Times New Roman"/>
          <w:sz w:val="24"/>
          <w:szCs w:val="24"/>
        </w:rPr>
        <w:t>Haematological malignancies</w:t>
      </w:r>
      <w:r>
        <w:rPr>
          <w:rFonts w:ascii="Times New Roman" w:hAnsi="Times New Roman" w:cs="Times New Roman"/>
          <w:sz w:val="24"/>
          <w:szCs w:val="24"/>
        </w:rPr>
        <w:t xml:space="preserve"> </w:t>
      </w:r>
      <w:r w:rsidRPr="004A638E">
        <w:rPr>
          <w:rFonts w:ascii="Times New Roman" w:hAnsi="Times New Roman" w:cs="Times New Roman"/>
          <w:sz w:val="24"/>
          <w:szCs w:val="24"/>
        </w:rPr>
        <w:t xml:space="preserve">(HMs) </w:t>
      </w:r>
      <w:r>
        <w:rPr>
          <w:rFonts w:ascii="Times New Roman" w:hAnsi="Times New Roman" w:cs="Times New Roman"/>
          <w:sz w:val="24"/>
          <w:szCs w:val="24"/>
        </w:rPr>
        <w:t>can be primary and secondary. Primary HMs</w:t>
      </w:r>
      <w:r w:rsidRPr="004A638E">
        <w:rPr>
          <w:rFonts w:ascii="Times New Roman" w:hAnsi="Times New Roman" w:cs="Times New Roman"/>
          <w:sz w:val="24"/>
          <w:szCs w:val="24"/>
        </w:rPr>
        <w:t xml:space="preserve"> arise from clonal proliferation or failure of differentiation of blood-forming precursors </w:t>
      </w:r>
      <w:r>
        <w:rPr>
          <w:rFonts w:ascii="Times New Roman" w:hAnsi="Times New Roman" w:cs="Times New Roman"/>
          <w:sz w:val="24"/>
          <w:szCs w:val="24"/>
        </w:rPr>
        <w:t>in</w:t>
      </w:r>
      <w:r w:rsidRPr="004A638E">
        <w:rPr>
          <w:rFonts w:ascii="Times New Roman" w:hAnsi="Times New Roman" w:cs="Times New Roman"/>
          <w:sz w:val="24"/>
          <w:szCs w:val="24"/>
        </w:rPr>
        <w:t xml:space="preserve"> blood-forming organs, such as the bone marrow and lymphoid tissues</w:t>
      </w:r>
      <w:r w:rsidRPr="0089664F">
        <w:rPr>
          <w:rFonts w:ascii="Times New Roman" w:hAnsi="Times New Roman" w:cs="Times New Roman"/>
          <w:sz w:val="24"/>
          <w:szCs w:val="24"/>
          <w:vertAlign w:val="superscript"/>
        </w:rPr>
        <w:t>1</w:t>
      </w:r>
      <w:r w:rsidRPr="004A638E">
        <w:rPr>
          <w:rFonts w:ascii="Times New Roman" w:hAnsi="Times New Roman" w:cs="Times New Roman"/>
          <w:sz w:val="24"/>
          <w:szCs w:val="24"/>
        </w:rPr>
        <w:t xml:space="preserve">. </w:t>
      </w:r>
      <w:r w:rsidRPr="0089664F">
        <w:rPr>
          <w:rFonts w:ascii="Times New Roman" w:hAnsi="Times New Roman" w:cs="Times New Roman"/>
          <w:sz w:val="24"/>
          <w:szCs w:val="24"/>
        </w:rPr>
        <w:t>The disorders usually involve the myeloid an</w:t>
      </w:r>
      <w:r>
        <w:rPr>
          <w:rFonts w:ascii="Times New Roman" w:hAnsi="Times New Roman" w:cs="Times New Roman"/>
          <w:sz w:val="24"/>
          <w:szCs w:val="24"/>
        </w:rPr>
        <w:t xml:space="preserve">d/or lymphoid progenitor cells </w:t>
      </w:r>
      <w:r w:rsidRPr="0089664F">
        <w:rPr>
          <w:rFonts w:ascii="Times New Roman" w:hAnsi="Times New Roman" w:cs="Times New Roman"/>
          <w:sz w:val="24"/>
          <w:szCs w:val="24"/>
        </w:rPr>
        <w:t xml:space="preserve">and are frequently associated with </w:t>
      </w:r>
      <w:r w:rsidR="0086407F">
        <w:rPr>
          <w:rFonts w:ascii="Times New Roman" w:hAnsi="Times New Roman" w:cs="Times New Roman"/>
          <w:sz w:val="24"/>
          <w:szCs w:val="24"/>
        </w:rPr>
        <w:t>chromosomal abnormalities¹. These primary malignancies</w:t>
      </w:r>
      <w:r w:rsidRPr="0089664F">
        <w:rPr>
          <w:rFonts w:ascii="Times New Roman" w:hAnsi="Times New Roman" w:cs="Times New Roman"/>
          <w:sz w:val="24"/>
          <w:szCs w:val="24"/>
        </w:rPr>
        <w:t xml:space="preserve"> are a group of heterogeneous and diverse diseases composed of infiltrates of mature or immature haemopoietic cells at various stages of differentiation, along the lymphoid and myeloid lineages. Significant variations exist in their incidences, biological behaviours, clinical presentations, treatment options and prognosis</w:t>
      </w:r>
      <w:r>
        <w:rPr>
          <w:rFonts w:ascii="Times New Roman" w:hAnsi="Times New Roman" w:cs="Times New Roman"/>
          <w:sz w:val="24"/>
          <w:szCs w:val="24"/>
        </w:rPr>
        <w:t>.</w:t>
      </w:r>
      <w:r>
        <w:rPr>
          <w:rFonts w:ascii="Times New Roman" w:hAnsi="Times New Roman" w:cs="Times New Roman"/>
          <w:sz w:val="24"/>
          <w:szCs w:val="24"/>
          <w:vertAlign w:val="superscript"/>
        </w:rPr>
        <w:t>2</w:t>
      </w:r>
      <w:r w:rsidRPr="0089664F">
        <w:rPr>
          <w:rFonts w:ascii="Times New Roman" w:hAnsi="Times New Roman" w:cs="Times New Roman"/>
          <w:sz w:val="24"/>
          <w:szCs w:val="24"/>
        </w:rPr>
        <w:t xml:space="preserve"> </w:t>
      </w:r>
    </w:p>
    <w:p w14:paraId="2AA87D0D" w14:textId="77777777" w:rsidR="002B545D" w:rsidRPr="003B4B30" w:rsidRDefault="002B545D"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Blood cells develop from haematopoietic stem cells giving rise to the different blood cell lines.</w:t>
      </w:r>
      <w:r>
        <w:rPr>
          <w:rFonts w:ascii="Times New Roman" w:hAnsi="Times New Roman" w:cs="Times New Roman"/>
          <w:sz w:val="24"/>
          <w:szCs w:val="24"/>
          <w:vertAlign w:val="superscript"/>
        </w:rPr>
        <w:t>3,4,5</w:t>
      </w:r>
      <w:r>
        <w:rPr>
          <w:rFonts w:ascii="Times New Roman" w:hAnsi="Times New Roman" w:cs="Times New Roman"/>
          <w:sz w:val="24"/>
          <w:szCs w:val="24"/>
        </w:rPr>
        <w:t xml:space="preserve"> Mutation in this stem cells produce a clonal proliferation of mutated cells which could result in malignancies.</w:t>
      </w:r>
      <w:r>
        <w:rPr>
          <w:rFonts w:ascii="Times New Roman" w:hAnsi="Times New Roman" w:cs="Times New Roman"/>
          <w:sz w:val="24"/>
          <w:szCs w:val="24"/>
          <w:vertAlign w:val="superscript"/>
        </w:rPr>
        <w:t>6</w:t>
      </w:r>
      <w:r w:rsidRPr="0089664F">
        <w:rPr>
          <w:rFonts w:ascii="Times New Roman" w:hAnsi="Times New Roman" w:cs="Times New Roman"/>
          <w:sz w:val="24"/>
          <w:szCs w:val="24"/>
        </w:rPr>
        <w:t xml:space="preserve"> I</w:t>
      </w:r>
      <w:r>
        <w:rPr>
          <w:rFonts w:ascii="Times New Roman" w:hAnsi="Times New Roman" w:cs="Times New Roman"/>
          <w:sz w:val="24"/>
          <w:szCs w:val="24"/>
        </w:rPr>
        <w:t>n-utero, initially</w:t>
      </w:r>
      <w:r w:rsidRPr="0089664F">
        <w:rPr>
          <w:rFonts w:ascii="Times New Roman" w:hAnsi="Times New Roman" w:cs="Times New Roman"/>
          <w:sz w:val="24"/>
          <w:szCs w:val="24"/>
        </w:rPr>
        <w:t xml:space="preserve"> primitive blood cell formation occurs in the yolk sac; definitive haematopoietic stem cells (HSCs) then emerge from the aorta-gonad-mesonephros (AGM) region and </w:t>
      </w:r>
      <w:proofErr w:type="spellStart"/>
      <w:r>
        <w:rPr>
          <w:rFonts w:ascii="Times New Roman" w:hAnsi="Times New Roman" w:cs="Times New Roman"/>
          <w:sz w:val="24"/>
          <w:szCs w:val="24"/>
        </w:rPr>
        <w:t>colonise</w:t>
      </w:r>
      <w:proofErr w:type="spellEnd"/>
      <w:r w:rsidRPr="0089664F">
        <w:rPr>
          <w:rFonts w:ascii="Times New Roman" w:hAnsi="Times New Roman" w:cs="Times New Roman"/>
          <w:sz w:val="24"/>
          <w:szCs w:val="24"/>
        </w:rPr>
        <w:t xml:space="preserve"> the fetal liver and </w:t>
      </w:r>
      <w:r w:rsidRPr="00194ED9">
        <w:rPr>
          <w:rFonts w:ascii="Times New Roman" w:hAnsi="Times New Roman" w:cs="Times New Roman"/>
          <w:sz w:val="24"/>
          <w:szCs w:val="24"/>
        </w:rPr>
        <w:t>spleen</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r w:rsidRPr="0089664F">
        <w:rPr>
          <w:rFonts w:ascii="Times New Roman" w:hAnsi="Times New Roman" w:cs="Times New Roman"/>
          <w:sz w:val="24"/>
          <w:szCs w:val="24"/>
          <w:vertAlign w:val="superscript"/>
        </w:rPr>
        <w:t>,5</w:t>
      </w:r>
      <w:r w:rsidRPr="0089664F">
        <w:rPr>
          <w:rFonts w:ascii="Times New Roman" w:hAnsi="Times New Roman" w:cs="Times New Roman"/>
          <w:i/>
          <w:iCs/>
          <w:sz w:val="24"/>
          <w:szCs w:val="24"/>
        </w:rPr>
        <w:t xml:space="preserve">. </w:t>
      </w:r>
      <w:r w:rsidRPr="0089664F">
        <w:rPr>
          <w:rFonts w:ascii="Times New Roman" w:hAnsi="Times New Roman" w:cs="Times New Roman"/>
          <w:sz w:val="24"/>
          <w:szCs w:val="24"/>
        </w:rPr>
        <w:t xml:space="preserve">Over time, the bone marrow becomes progressively </w:t>
      </w:r>
      <w:proofErr w:type="spellStart"/>
      <w:r>
        <w:rPr>
          <w:rFonts w:ascii="Times New Roman" w:hAnsi="Times New Roman" w:cs="Times New Roman"/>
          <w:sz w:val="24"/>
          <w:szCs w:val="24"/>
        </w:rPr>
        <w:t>colonised</w:t>
      </w:r>
      <w:proofErr w:type="spellEnd"/>
      <w:r w:rsidRPr="0089664F">
        <w:rPr>
          <w:rFonts w:ascii="Times New Roman" w:hAnsi="Times New Roman" w:cs="Times New Roman"/>
          <w:sz w:val="24"/>
          <w:szCs w:val="24"/>
        </w:rPr>
        <w:t>. By 10-12 weeks of gestation, bone marrow has begun to show haematopoietic activity, and during the second trimester, it increases in functional importance, such that by late fetal life, the bone marrow is the primary haematopoietic organ.</w:t>
      </w:r>
      <w:r>
        <w:rPr>
          <w:rFonts w:ascii="Times New Roman" w:hAnsi="Times New Roman" w:cs="Times New Roman"/>
          <w:sz w:val="24"/>
          <w:szCs w:val="24"/>
          <w:vertAlign w:val="superscript"/>
        </w:rPr>
        <w:t xml:space="preserve"> 4 </w:t>
      </w:r>
      <w:r>
        <w:rPr>
          <w:rFonts w:ascii="Times New Roman" w:hAnsi="Times New Roman" w:cs="Times New Roman"/>
          <w:sz w:val="24"/>
          <w:szCs w:val="24"/>
        </w:rPr>
        <w:t>The initial fetal haematopoietic site may resume bone marrow production in extra-uterine life in some haematological malignancies.</w:t>
      </w:r>
    </w:p>
    <w:p w14:paraId="1CD233FE" w14:textId="332A6434" w:rsidR="002B545D" w:rsidRPr="00B87733" w:rsidRDefault="002B545D" w:rsidP="003F5A64">
      <w:pPr>
        <w:spacing w:line="276" w:lineRule="auto"/>
        <w:jc w:val="both"/>
        <w:rPr>
          <w:rFonts w:ascii="Times New Roman" w:hAnsi="Times New Roman" w:cs="Times New Roman"/>
          <w:sz w:val="24"/>
          <w:szCs w:val="24"/>
          <w:vertAlign w:val="superscript"/>
        </w:rPr>
      </w:pPr>
      <w:r w:rsidRPr="0089664F">
        <w:rPr>
          <w:rFonts w:ascii="Times New Roman" w:hAnsi="Times New Roman" w:cs="Times New Roman"/>
          <w:sz w:val="24"/>
          <w:szCs w:val="24"/>
        </w:rPr>
        <w:t>Bone marrow biopsy (trephine/core biopsy), when used together with bone marrow aspiration (BMA), plays a critical diagnostic role in haematological malignancies</w:t>
      </w:r>
      <w:r w:rsidRPr="0089664F">
        <w:rPr>
          <w:rFonts w:ascii="Times New Roman" w:hAnsi="Times New Roman" w:cs="Times New Roman"/>
          <w:sz w:val="24"/>
          <w:szCs w:val="24"/>
          <w:vertAlign w:val="superscript"/>
        </w:rPr>
        <w:t>7</w:t>
      </w:r>
      <w:r w:rsidRPr="0089664F">
        <w:rPr>
          <w:rFonts w:ascii="Times New Roman" w:hAnsi="Times New Roman" w:cs="Times New Roman"/>
          <w:sz w:val="24"/>
          <w:szCs w:val="24"/>
        </w:rPr>
        <w:t>. The biopsy allows assessment of marrow architecture, fibrosis, focal infiltrates, and cellularity,</w:t>
      </w:r>
      <w:r w:rsidR="0086407F">
        <w:rPr>
          <w:rFonts w:ascii="Times New Roman" w:hAnsi="Times New Roman" w:cs="Times New Roman"/>
          <w:sz w:val="24"/>
          <w:szCs w:val="24"/>
        </w:rPr>
        <w:t xml:space="preserve"> which could </w:t>
      </w:r>
      <w:r w:rsidRPr="0089664F">
        <w:rPr>
          <w:rFonts w:ascii="Times New Roman" w:hAnsi="Times New Roman" w:cs="Times New Roman"/>
          <w:sz w:val="24"/>
          <w:szCs w:val="24"/>
        </w:rPr>
        <w:t>be under-represented or missed on aspirate alone. In situations such as myelofibrosis or when aspiration yields a “dry tap,” the biopsy is especially valuable.</w:t>
      </w:r>
      <w:r w:rsidR="00DB1ABC">
        <w:rPr>
          <w:rFonts w:ascii="Times New Roman" w:hAnsi="Times New Roman" w:cs="Times New Roman"/>
          <w:sz w:val="24"/>
          <w:szCs w:val="24"/>
          <w:vertAlign w:val="superscript"/>
        </w:rPr>
        <w:t>8</w:t>
      </w:r>
      <w:r w:rsidRPr="0089664F">
        <w:rPr>
          <w:rFonts w:ascii="Times New Roman" w:hAnsi="Times New Roman" w:cs="Times New Roman"/>
          <w:sz w:val="24"/>
          <w:szCs w:val="24"/>
        </w:rPr>
        <w:t xml:space="preserve"> Comparative studies indicate that while BMA and BMB (biopsy) diagnoses are often concordant in diffuse marrow disorders, significant discordance occurs in disorders with focal or patchy marrow involvement, metastatic infiltration, or pronounced stromal changes.</w:t>
      </w:r>
      <w:r w:rsidR="00DB1ABC">
        <w:rPr>
          <w:rFonts w:ascii="Times New Roman" w:hAnsi="Times New Roman" w:cs="Times New Roman"/>
          <w:sz w:val="24"/>
          <w:szCs w:val="24"/>
          <w:vertAlign w:val="superscript"/>
        </w:rPr>
        <w:t>9</w:t>
      </w:r>
    </w:p>
    <w:p w14:paraId="11648088" w14:textId="0ABFFE87" w:rsidR="00C46C40" w:rsidRPr="00C46C40" w:rsidRDefault="002B545D" w:rsidP="003F5A64">
      <w:pPr>
        <w:spacing w:line="276" w:lineRule="auto"/>
        <w:jc w:val="both"/>
        <w:rPr>
          <w:rFonts w:asciiTheme="majorBidi" w:hAnsiTheme="majorBidi" w:cstheme="majorBidi"/>
          <w:color w:val="000000"/>
          <w:sz w:val="24"/>
          <w:szCs w:val="24"/>
          <w:shd w:val="clear" w:color="auto" w:fill="FFFFFF"/>
        </w:rPr>
      </w:pPr>
      <w:r w:rsidRPr="0089664F">
        <w:rPr>
          <w:rFonts w:ascii="Times New Roman" w:hAnsi="Times New Roman" w:cs="Times New Roman"/>
          <w:sz w:val="24"/>
          <w:szCs w:val="24"/>
        </w:rPr>
        <w:t xml:space="preserve">Haematological malignancies (HM) may occur at any age in life; however, the risk increases with age. </w:t>
      </w:r>
      <w:r>
        <w:rPr>
          <w:rFonts w:ascii="Times New Roman" w:hAnsi="Times New Roman" w:cs="Times New Roman"/>
          <w:sz w:val="24"/>
          <w:szCs w:val="24"/>
        </w:rPr>
        <w:t xml:space="preserve">Primary HMs </w:t>
      </w:r>
      <w:r w:rsidRPr="0089664F">
        <w:rPr>
          <w:rFonts w:ascii="Times New Roman" w:hAnsi="Times New Roman" w:cs="Times New Roman"/>
          <w:sz w:val="24"/>
          <w:szCs w:val="24"/>
        </w:rPr>
        <w:t>are broadly grouped into myeloid and lymphoid malignancies and mostly affect the BM (although this is not always the case, especially in lymphoid malignancies)</w:t>
      </w:r>
      <w:r>
        <w:rPr>
          <w:rFonts w:ascii="Times New Roman" w:hAnsi="Times New Roman" w:cs="Times New Roman"/>
          <w:sz w:val="24"/>
          <w:szCs w:val="24"/>
        </w:rPr>
        <w:t xml:space="preserve">. </w:t>
      </w:r>
      <w:r w:rsidR="009F29BA" w:rsidRPr="00C46C40">
        <w:rPr>
          <w:rFonts w:asciiTheme="majorBidi" w:hAnsiTheme="majorBidi" w:cstheme="majorBidi"/>
          <w:color w:val="222222"/>
          <w:sz w:val="24"/>
          <w:szCs w:val="24"/>
          <w:shd w:val="clear" w:color="auto" w:fill="FFFFFF"/>
        </w:rPr>
        <w:t>The prevalence of hematological malignancies in a meta-analysis of different Nigeria studies is reported to be 7.0% and 71.88% in South Africa studies.</w:t>
      </w:r>
      <w:r w:rsidR="00DB1ABC">
        <w:rPr>
          <w:rFonts w:asciiTheme="majorBidi" w:hAnsiTheme="majorBidi" w:cstheme="majorBidi"/>
          <w:color w:val="222222"/>
          <w:sz w:val="24"/>
          <w:szCs w:val="24"/>
          <w:shd w:val="clear" w:color="auto" w:fill="FFFFFF"/>
          <w:vertAlign w:val="superscript"/>
        </w:rPr>
        <w:t>10</w:t>
      </w:r>
      <w:r w:rsidR="009F29BA" w:rsidRPr="00C46C40">
        <w:rPr>
          <w:rFonts w:asciiTheme="majorBidi" w:hAnsiTheme="majorBidi" w:cstheme="majorBidi"/>
          <w:color w:val="222222"/>
          <w:sz w:val="24"/>
          <w:szCs w:val="24"/>
          <w:shd w:val="clear" w:color="auto" w:fill="FFFFFF"/>
        </w:rPr>
        <w:t xml:space="preserve"> </w:t>
      </w:r>
      <w:r w:rsidR="00C46C40" w:rsidRPr="00C46C40">
        <w:rPr>
          <w:rFonts w:asciiTheme="majorBidi" w:hAnsiTheme="majorBidi" w:cstheme="majorBidi"/>
          <w:color w:val="000000"/>
          <w:sz w:val="24"/>
          <w:szCs w:val="24"/>
          <w:shd w:val="clear" w:color="auto" w:fill="FFFFFF"/>
        </w:rPr>
        <w:t>The overall age-standardized incidence rates for all haematological malignancies per 100 000 in 2008 were 18·0 for males and 12·2 for females in Japan, and 34·9 for males and 23·6 for females in the United States.</w:t>
      </w:r>
      <w:r w:rsidR="00DB1ABC">
        <w:rPr>
          <w:rFonts w:asciiTheme="majorBidi" w:hAnsiTheme="majorBidi" w:cstheme="majorBidi"/>
          <w:color w:val="000000"/>
          <w:sz w:val="24"/>
          <w:szCs w:val="24"/>
          <w:shd w:val="clear" w:color="auto" w:fill="FFFFFF"/>
          <w:vertAlign w:val="superscript"/>
        </w:rPr>
        <w:t>11</w:t>
      </w:r>
      <w:r w:rsidR="00C46C40" w:rsidRPr="00C46C40">
        <w:rPr>
          <w:rFonts w:asciiTheme="majorBidi" w:hAnsiTheme="majorBidi" w:cstheme="majorBidi"/>
          <w:color w:val="000000"/>
          <w:sz w:val="24"/>
          <w:szCs w:val="24"/>
          <w:shd w:val="clear" w:color="auto" w:fill="FFFFFF"/>
        </w:rPr>
        <w:t xml:space="preserve"> </w:t>
      </w:r>
    </w:p>
    <w:p w14:paraId="45E6CA10" w14:textId="79D34535" w:rsidR="00894FC9" w:rsidRDefault="00C46C40" w:rsidP="003F5A64">
      <w:pPr>
        <w:spacing w:line="276" w:lineRule="auto"/>
        <w:jc w:val="both"/>
        <w:rPr>
          <w:rFonts w:ascii="Times New Roman" w:hAnsi="Times New Roman" w:cs="Times New Roman"/>
          <w:sz w:val="24"/>
          <w:szCs w:val="24"/>
        </w:rPr>
      </w:pPr>
      <w:r w:rsidRPr="00C46C40">
        <w:rPr>
          <w:rFonts w:asciiTheme="majorBidi" w:hAnsiTheme="majorBidi" w:cstheme="majorBidi"/>
          <w:color w:val="000000"/>
          <w:sz w:val="24"/>
          <w:szCs w:val="24"/>
          <w:shd w:val="clear" w:color="auto" w:fill="FFFFFF"/>
        </w:rPr>
        <w:t xml:space="preserve">Bone marrow is frequently involved in haematological malignancies as the primary site or as secondary involvement. </w:t>
      </w:r>
      <w:r w:rsidR="002B545D" w:rsidRPr="00C46C40">
        <w:rPr>
          <w:rFonts w:asciiTheme="majorBidi" w:hAnsiTheme="majorBidi" w:cstheme="majorBidi"/>
          <w:sz w:val="24"/>
          <w:szCs w:val="24"/>
        </w:rPr>
        <w:t xml:space="preserve">Therefore, examination of the bone marrow </w:t>
      </w:r>
      <w:r w:rsidR="002B545D">
        <w:rPr>
          <w:rFonts w:ascii="Times New Roman" w:hAnsi="Times New Roman" w:cs="Times New Roman"/>
          <w:sz w:val="24"/>
          <w:szCs w:val="24"/>
        </w:rPr>
        <w:t xml:space="preserve">remains </w:t>
      </w:r>
      <w:r w:rsidR="002B545D" w:rsidRPr="0089664F">
        <w:rPr>
          <w:rFonts w:ascii="Times New Roman" w:hAnsi="Times New Roman" w:cs="Times New Roman"/>
          <w:sz w:val="24"/>
          <w:szCs w:val="24"/>
        </w:rPr>
        <w:t xml:space="preserve">an essential tool in the diagnosis of haematological malignancies. </w:t>
      </w:r>
      <w:r w:rsidR="00D20481" w:rsidRPr="00C46C40">
        <w:rPr>
          <w:rFonts w:asciiTheme="majorBidi" w:hAnsiTheme="majorBidi" w:cstheme="majorBidi"/>
          <w:color w:val="000000"/>
          <w:sz w:val="24"/>
          <w:szCs w:val="24"/>
          <w:shd w:val="clear" w:color="auto" w:fill="FFFFFF"/>
        </w:rPr>
        <w:t>There is however paucity of da</w:t>
      </w:r>
      <w:r w:rsidR="00D20481">
        <w:rPr>
          <w:rFonts w:asciiTheme="majorBidi" w:hAnsiTheme="majorBidi" w:cstheme="majorBidi"/>
          <w:color w:val="000000"/>
          <w:sz w:val="24"/>
          <w:szCs w:val="24"/>
          <w:shd w:val="clear" w:color="auto" w:fill="FFFFFF"/>
        </w:rPr>
        <w:t>ta</w:t>
      </w:r>
      <w:r w:rsidR="00D20481" w:rsidRPr="00C46C40">
        <w:rPr>
          <w:rFonts w:asciiTheme="majorBidi" w:hAnsiTheme="majorBidi" w:cstheme="majorBidi"/>
          <w:color w:val="000000"/>
          <w:sz w:val="24"/>
          <w:szCs w:val="24"/>
          <w:shd w:val="clear" w:color="auto" w:fill="FFFFFF"/>
        </w:rPr>
        <w:t xml:space="preserve"> in our local environment on the utility of BMB in</w:t>
      </w:r>
      <w:r w:rsidR="00D20481">
        <w:rPr>
          <w:rFonts w:asciiTheme="majorBidi" w:hAnsiTheme="majorBidi" w:cstheme="majorBidi"/>
          <w:color w:val="000000"/>
          <w:sz w:val="24"/>
          <w:szCs w:val="24"/>
          <w:shd w:val="clear" w:color="auto" w:fill="FFFFFF"/>
        </w:rPr>
        <w:t xml:space="preserve"> the management of haematological malignancies</w:t>
      </w:r>
      <w:r w:rsidR="00D20481" w:rsidRPr="00C46C40">
        <w:rPr>
          <w:rFonts w:asciiTheme="majorBidi" w:hAnsiTheme="majorBidi" w:cstheme="majorBidi"/>
          <w:color w:val="000000"/>
          <w:sz w:val="24"/>
          <w:szCs w:val="24"/>
          <w:shd w:val="clear" w:color="auto" w:fill="FFFFFF"/>
        </w:rPr>
        <w:t xml:space="preserve">. </w:t>
      </w:r>
      <w:r w:rsidR="002B545D" w:rsidRPr="0089664F">
        <w:rPr>
          <w:rFonts w:ascii="Times New Roman" w:hAnsi="Times New Roman" w:cs="Times New Roman"/>
          <w:sz w:val="24"/>
          <w:szCs w:val="24"/>
        </w:rPr>
        <w:t xml:space="preserve">This study </w:t>
      </w:r>
      <w:r w:rsidR="002B545D" w:rsidRPr="0089664F">
        <w:rPr>
          <w:rFonts w:ascii="Times New Roman" w:hAnsi="Times New Roman" w:cs="Times New Roman"/>
          <w:sz w:val="24"/>
          <w:szCs w:val="24"/>
        </w:rPr>
        <w:lastRenderedPageBreak/>
        <w:t>aims to assess the diagnostic utility of the bone marrow biopsy in HMs and determine the concordance rate of aspirate and biopsy reports in diagnosing haematological malignancies.</w:t>
      </w:r>
    </w:p>
    <w:p w14:paraId="2F7A08AB" w14:textId="77777777" w:rsidR="00894FC9" w:rsidRPr="0089664F" w:rsidRDefault="00894FC9" w:rsidP="003F5A64">
      <w:pPr>
        <w:spacing w:line="276" w:lineRule="auto"/>
        <w:rPr>
          <w:rFonts w:ascii="Times New Roman" w:hAnsi="Times New Roman" w:cs="Times New Roman"/>
          <w:sz w:val="24"/>
          <w:szCs w:val="24"/>
        </w:rPr>
      </w:pPr>
    </w:p>
    <w:p w14:paraId="408E3328" w14:textId="77777777" w:rsidR="002B545D" w:rsidRPr="0089664F" w:rsidRDefault="002B545D" w:rsidP="003F5A64">
      <w:pPr>
        <w:spacing w:line="276" w:lineRule="auto"/>
        <w:jc w:val="both"/>
        <w:rPr>
          <w:rFonts w:ascii="Times New Roman" w:hAnsi="Times New Roman" w:cs="Times New Roman"/>
          <w:b/>
          <w:bCs/>
          <w:sz w:val="24"/>
          <w:szCs w:val="24"/>
        </w:rPr>
      </w:pPr>
      <w:r w:rsidRPr="0089664F">
        <w:rPr>
          <w:rFonts w:ascii="Times New Roman" w:hAnsi="Times New Roman" w:cs="Times New Roman"/>
          <w:b/>
          <w:bCs/>
          <w:sz w:val="24"/>
          <w:szCs w:val="24"/>
        </w:rPr>
        <w:t>METHODS</w:t>
      </w:r>
    </w:p>
    <w:p w14:paraId="2A4D4E83" w14:textId="65D814D0" w:rsidR="002B545D" w:rsidRDefault="002B545D" w:rsidP="003F5A64">
      <w:pPr>
        <w:spacing w:line="276" w:lineRule="auto"/>
        <w:jc w:val="both"/>
        <w:rPr>
          <w:rFonts w:asciiTheme="majorBidi" w:hAnsiTheme="majorBidi" w:cstheme="majorBidi"/>
          <w:sz w:val="24"/>
          <w:szCs w:val="24"/>
        </w:rPr>
      </w:pPr>
      <w:r w:rsidRPr="000367BB">
        <w:rPr>
          <w:rFonts w:asciiTheme="majorBidi" w:hAnsiTheme="majorBidi" w:cstheme="majorBidi"/>
          <w:sz w:val="24"/>
          <w:szCs w:val="24"/>
        </w:rPr>
        <w:t>This was a seven-year retrospective study conducted on 125 bone marrow biopsies at the University of Port Harcourt Teaching Hospital from January 2017 to December 2023</w:t>
      </w:r>
      <w:r w:rsidR="00821478" w:rsidRPr="000367BB">
        <w:rPr>
          <w:rFonts w:asciiTheme="majorBidi" w:hAnsiTheme="majorBidi" w:cstheme="majorBidi"/>
          <w:sz w:val="24"/>
          <w:szCs w:val="24"/>
        </w:rPr>
        <w:t xml:space="preserve"> on adult patients 18 years and above</w:t>
      </w:r>
      <w:r w:rsidRPr="000367BB">
        <w:rPr>
          <w:rFonts w:asciiTheme="majorBidi" w:hAnsiTheme="majorBidi" w:cstheme="majorBidi"/>
          <w:sz w:val="24"/>
          <w:szCs w:val="24"/>
        </w:rPr>
        <w:t>.</w:t>
      </w:r>
      <w:r w:rsidR="00404EFC" w:rsidRPr="000367BB">
        <w:rPr>
          <w:rFonts w:asciiTheme="majorBidi" w:hAnsiTheme="majorBidi" w:cstheme="majorBidi"/>
          <w:sz w:val="24"/>
          <w:szCs w:val="24"/>
        </w:rPr>
        <w:t xml:space="preserve"> All the bone marrow biopsies done within this period were included in this s</w:t>
      </w:r>
      <w:r w:rsidR="00B53A77" w:rsidRPr="000367BB">
        <w:rPr>
          <w:rFonts w:asciiTheme="majorBidi" w:hAnsiTheme="majorBidi" w:cstheme="majorBidi"/>
          <w:sz w:val="24"/>
          <w:szCs w:val="24"/>
        </w:rPr>
        <w:t>t</w:t>
      </w:r>
      <w:r w:rsidR="00404EFC" w:rsidRPr="000367BB">
        <w:rPr>
          <w:rFonts w:asciiTheme="majorBidi" w:hAnsiTheme="majorBidi" w:cstheme="majorBidi"/>
          <w:sz w:val="24"/>
          <w:szCs w:val="24"/>
        </w:rPr>
        <w:t>udy.</w:t>
      </w:r>
      <w:r w:rsidRPr="000367BB">
        <w:rPr>
          <w:rFonts w:asciiTheme="majorBidi" w:hAnsiTheme="majorBidi" w:cstheme="majorBidi"/>
          <w:sz w:val="24"/>
          <w:szCs w:val="24"/>
        </w:rPr>
        <w:t xml:space="preserve"> All bone marrow biopsies included in the study were from adult patients who also had an asp</w:t>
      </w:r>
      <w:r w:rsidR="00B53A77" w:rsidRPr="000367BB">
        <w:rPr>
          <w:rFonts w:asciiTheme="majorBidi" w:hAnsiTheme="majorBidi" w:cstheme="majorBidi"/>
          <w:sz w:val="24"/>
          <w:szCs w:val="24"/>
        </w:rPr>
        <w:t>irate collected at the same instance</w:t>
      </w:r>
      <w:r w:rsidRPr="000367BB">
        <w:rPr>
          <w:rFonts w:asciiTheme="majorBidi" w:hAnsiTheme="majorBidi" w:cstheme="majorBidi"/>
          <w:sz w:val="24"/>
          <w:szCs w:val="24"/>
        </w:rPr>
        <w:t xml:space="preserve">, with a diagnosis of HM. </w:t>
      </w:r>
      <w:r w:rsidR="000367BB" w:rsidRPr="000367BB">
        <w:rPr>
          <w:rFonts w:asciiTheme="majorBidi" w:hAnsiTheme="majorBidi" w:cstheme="majorBidi"/>
          <w:sz w:val="24"/>
          <w:szCs w:val="24"/>
        </w:rPr>
        <w:t xml:space="preserve">Cancer types were classified according to the tenth edition of the International Classification of Diseases (ICD-10). </w:t>
      </w:r>
      <w:r w:rsidR="004645BD">
        <w:rPr>
          <w:rFonts w:asciiTheme="majorBidi" w:hAnsiTheme="majorBidi" w:cstheme="majorBidi"/>
          <w:sz w:val="24"/>
          <w:szCs w:val="24"/>
        </w:rPr>
        <w:t xml:space="preserve">Discordant cases were determined via consensus of both haematologist and haematopathologist. </w:t>
      </w:r>
      <w:r w:rsidRPr="000367BB">
        <w:rPr>
          <w:rFonts w:asciiTheme="majorBidi" w:hAnsiTheme="majorBidi" w:cstheme="majorBidi"/>
          <w:sz w:val="24"/>
          <w:szCs w:val="24"/>
        </w:rPr>
        <w:t>Data retrieved included age, sex, full blood count, aspirate and biopsy diagnoses, which were entered into Microsoft Excel spreadsheets and</w:t>
      </w:r>
      <w:r w:rsidR="000367BB" w:rsidRPr="000367BB">
        <w:rPr>
          <w:rFonts w:asciiTheme="majorBidi" w:hAnsiTheme="majorBidi" w:cstheme="majorBidi"/>
          <w:bCs/>
          <w:color w:val="000000" w:themeColor="text1"/>
          <w:sz w:val="24"/>
          <w:szCs w:val="24"/>
        </w:rPr>
        <w:t xml:space="preserve"> </w:t>
      </w:r>
      <w:r w:rsidR="000367BB">
        <w:rPr>
          <w:rFonts w:asciiTheme="majorBidi" w:hAnsiTheme="majorBidi" w:cstheme="majorBidi"/>
          <w:bCs/>
          <w:color w:val="000000" w:themeColor="text1"/>
          <w:sz w:val="24"/>
          <w:szCs w:val="24"/>
        </w:rPr>
        <w:t>data were analyz</w:t>
      </w:r>
      <w:r w:rsidR="000367BB" w:rsidRPr="000367BB">
        <w:rPr>
          <w:rFonts w:asciiTheme="majorBidi" w:hAnsiTheme="majorBidi" w:cstheme="majorBidi"/>
          <w:bCs/>
          <w:color w:val="000000" w:themeColor="text1"/>
          <w:sz w:val="24"/>
          <w:szCs w:val="24"/>
        </w:rPr>
        <w:t xml:space="preserve">ed using predictive analytical software (SPSS). </w:t>
      </w:r>
      <w:r w:rsidRPr="000367BB">
        <w:rPr>
          <w:rFonts w:asciiTheme="majorBidi" w:hAnsiTheme="majorBidi" w:cstheme="majorBidi"/>
          <w:sz w:val="24"/>
          <w:szCs w:val="24"/>
        </w:rPr>
        <w:t>Simple frequencies were determined for categorical variables</w:t>
      </w:r>
      <w:r w:rsidR="000367BB" w:rsidRPr="000367BB">
        <w:rPr>
          <w:rFonts w:asciiTheme="majorBidi" w:hAnsiTheme="majorBidi" w:cstheme="majorBidi"/>
          <w:bCs/>
          <w:color w:val="000000" w:themeColor="text1"/>
          <w:sz w:val="24"/>
          <w:szCs w:val="24"/>
        </w:rPr>
        <w:t xml:space="preserve"> </w:t>
      </w:r>
      <w:r w:rsidR="000367BB">
        <w:rPr>
          <w:rFonts w:asciiTheme="majorBidi" w:hAnsiTheme="majorBidi" w:cstheme="majorBidi"/>
          <w:bCs/>
          <w:color w:val="000000" w:themeColor="text1"/>
          <w:sz w:val="24"/>
          <w:szCs w:val="24"/>
        </w:rPr>
        <w:t xml:space="preserve">and </w:t>
      </w:r>
      <w:r w:rsidR="000367BB" w:rsidRPr="000367BB">
        <w:rPr>
          <w:rFonts w:asciiTheme="majorBidi" w:hAnsiTheme="majorBidi" w:cstheme="majorBidi"/>
          <w:bCs/>
          <w:color w:val="000000" w:themeColor="text1"/>
          <w:sz w:val="24"/>
          <w:szCs w:val="24"/>
        </w:rPr>
        <w:t>the mean was evaluated for continuous data.</w:t>
      </w:r>
      <w:r w:rsidRPr="000367BB">
        <w:rPr>
          <w:rFonts w:asciiTheme="majorBidi" w:hAnsiTheme="majorBidi" w:cstheme="majorBidi"/>
          <w:sz w:val="24"/>
          <w:szCs w:val="24"/>
        </w:rPr>
        <w:t xml:space="preserve"> Results were expressed in tables and figures. Ethical approval was obtained from the Ethical Committee of the University of Port Harcourt Teaching Hospital to carry out this study.</w:t>
      </w:r>
    </w:p>
    <w:p w14:paraId="3CB0AE0B" w14:textId="77777777" w:rsidR="00CB424D" w:rsidRDefault="00CB424D" w:rsidP="003F5A64">
      <w:pPr>
        <w:spacing w:line="276" w:lineRule="auto"/>
        <w:jc w:val="both"/>
        <w:rPr>
          <w:rFonts w:asciiTheme="majorBidi" w:hAnsiTheme="majorBidi" w:cstheme="majorBidi"/>
          <w:sz w:val="24"/>
          <w:szCs w:val="24"/>
        </w:rPr>
      </w:pPr>
      <w:r w:rsidRPr="004F7736">
        <w:rPr>
          <w:rFonts w:asciiTheme="majorBidi" w:hAnsiTheme="majorBidi" w:cstheme="majorBidi"/>
          <w:sz w:val="24"/>
          <w:szCs w:val="24"/>
        </w:rPr>
        <w:t xml:space="preserve">Data Analysis or Statistical Techniques </w:t>
      </w:r>
      <w:r>
        <w:rPr>
          <w:rFonts w:asciiTheme="majorBidi" w:hAnsiTheme="majorBidi" w:cstheme="majorBidi"/>
          <w:sz w:val="24"/>
          <w:szCs w:val="24"/>
        </w:rPr>
        <w:t>used in SPSS</w:t>
      </w:r>
    </w:p>
    <w:p w14:paraId="580489F0" w14:textId="77777777" w:rsidR="00CB424D" w:rsidRDefault="00CB424D" w:rsidP="003F5A64">
      <w:pPr>
        <w:spacing w:line="276" w:lineRule="auto"/>
        <w:jc w:val="both"/>
        <w:rPr>
          <w:rFonts w:asciiTheme="majorBidi" w:hAnsiTheme="majorBidi" w:cstheme="majorBidi"/>
          <w:sz w:val="24"/>
          <w:szCs w:val="24"/>
        </w:rPr>
      </w:pPr>
      <w:r w:rsidRPr="00291496">
        <w:rPr>
          <w:rFonts w:asciiTheme="majorBidi" w:hAnsiTheme="majorBidi" w:cstheme="majorBidi"/>
          <w:sz w:val="24"/>
          <w:szCs w:val="24"/>
        </w:rPr>
        <w:t>The analysis was performed using IBM SPSS Statistics</w:t>
      </w:r>
      <w:r w:rsidRPr="00291496">
        <w:rPr>
          <w:rFonts w:asciiTheme="majorBidi" w:hAnsiTheme="majorBidi" w:cstheme="majorBidi"/>
          <w:b/>
          <w:bCs/>
          <w:sz w:val="24"/>
          <w:szCs w:val="24"/>
        </w:rPr>
        <w:t xml:space="preserve"> </w:t>
      </w:r>
    </w:p>
    <w:p w14:paraId="7C5A885D" w14:textId="183F8601" w:rsidR="00CB424D" w:rsidRPr="00E54832" w:rsidRDefault="00CB424D" w:rsidP="003F5A64">
      <w:pPr>
        <w:spacing w:line="276" w:lineRule="auto"/>
        <w:jc w:val="both"/>
        <w:rPr>
          <w:rFonts w:ascii="Times New Roman" w:hAnsi="Times New Roman" w:cs="Times New Roman"/>
          <w:b/>
          <w:bCs/>
          <w:sz w:val="24"/>
          <w:szCs w:val="24"/>
        </w:rPr>
      </w:pPr>
      <w:r w:rsidRPr="00E54832">
        <w:rPr>
          <w:rFonts w:ascii="Times New Roman" w:hAnsi="Times New Roman" w:cs="Times New Roman"/>
          <w:b/>
          <w:bCs/>
          <w:sz w:val="24"/>
          <w:szCs w:val="24"/>
        </w:rPr>
        <w:t>1. Phi (φ) Coefficient</w:t>
      </w:r>
      <w:r>
        <w:rPr>
          <w:rFonts w:ascii="Times New Roman" w:hAnsi="Times New Roman" w:cs="Times New Roman"/>
          <w:b/>
          <w:bCs/>
          <w:sz w:val="24"/>
          <w:szCs w:val="24"/>
        </w:rPr>
        <w:t xml:space="preserve">: </w:t>
      </w:r>
      <w:r>
        <w:rPr>
          <w:rFonts w:ascii="Times New Roman" w:hAnsi="Times New Roman" w:cs="Times New Roman"/>
          <w:sz w:val="24"/>
          <w:szCs w:val="24"/>
        </w:rPr>
        <w:t>It m</w:t>
      </w:r>
      <w:r w:rsidRPr="00E54832">
        <w:rPr>
          <w:rFonts w:ascii="Times New Roman" w:hAnsi="Times New Roman" w:cs="Times New Roman"/>
          <w:sz w:val="24"/>
          <w:szCs w:val="24"/>
        </w:rPr>
        <w:t>easures the strength of association between two binary (2×2) nominal variables.</w:t>
      </w:r>
    </w:p>
    <w:p w14:paraId="382E524B"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Fo</w:t>
      </w:r>
      <w:r w:rsidRPr="005279DC">
        <w:rPr>
          <w:rFonts w:ascii="Times New Roman" w:hAnsi="Times New Roman" w:cs="Times New Roman"/>
          <w:sz w:val="24"/>
          <w:szCs w:val="24"/>
        </w:rPr>
        <w:t>rmula:</w:t>
      </w:r>
      <m:oMath>
        <m:r>
          <w:rPr>
            <w:rFonts w:ascii="Cambria Math" w:hAnsi="Cambria Math" w:cs="Times New Roman"/>
            <w:sz w:val="24"/>
            <w:szCs w:val="24"/>
          </w:rPr>
          <m:t>ϕ=</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num>
              <m:den>
                <m:r>
                  <w:rPr>
                    <w:rFonts w:ascii="Cambria Math" w:hAnsi="Cambria Math" w:cs="Times New Roman"/>
                    <w:sz w:val="24"/>
                    <w:szCs w:val="24"/>
                  </w:rPr>
                  <m:t>N</m:t>
                </m:r>
              </m:den>
            </m:f>
          </m:e>
        </m:rad>
      </m:oMath>
      <w:r w:rsidRPr="00E54832">
        <w:rPr>
          <w:rFonts w:ascii="Times New Roman" w:hAnsi="Times New Roman" w:cs="Times New Roman"/>
          <w:sz w:val="24"/>
          <w:szCs w:val="24"/>
        </w:rPr>
        <w:br/>
        <w:t>Where:</w:t>
      </w:r>
    </w:p>
    <w:p w14:paraId="6417E07C" w14:textId="77777777" w:rsidR="00CB424D" w:rsidRPr="00E54832" w:rsidRDefault="0066615B" w:rsidP="003F5A64">
      <w:pPr>
        <w:numPr>
          <w:ilvl w:val="0"/>
          <w:numId w:val="11"/>
        </w:numPr>
        <w:spacing w:line="276" w:lineRule="auto"/>
        <w:jc w:val="both"/>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r w:rsidR="00CB424D" w:rsidRPr="00E54832">
        <w:rPr>
          <w:rFonts w:ascii="Times New Roman" w:hAnsi="Times New Roman" w:cs="Times New Roman"/>
          <w:sz w:val="24"/>
          <w:szCs w:val="24"/>
        </w:rPr>
        <w:t>= Chi-Square test statistic</w:t>
      </w:r>
    </w:p>
    <w:p w14:paraId="030BDBB4" w14:textId="77777777" w:rsidR="00CB424D" w:rsidRPr="00E54832" w:rsidRDefault="00CB424D" w:rsidP="003F5A64">
      <w:pPr>
        <w:numPr>
          <w:ilvl w:val="0"/>
          <w:numId w:val="11"/>
        </w:numPr>
        <w:spacing w:line="276" w:lineRule="auto"/>
        <w:jc w:val="both"/>
        <w:rPr>
          <w:rFonts w:ascii="Times New Roman" w:hAnsi="Times New Roman" w:cs="Times New Roman"/>
          <w:sz w:val="24"/>
          <w:szCs w:val="24"/>
        </w:rPr>
      </w:pPr>
      <m:oMath>
        <m:r>
          <w:rPr>
            <w:rFonts w:ascii="Cambria Math" w:hAnsi="Cambria Math" w:cs="Times New Roman"/>
            <w:sz w:val="24"/>
            <w:szCs w:val="24"/>
          </w:rPr>
          <m:t>N</m:t>
        </m:r>
      </m:oMath>
      <w:r w:rsidRPr="00E54832">
        <w:rPr>
          <w:rFonts w:ascii="Times New Roman" w:hAnsi="Times New Roman" w:cs="Times New Roman"/>
          <w:sz w:val="24"/>
          <w:szCs w:val="24"/>
        </w:rPr>
        <w:t>= Total number of valid cases</w:t>
      </w:r>
    </w:p>
    <w:p w14:paraId="78F83605"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Interpretation:</w:t>
      </w:r>
    </w:p>
    <w:p w14:paraId="653D4F68" w14:textId="77777777" w:rsidR="00CB424D" w:rsidRPr="00E54832" w:rsidRDefault="00CB424D" w:rsidP="003F5A64">
      <w:pPr>
        <w:numPr>
          <w:ilvl w:val="0"/>
          <w:numId w:val="12"/>
        </w:num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φ ranges from 0 to 1 (stronger association as it approaches 1).</w:t>
      </w:r>
    </w:p>
    <w:p w14:paraId="7C1C47C8" w14:textId="77777777" w:rsidR="00CB424D" w:rsidRDefault="00CB424D" w:rsidP="003F5A64">
      <w:pPr>
        <w:numPr>
          <w:ilvl w:val="0"/>
          <w:numId w:val="12"/>
        </w:num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Used mainly for 2×2 tables.</w:t>
      </w:r>
    </w:p>
    <w:p w14:paraId="63FABF49" w14:textId="77777777" w:rsidR="00CB424D" w:rsidRPr="00E54832" w:rsidRDefault="00CB424D" w:rsidP="003F5A64">
      <w:pPr>
        <w:spacing w:line="276" w:lineRule="auto"/>
        <w:jc w:val="both"/>
        <w:rPr>
          <w:rFonts w:ascii="Times New Roman" w:hAnsi="Times New Roman" w:cs="Times New Roman"/>
          <w:b/>
          <w:bCs/>
          <w:sz w:val="24"/>
          <w:szCs w:val="24"/>
        </w:rPr>
      </w:pPr>
      <w:r w:rsidRPr="00E54832">
        <w:rPr>
          <w:rFonts w:ascii="Times New Roman" w:hAnsi="Times New Roman" w:cs="Times New Roman"/>
          <w:b/>
          <w:bCs/>
          <w:sz w:val="24"/>
          <w:szCs w:val="24"/>
        </w:rPr>
        <w:t xml:space="preserve"> 2. Cramer’s V:</w:t>
      </w:r>
      <w:r w:rsidRPr="00E54832">
        <w:rPr>
          <w:rFonts w:ascii="Times New Roman" w:hAnsi="Times New Roman" w:cs="Times New Roman"/>
          <w:sz w:val="24"/>
          <w:szCs w:val="24"/>
        </w:rPr>
        <w:t xml:space="preserve"> Adjusts Phi for larger contingency tables (e.g., 3×3, 4×2).</w:t>
      </w:r>
      <w:r>
        <w:rPr>
          <w:rFonts w:ascii="Times New Roman" w:hAnsi="Times New Roman" w:cs="Times New Roman"/>
          <w:sz w:val="24"/>
          <w:szCs w:val="24"/>
        </w:rPr>
        <w:t xml:space="preserve">  This wa</w:t>
      </w:r>
      <w:r w:rsidRPr="00291496">
        <w:rPr>
          <w:rFonts w:ascii="Times New Roman" w:hAnsi="Times New Roman" w:cs="Times New Roman"/>
          <w:sz w:val="24"/>
          <w:szCs w:val="24"/>
        </w:rPr>
        <w:t>s employed to examine potential relationships between the</w:t>
      </w:r>
      <w:r>
        <w:rPr>
          <w:rFonts w:ascii="Times New Roman" w:hAnsi="Times New Roman" w:cs="Times New Roman"/>
          <w:sz w:val="24"/>
          <w:szCs w:val="24"/>
        </w:rPr>
        <w:t xml:space="preserve"> variables.</w:t>
      </w:r>
      <w:r w:rsidRPr="00291496">
        <w:rPr>
          <w:rFonts w:ascii="Times New Roman" w:hAnsi="Times New Roman" w:cs="Times New Roman"/>
          <w:sz w:val="24"/>
          <w:szCs w:val="24"/>
        </w:rPr>
        <w:t xml:space="preserve"> </w:t>
      </w:r>
    </w:p>
    <w:p w14:paraId="258948A2"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lastRenderedPageBreak/>
        <w:t>Formula:</w:t>
      </w:r>
      <m:oMath>
        <m:r>
          <w:rPr>
            <w:rFonts w:ascii="Cambria Math" w:hAnsi="Cambria Math" w:cs="Times New Roman"/>
            <w:sz w:val="24"/>
            <w:szCs w:val="24"/>
          </w:rPr>
          <m:t>V=</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num>
              <m:den>
                <m:r>
                  <w:rPr>
                    <w:rFonts w:ascii="Cambria Math" w:hAnsi="Cambria Math" w:cs="Times New Roman"/>
                    <w:sz w:val="24"/>
                    <w:szCs w:val="24"/>
                  </w:rPr>
                  <m:t>N(k-1)</m:t>
                </m:r>
              </m:den>
            </m:f>
          </m:e>
        </m:rad>
      </m:oMath>
      <w:r w:rsidRPr="00E54832">
        <w:rPr>
          <w:rFonts w:ascii="Times New Roman" w:hAnsi="Times New Roman" w:cs="Times New Roman"/>
          <w:sz w:val="24"/>
          <w:szCs w:val="24"/>
        </w:rPr>
        <w:br/>
        <w:t>Where:</w:t>
      </w:r>
    </w:p>
    <w:p w14:paraId="1EB44505" w14:textId="77777777" w:rsidR="00CB424D" w:rsidRPr="00E54832" w:rsidRDefault="0066615B" w:rsidP="003F5A64">
      <w:pPr>
        <w:numPr>
          <w:ilvl w:val="0"/>
          <w:numId w:val="13"/>
        </w:numPr>
        <w:spacing w:line="276" w:lineRule="auto"/>
        <w:jc w:val="both"/>
        <w:rPr>
          <w:rFonts w:ascii="Times New Roman" w:hAnsi="Times New Roman" w:cs="Times New Roman"/>
          <w:sz w:val="24"/>
          <w:szCs w:val="24"/>
        </w:rPr>
      </w:pPr>
      <m:oMath>
        <m:sSup>
          <m:sSupPr>
            <m:ctrlPr>
              <w:rPr>
                <w:rFonts w:ascii="Cambria Math" w:hAnsi="Cambria Math" w:cs="Times New Roman"/>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r w:rsidR="00CB424D" w:rsidRPr="00E54832">
        <w:rPr>
          <w:rFonts w:ascii="Times New Roman" w:hAnsi="Times New Roman" w:cs="Times New Roman"/>
          <w:sz w:val="24"/>
          <w:szCs w:val="24"/>
        </w:rPr>
        <w:t>= Chi-Square value</w:t>
      </w:r>
    </w:p>
    <w:p w14:paraId="04C8A650" w14:textId="77777777" w:rsidR="00CB424D" w:rsidRPr="00E54832" w:rsidRDefault="00CB424D" w:rsidP="003F5A64">
      <w:pPr>
        <w:numPr>
          <w:ilvl w:val="0"/>
          <w:numId w:val="13"/>
        </w:numPr>
        <w:spacing w:line="276" w:lineRule="auto"/>
        <w:jc w:val="both"/>
        <w:rPr>
          <w:rFonts w:ascii="Times New Roman" w:hAnsi="Times New Roman" w:cs="Times New Roman"/>
          <w:sz w:val="24"/>
          <w:szCs w:val="24"/>
        </w:rPr>
      </w:pPr>
      <m:oMath>
        <m:r>
          <w:rPr>
            <w:rFonts w:ascii="Cambria Math" w:hAnsi="Cambria Math" w:cs="Times New Roman"/>
            <w:sz w:val="24"/>
            <w:szCs w:val="24"/>
          </w:rPr>
          <m:t>N</m:t>
        </m:r>
      </m:oMath>
      <w:r w:rsidRPr="00E54832">
        <w:rPr>
          <w:rFonts w:ascii="Times New Roman" w:hAnsi="Times New Roman" w:cs="Times New Roman"/>
          <w:sz w:val="24"/>
          <w:szCs w:val="24"/>
        </w:rPr>
        <w:t>= Total sample size</w:t>
      </w:r>
    </w:p>
    <w:p w14:paraId="20A10835" w14:textId="77777777" w:rsidR="00CB424D" w:rsidRPr="00E54832" w:rsidRDefault="00CB424D" w:rsidP="003F5A64">
      <w:pPr>
        <w:numPr>
          <w:ilvl w:val="0"/>
          <w:numId w:val="13"/>
        </w:numPr>
        <w:spacing w:line="276" w:lineRule="auto"/>
        <w:jc w:val="both"/>
        <w:rPr>
          <w:rFonts w:ascii="Times New Roman" w:hAnsi="Times New Roman" w:cs="Times New Roman"/>
          <w:sz w:val="24"/>
          <w:szCs w:val="24"/>
        </w:rPr>
      </w:pPr>
      <m:oMath>
        <m:r>
          <w:rPr>
            <w:rFonts w:ascii="Cambria Math" w:hAnsi="Cambria Math" w:cs="Times New Roman"/>
            <w:sz w:val="24"/>
            <w:szCs w:val="24"/>
          </w:rPr>
          <m:t>k</m:t>
        </m:r>
      </m:oMath>
      <w:r w:rsidRPr="00E54832">
        <w:rPr>
          <w:rFonts w:ascii="Times New Roman" w:hAnsi="Times New Roman" w:cs="Times New Roman"/>
          <w:sz w:val="24"/>
          <w:szCs w:val="24"/>
        </w:rPr>
        <w:t>= Smaller number of categories in either variable (min of rows, columns)</w:t>
      </w:r>
    </w:p>
    <w:p w14:paraId="5CC4951F"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Interpretation:</w:t>
      </w:r>
    </w:p>
    <w:p w14:paraId="7C99A51E" w14:textId="77777777" w:rsidR="00CB424D" w:rsidRPr="00E54832" w:rsidRDefault="00CB424D" w:rsidP="003F5A64">
      <w:pPr>
        <w:numPr>
          <w:ilvl w:val="0"/>
          <w:numId w:val="14"/>
        </w:num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Values range from 0 (no association) to 1 (perfect association).</w:t>
      </w:r>
    </w:p>
    <w:p w14:paraId="2D606E74" w14:textId="77777777" w:rsidR="00CB424D" w:rsidRPr="00E37A31" w:rsidRDefault="00CB424D" w:rsidP="003F5A64">
      <w:pPr>
        <w:numPr>
          <w:ilvl w:val="0"/>
          <w:numId w:val="14"/>
        </w:num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Preferred over Phi when the table is not 2×2.</w:t>
      </w:r>
    </w:p>
    <w:p w14:paraId="677A2A09"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b/>
          <w:bCs/>
          <w:sz w:val="24"/>
          <w:szCs w:val="24"/>
        </w:rPr>
        <w:t>3. Cohen’s Kappa (κ)</w:t>
      </w:r>
      <w:r>
        <w:rPr>
          <w:rFonts w:ascii="Times New Roman" w:hAnsi="Times New Roman" w:cs="Times New Roman"/>
          <w:b/>
          <w:bCs/>
          <w:sz w:val="24"/>
          <w:szCs w:val="24"/>
        </w:rPr>
        <w:t xml:space="preserve">: </w:t>
      </w:r>
      <w:r w:rsidRPr="00E54832">
        <w:rPr>
          <w:rFonts w:ascii="Times New Roman" w:hAnsi="Times New Roman" w:cs="Times New Roman"/>
          <w:sz w:val="24"/>
          <w:szCs w:val="24"/>
        </w:rPr>
        <w:t>Measures agreement between two raters or classification systems, correcting for chance agreement.</w:t>
      </w:r>
    </w:p>
    <w:p w14:paraId="54AB8990"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Formula:</w:t>
      </w:r>
      <m:oMath>
        <m:r>
          <w:rPr>
            <w:rFonts w:ascii="Cambria Math" w:hAnsi="Cambria Math" w:cs="Times New Roman"/>
            <w:sz w:val="24"/>
            <w:szCs w:val="24"/>
          </w:rPr>
          <m:t>κ=</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num>
          <m:den>
            <m: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den>
        </m:f>
      </m:oMath>
      <w:r w:rsidRPr="00E54832">
        <w:rPr>
          <w:rFonts w:ascii="Times New Roman" w:hAnsi="Times New Roman" w:cs="Times New Roman"/>
          <w:sz w:val="24"/>
          <w:szCs w:val="24"/>
        </w:rPr>
        <w:br/>
        <w:t>Where:</w:t>
      </w:r>
    </w:p>
    <w:p w14:paraId="53C94189" w14:textId="77777777" w:rsidR="00CB424D" w:rsidRPr="00E54832" w:rsidRDefault="0066615B" w:rsidP="003F5A64">
      <w:pPr>
        <w:numPr>
          <w:ilvl w:val="0"/>
          <w:numId w:val="15"/>
        </w:numPr>
        <w:spacing w:line="276"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oMath>
      <w:r w:rsidR="00CB424D" w:rsidRPr="00E54832">
        <w:rPr>
          <w:rFonts w:ascii="Times New Roman" w:hAnsi="Times New Roman" w:cs="Times New Roman"/>
          <w:sz w:val="24"/>
          <w:szCs w:val="24"/>
        </w:rPr>
        <w:t>= Observed agreement proportion (number of times both raters agree ÷ total cases)</w:t>
      </w:r>
    </w:p>
    <w:p w14:paraId="6AE41802" w14:textId="77777777" w:rsidR="00CB424D" w:rsidRPr="00E54832" w:rsidRDefault="0066615B" w:rsidP="003F5A64">
      <w:pPr>
        <w:numPr>
          <w:ilvl w:val="0"/>
          <w:numId w:val="15"/>
        </w:numPr>
        <w:spacing w:line="276"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oMath>
      <w:r w:rsidR="00CB424D" w:rsidRPr="00E54832">
        <w:rPr>
          <w:rFonts w:ascii="Times New Roman" w:hAnsi="Times New Roman" w:cs="Times New Roman"/>
          <w:sz w:val="24"/>
          <w:szCs w:val="24"/>
        </w:rPr>
        <w:t>= Expected agreement by chance, calculated from marginal totals</w:t>
      </w:r>
    </w:p>
    <w:p w14:paraId="4B79EC80"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b/>
          <w:bCs/>
          <w:sz w:val="24"/>
          <w:szCs w:val="24"/>
        </w:rPr>
        <w:t>Asymptotic Standard Error (ASE):</w:t>
      </w:r>
    </w:p>
    <w:p w14:paraId="1F72DA5F" w14:textId="77777777" w:rsidR="00CB424D" w:rsidRPr="00E54832" w:rsidRDefault="00CB424D" w:rsidP="003F5A64">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SE(κ)=</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w:rPr>
                      <w:rFonts w:ascii="Cambria Math" w:hAnsi="Cambria Math" w:cs="Times New Roman"/>
                      <w:sz w:val="24"/>
                      <w:szCs w:val="24"/>
                    </w:rPr>
                    <m:t>(1-</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w:rPr>
                      <w:rFonts w:ascii="Cambria Math" w:hAnsi="Cambria Math" w:cs="Times New Roman"/>
                      <w:sz w:val="24"/>
                      <w:szCs w:val="24"/>
                    </w:rPr>
                    <m:t>)</m:t>
                  </m:r>
                </m:num>
                <m:den>
                  <m:r>
                    <w:rPr>
                      <w:rFonts w:ascii="Cambria Math" w:hAnsi="Cambria Math" w:cs="Times New Roman"/>
                      <w:sz w:val="24"/>
                      <w:szCs w:val="24"/>
                    </w:rPr>
                    <m:t>N(1-</m:t>
                  </m:r>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sSup>
                    <m:sSupPr>
                      <m:ctrlPr>
                        <w:rPr>
                          <w:rFonts w:ascii="Cambria Math" w:hAnsi="Cambria Math" w:cs="Times New Roman"/>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den>
              </m:f>
            </m:e>
          </m:rad>
          <m:r>
            <m:rPr>
              <m:sty m:val="p"/>
            </m:rPr>
            <w:rPr>
              <w:rFonts w:ascii="Times New Roman" w:hAnsi="Times New Roman" w:cs="Times New Roman"/>
              <w:sz w:val="24"/>
              <w:szCs w:val="24"/>
            </w:rPr>
            <w:br/>
          </m:r>
        </m:oMath>
      </m:oMathPara>
    </w:p>
    <w:p w14:paraId="14302942"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i/>
          <w:iCs/>
          <w:sz w:val="24"/>
          <w:szCs w:val="24"/>
        </w:rPr>
        <w:t>(Exact computation may vary slightly by software.)</w:t>
      </w:r>
    </w:p>
    <w:p w14:paraId="16AB8C0A"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b/>
          <w:bCs/>
          <w:sz w:val="24"/>
          <w:szCs w:val="24"/>
        </w:rPr>
        <w:t>Approx. T Statistic:</w:t>
      </w:r>
    </w:p>
    <w:p w14:paraId="4E2824EA" w14:textId="77777777" w:rsidR="00CB424D" w:rsidRPr="004F7736" w:rsidRDefault="00CB424D" w:rsidP="003F5A64">
      <w:pPr>
        <w:spacing w:line="276"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sz w:val="24"/>
                  <w:szCs w:val="24"/>
                </w:rPr>
              </m:ctrlPr>
            </m:fPr>
            <m:num>
              <m:r>
                <w:rPr>
                  <w:rFonts w:ascii="Cambria Math" w:hAnsi="Cambria Math" w:cs="Times New Roman"/>
                  <w:sz w:val="24"/>
                  <w:szCs w:val="24"/>
                </w:rPr>
                <m:t>κ</m:t>
              </m:r>
            </m:num>
            <m:den>
              <m:r>
                <w:rPr>
                  <w:rFonts w:ascii="Cambria Math" w:hAnsi="Cambria Math" w:cs="Times New Roman"/>
                  <w:sz w:val="24"/>
                  <w:szCs w:val="24"/>
                </w:rPr>
                <m:t>SE(κ)</m:t>
              </m:r>
            </m:den>
          </m:f>
        </m:oMath>
      </m:oMathPara>
    </w:p>
    <w:p w14:paraId="751CF135"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b/>
          <w:bCs/>
          <w:sz w:val="24"/>
          <w:szCs w:val="24"/>
        </w:rPr>
        <w:t>Approx. Sig.:</w:t>
      </w:r>
    </w:p>
    <w:p w14:paraId="725E740A" w14:textId="77777777" w:rsidR="00CB424D"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 xml:space="preserve">Corresponding </w:t>
      </w:r>
      <w:r w:rsidRPr="00E54832">
        <w:rPr>
          <w:rFonts w:ascii="Times New Roman" w:hAnsi="Times New Roman" w:cs="Times New Roman"/>
          <w:i/>
          <w:iCs/>
          <w:sz w:val="24"/>
          <w:szCs w:val="24"/>
        </w:rPr>
        <w:t>p-value</w:t>
      </w:r>
      <w:r w:rsidRPr="00E54832">
        <w:rPr>
          <w:rFonts w:ascii="Times New Roman" w:hAnsi="Times New Roman" w:cs="Times New Roman"/>
          <w:sz w:val="24"/>
          <w:szCs w:val="24"/>
        </w:rPr>
        <w:t xml:space="preserve"> testing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:κ=0</m:t>
        </m:r>
      </m:oMath>
      <w:r w:rsidRPr="00E54832">
        <w:rPr>
          <w:rFonts w:ascii="Times New Roman" w:hAnsi="Times New Roman" w:cs="Times New Roman"/>
          <w:sz w:val="24"/>
          <w:szCs w:val="24"/>
        </w:rPr>
        <w:t>(no agreement beyond chance).</w:t>
      </w:r>
      <w:r>
        <w:rPr>
          <w:rFonts w:ascii="Times New Roman" w:hAnsi="Times New Roman" w:cs="Times New Roman"/>
          <w:sz w:val="24"/>
          <w:szCs w:val="24"/>
        </w:rPr>
        <w:t xml:space="preserve"> </w:t>
      </w:r>
    </w:p>
    <w:p w14:paraId="2C969227" w14:textId="77777777" w:rsidR="00CB424D" w:rsidRDefault="00CB424D"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t>p-value illustrates statistical significance.</w:t>
      </w:r>
    </w:p>
    <w:p w14:paraId="2771B903" w14:textId="77777777" w:rsidR="00CB424D" w:rsidRDefault="00CB424D" w:rsidP="003F5A64">
      <w:pPr>
        <w:numPr>
          <w:ilvl w:val="0"/>
          <w:numId w:val="16"/>
        </w:numPr>
        <w:spacing w:line="276" w:lineRule="auto"/>
        <w:jc w:val="both"/>
        <w:rPr>
          <w:rFonts w:ascii="Times New Roman" w:hAnsi="Times New Roman" w:cs="Times New Roman"/>
          <w:sz w:val="24"/>
          <w:szCs w:val="24"/>
        </w:rPr>
      </w:pPr>
    </w:p>
    <w:p w14:paraId="50D36F92" w14:textId="77777777" w:rsidR="00CB424D" w:rsidRPr="00E54832"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b/>
          <w:bCs/>
          <w:sz w:val="24"/>
          <w:szCs w:val="24"/>
        </w:rPr>
        <w:t xml:space="preserve"> 4. N</w:t>
      </w:r>
      <w:r>
        <w:rPr>
          <w:rFonts w:ascii="Times New Roman" w:hAnsi="Times New Roman" w:cs="Times New Roman"/>
          <w:b/>
          <w:bCs/>
          <w:sz w:val="24"/>
          <w:szCs w:val="24"/>
        </w:rPr>
        <w:t>umber</w:t>
      </w:r>
      <w:r w:rsidRPr="00E54832">
        <w:rPr>
          <w:rFonts w:ascii="Times New Roman" w:hAnsi="Times New Roman" w:cs="Times New Roman"/>
          <w:b/>
          <w:bCs/>
          <w:sz w:val="24"/>
          <w:szCs w:val="24"/>
        </w:rPr>
        <w:t xml:space="preserve"> of Valid Cases</w:t>
      </w:r>
    </w:p>
    <w:p w14:paraId="5A6C18D1" w14:textId="77777777" w:rsidR="00CB424D" w:rsidRDefault="00CB424D" w:rsidP="003F5A64">
      <w:pPr>
        <w:spacing w:line="276" w:lineRule="auto"/>
        <w:jc w:val="both"/>
        <w:rPr>
          <w:rFonts w:ascii="Times New Roman" w:hAnsi="Times New Roman" w:cs="Times New Roman"/>
          <w:sz w:val="24"/>
          <w:szCs w:val="24"/>
        </w:rPr>
      </w:pPr>
      <w:r w:rsidRPr="00E54832">
        <w:rPr>
          <w:rFonts w:ascii="Times New Roman" w:hAnsi="Times New Roman" w:cs="Times New Roman"/>
          <w:sz w:val="24"/>
          <w:szCs w:val="24"/>
        </w:rPr>
        <w:t>Simply the number of observations used in all calculations:</w:t>
      </w:r>
      <w:r>
        <w:rPr>
          <w:rFonts w:ascii="Times New Roman" w:hAnsi="Times New Roman" w:cs="Times New Roman"/>
          <w:sz w:val="24"/>
          <w:szCs w:val="24"/>
        </w:rPr>
        <w:t xml:space="preserve"> N = 125</w:t>
      </w:r>
    </w:p>
    <w:p w14:paraId="0000EF88" w14:textId="77777777" w:rsidR="00CB424D" w:rsidRDefault="00CB424D"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(Ref/Source: </w:t>
      </w:r>
      <w:r w:rsidRPr="005279DC">
        <w:rPr>
          <w:rFonts w:ascii="Times New Roman" w:hAnsi="Times New Roman" w:cs="Times New Roman"/>
          <w:sz w:val="24"/>
          <w:szCs w:val="24"/>
        </w:rPr>
        <w:t xml:space="preserve">IBM Corp. (2021). </w:t>
      </w:r>
      <w:r w:rsidRPr="005279DC">
        <w:rPr>
          <w:rFonts w:ascii="Times New Roman" w:hAnsi="Times New Roman" w:cs="Times New Roman"/>
          <w:i/>
          <w:iCs/>
          <w:sz w:val="24"/>
          <w:szCs w:val="24"/>
        </w:rPr>
        <w:t>IBM SPSS Statistics Algorithms.</w:t>
      </w:r>
      <w:r w:rsidRPr="005279DC">
        <w:rPr>
          <w:rFonts w:ascii="Times New Roman" w:hAnsi="Times New Roman" w:cs="Times New Roman"/>
          <w:sz w:val="24"/>
          <w:szCs w:val="24"/>
        </w:rPr>
        <w:t xml:space="preserve"> IBM Documentation</w:t>
      </w:r>
      <w:r>
        <w:rPr>
          <w:rFonts w:ascii="Times New Roman" w:hAnsi="Times New Roman" w:cs="Times New Roman"/>
          <w:sz w:val="24"/>
          <w:szCs w:val="24"/>
        </w:rPr>
        <w:t>)</w:t>
      </w:r>
    </w:p>
    <w:p w14:paraId="46FEEC01" w14:textId="77777777" w:rsidR="00CB424D" w:rsidRPr="000367BB" w:rsidRDefault="00CB424D" w:rsidP="003F5A64">
      <w:pPr>
        <w:spacing w:line="276" w:lineRule="auto"/>
        <w:jc w:val="both"/>
        <w:rPr>
          <w:rFonts w:asciiTheme="majorBidi" w:hAnsiTheme="majorBidi" w:cstheme="majorBidi"/>
          <w:sz w:val="24"/>
          <w:szCs w:val="24"/>
        </w:rPr>
      </w:pPr>
    </w:p>
    <w:p w14:paraId="72C9CE47" w14:textId="77777777" w:rsidR="002B545D" w:rsidRPr="0089664F" w:rsidRDefault="002B545D" w:rsidP="003F5A64">
      <w:pPr>
        <w:spacing w:line="276" w:lineRule="auto"/>
        <w:rPr>
          <w:rFonts w:ascii="Times New Roman" w:hAnsi="Times New Roman" w:cs="Times New Roman"/>
          <w:b/>
          <w:bCs/>
          <w:sz w:val="24"/>
          <w:szCs w:val="24"/>
        </w:rPr>
      </w:pPr>
      <w:bookmarkStart w:id="0" w:name="_Hlk208405724"/>
      <w:r w:rsidRPr="0089664F">
        <w:rPr>
          <w:rFonts w:ascii="Times New Roman" w:hAnsi="Times New Roman" w:cs="Times New Roman"/>
          <w:b/>
          <w:bCs/>
          <w:sz w:val="24"/>
          <w:szCs w:val="24"/>
        </w:rPr>
        <w:t>RESULTS</w:t>
      </w:r>
    </w:p>
    <w:p w14:paraId="42FB8011" w14:textId="3D364790"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There </w:t>
      </w:r>
      <w:proofErr w:type="gramStart"/>
      <w:r w:rsidR="00821478" w:rsidRPr="0089664F">
        <w:rPr>
          <w:rFonts w:ascii="Times New Roman" w:hAnsi="Times New Roman" w:cs="Times New Roman"/>
          <w:sz w:val="24"/>
          <w:szCs w:val="24"/>
        </w:rPr>
        <w:t>were</w:t>
      </w:r>
      <w:proofErr w:type="gramEnd"/>
      <w:r w:rsidRPr="0089664F">
        <w:rPr>
          <w:rFonts w:ascii="Times New Roman" w:hAnsi="Times New Roman" w:cs="Times New Roman"/>
          <w:sz w:val="24"/>
          <w:szCs w:val="24"/>
        </w:rPr>
        <w:t xml:space="preserve"> a total of 125 bone marro</w:t>
      </w:r>
      <w:r w:rsidR="00D361A8">
        <w:rPr>
          <w:rFonts w:ascii="Times New Roman" w:hAnsi="Times New Roman" w:cs="Times New Roman"/>
          <w:sz w:val="24"/>
          <w:szCs w:val="24"/>
        </w:rPr>
        <w:t>w biopsies with diagnosis of</w:t>
      </w:r>
      <w:r w:rsidR="00821478">
        <w:rPr>
          <w:rFonts w:ascii="Times New Roman" w:hAnsi="Times New Roman" w:cs="Times New Roman"/>
          <w:sz w:val="24"/>
          <w:szCs w:val="24"/>
        </w:rPr>
        <w:t xml:space="preserve"> h</w:t>
      </w:r>
      <w:r w:rsidRPr="0089664F">
        <w:rPr>
          <w:rFonts w:ascii="Times New Roman" w:hAnsi="Times New Roman" w:cs="Times New Roman"/>
          <w:sz w:val="24"/>
          <w:szCs w:val="24"/>
        </w:rPr>
        <w:t>aematological malignancies within the study perio</w:t>
      </w:r>
      <w:r>
        <w:rPr>
          <w:rFonts w:ascii="Times New Roman" w:hAnsi="Times New Roman" w:cs="Times New Roman"/>
          <w:sz w:val="24"/>
          <w:szCs w:val="24"/>
        </w:rPr>
        <w:t>d of which 76 (60.8%) were males and 49 (39.2%) were</w:t>
      </w:r>
      <w:r w:rsidRPr="0089664F">
        <w:rPr>
          <w:rFonts w:ascii="Times New Roman" w:hAnsi="Times New Roman" w:cs="Times New Roman"/>
          <w:sz w:val="24"/>
          <w:szCs w:val="24"/>
        </w:rPr>
        <w:t xml:space="preserve"> females, with a male to female ratio of 1.6:1. The age gro</w:t>
      </w:r>
      <w:r>
        <w:rPr>
          <w:rFonts w:ascii="Times New Roman" w:hAnsi="Times New Roman" w:cs="Times New Roman"/>
          <w:sz w:val="24"/>
          <w:szCs w:val="24"/>
        </w:rPr>
        <w:t>ups with the highest number of h</w:t>
      </w:r>
      <w:r w:rsidRPr="0089664F">
        <w:rPr>
          <w:rFonts w:ascii="Times New Roman" w:hAnsi="Times New Roman" w:cs="Times New Roman"/>
          <w:sz w:val="24"/>
          <w:szCs w:val="24"/>
        </w:rPr>
        <w:t xml:space="preserve">aematological malignancies (HM) diagnoses were 40 – 49 years (n=33, 26.4%) and 60 – 69 years (18.4%), see Table 1. </w:t>
      </w:r>
    </w:p>
    <w:p w14:paraId="456CD2D5" w14:textId="77777777" w:rsidR="002B545D" w:rsidRPr="0089664F" w:rsidRDefault="002B545D" w:rsidP="003F5A64">
      <w:pPr>
        <w:pStyle w:val="Caption"/>
        <w:keepNext/>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Table </w:t>
      </w:r>
      <w:r w:rsidRPr="0089664F">
        <w:rPr>
          <w:rFonts w:ascii="Times New Roman" w:hAnsi="Times New Roman" w:cs="Times New Roman"/>
          <w:sz w:val="24"/>
          <w:szCs w:val="24"/>
        </w:rPr>
        <w:fldChar w:fldCharType="begin"/>
      </w:r>
      <w:r w:rsidRPr="0089664F">
        <w:rPr>
          <w:rFonts w:ascii="Times New Roman" w:hAnsi="Times New Roman" w:cs="Times New Roman"/>
          <w:sz w:val="24"/>
          <w:szCs w:val="24"/>
        </w:rPr>
        <w:instrText xml:space="preserve"> SEQ Table \* ARABIC </w:instrText>
      </w:r>
      <w:r w:rsidRPr="0089664F">
        <w:rPr>
          <w:rFonts w:ascii="Times New Roman" w:hAnsi="Times New Roman" w:cs="Times New Roman"/>
          <w:sz w:val="24"/>
          <w:szCs w:val="24"/>
        </w:rPr>
        <w:fldChar w:fldCharType="separate"/>
      </w:r>
      <w:r w:rsidRPr="0089664F">
        <w:rPr>
          <w:rFonts w:ascii="Times New Roman" w:hAnsi="Times New Roman" w:cs="Times New Roman"/>
          <w:noProof/>
          <w:sz w:val="24"/>
          <w:szCs w:val="24"/>
        </w:rPr>
        <w:t>1</w:t>
      </w:r>
      <w:r w:rsidRPr="0089664F">
        <w:rPr>
          <w:rFonts w:ascii="Times New Roman" w:hAnsi="Times New Roman" w:cs="Times New Roman"/>
          <w:noProof/>
          <w:sz w:val="24"/>
          <w:szCs w:val="24"/>
        </w:rPr>
        <w:fldChar w:fldCharType="end"/>
      </w:r>
      <w:r w:rsidRPr="0089664F">
        <w:rPr>
          <w:rFonts w:ascii="Times New Roman" w:hAnsi="Times New Roman" w:cs="Times New Roman"/>
          <w:sz w:val="24"/>
          <w:szCs w:val="24"/>
        </w:rPr>
        <w:t>: Age and Sex Distribution</w:t>
      </w:r>
    </w:p>
    <w:tbl>
      <w:tblPr>
        <w:tblW w:w="8420" w:type="dxa"/>
        <w:tblLook w:val="04A0" w:firstRow="1" w:lastRow="0" w:firstColumn="1" w:lastColumn="0" w:noHBand="0" w:noVBand="1"/>
      </w:tblPr>
      <w:tblGrid>
        <w:gridCol w:w="1120"/>
        <w:gridCol w:w="1300"/>
        <w:gridCol w:w="1000"/>
        <w:gridCol w:w="1000"/>
        <w:gridCol w:w="1000"/>
        <w:gridCol w:w="1000"/>
        <w:gridCol w:w="1000"/>
        <w:gridCol w:w="1000"/>
      </w:tblGrid>
      <w:tr w:rsidR="002B545D" w:rsidRPr="0089664F" w14:paraId="7ED3588C" w14:textId="77777777" w:rsidTr="00C04346">
        <w:trPr>
          <w:trHeight w:val="312"/>
        </w:trPr>
        <w:tc>
          <w:tcPr>
            <w:tcW w:w="1120" w:type="dxa"/>
            <w:vMerge w:val="restart"/>
            <w:tcBorders>
              <w:top w:val="single" w:sz="8" w:space="0" w:color="auto"/>
              <w:left w:val="single" w:sz="8" w:space="0" w:color="auto"/>
              <w:bottom w:val="single" w:sz="8" w:space="0" w:color="152935"/>
              <w:right w:val="nil"/>
            </w:tcBorders>
            <w:shd w:val="clear" w:color="000000" w:fill="FFFFFF"/>
            <w:vAlign w:val="center"/>
            <w:hideMark/>
          </w:tcPr>
          <w:p w14:paraId="7AE11A3B" w14:textId="77777777" w:rsidR="002B545D" w:rsidRPr="0089664F" w:rsidRDefault="002B545D" w:rsidP="003F5A64">
            <w:pPr>
              <w:spacing w:after="0" w:line="276" w:lineRule="auto"/>
              <w:jc w:val="both"/>
              <w:rPr>
                <w:rFonts w:ascii="Times New Roman" w:eastAsia="Times New Roman" w:hAnsi="Times New Roman" w:cs="Times New Roman"/>
                <w:color w:val="FF0000"/>
                <w:kern w:val="0"/>
                <w:sz w:val="24"/>
                <w:szCs w:val="24"/>
                <w14:ligatures w14:val="none"/>
              </w:rPr>
            </w:pPr>
          </w:p>
        </w:tc>
        <w:tc>
          <w:tcPr>
            <w:tcW w:w="1300" w:type="dxa"/>
            <w:vMerge w:val="restart"/>
            <w:tcBorders>
              <w:top w:val="single" w:sz="8" w:space="0" w:color="auto"/>
              <w:left w:val="nil"/>
              <w:bottom w:val="single" w:sz="8" w:space="0" w:color="152935"/>
              <w:right w:val="nil"/>
            </w:tcBorders>
            <w:shd w:val="clear" w:color="000000" w:fill="FFFFFF"/>
            <w:vAlign w:val="center"/>
            <w:hideMark/>
          </w:tcPr>
          <w:p w14:paraId="28B83602" w14:textId="77777777" w:rsidR="002B545D" w:rsidRPr="0089664F" w:rsidRDefault="002B545D" w:rsidP="003F5A64">
            <w:pPr>
              <w:spacing w:after="0" w:line="276" w:lineRule="auto"/>
              <w:jc w:val="both"/>
              <w:rPr>
                <w:rFonts w:ascii="Times New Roman" w:eastAsia="Times New Roman" w:hAnsi="Times New Roman" w:cs="Times New Roman"/>
                <w:b/>
                <w:bCs/>
                <w:kern w:val="0"/>
                <w:sz w:val="24"/>
                <w:szCs w:val="24"/>
                <w14:ligatures w14:val="none"/>
              </w:rPr>
            </w:pPr>
            <w:r w:rsidRPr="0089664F">
              <w:rPr>
                <w:rFonts w:ascii="Times New Roman" w:eastAsia="Times New Roman" w:hAnsi="Times New Roman" w:cs="Times New Roman"/>
                <w:b/>
                <w:bCs/>
                <w:kern w:val="0"/>
                <w:sz w:val="24"/>
                <w:szCs w:val="24"/>
                <w14:ligatures w14:val="none"/>
              </w:rPr>
              <w:t>AGE group</w:t>
            </w:r>
          </w:p>
        </w:tc>
        <w:tc>
          <w:tcPr>
            <w:tcW w:w="4000" w:type="dxa"/>
            <w:gridSpan w:val="4"/>
            <w:tcBorders>
              <w:top w:val="single" w:sz="8" w:space="0" w:color="auto"/>
              <w:left w:val="nil"/>
              <w:bottom w:val="single" w:sz="8" w:space="0" w:color="95B3D7"/>
              <w:right w:val="nil"/>
            </w:tcBorders>
            <w:shd w:val="clear" w:color="000000" w:fill="FFFFFF"/>
            <w:vAlign w:val="center"/>
            <w:hideMark/>
          </w:tcPr>
          <w:p w14:paraId="3DFCA5D8"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SEX</w:t>
            </w:r>
          </w:p>
        </w:tc>
        <w:tc>
          <w:tcPr>
            <w:tcW w:w="2000" w:type="dxa"/>
            <w:gridSpan w:val="2"/>
            <w:vMerge w:val="restart"/>
            <w:tcBorders>
              <w:top w:val="single" w:sz="8" w:space="0" w:color="auto"/>
              <w:left w:val="single" w:sz="4" w:space="0" w:color="auto"/>
              <w:bottom w:val="single" w:sz="4" w:space="0" w:color="auto"/>
              <w:right w:val="single" w:sz="8" w:space="0" w:color="000000"/>
            </w:tcBorders>
            <w:shd w:val="clear" w:color="000000" w:fill="FFFFFF"/>
            <w:vAlign w:val="center"/>
            <w:hideMark/>
          </w:tcPr>
          <w:p w14:paraId="20733560" w14:textId="77777777" w:rsidR="002B545D" w:rsidRPr="0089664F" w:rsidRDefault="002B545D" w:rsidP="003F5A64">
            <w:pPr>
              <w:spacing w:after="0" w:line="276" w:lineRule="auto"/>
              <w:jc w:val="both"/>
              <w:rPr>
                <w:rFonts w:ascii="Times New Roman" w:eastAsia="Times New Roman" w:hAnsi="Times New Roman" w:cs="Times New Roman"/>
                <w:b/>
                <w:bCs/>
                <w:caps/>
                <w:color w:val="264A60"/>
                <w:kern w:val="0"/>
                <w:sz w:val="24"/>
                <w:szCs w:val="24"/>
                <w14:ligatures w14:val="none"/>
              </w:rPr>
            </w:pPr>
            <w:r w:rsidRPr="0089664F">
              <w:rPr>
                <w:rFonts w:ascii="Times New Roman" w:eastAsia="Times New Roman" w:hAnsi="Times New Roman" w:cs="Times New Roman"/>
                <w:b/>
                <w:bCs/>
                <w:caps/>
                <w:color w:val="264A60"/>
                <w:kern w:val="0"/>
                <w:sz w:val="24"/>
                <w:szCs w:val="24"/>
                <w14:ligatures w14:val="none"/>
              </w:rPr>
              <w:t>Total</w:t>
            </w:r>
          </w:p>
        </w:tc>
      </w:tr>
      <w:tr w:rsidR="002B545D" w:rsidRPr="0089664F" w14:paraId="1DBF6140" w14:textId="77777777" w:rsidTr="00C04346">
        <w:trPr>
          <w:trHeight w:val="294"/>
        </w:trPr>
        <w:tc>
          <w:tcPr>
            <w:tcW w:w="1120" w:type="dxa"/>
            <w:vMerge/>
            <w:tcBorders>
              <w:top w:val="single" w:sz="8" w:space="0" w:color="auto"/>
              <w:left w:val="single" w:sz="8" w:space="0" w:color="auto"/>
              <w:bottom w:val="single" w:sz="8" w:space="0" w:color="152935"/>
              <w:right w:val="nil"/>
            </w:tcBorders>
            <w:vAlign w:val="center"/>
            <w:hideMark/>
          </w:tcPr>
          <w:p w14:paraId="0CF8E74D" w14:textId="77777777" w:rsidR="002B545D" w:rsidRPr="0089664F" w:rsidRDefault="002B545D" w:rsidP="003F5A64">
            <w:pPr>
              <w:spacing w:after="0" w:line="276" w:lineRule="auto"/>
              <w:jc w:val="both"/>
              <w:rPr>
                <w:rFonts w:ascii="Times New Roman" w:eastAsia="Times New Roman" w:hAnsi="Times New Roman" w:cs="Times New Roman"/>
                <w:color w:val="FF0000"/>
                <w:kern w:val="0"/>
                <w:sz w:val="24"/>
                <w:szCs w:val="24"/>
                <w14:ligatures w14:val="none"/>
              </w:rPr>
            </w:pPr>
          </w:p>
        </w:tc>
        <w:tc>
          <w:tcPr>
            <w:tcW w:w="1300" w:type="dxa"/>
            <w:vMerge/>
            <w:tcBorders>
              <w:top w:val="single" w:sz="8" w:space="0" w:color="auto"/>
              <w:left w:val="nil"/>
              <w:bottom w:val="single" w:sz="8" w:space="0" w:color="152935"/>
              <w:right w:val="nil"/>
            </w:tcBorders>
            <w:vAlign w:val="center"/>
            <w:hideMark/>
          </w:tcPr>
          <w:p w14:paraId="43CE32F0" w14:textId="77777777" w:rsidR="002B545D" w:rsidRPr="0089664F" w:rsidRDefault="002B545D" w:rsidP="003F5A64">
            <w:pPr>
              <w:spacing w:after="0" w:line="276" w:lineRule="auto"/>
              <w:jc w:val="both"/>
              <w:rPr>
                <w:rFonts w:ascii="Times New Roman" w:eastAsia="Times New Roman" w:hAnsi="Times New Roman" w:cs="Times New Roman"/>
                <w:b/>
                <w:bCs/>
                <w:kern w:val="0"/>
                <w:sz w:val="24"/>
                <w:szCs w:val="24"/>
                <w14:ligatures w14:val="none"/>
              </w:rPr>
            </w:pPr>
          </w:p>
        </w:tc>
        <w:tc>
          <w:tcPr>
            <w:tcW w:w="2000" w:type="dxa"/>
            <w:gridSpan w:val="2"/>
            <w:tcBorders>
              <w:top w:val="single" w:sz="8" w:space="0" w:color="95B3D7"/>
              <w:left w:val="nil"/>
              <w:bottom w:val="single" w:sz="8" w:space="0" w:color="152935"/>
              <w:right w:val="single" w:sz="8" w:space="0" w:color="E0E0E0"/>
            </w:tcBorders>
            <w:shd w:val="clear" w:color="000000" w:fill="FFFFFF"/>
            <w:vAlign w:val="center"/>
            <w:hideMark/>
          </w:tcPr>
          <w:p w14:paraId="58850358"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Female n (%)</w:t>
            </w:r>
          </w:p>
        </w:tc>
        <w:tc>
          <w:tcPr>
            <w:tcW w:w="2000" w:type="dxa"/>
            <w:gridSpan w:val="2"/>
            <w:tcBorders>
              <w:top w:val="single" w:sz="8" w:space="0" w:color="95B3D7"/>
              <w:left w:val="nil"/>
              <w:bottom w:val="single" w:sz="8" w:space="0" w:color="152935"/>
              <w:right w:val="nil"/>
            </w:tcBorders>
            <w:shd w:val="clear" w:color="000000" w:fill="FFFFFF"/>
            <w:vAlign w:val="center"/>
            <w:hideMark/>
          </w:tcPr>
          <w:p w14:paraId="01DE1EDD"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Male n (%)</w:t>
            </w:r>
          </w:p>
        </w:tc>
        <w:tc>
          <w:tcPr>
            <w:tcW w:w="2000" w:type="dxa"/>
            <w:gridSpan w:val="2"/>
            <w:vMerge/>
            <w:tcBorders>
              <w:top w:val="single" w:sz="8" w:space="0" w:color="auto"/>
              <w:left w:val="single" w:sz="4" w:space="0" w:color="auto"/>
              <w:bottom w:val="single" w:sz="4" w:space="0" w:color="auto"/>
              <w:right w:val="single" w:sz="8" w:space="0" w:color="000000"/>
            </w:tcBorders>
            <w:vAlign w:val="center"/>
            <w:hideMark/>
          </w:tcPr>
          <w:p w14:paraId="4152BA3C"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p>
        </w:tc>
      </w:tr>
      <w:tr w:rsidR="002B545D" w:rsidRPr="0089664F" w14:paraId="5B9B5279" w14:textId="77777777" w:rsidTr="00C04346">
        <w:trPr>
          <w:trHeight w:val="306"/>
        </w:trPr>
        <w:tc>
          <w:tcPr>
            <w:tcW w:w="1120" w:type="dxa"/>
            <w:tcBorders>
              <w:top w:val="nil"/>
              <w:left w:val="single" w:sz="8" w:space="0" w:color="auto"/>
              <w:bottom w:val="single" w:sz="8" w:space="0" w:color="95B3D7"/>
              <w:right w:val="nil"/>
            </w:tcBorders>
            <w:shd w:val="clear" w:color="000000" w:fill="E0E0E0"/>
            <w:vAlign w:val="center"/>
            <w:hideMark/>
          </w:tcPr>
          <w:p w14:paraId="52028960"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p>
        </w:tc>
        <w:tc>
          <w:tcPr>
            <w:tcW w:w="1300" w:type="dxa"/>
            <w:tcBorders>
              <w:top w:val="nil"/>
              <w:left w:val="nil"/>
              <w:bottom w:val="nil"/>
              <w:right w:val="nil"/>
            </w:tcBorders>
            <w:vAlign w:val="center"/>
            <w:hideMark/>
          </w:tcPr>
          <w:p w14:paraId="465CF966" w14:textId="77777777" w:rsidR="002B545D" w:rsidRPr="0089664F" w:rsidRDefault="002B545D" w:rsidP="003F5A64">
            <w:pPr>
              <w:spacing w:after="0" w:line="276" w:lineRule="auto"/>
              <w:jc w:val="both"/>
              <w:rPr>
                <w:rFonts w:ascii="Times New Roman" w:eastAsia="Times New Roman" w:hAnsi="Times New Roman" w:cs="Times New Roman"/>
                <w:b/>
                <w:bCs/>
                <w:color w:val="FF0000"/>
                <w:kern w:val="0"/>
                <w:sz w:val="24"/>
                <w:szCs w:val="24"/>
                <w14:ligatures w14:val="none"/>
              </w:rPr>
            </w:pPr>
            <w:r w:rsidRPr="0038050E">
              <w:rPr>
                <w:rFonts w:ascii="Times New Roman" w:eastAsia="Times New Roman" w:hAnsi="Times New Roman" w:cs="Times New Roman"/>
                <w:b/>
                <w:bCs/>
                <w:kern w:val="0"/>
                <w:sz w:val="24"/>
                <w:szCs w:val="24"/>
                <w14:ligatures w14:val="none"/>
              </w:rPr>
              <w:t>18-29</w:t>
            </w:r>
          </w:p>
        </w:tc>
        <w:tc>
          <w:tcPr>
            <w:tcW w:w="1000" w:type="dxa"/>
            <w:tcBorders>
              <w:top w:val="nil"/>
              <w:left w:val="nil"/>
              <w:bottom w:val="nil"/>
              <w:right w:val="nil"/>
            </w:tcBorders>
            <w:vAlign w:val="center"/>
            <w:hideMark/>
          </w:tcPr>
          <w:p w14:paraId="77D8898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w:t>
            </w:r>
          </w:p>
        </w:tc>
        <w:tc>
          <w:tcPr>
            <w:tcW w:w="1000" w:type="dxa"/>
            <w:tcBorders>
              <w:top w:val="nil"/>
              <w:left w:val="nil"/>
              <w:bottom w:val="nil"/>
              <w:right w:val="nil"/>
            </w:tcBorders>
            <w:vAlign w:val="center"/>
            <w:hideMark/>
          </w:tcPr>
          <w:p w14:paraId="492016B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(5.6)</w:t>
            </w:r>
          </w:p>
        </w:tc>
        <w:tc>
          <w:tcPr>
            <w:tcW w:w="1000" w:type="dxa"/>
            <w:tcBorders>
              <w:top w:val="nil"/>
              <w:left w:val="nil"/>
              <w:bottom w:val="nil"/>
              <w:right w:val="nil"/>
            </w:tcBorders>
            <w:vAlign w:val="center"/>
            <w:hideMark/>
          </w:tcPr>
          <w:p w14:paraId="6F1375D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w:t>
            </w:r>
          </w:p>
        </w:tc>
        <w:tc>
          <w:tcPr>
            <w:tcW w:w="1000" w:type="dxa"/>
            <w:tcBorders>
              <w:top w:val="nil"/>
              <w:left w:val="nil"/>
              <w:bottom w:val="nil"/>
              <w:right w:val="nil"/>
            </w:tcBorders>
            <w:vAlign w:val="center"/>
            <w:hideMark/>
          </w:tcPr>
          <w:p w14:paraId="589BB3E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(5.6)</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850C0BD"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14</w:t>
            </w:r>
          </w:p>
        </w:tc>
        <w:tc>
          <w:tcPr>
            <w:tcW w:w="1000" w:type="dxa"/>
            <w:tcBorders>
              <w:top w:val="nil"/>
              <w:left w:val="nil"/>
              <w:bottom w:val="single" w:sz="4" w:space="0" w:color="auto"/>
              <w:right w:val="single" w:sz="8" w:space="0" w:color="auto"/>
            </w:tcBorders>
            <w:shd w:val="clear" w:color="000000" w:fill="FFFFFF"/>
            <w:vAlign w:val="center"/>
            <w:hideMark/>
          </w:tcPr>
          <w:p w14:paraId="7CFEF21E"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(11.2)</w:t>
            </w:r>
          </w:p>
        </w:tc>
      </w:tr>
      <w:tr w:rsidR="002B545D" w:rsidRPr="0089664F" w14:paraId="05E6471E"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70B7C33F"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54CA392D"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30-39</w:t>
            </w:r>
          </w:p>
        </w:tc>
        <w:tc>
          <w:tcPr>
            <w:tcW w:w="1000" w:type="dxa"/>
            <w:tcBorders>
              <w:top w:val="nil"/>
              <w:left w:val="nil"/>
              <w:bottom w:val="nil"/>
              <w:right w:val="nil"/>
            </w:tcBorders>
            <w:vAlign w:val="center"/>
            <w:hideMark/>
          </w:tcPr>
          <w:p w14:paraId="6D0065C3"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w:t>
            </w:r>
          </w:p>
        </w:tc>
        <w:tc>
          <w:tcPr>
            <w:tcW w:w="1000" w:type="dxa"/>
            <w:tcBorders>
              <w:top w:val="nil"/>
              <w:left w:val="nil"/>
              <w:bottom w:val="nil"/>
              <w:right w:val="nil"/>
            </w:tcBorders>
            <w:vAlign w:val="center"/>
            <w:hideMark/>
          </w:tcPr>
          <w:p w14:paraId="434CD1B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(4.0)</w:t>
            </w:r>
          </w:p>
        </w:tc>
        <w:tc>
          <w:tcPr>
            <w:tcW w:w="1000" w:type="dxa"/>
            <w:tcBorders>
              <w:top w:val="nil"/>
              <w:left w:val="nil"/>
              <w:bottom w:val="nil"/>
              <w:right w:val="nil"/>
            </w:tcBorders>
            <w:vAlign w:val="center"/>
            <w:hideMark/>
          </w:tcPr>
          <w:p w14:paraId="751543D9"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w:t>
            </w:r>
          </w:p>
        </w:tc>
        <w:tc>
          <w:tcPr>
            <w:tcW w:w="1000" w:type="dxa"/>
            <w:tcBorders>
              <w:top w:val="nil"/>
              <w:left w:val="nil"/>
              <w:bottom w:val="nil"/>
              <w:right w:val="nil"/>
            </w:tcBorders>
            <w:vAlign w:val="center"/>
            <w:hideMark/>
          </w:tcPr>
          <w:p w14:paraId="4BD8BFC9"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(6.4)</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554267D9"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13</w:t>
            </w:r>
          </w:p>
        </w:tc>
        <w:tc>
          <w:tcPr>
            <w:tcW w:w="1000" w:type="dxa"/>
            <w:tcBorders>
              <w:top w:val="nil"/>
              <w:left w:val="nil"/>
              <w:bottom w:val="single" w:sz="4" w:space="0" w:color="auto"/>
              <w:right w:val="single" w:sz="8" w:space="0" w:color="auto"/>
            </w:tcBorders>
            <w:shd w:val="clear" w:color="000000" w:fill="FFFFFF"/>
            <w:vAlign w:val="center"/>
            <w:hideMark/>
          </w:tcPr>
          <w:p w14:paraId="6F96C3E6"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(10.4)</w:t>
            </w:r>
          </w:p>
        </w:tc>
      </w:tr>
      <w:tr w:rsidR="002B545D" w:rsidRPr="0089664F" w14:paraId="29D7BFA0"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6E430769"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w:t>
            </w:r>
          </w:p>
        </w:tc>
        <w:tc>
          <w:tcPr>
            <w:tcW w:w="1300" w:type="dxa"/>
            <w:tcBorders>
              <w:top w:val="nil"/>
              <w:left w:val="nil"/>
              <w:bottom w:val="nil"/>
              <w:right w:val="nil"/>
            </w:tcBorders>
            <w:vAlign w:val="center"/>
            <w:hideMark/>
          </w:tcPr>
          <w:p w14:paraId="1C804C38"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40-49</w:t>
            </w:r>
          </w:p>
        </w:tc>
        <w:tc>
          <w:tcPr>
            <w:tcW w:w="1000" w:type="dxa"/>
            <w:tcBorders>
              <w:top w:val="nil"/>
              <w:left w:val="nil"/>
              <w:bottom w:val="nil"/>
              <w:right w:val="nil"/>
            </w:tcBorders>
            <w:vAlign w:val="center"/>
            <w:hideMark/>
          </w:tcPr>
          <w:p w14:paraId="00F8CA9A"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11</w:t>
            </w:r>
          </w:p>
        </w:tc>
        <w:tc>
          <w:tcPr>
            <w:tcW w:w="1000" w:type="dxa"/>
            <w:tcBorders>
              <w:top w:val="nil"/>
              <w:left w:val="nil"/>
              <w:bottom w:val="nil"/>
              <w:right w:val="nil"/>
            </w:tcBorders>
            <w:vAlign w:val="center"/>
            <w:hideMark/>
          </w:tcPr>
          <w:p w14:paraId="638129A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(8.8)</w:t>
            </w:r>
          </w:p>
        </w:tc>
        <w:tc>
          <w:tcPr>
            <w:tcW w:w="1000" w:type="dxa"/>
            <w:tcBorders>
              <w:top w:val="nil"/>
              <w:left w:val="nil"/>
              <w:bottom w:val="nil"/>
              <w:right w:val="nil"/>
            </w:tcBorders>
            <w:vAlign w:val="center"/>
            <w:hideMark/>
          </w:tcPr>
          <w:p w14:paraId="6D278584"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22</w:t>
            </w:r>
          </w:p>
        </w:tc>
        <w:tc>
          <w:tcPr>
            <w:tcW w:w="1000" w:type="dxa"/>
            <w:tcBorders>
              <w:top w:val="nil"/>
              <w:left w:val="nil"/>
              <w:bottom w:val="nil"/>
              <w:right w:val="nil"/>
            </w:tcBorders>
            <w:vAlign w:val="center"/>
            <w:hideMark/>
          </w:tcPr>
          <w:p w14:paraId="203A17CF"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(17.6)</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6FB0279A"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33</w:t>
            </w:r>
          </w:p>
        </w:tc>
        <w:tc>
          <w:tcPr>
            <w:tcW w:w="1000" w:type="dxa"/>
            <w:tcBorders>
              <w:top w:val="nil"/>
              <w:left w:val="nil"/>
              <w:bottom w:val="single" w:sz="4" w:space="0" w:color="auto"/>
              <w:right w:val="single" w:sz="8" w:space="0" w:color="auto"/>
            </w:tcBorders>
            <w:shd w:val="clear" w:color="000000" w:fill="FFFFFF"/>
            <w:vAlign w:val="center"/>
            <w:hideMark/>
          </w:tcPr>
          <w:p w14:paraId="53EC431E"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(26.4)</w:t>
            </w:r>
          </w:p>
        </w:tc>
      </w:tr>
      <w:tr w:rsidR="002B545D" w:rsidRPr="0089664F" w14:paraId="4EABB0BF"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54DF1BEA"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0E3EC218"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50-59</w:t>
            </w:r>
          </w:p>
        </w:tc>
        <w:tc>
          <w:tcPr>
            <w:tcW w:w="1000" w:type="dxa"/>
            <w:tcBorders>
              <w:top w:val="nil"/>
              <w:left w:val="nil"/>
              <w:bottom w:val="nil"/>
              <w:right w:val="nil"/>
            </w:tcBorders>
            <w:vAlign w:val="center"/>
            <w:hideMark/>
          </w:tcPr>
          <w:p w14:paraId="18A8BD48"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5</w:t>
            </w:r>
          </w:p>
        </w:tc>
        <w:tc>
          <w:tcPr>
            <w:tcW w:w="1000" w:type="dxa"/>
            <w:tcBorders>
              <w:top w:val="nil"/>
              <w:left w:val="nil"/>
              <w:bottom w:val="nil"/>
              <w:right w:val="nil"/>
            </w:tcBorders>
            <w:vAlign w:val="center"/>
            <w:hideMark/>
          </w:tcPr>
          <w:p w14:paraId="1C722D3A"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(4.0)</w:t>
            </w:r>
          </w:p>
        </w:tc>
        <w:tc>
          <w:tcPr>
            <w:tcW w:w="1000" w:type="dxa"/>
            <w:tcBorders>
              <w:top w:val="nil"/>
              <w:left w:val="nil"/>
              <w:bottom w:val="nil"/>
              <w:right w:val="nil"/>
            </w:tcBorders>
            <w:vAlign w:val="center"/>
            <w:hideMark/>
          </w:tcPr>
          <w:p w14:paraId="633DDB24"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13</w:t>
            </w:r>
          </w:p>
        </w:tc>
        <w:tc>
          <w:tcPr>
            <w:tcW w:w="1000" w:type="dxa"/>
            <w:tcBorders>
              <w:top w:val="nil"/>
              <w:left w:val="nil"/>
              <w:bottom w:val="nil"/>
              <w:right w:val="nil"/>
            </w:tcBorders>
            <w:vAlign w:val="center"/>
            <w:hideMark/>
          </w:tcPr>
          <w:p w14:paraId="570CE27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(10.4)</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24581E9C"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18</w:t>
            </w:r>
          </w:p>
        </w:tc>
        <w:tc>
          <w:tcPr>
            <w:tcW w:w="1000" w:type="dxa"/>
            <w:tcBorders>
              <w:top w:val="nil"/>
              <w:left w:val="nil"/>
              <w:bottom w:val="single" w:sz="4" w:space="0" w:color="auto"/>
              <w:right w:val="single" w:sz="8" w:space="0" w:color="auto"/>
            </w:tcBorders>
            <w:shd w:val="clear" w:color="000000" w:fill="FFFFFF"/>
            <w:vAlign w:val="center"/>
            <w:hideMark/>
          </w:tcPr>
          <w:p w14:paraId="639B0F6D"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(14.4)</w:t>
            </w:r>
          </w:p>
        </w:tc>
      </w:tr>
      <w:tr w:rsidR="002B545D" w:rsidRPr="0089664F" w14:paraId="4892F726"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2BA87BA9"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799CC7ED"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60-69</w:t>
            </w:r>
          </w:p>
        </w:tc>
        <w:tc>
          <w:tcPr>
            <w:tcW w:w="1000" w:type="dxa"/>
            <w:tcBorders>
              <w:top w:val="nil"/>
              <w:left w:val="nil"/>
              <w:bottom w:val="nil"/>
              <w:right w:val="nil"/>
            </w:tcBorders>
            <w:vAlign w:val="center"/>
            <w:hideMark/>
          </w:tcPr>
          <w:p w14:paraId="0EAEBE8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10</w:t>
            </w:r>
          </w:p>
        </w:tc>
        <w:tc>
          <w:tcPr>
            <w:tcW w:w="1000" w:type="dxa"/>
            <w:tcBorders>
              <w:top w:val="nil"/>
              <w:left w:val="nil"/>
              <w:bottom w:val="nil"/>
              <w:right w:val="nil"/>
            </w:tcBorders>
            <w:vAlign w:val="center"/>
            <w:hideMark/>
          </w:tcPr>
          <w:p w14:paraId="60CFABB0"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(8.0)</w:t>
            </w:r>
          </w:p>
        </w:tc>
        <w:tc>
          <w:tcPr>
            <w:tcW w:w="1000" w:type="dxa"/>
            <w:tcBorders>
              <w:top w:val="nil"/>
              <w:left w:val="nil"/>
              <w:bottom w:val="nil"/>
              <w:right w:val="nil"/>
            </w:tcBorders>
            <w:vAlign w:val="center"/>
            <w:hideMark/>
          </w:tcPr>
          <w:p w14:paraId="19FA61B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13</w:t>
            </w:r>
          </w:p>
        </w:tc>
        <w:tc>
          <w:tcPr>
            <w:tcW w:w="1000" w:type="dxa"/>
            <w:tcBorders>
              <w:top w:val="nil"/>
              <w:left w:val="nil"/>
              <w:bottom w:val="nil"/>
              <w:right w:val="nil"/>
            </w:tcBorders>
            <w:vAlign w:val="center"/>
            <w:hideMark/>
          </w:tcPr>
          <w:p w14:paraId="3582AC93"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(10.4)</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7123651B"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23</w:t>
            </w:r>
          </w:p>
        </w:tc>
        <w:tc>
          <w:tcPr>
            <w:tcW w:w="1000" w:type="dxa"/>
            <w:tcBorders>
              <w:top w:val="nil"/>
              <w:left w:val="nil"/>
              <w:bottom w:val="single" w:sz="4" w:space="0" w:color="auto"/>
              <w:right w:val="single" w:sz="8" w:space="0" w:color="auto"/>
            </w:tcBorders>
            <w:shd w:val="clear" w:color="000000" w:fill="FFFFFF"/>
            <w:vAlign w:val="center"/>
            <w:hideMark/>
          </w:tcPr>
          <w:p w14:paraId="75EAB79D"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(18.4)</w:t>
            </w:r>
          </w:p>
        </w:tc>
      </w:tr>
      <w:tr w:rsidR="002B545D" w:rsidRPr="0089664F" w14:paraId="684A96CD" w14:textId="77777777" w:rsidTr="00C04346">
        <w:trPr>
          <w:trHeight w:val="294"/>
        </w:trPr>
        <w:tc>
          <w:tcPr>
            <w:tcW w:w="1120" w:type="dxa"/>
            <w:tcBorders>
              <w:top w:val="nil"/>
              <w:left w:val="single" w:sz="8" w:space="0" w:color="auto"/>
              <w:bottom w:val="single" w:sz="8" w:space="0" w:color="95B3D7"/>
              <w:right w:val="nil"/>
            </w:tcBorders>
            <w:shd w:val="clear" w:color="000000" w:fill="E0E0E0"/>
            <w:vAlign w:val="center"/>
            <w:hideMark/>
          </w:tcPr>
          <w:p w14:paraId="4920430C"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75B8FFD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70-79</w:t>
            </w:r>
          </w:p>
        </w:tc>
        <w:tc>
          <w:tcPr>
            <w:tcW w:w="1000" w:type="dxa"/>
            <w:tcBorders>
              <w:top w:val="nil"/>
              <w:left w:val="nil"/>
              <w:bottom w:val="nil"/>
              <w:right w:val="nil"/>
            </w:tcBorders>
            <w:vAlign w:val="center"/>
            <w:hideMark/>
          </w:tcPr>
          <w:p w14:paraId="553AFAAC"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9</w:t>
            </w:r>
          </w:p>
        </w:tc>
        <w:tc>
          <w:tcPr>
            <w:tcW w:w="1000" w:type="dxa"/>
            <w:tcBorders>
              <w:top w:val="nil"/>
              <w:left w:val="nil"/>
              <w:bottom w:val="nil"/>
              <w:right w:val="nil"/>
            </w:tcBorders>
            <w:vAlign w:val="center"/>
            <w:hideMark/>
          </w:tcPr>
          <w:p w14:paraId="52AF7B2A"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(7.2)</w:t>
            </w:r>
          </w:p>
        </w:tc>
        <w:tc>
          <w:tcPr>
            <w:tcW w:w="1000" w:type="dxa"/>
            <w:tcBorders>
              <w:top w:val="nil"/>
              <w:left w:val="nil"/>
              <w:bottom w:val="nil"/>
              <w:right w:val="nil"/>
            </w:tcBorders>
            <w:vAlign w:val="center"/>
            <w:hideMark/>
          </w:tcPr>
          <w:p w14:paraId="3114DC9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11</w:t>
            </w:r>
          </w:p>
        </w:tc>
        <w:tc>
          <w:tcPr>
            <w:tcW w:w="1000" w:type="dxa"/>
            <w:tcBorders>
              <w:top w:val="nil"/>
              <w:left w:val="nil"/>
              <w:bottom w:val="nil"/>
              <w:right w:val="nil"/>
            </w:tcBorders>
            <w:vAlign w:val="center"/>
            <w:hideMark/>
          </w:tcPr>
          <w:p w14:paraId="085E662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(8.8)</w:t>
            </w:r>
          </w:p>
        </w:tc>
        <w:tc>
          <w:tcPr>
            <w:tcW w:w="1000" w:type="dxa"/>
            <w:tcBorders>
              <w:top w:val="nil"/>
              <w:left w:val="single" w:sz="4" w:space="0" w:color="auto"/>
              <w:bottom w:val="single" w:sz="4" w:space="0" w:color="auto"/>
              <w:right w:val="single" w:sz="4" w:space="0" w:color="auto"/>
            </w:tcBorders>
            <w:shd w:val="clear" w:color="000000" w:fill="FFFFFF"/>
            <w:vAlign w:val="center"/>
            <w:hideMark/>
          </w:tcPr>
          <w:p w14:paraId="28814726"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20</w:t>
            </w:r>
          </w:p>
        </w:tc>
        <w:tc>
          <w:tcPr>
            <w:tcW w:w="1000" w:type="dxa"/>
            <w:tcBorders>
              <w:top w:val="nil"/>
              <w:left w:val="nil"/>
              <w:bottom w:val="single" w:sz="4" w:space="0" w:color="auto"/>
              <w:right w:val="single" w:sz="8" w:space="0" w:color="auto"/>
            </w:tcBorders>
            <w:shd w:val="clear" w:color="000000" w:fill="FFFFFF"/>
            <w:vAlign w:val="center"/>
            <w:hideMark/>
          </w:tcPr>
          <w:p w14:paraId="02934F01"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(16.0)</w:t>
            </w:r>
          </w:p>
        </w:tc>
      </w:tr>
      <w:tr w:rsidR="002B545D" w:rsidRPr="0089664F" w14:paraId="4AE00378" w14:textId="77777777" w:rsidTr="00C04346">
        <w:trPr>
          <w:trHeight w:val="294"/>
        </w:trPr>
        <w:tc>
          <w:tcPr>
            <w:tcW w:w="1120" w:type="dxa"/>
            <w:tcBorders>
              <w:top w:val="nil"/>
              <w:left w:val="single" w:sz="8" w:space="0" w:color="auto"/>
              <w:bottom w:val="nil"/>
              <w:right w:val="nil"/>
            </w:tcBorders>
            <w:shd w:val="clear" w:color="000000" w:fill="E0E0E0"/>
            <w:vAlign w:val="center"/>
            <w:hideMark/>
          </w:tcPr>
          <w:p w14:paraId="10883495"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 </w:t>
            </w:r>
          </w:p>
        </w:tc>
        <w:tc>
          <w:tcPr>
            <w:tcW w:w="1300" w:type="dxa"/>
            <w:tcBorders>
              <w:top w:val="nil"/>
              <w:left w:val="nil"/>
              <w:bottom w:val="nil"/>
              <w:right w:val="nil"/>
            </w:tcBorders>
            <w:vAlign w:val="center"/>
            <w:hideMark/>
          </w:tcPr>
          <w:p w14:paraId="5455F725"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80-90</w:t>
            </w:r>
          </w:p>
        </w:tc>
        <w:tc>
          <w:tcPr>
            <w:tcW w:w="1000" w:type="dxa"/>
            <w:tcBorders>
              <w:top w:val="nil"/>
              <w:left w:val="nil"/>
              <w:bottom w:val="nil"/>
              <w:right w:val="nil"/>
            </w:tcBorders>
            <w:vAlign w:val="center"/>
            <w:hideMark/>
          </w:tcPr>
          <w:p w14:paraId="00F71712"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2</w:t>
            </w:r>
          </w:p>
        </w:tc>
        <w:tc>
          <w:tcPr>
            <w:tcW w:w="1000" w:type="dxa"/>
            <w:tcBorders>
              <w:top w:val="nil"/>
              <w:left w:val="nil"/>
              <w:bottom w:val="nil"/>
              <w:right w:val="nil"/>
            </w:tcBorders>
            <w:vAlign w:val="center"/>
            <w:hideMark/>
          </w:tcPr>
          <w:p w14:paraId="223CABBD"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(1.6)</w:t>
            </w:r>
          </w:p>
        </w:tc>
        <w:tc>
          <w:tcPr>
            <w:tcW w:w="1000" w:type="dxa"/>
            <w:tcBorders>
              <w:top w:val="nil"/>
              <w:left w:val="nil"/>
              <w:bottom w:val="nil"/>
              <w:right w:val="nil"/>
            </w:tcBorders>
            <w:vAlign w:val="center"/>
            <w:hideMark/>
          </w:tcPr>
          <w:p w14:paraId="0C952CDC"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2</w:t>
            </w:r>
          </w:p>
        </w:tc>
        <w:tc>
          <w:tcPr>
            <w:tcW w:w="1000" w:type="dxa"/>
            <w:tcBorders>
              <w:top w:val="nil"/>
              <w:left w:val="nil"/>
              <w:bottom w:val="nil"/>
              <w:right w:val="nil"/>
            </w:tcBorders>
            <w:vAlign w:val="center"/>
            <w:hideMark/>
          </w:tcPr>
          <w:p w14:paraId="51E69F91"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(1.6)</w:t>
            </w:r>
          </w:p>
        </w:tc>
        <w:tc>
          <w:tcPr>
            <w:tcW w:w="1000" w:type="dxa"/>
            <w:tcBorders>
              <w:top w:val="nil"/>
              <w:left w:val="single" w:sz="4" w:space="0" w:color="auto"/>
              <w:bottom w:val="nil"/>
              <w:right w:val="single" w:sz="4" w:space="0" w:color="auto"/>
            </w:tcBorders>
            <w:shd w:val="clear" w:color="000000" w:fill="FFFFFF"/>
            <w:vAlign w:val="center"/>
            <w:hideMark/>
          </w:tcPr>
          <w:p w14:paraId="1784633E"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4</w:t>
            </w:r>
          </w:p>
        </w:tc>
        <w:tc>
          <w:tcPr>
            <w:tcW w:w="1000" w:type="dxa"/>
            <w:tcBorders>
              <w:top w:val="nil"/>
              <w:left w:val="nil"/>
              <w:bottom w:val="nil"/>
              <w:right w:val="single" w:sz="8" w:space="0" w:color="auto"/>
            </w:tcBorders>
            <w:shd w:val="clear" w:color="000000" w:fill="FFFFFF"/>
            <w:vAlign w:val="center"/>
            <w:hideMark/>
          </w:tcPr>
          <w:p w14:paraId="4CE01059"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(3.2)</w:t>
            </w:r>
          </w:p>
        </w:tc>
      </w:tr>
      <w:tr w:rsidR="002B545D" w:rsidRPr="0089664F" w14:paraId="5643AF14" w14:textId="77777777" w:rsidTr="00C04346">
        <w:trPr>
          <w:trHeight w:val="294"/>
        </w:trPr>
        <w:tc>
          <w:tcPr>
            <w:tcW w:w="1120" w:type="dxa"/>
            <w:tcBorders>
              <w:top w:val="single" w:sz="8" w:space="0" w:color="auto"/>
              <w:left w:val="single" w:sz="8" w:space="0" w:color="auto"/>
              <w:bottom w:val="single" w:sz="8" w:space="0" w:color="auto"/>
              <w:right w:val="nil"/>
            </w:tcBorders>
            <w:shd w:val="clear" w:color="000000" w:fill="E0E0E0"/>
            <w:vAlign w:val="center"/>
            <w:hideMark/>
          </w:tcPr>
          <w:p w14:paraId="0EF1E3F8" w14:textId="77777777" w:rsidR="002B545D" w:rsidRPr="0089664F" w:rsidRDefault="002B545D" w:rsidP="003F5A64">
            <w:pPr>
              <w:spacing w:after="0" w:line="276" w:lineRule="auto"/>
              <w:jc w:val="both"/>
              <w:rPr>
                <w:rFonts w:ascii="Times New Roman" w:eastAsia="Times New Roman" w:hAnsi="Times New Roman" w:cs="Times New Roman"/>
                <w:b/>
                <w:bCs/>
                <w:color w:val="264A60"/>
                <w:kern w:val="0"/>
                <w:sz w:val="24"/>
                <w:szCs w:val="24"/>
                <w14:ligatures w14:val="none"/>
              </w:rPr>
            </w:pPr>
            <w:r w:rsidRPr="0089664F">
              <w:rPr>
                <w:rFonts w:ascii="Times New Roman" w:eastAsia="Times New Roman" w:hAnsi="Times New Roman" w:cs="Times New Roman"/>
                <w:b/>
                <w:bCs/>
                <w:color w:val="264A60"/>
                <w:kern w:val="0"/>
                <w:sz w:val="24"/>
                <w:szCs w:val="24"/>
                <w14:ligatures w14:val="none"/>
              </w:rPr>
              <w:t>TOTAL</w:t>
            </w:r>
          </w:p>
        </w:tc>
        <w:tc>
          <w:tcPr>
            <w:tcW w:w="1300" w:type="dxa"/>
            <w:tcBorders>
              <w:top w:val="single" w:sz="8" w:space="0" w:color="auto"/>
              <w:left w:val="single" w:sz="4" w:space="0" w:color="auto"/>
              <w:bottom w:val="single" w:sz="8" w:space="0" w:color="auto"/>
              <w:right w:val="single" w:sz="4" w:space="0" w:color="auto"/>
            </w:tcBorders>
            <w:shd w:val="clear" w:color="000000" w:fill="E0E0E0"/>
            <w:vAlign w:val="center"/>
            <w:hideMark/>
          </w:tcPr>
          <w:p w14:paraId="70C35E9B" w14:textId="77777777" w:rsidR="002B545D" w:rsidRPr="0089664F" w:rsidRDefault="002B545D" w:rsidP="003F5A64">
            <w:pPr>
              <w:spacing w:after="0" w:line="276" w:lineRule="auto"/>
              <w:jc w:val="both"/>
              <w:rPr>
                <w:rFonts w:ascii="Times New Roman" w:eastAsia="Times New Roman" w:hAnsi="Times New Roman" w:cs="Times New Roman"/>
                <w:color w:val="264A60"/>
                <w:kern w:val="0"/>
                <w:sz w:val="24"/>
                <w:szCs w:val="24"/>
                <w14:ligatures w14:val="none"/>
              </w:rPr>
            </w:pPr>
            <w:r w:rsidRPr="0089664F">
              <w:rPr>
                <w:rFonts w:ascii="Times New Roman" w:eastAsia="Times New Roman" w:hAnsi="Times New Roman" w:cs="Times New Roman"/>
                <w:color w:val="264A60"/>
                <w:kern w:val="0"/>
                <w:sz w:val="24"/>
                <w:szCs w:val="24"/>
                <w14:ligatures w14:val="none"/>
              </w:rPr>
              <w:t xml:space="preserve">All groups </w:t>
            </w:r>
          </w:p>
        </w:tc>
        <w:tc>
          <w:tcPr>
            <w:tcW w:w="1000" w:type="dxa"/>
            <w:tcBorders>
              <w:top w:val="single" w:sz="8" w:space="0" w:color="auto"/>
              <w:left w:val="nil"/>
              <w:bottom w:val="single" w:sz="8" w:space="0" w:color="auto"/>
              <w:right w:val="single" w:sz="4" w:space="0" w:color="auto"/>
            </w:tcBorders>
            <w:shd w:val="clear" w:color="000000" w:fill="FFFFFF"/>
            <w:vAlign w:val="center"/>
            <w:hideMark/>
          </w:tcPr>
          <w:p w14:paraId="12116562"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49</w:t>
            </w:r>
          </w:p>
        </w:tc>
        <w:tc>
          <w:tcPr>
            <w:tcW w:w="1000" w:type="dxa"/>
            <w:tcBorders>
              <w:top w:val="single" w:sz="8" w:space="0" w:color="auto"/>
              <w:left w:val="nil"/>
              <w:bottom w:val="single" w:sz="8" w:space="0" w:color="auto"/>
              <w:right w:val="single" w:sz="4" w:space="0" w:color="auto"/>
            </w:tcBorders>
            <w:vAlign w:val="center"/>
            <w:hideMark/>
          </w:tcPr>
          <w:p w14:paraId="406B2ADB"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(39.2)</w:t>
            </w:r>
          </w:p>
        </w:tc>
        <w:tc>
          <w:tcPr>
            <w:tcW w:w="1000" w:type="dxa"/>
            <w:tcBorders>
              <w:top w:val="single" w:sz="8" w:space="0" w:color="auto"/>
              <w:left w:val="nil"/>
              <w:bottom w:val="single" w:sz="8" w:space="0" w:color="auto"/>
              <w:right w:val="single" w:sz="4" w:space="0" w:color="auto"/>
            </w:tcBorders>
            <w:shd w:val="clear" w:color="000000" w:fill="FFFFFF"/>
            <w:vAlign w:val="center"/>
            <w:hideMark/>
          </w:tcPr>
          <w:p w14:paraId="6A57ED9F"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76</w:t>
            </w:r>
          </w:p>
        </w:tc>
        <w:tc>
          <w:tcPr>
            <w:tcW w:w="1000" w:type="dxa"/>
            <w:tcBorders>
              <w:top w:val="single" w:sz="8" w:space="0" w:color="auto"/>
              <w:left w:val="nil"/>
              <w:bottom w:val="single" w:sz="8" w:space="0" w:color="auto"/>
              <w:right w:val="nil"/>
            </w:tcBorders>
            <w:vAlign w:val="center"/>
            <w:hideMark/>
          </w:tcPr>
          <w:p w14:paraId="4A43D357" w14:textId="77777777" w:rsidR="002B545D" w:rsidRPr="0089664F" w:rsidRDefault="002B545D" w:rsidP="003F5A64">
            <w:pPr>
              <w:spacing w:after="0" w:line="276" w:lineRule="auto"/>
              <w:jc w:val="both"/>
              <w:rPr>
                <w:rFonts w:ascii="Times New Roman" w:eastAsia="Times New Roman" w:hAnsi="Times New Roman" w:cs="Times New Roman"/>
                <w:color w:val="000000"/>
                <w:kern w:val="0"/>
                <w:sz w:val="24"/>
                <w:szCs w:val="24"/>
                <w14:ligatures w14:val="none"/>
              </w:rPr>
            </w:pPr>
            <w:r w:rsidRPr="0089664F">
              <w:rPr>
                <w:rFonts w:ascii="Times New Roman" w:eastAsia="Times New Roman" w:hAnsi="Times New Roman" w:cs="Times New Roman"/>
                <w:color w:val="000000"/>
                <w:kern w:val="0"/>
                <w:sz w:val="24"/>
                <w:szCs w:val="24"/>
                <w14:ligatures w14:val="none"/>
              </w:rPr>
              <w:t>(60.8)</w:t>
            </w:r>
          </w:p>
        </w:tc>
        <w:tc>
          <w:tcPr>
            <w:tcW w:w="1000" w:type="dxa"/>
            <w:tcBorders>
              <w:top w:val="single" w:sz="8" w:space="0" w:color="auto"/>
              <w:left w:val="single" w:sz="4" w:space="0" w:color="auto"/>
              <w:bottom w:val="single" w:sz="8" w:space="0" w:color="auto"/>
              <w:right w:val="single" w:sz="4" w:space="0" w:color="auto"/>
            </w:tcBorders>
            <w:shd w:val="clear" w:color="000000" w:fill="FFFFFF"/>
            <w:vAlign w:val="center"/>
            <w:hideMark/>
          </w:tcPr>
          <w:p w14:paraId="270F7DA2"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125</w:t>
            </w:r>
          </w:p>
        </w:tc>
        <w:tc>
          <w:tcPr>
            <w:tcW w:w="1000" w:type="dxa"/>
            <w:tcBorders>
              <w:top w:val="single" w:sz="8" w:space="0" w:color="auto"/>
              <w:left w:val="nil"/>
              <w:bottom w:val="single" w:sz="8" w:space="0" w:color="auto"/>
              <w:right w:val="single" w:sz="8" w:space="0" w:color="auto"/>
            </w:tcBorders>
            <w:shd w:val="clear" w:color="000000" w:fill="FFFFFF"/>
            <w:vAlign w:val="center"/>
            <w:hideMark/>
          </w:tcPr>
          <w:p w14:paraId="18537F34" w14:textId="77777777" w:rsidR="002B545D" w:rsidRPr="0089664F" w:rsidRDefault="002B545D" w:rsidP="003F5A64">
            <w:pPr>
              <w:spacing w:after="0" w:line="276" w:lineRule="auto"/>
              <w:jc w:val="both"/>
              <w:rPr>
                <w:rFonts w:ascii="Times New Roman" w:eastAsia="Times New Roman" w:hAnsi="Times New Roman" w:cs="Times New Roman"/>
                <w:color w:val="010205"/>
                <w:kern w:val="0"/>
                <w:sz w:val="24"/>
                <w:szCs w:val="24"/>
                <w14:ligatures w14:val="none"/>
              </w:rPr>
            </w:pPr>
            <w:r w:rsidRPr="0089664F">
              <w:rPr>
                <w:rFonts w:ascii="Times New Roman" w:eastAsia="Times New Roman" w:hAnsi="Times New Roman" w:cs="Times New Roman"/>
                <w:color w:val="010205"/>
                <w:kern w:val="0"/>
                <w:sz w:val="24"/>
                <w:szCs w:val="24"/>
                <w14:ligatures w14:val="none"/>
              </w:rPr>
              <w:t>(100)</w:t>
            </w:r>
          </w:p>
        </w:tc>
      </w:tr>
      <w:bookmarkEnd w:id="0"/>
    </w:tbl>
    <w:p w14:paraId="7DA06D26" w14:textId="77777777" w:rsidR="002B545D" w:rsidRPr="0089664F" w:rsidRDefault="002B545D" w:rsidP="003F5A64">
      <w:pPr>
        <w:spacing w:line="276" w:lineRule="auto"/>
        <w:rPr>
          <w:rFonts w:ascii="Times New Roman" w:hAnsi="Times New Roman" w:cs="Times New Roman"/>
          <w:sz w:val="24"/>
          <w:szCs w:val="24"/>
        </w:rPr>
      </w:pPr>
    </w:p>
    <w:p w14:paraId="0E8857AC" w14:textId="77777777"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The frequency of HM diagnosis across the seven years of study</w:t>
      </w:r>
      <w:r>
        <w:rPr>
          <w:rFonts w:ascii="Times New Roman" w:hAnsi="Times New Roman" w:cs="Times New Roman"/>
          <w:sz w:val="24"/>
          <w:szCs w:val="24"/>
        </w:rPr>
        <w:t>,</w:t>
      </w:r>
      <w:r w:rsidRPr="0089664F">
        <w:rPr>
          <w:rFonts w:ascii="Times New Roman" w:hAnsi="Times New Roman" w:cs="Times New Roman"/>
          <w:sz w:val="24"/>
          <w:szCs w:val="24"/>
        </w:rPr>
        <w:t xml:space="preserve"> </w:t>
      </w:r>
      <w:r>
        <w:rPr>
          <w:rFonts w:ascii="Times New Roman" w:hAnsi="Times New Roman" w:cs="Times New Roman"/>
          <w:sz w:val="24"/>
          <w:szCs w:val="24"/>
        </w:rPr>
        <w:t xml:space="preserve">starting from 2017 to 2023, </w:t>
      </w:r>
      <w:r w:rsidRPr="0089664F">
        <w:rPr>
          <w:rFonts w:ascii="Times New Roman" w:hAnsi="Times New Roman" w:cs="Times New Roman"/>
          <w:sz w:val="24"/>
          <w:szCs w:val="24"/>
        </w:rPr>
        <w:t>was 10,</w:t>
      </w:r>
      <w:r>
        <w:rPr>
          <w:rFonts w:ascii="Times New Roman" w:hAnsi="Times New Roman" w:cs="Times New Roman"/>
          <w:sz w:val="24"/>
          <w:szCs w:val="24"/>
        </w:rPr>
        <w:t xml:space="preserve"> </w:t>
      </w:r>
      <w:r w:rsidRPr="0089664F">
        <w:rPr>
          <w:rFonts w:ascii="Times New Roman" w:hAnsi="Times New Roman" w:cs="Times New Roman"/>
          <w:sz w:val="24"/>
          <w:szCs w:val="24"/>
        </w:rPr>
        <w:t>11,</w:t>
      </w:r>
      <w:r>
        <w:rPr>
          <w:rFonts w:ascii="Times New Roman" w:hAnsi="Times New Roman" w:cs="Times New Roman"/>
          <w:sz w:val="24"/>
          <w:szCs w:val="24"/>
        </w:rPr>
        <w:t xml:space="preserve"> </w:t>
      </w:r>
      <w:r w:rsidRPr="0089664F">
        <w:rPr>
          <w:rFonts w:ascii="Times New Roman" w:hAnsi="Times New Roman" w:cs="Times New Roman"/>
          <w:sz w:val="24"/>
          <w:szCs w:val="24"/>
        </w:rPr>
        <w:t>20,</w:t>
      </w:r>
      <w:r>
        <w:rPr>
          <w:rFonts w:ascii="Times New Roman" w:hAnsi="Times New Roman" w:cs="Times New Roman"/>
          <w:sz w:val="24"/>
          <w:szCs w:val="24"/>
        </w:rPr>
        <w:t xml:space="preserve"> </w:t>
      </w:r>
      <w:r w:rsidRPr="0089664F">
        <w:rPr>
          <w:rFonts w:ascii="Times New Roman" w:hAnsi="Times New Roman" w:cs="Times New Roman"/>
          <w:sz w:val="24"/>
          <w:szCs w:val="24"/>
        </w:rPr>
        <w:t>10,</w:t>
      </w:r>
      <w:r>
        <w:rPr>
          <w:rFonts w:ascii="Times New Roman" w:hAnsi="Times New Roman" w:cs="Times New Roman"/>
          <w:sz w:val="24"/>
          <w:szCs w:val="24"/>
        </w:rPr>
        <w:t xml:space="preserve"> </w:t>
      </w:r>
      <w:r w:rsidRPr="0089664F">
        <w:rPr>
          <w:rFonts w:ascii="Times New Roman" w:hAnsi="Times New Roman" w:cs="Times New Roman"/>
          <w:sz w:val="24"/>
          <w:szCs w:val="24"/>
        </w:rPr>
        <w:t>13,</w:t>
      </w:r>
      <w:r>
        <w:rPr>
          <w:rFonts w:ascii="Times New Roman" w:hAnsi="Times New Roman" w:cs="Times New Roman"/>
          <w:sz w:val="24"/>
          <w:szCs w:val="24"/>
        </w:rPr>
        <w:t xml:space="preserve"> </w:t>
      </w:r>
      <w:r w:rsidRPr="0089664F">
        <w:rPr>
          <w:rFonts w:ascii="Times New Roman" w:hAnsi="Times New Roman" w:cs="Times New Roman"/>
          <w:sz w:val="24"/>
          <w:szCs w:val="24"/>
        </w:rPr>
        <w:t>37 and 24</w:t>
      </w:r>
      <w:r>
        <w:rPr>
          <w:rFonts w:ascii="Times New Roman" w:hAnsi="Times New Roman" w:cs="Times New Roman"/>
          <w:sz w:val="24"/>
          <w:szCs w:val="24"/>
        </w:rPr>
        <w:t>,</w:t>
      </w:r>
      <w:r w:rsidRPr="0089664F">
        <w:rPr>
          <w:rFonts w:ascii="Times New Roman" w:hAnsi="Times New Roman" w:cs="Times New Roman"/>
          <w:sz w:val="24"/>
          <w:szCs w:val="24"/>
        </w:rPr>
        <w:t xml:space="preserve"> respectively and is shown in Figure 1 below</w:t>
      </w:r>
      <w:r>
        <w:rPr>
          <w:rFonts w:ascii="Times New Roman" w:hAnsi="Times New Roman" w:cs="Times New Roman"/>
          <w:sz w:val="24"/>
          <w:szCs w:val="24"/>
        </w:rPr>
        <w:t>,</w:t>
      </w:r>
      <w:r w:rsidRPr="0089664F">
        <w:rPr>
          <w:rFonts w:ascii="Times New Roman" w:hAnsi="Times New Roman" w:cs="Times New Roman"/>
          <w:sz w:val="24"/>
          <w:szCs w:val="24"/>
        </w:rPr>
        <w:t xml:space="preserve"> with the year 2022 having the majority of 37 and 2017 and 2020 </w:t>
      </w:r>
      <w:r>
        <w:rPr>
          <w:rFonts w:ascii="Times New Roman" w:hAnsi="Times New Roman" w:cs="Times New Roman"/>
          <w:sz w:val="24"/>
          <w:szCs w:val="24"/>
        </w:rPr>
        <w:t xml:space="preserve">having </w:t>
      </w:r>
      <w:r w:rsidRPr="0089664F">
        <w:rPr>
          <w:rFonts w:ascii="Times New Roman" w:hAnsi="Times New Roman" w:cs="Times New Roman"/>
          <w:sz w:val="24"/>
          <w:szCs w:val="24"/>
        </w:rPr>
        <w:t>the minority of 10</w:t>
      </w:r>
      <w:r>
        <w:rPr>
          <w:rFonts w:ascii="Times New Roman" w:hAnsi="Times New Roman" w:cs="Times New Roman"/>
          <w:sz w:val="24"/>
          <w:szCs w:val="24"/>
        </w:rPr>
        <w:t xml:space="preserve"> patients.</w:t>
      </w:r>
    </w:p>
    <w:p w14:paraId="1F98278B" w14:textId="77777777" w:rsidR="002B545D" w:rsidRPr="0089664F" w:rsidRDefault="002B545D" w:rsidP="003F5A64">
      <w:pPr>
        <w:spacing w:line="276" w:lineRule="auto"/>
        <w:rPr>
          <w:rFonts w:ascii="Times New Roman" w:hAnsi="Times New Roman" w:cs="Times New Roman"/>
          <w:sz w:val="24"/>
          <w:szCs w:val="24"/>
        </w:rPr>
      </w:pPr>
      <w:r w:rsidRPr="0089664F">
        <w:rPr>
          <w:rFonts w:ascii="Times New Roman" w:hAnsi="Times New Roman" w:cs="Times New Roman"/>
          <w:noProof/>
          <w:sz w:val="24"/>
          <w:szCs w:val="24"/>
          <w:lang w:val="en-GB" w:eastAsia="en-GB"/>
        </w:rPr>
        <w:drawing>
          <wp:inline distT="0" distB="0" distL="0" distR="0" wp14:anchorId="6BD98EE7" wp14:editId="144C1CE5">
            <wp:extent cx="4572000" cy="2743200"/>
            <wp:effectExtent l="0" t="0" r="0" b="0"/>
            <wp:docPr id="1313551819" name="Chart 1">
              <a:extLst xmlns:a="http://schemas.openxmlformats.org/drawingml/2006/main">
                <a:ext uri="{FF2B5EF4-FFF2-40B4-BE49-F238E27FC236}">
                  <a16:creationId xmlns:a16="http://schemas.microsoft.com/office/drawing/2014/main" id="{9342BD96-297E-7D5E-1AE5-74205D19F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B31D2F8" w14:textId="77777777" w:rsidR="002B545D" w:rsidRPr="0089664F" w:rsidRDefault="002B545D" w:rsidP="003F5A64">
      <w:pPr>
        <w:pStyle w:val="Caption"/>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lastRenderedPageBreak/>
        <w:t xml:space="preserve">Figure </w:t>
      </w:r>
      <w:r w:rsidRPr="0089664F">
        <w:rPr>
          <w:rFonts w:ascii="Times New Roman" w:hAnsi="Times New Roman" w:cs="Times New Roman"/>
          <w:sz w:val="24"/>
          <w:szCs w:val="24"/>
        </w:rPr>
        <w:fldChar w:fldCharType="begin"/>
      </w:r>
      <w:r w:rsidRPr="0089664F">
        <w:rPr>
          <w:rFonts w:ascii="Times New Roman" w:hAnsi="Times New Roman" w:cs="Times New Roman"/>
          <w:sz w:val="24"/>
          <w:szCs w:val="24"/>
        </w:rPr>
        <w:instrText xml:space="preserve"> SEQ Figure \* ARABIC </w:instrText>
      </w:r>
      <w:r w:rsidRPr="0089664F">
        <w:rPr>
          <w:rFonts w:ascii="Times New Roman" w:hAnsi="Times New Roman" w:cs="Times New Roman"/>
          <w:sz w:val="24"/>
          <w:szCs w:val="24"/>
        </w:rPr>
        <w:fldChar w:fldCharType="separate"/>
      </w:r>
      <w:r w:rsidRPr="0089664F">
        <w:rPr>
          <w:rFonts w:ascii="Times New Roman" w:hAnsi="Times New Roman" w:cs="Times New Roman"/>
          <w:noProof/>
          <w:sz w:val="24"/>
          <w:szCs w:val="24"/>
        </w:rPr>
        <w:t>1</w:t>
      </w:r>
      <w:r w:rsidRPr="0089664F">
        <w:rPr>
          <w:rFonts w:ascii="Times New Roman" w:hAnsi="Times New Roman" w:cs="Times New Roman"/>
          <w:noProof/>
          <w:sz w:val="24"/>
          <w:szCs w:val="24"/>
        </w:rPr>
        <w:fldChar w:fldCharType="end"/>
      </w:r>
      <w:r w:rsidRPr="0089664F">
        <w:rPr>
          <w:rFonts w:ascii="Times New Roman" w:hAnsi="Times New Roman" w:cs="Times New Roman"/>
          <w:sz w:val="24"/>
          <w:szCs w:val="24"/>
        </w:rPr>
        <w:t>: Frequency of Biopsy per year of study</w:t>
      </w:r>
    </w:p>
    <w:p w14:paraId="317734E8" w14:textId="76F96009" w:rsidR="002B545D" w:rsidRPr="0089664F" w:rsidRDefault="002B545D" w:rsidP="003F5A64">
      <w:pPr>
        <w:spacing w:line="276" w:lineRule="auto"/>
        <w:jc w:val="both"/>
        <w:rPr>
          <w:rFonts w:ascii="Times New Roman" w:hAnsi="Times New Roman" w:cs="Times New Roman"/>
          <w:sz w:val="24"/>
          <w:szCs w:val="24"/>
        </w:rPr>
      </w:pPr>
      <w:bookmarkStart w:id="1" w:name="_Hlk208577263"/>
      <w:r w:rsidRPr="0089664F">
        <w:rPr>
          <w:rFonts w:ascii="Times New Roman" w:hAnsi="Times New Roman" w:cs="Times New Roman"/>
          <w:sz w:val="24"/>
          <w:szCs w:val="24"/>
        </w:rPr>
        <w:t xml:space="preserve">The majority of the </w:t>
      </w:r>
      <w:r>
        <w:rPr>
          <w:rFonts w:ascii="Times New Roman" w:hAnsi="Times New Roman" w:cs="Times New Roman"/>
          <w:sz w:val="24"/>
          <w:szCs w:val="24"/>
        </w:rPr>
        <w:t>patients had</w:t>
      </w:r>
      <w:r w:rsidRPr="0089664F">
        <w:rPr>
          <w:rFonts w:ascii="Times New Roman" w:hAnsi="Times New Roman" w:cs="Times New Roman"/>
          <w:sz w:val="24"/>
          <w:szCs w:val="24"/>
        </w:rPr>
        <w:t xml:space="preserve"> anaemia (n=113, 90.4%). Concerning the white cell count, 63 (50.4%) had a normal white cell count, while 33 (26.4%) had leukocytosis</w:t>
      </w:r>
      <w:r w:rsidR="00821478">
        <w:rPr>
          <w:rFonts w:ascii="Times New Roman" w:hAnsi="Times New Roman" w:cs="Times New Roman"/>
          <w:sz w:val="24"/>
          <w:szCs w:val="24"/>
        </w:rPr>
        <w:t>. Sixty-three patients</w:t>
      </w:r>
      <w:r w:rsidRPr="0089664F">
        <w:rPr>
          <w:rFonts w:ascii="Times New Roman" w:hAnsi="Times New Roman" w:cs="Times New Roman"/>
          <w:sz w:val="24"/>
          <w:szCs w:val="24"/>
        </w:rPr>
        <w:t xml:space="preserve"> (50.4%) had a normal platelet count, and 51 (40.8%) had thrombocytopenia. (See Table 2)</w:t>
      </w:r>
    </w:p>
    <w:bookmarkEnd w:id="1"/>
    <w:p w14:paraId="453586B1" w14:textId="77777777" w:rsidR="002B545D" w:rsidRPr="0089664F" w:rsidRDefault="002B545D" w:rsidP="003F5A64">
      <w:pPr>
        <w:pStyle w:val="Caption"/>
        <w:keepNext/>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Table </w:t>
      </w:r>
      <w:r w:rsidRPr="0089664F">
        <w:rPr>
          <w:rFonts w:ascii="Times New Roman" w:hAnsi="Times New Roman" w:cs="Times New Roman"/>
          <w:sz w:val="24"/>
          <w:szCs w:val="24"/>
        </w:rPr>
        <w:fldChar w:fldCharType="begin"/>
      </w:r>
      <w:r w:rsidRPr="0089664F">
        <w:rPr>
          <w:rFonts w:ascii="Times New Roman" w:hAnsi="Times New Roman" w:cs="Times New Roman"/>
          <w:sz w:val="24"/>
          <w:szCs w:val="24"/>
        </w:rPr>
        <w:instrText xml:space="preserve"> SEQ Table \* ARABIC </w:instrText>
      </w:r>
      <w:r w:rsidRPr="0089664F">
        <w:rPr>
          <w:rFonts w:ascii="Times New Roman" w:hAnsi="Times New Roman" w:cs="Times New Roman"/>
          <w:sz w:val="24"/>
          <w:szCs w:val="24"/>
        </w:rPr>
        <w:fldChar w:fldCharType="separate"/>
      </w:r>
      <w:r w:rsidRPr="0089664F">
        <w:rPr>
          <w:rFonts w:ascii="Times New Roman" w:hAnsi="Times New Roman" w:cs="Times New Roman"/>
          <w:noProof/>
          <w:sz w:val="24"/>
          <w:szCs w:val="24"/>
        </w:rPr>
        <w:t>2</w:t>
      </w:r>
      <w:r w:rsidRPr="0089664F">
        <w:rPr>
          <w:rFonts w:ascii="Times New Roman" w:hAnsi="Times New Roman" w:cs="Times New Roman"/>
          <w:noProof/>
          <w:sz w:val="24"/>
          <w:szCs w:val="24"/>
        </w:rPr>
        <w:fldChar w:fldCharType="end"/>
      </w:r>
      <w:r w:rsidRPr="0089664F">
        <w:rPr>
          <w:rFonts w:ascii="Times New Roman" w:hAnsi="Times New Roman" w:cs="Times New Roman"/>
          <w:sz w:val="24"/>
          <w:szCs w:val="24"/>
        </w:rPr>
        <w:t>: Blood Counts of the Biopsies</w:t>
      </w:r>
    </w:p>
    <w:tbl>
      <w:tblPr>
        <w:tblStyle w:val="TableGrid"/>
        <w:tblW w:w="10511" w:type="dxa"/>
        <w:tblInd w:w="-935" w:type="dxa"/>
        <w:tblLayout w:type="fixed"/>
        <w:tblLook w:val="04A0" w:firstRow="1" w:lastRow="0" w:firstColumn="1" w:lastColumn="0" w:noHBand="0" w:noVBand="1"/>
      </w:tblPr>
      <w:tblGrid>
        <w:gridCol w:w="1185"/>
        <w:gridCol w:w="425"/>
        <w:gridCol w:w="457"/>
        <w:gridCol w:w="425"/>
        <w:gridCol w:w="582"/>
        <w:gridCol w:w="575"/>
        <w:gridCol w:w="582"/>
        <w:gridCol w:w="425"/>
        <w:gridCol w:w="582"/>
        <w:gridCol w:w="425"/>
        <w:gridCol w:w="582"/>
        <w:gridCol w:w="530"/>
        <w:gridCol w:w="582"/>
        <w:gridCol w:w="425"/>
        <w:gridCol w:w="582"/>
        <w:gridCol w:w="425"/>
        <w:gridCol w:w="582"/>
        <w:gridCol w:w="293"/>
        <w:gridCol w:w="265"/>
        <w:gridCol w:w="582"/>
      </w:tblGrid>
      <w:tr w:rsidR="002B545D" w:rsidRPr="0089664F" w14:paraId="4BE420FF" w14:textId="77777777" w:rsidTr="00821478">
        <w:trPr>
          <w:trHeight w:val="330"/>
        </w:trPr>
        <w:tc>
          <w:tcPr>
            <w:tcW w:w="1185" w:type="dxa"/>
            <w:noWrap/>
            <w:hideMark/>
          </w:tcPr>
          <w:p w14:paraId="317D090C" w14:textId="77777777" w:rsidR="002B545D" w:rsidRPr="0089664F" w:rsidRDefault="002B545D" w:rsidP="003F5A64">
            <w:pPr>
              <w:spacing w:line="276" w:lineRule="auto"/>
              <w:rPr>
                <w:rFonts w:ascii="Times New Roman" w:hAnsi="Times New Roman" w:cs="Times New Roman"/>
                <w:sz w:val="24"/>
                <w:szCs w:val="24"/>
              </w:rPr>
            </w:pPr>
            <w:r w:rsidRPr="0089664F">
              <w:rPr>
                <w:rFonts w:ascii="Times New Roman" w:hAnsi="Times New Roman" w:cs="Times New Roman"/>
                <w:sz w:val="24"/>
                <w:szCs w:val="24"/>
              </w:rPr>
              <w:t> </w:t>
            </w:r>
          </w:p>
        </w:tc>
        <w:tc>
          <w:tcPr>
            <w:tcW w:w="3046" w:type="dxa"/>
            <w:gridSpan w:val="6"/>
            <w:noWrap/>
            <w:hideMark/>
          </w:tcPr>
          <w:p w14:paraId="24D0D58C" w14:textId="779CE669" w:rsidR="002B545D" w:rsidRPr="0089664F" w:rsidRDefault="002B545D" w:rsidP="003F5A64">
            <w:pPr>
              <w:spacing w:line="276" w:lineRule="auto"/>
              <w:rPr>
                <w:rFonts w:ascii="Times New Roman" w:hAnsi="Times New Roman" w:cs="Times New Roman"/>
                <w:b/>
                <w:bCs/>
                <w:sz w:val="24"/>
                <w:szCs w:val="24"/>
              </w:rPr>
            </w:pPr>
            <w:r w:rsidRPr="003200C3">
              <w:rPr>
                <w:rFonts w:ascii="Times New Roman" w:hAnsi="Times New Roman" w:cs="Times New Roman"/>
                <w:b/>
                <w:bCs/>
              </w:rPr>
              <w:t>H</w:t>
            </w:r>
            <w:r w:rsidR="003200C3" w:rsidRPr="003200C3">
              <w:rPr>
                <w:rFonts w:ascii="Times New Roman" w:hAnsi="Times New Roman" w:cs="Times New Roman"/>
                <w:b/>
                <w:bCs/>
              </w:rPr>
              <w:t>aemoglobin</w:t>
            </w:r>
            <w:r w:rsidRPr="003200C3">
              <w:rPr>
                <w:rFonts w:ascii="Times New Roman" w:hAnsi="Times New Roman" w:cs="Times New Roman"/>
                <w:b/>
                <w:bCs/>
              </w:rPr>
              <w:t xml:space="preserve"> Conc</w:t>
            </w:r>
            <w:r w:rsidR="003200C3" w:rsidRPr="003200C3">
              <w:rPr>
                <w:rFonts w:ascii="Times New Roman" w:hAnsi="Times New Roman" w:cs="Times New Roman"/>
                <w:b/>
                <w:bCs/>
              </w:rPr>
              <w:t>entration</w:t>
            </w:r>
          </w:p>
        </w:tc>
        <w:tc>
          <w:tcPr>
            <w:tcW w:w="3126" w:type="dxa"/>
            <w:gridSpan w:val="6"/>
            <w:noWrap/>
            <w:hideMark/>
          </w:tcPr>
          <w:p w14:paraId="7A9D1A92" w14:textId="13776359" w:rsidR="002B545D" w:rsidRPr="0089664F" w:rsidRDefault="002B545D" w:rsidP="003F5A64">
            <w:pPr>
              <w:spacing w:line="276" w:lineRule="auto"/>
              <w:rPr>
                <w:rFonts w:ascii="Times New Roman" w:hAnsi="Times New Roman" w:cs="Times New Roman"/>
                <w:b/>
                <w:bCs/>
                <w:sz w:val="24"/>
                <w:szCs w:val="24"/>
              </w:rPr>
            </w:pPr>
            <w:r w:rsidRPr="003200C3">
              <w:rPr>
                <w:rFonts w:ascii="Times New Roman" w:hAnsi="Times New Roman" w:cs="Times New Roman"/>
                <w:b/>
                <w:bCs/>
              </w:rPr>
              <w:t>W</w:t>
            </w:r>
            <w:r w:rsidR="003200C3">
              <w:rPr>
                <w:rFonts w:ascii="Times New Roman" w:hAnsi="Times New Roman" w:cs="Times New Roman"/>
                <w:b/>
                <w:bCs/>
              </w:rPr>
              <w:t>hite blood cell count</w:t>
            </w:r>
          </w:p>
        </w:tc>
        <w:tc>
          <w:tcPr>
            <w:tcW w:w="3154" w:type="dxa"/>
            <w:gridSpan w:val="7"/>
            <w:noWrap/>
            <w:hideMark/>
          </w:tcPr>
          <w:p w14:paraId="78115483" w14:textId="72258DF9" w:rsidR="002B545D" w:rsidRPr="0089664F" w:rsidRDefault="003200C3" w:rsidP="003F5A64">
            <w:pPr>
              <w:spacing w:line="276" w:lineRule="auto"/>
              <w:rPr>
                <w:rFonts w:ascii="Times New Roman" w:hAnsi="Times New Roman" w:cs="Times New Roman"/>
                <w:b/>
                <w:bCs/>
                <w:sz w:val="24"/>
                <w:szCs w:val="24"/>
              </w:rPr>
            </w:pPr>
            <w:r>
              <w:rPr>
                <w:rFonts w:ascii="Times New Roman" w:hAnsi="Times New Roman" w:cs="Times New Roman"/>
                <w:b/>
                <w:bCs/>
              </w:rPr>
              <w:t>Platelet count</w:t>
            </w:r>
          </w:p>
        </w:tc>
      </w:tr>
      <w:tr w:rsidR="00821478" w:rsidRPr="0038050E" w14:paraId="07EA5C52" w14:textId="77777777" w:rsidTr="00821478">
        <w:trPr>
          <w:trHeight w:val="710"/>
        </w:trPr>
        <w:tc>
          <w:tcPr>
            <w:tcW w:w="1185" w:type="dxa"/>
            <w:hideMark/>
          </w:tcPr>
          <w:p w14:paraId="09D2B6C6" w14:textId="77777777" w:rsidR="002B545D" w:rsidRPr="0089664F" w:rsidRDefault="002B545D" w:rsidP="003F5A64">
            <w:pPr>
              <w:spacing w:line="276" w:lineRule="auto"/>
              <w:rPr>
                <w:rFonts w:ascii="Times New Roman" w:hAnsi="Times New Roman" w:cs="Times New Roman"/>
                <w:sz w:val="24"/>
                <w:szCs w:val="24"/>
              </w:rPr>
            </w:pPr>
            <w:r w:rsidRPr="0089664F">
              <w:rPr>
                <w:rFonts w:ascii="Times New Roman" w:hAnsi="Times New Roman" w:cs="Times New Roman"/>
                <w:sz w:val="24"/>
                <w:szCs w:val="24"/>
              </w:rPr>
              <w:t> </w:t>
            </w:r>
          </w:p>
        </w:tc>
        <w:tc>
          <w:tcPr>
            <w:tcW w:w="882" w:type="dxa"/>
            <w:gridSpan w:val="2"/>
            <w:hideMark/>
          </w:tcPr>
          <w:p w14:paraId="73BA7F20" w14:textId="77777777"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t>Male n (%)</w:t>
            </w:r>
          </w:p>
        </w:tc>
        <w:tc>
          <w:tcPr>
            <w:tcW w:w="1007" w:type="dxa"/>
            <w:gridSpan w:val="2"/>
            <w:hideMark/>
          </w:tcPr>
          <w:p w14:paraId="54ABED7A" w14:textId="77777777" w:rsidR="002B545D" w:rsidRPr="0089664F" w:rsidRDefault="002B545D" w:rsidP="003F5A64">
            <w:pPr>
              <w:spacing w:line="276" w:lineRule="auto"/>
              <w:rPr>
                <w:rFonts w:ascii="Times New Roman" w:hAnsi="Times New Roman" w:cs="Times New Roman"/>
                <w:b/>
                <w:bCs/>
                <w:sz w:val="24"/>
                <w:szCs w:val="24"/>
              </w:rPr>
            </w:pPr>
            <w:r w:rsidRPr="0089664F">
              <w:rPr>
                <w:rFonts w:ascii="Times New Roman" w:hAnsi="Times New Roman" w:cs="Times New Roman"/>
                <w:b/>
                <w:bCs/>
                <w:sz w:val="24"/>
                <w:szCs w:val="24"/>
              </w:rPr>
              <w:t>Female n (%)</w:t>
            </w:r>
          </w:p>
        </w:tc>
        <w:tc>
          <w:tcPr>
            <w:tcW w:w="1157" w:type="dxa"/>
            <w:gridSpan w:val="2"/>
            <w:hideMark/>
          </w:tcPr>
          <w:p w14:paraId="62C24F17" w14:textId="77777777" w:rsidR="002B545D" w:rsidRPr="0038050E" w:rsidRDefault="002B545D" w:rsidP="003F5A64">
            <w:pPr>
              <w:spacing w:line="276" w:lineRule="auto"/>
              <w:rPr>
                <w:rFonts w:ascii="Times New Roman" w:hAnsi="Times New Roman" w:cs="Times New Roman"/>
                <w:b/>
                <w:bCs/>
                <w:sz w:val="24"/>
                <w:szCs w:val="24"/>
              </w:rPr>
            </w:pPr>
            <w:r w:rsidRPr="0038050E">
              <w:rPr>
                <w:rFonts w:ascii="Times New Roman" w:hAnsi="Times New Roman" w:cs="Times New Roman"/>
                <w:b/>
                <w:bCs/>
                <w:sz w:val="24"/>
                <w:szCs w:val="24"/>
              </w:rPr>
              <w:t>Total</w:t>
            </w:r>
          </w:p>
        </w:tc>
        <w:tc>
          <w:tcPr>
            <w:tcW w:w="1007" w:type="dxa"/>
            <w:gridSpan w:val="2"/>
            <w:hideMark/>
          </w:tcPr>
          <w:p w14:paraId="5361032A" w14:textId="77777777" w:rsidR="002B545D" w:rsidRPr="0038050E" w:rsidRDefault="002B545D" w:rsidP="003F5A64">
            <w:pPr>
              <w:spacing w:line="276" w:lineRule="auto"/>
              <w:rPr>
                <w:rFonts w:ascii="Times New Roman" w:hAnsi="Times New Roman" w:cs="Times New Roman"/>
                <w:b/>
                <w:bCs/>
                <w:sz w:val="24"/>
                <w:szCs w:val="24"/>
              </w:rPr>
            </w:pPr>
            <w:r w:rsidRPr="0038050E">
              <w:rPr>
                <w:rFonts w:ascii="Times New Roman" w:hAnsi="Times New Roman" w:cs="Times New Roman"/>
                <w:b/>
                <w:bCs/>
                <w:sz w:val="24"/>
                <w:szCs w:val="24"/>
              </w:rPr>
              <w:t>Male</w:t>
            </w:r>
          </w:p>
        </w:tc>
        <w:tc>
          <w:tcPr>
            <w:tcW w:w="1007" w:type="dxa"/>
            <w:gridSpan w:val="2"/>
            <w:hideMark/>
          </w:tcPr>
          <w:p w14:paraId="4BC34BFB" w14:textId="77777777" w:rsidR="002B545D" w:rsidRPr="0038050E" w:rsidRDefault="002B545D" w:rsidP="003F5A64">
            <w:pPr>
              <w:spacing w:line="276" w:lineRule="auto"/>
              <w:rPr>
                <w:rFonts w:ascii="Times New Roman" w:hAnsi="Times New Roman" w:cs="Times New Roman"/>
                <w:b/>
                <w:bCs/>
                <w:sz w:val="24"/>
                <w:szCs w:val="24"/>
              </w:rPr>
            </w:pPr>
            <w:r w:rsidRPr="0038050E">
              <w:rPr>
                <w:rFonts w:ascii="Times New Roman" w:hAnsi="Times New Roman" w:cs="Times New Roman"/>
                <w:b/>
                <w:bCs/>
                <w:sz w:val="24"/>
                <w:szCs w:val="24"/>
              </w:rPr>
              <w:t>Female</w:t>
            </w:r>
          </w:p>
        </w:tc>
        <w:tc>
          <w:tcPr>
            <w:tcW w:w="1112" w:type="dxa"/>
            <w:gridSpan w:val="2"/>
            <w:hideMark/>
          </w:tcPr>
          <w:p w14:paraId="1E46C157" w14:textId="77777777" w:rsidR="002B545D" w:rsidRPr="0038050E" w:rsidRDefault="002B545D" w:rsidP="003F5A64">
            <w:pPr>
              <w:spacing w:line="276" w:lineRule="auto"/>
              <w:rPr>
                <w:rFonts w:ascii="Times New Roman" w:hAnsi="Times New Roman" w:cs="Times New Roman"/>
                <w:b/>
                <w:bCs/>
                <w:sz w:val="24"/>
                <w:szCs w:val="24"/>
              </w:rPr>
            </w:pPr>
            <w:r w:rsidRPr="0038050E">
              <w:rPr>
                <w:rFonts w:ascii="Times New Roman" w:hAnsi="Times New Roman" w:cs="Times New Roman"/>
                <w:b/>
                <w:bCs/>
                <w:sz w:val="24"/>
                <w:szCs w:val="24"/>
              </w:rPr>
              <w:t>Total</w:t>
            </w:r>
          </w:p>
        </w:tc>
        <w:tc>
          <w:tcPr>
            <w:tcW w:w="1007" w:type="dxa"/>
            <w:gridSpan w:val="2"/>
            <w:hideMark/>
          </w:tcPr>
          <w:p w14:paraId="1B73E253" w14:textId="77777777" w:rsidR="002B545D" w:rsidRPr="0038050E" w:rsidRDefault="002B545D" w:rsidP="003F5A64">
            <w:pPr>
              <w:spacing w:line="276" w:lineRule="auto"/>
              <w:rPr>
                <w:rFonts w:ascii="Times New Roman" w:hAnsi="Times New Roman" w:cs="Times New Roman"/>
                <w:b/>
                <w:bCs/>
                <w:sz w:val="24"/>
                <w:szCs w:val="24"/>
              </w:rPr>
            </w:pPr>
            <w:r w:rsidRPr="0038050E">
              <w:rPr>
                <w:rFonts w:ascii="Times New Roman" w:hAnsi="Times New Roman" w:cs="Times New Roman"/>
                <w:b/>
                <w:bCs/>
                <w:sz w:val="24"/>
                <w:szCs w:val="24"/>
              </w:rPr>
              <w:t>Male</w:t>
            </w:r>
          </w:p>
        </w:tc>
        <w:tc>
          <w:tcPr>
            <w:tcW w:w="1300" w:type="dxa"/>
            <w:gridSpan w:val="3"/>
            <w:hideMark/>
          </w:tcPr>
          <w:p w14:paraId="47BE5B13" w14:textId="77777777" w:rsidR="002B545D" w:rsidRPr="0038050E" w:rsidRDefault="002B545D" w:rsidP="003F5A64">
            <w:pPr>
              <w:spacing w:line="276" w:lineRule="auto"/>
              <w:rPr>
                <w:rFonts w:ascii="Times New Roman" w:hAnsi="Times New Roman" w:cs="Times New Roman"/>
                <w:b/>
                <w:bCs/>
                <w:sz w:val="24"/>
                <w:szCs w:val="24"/>
              </w:rPr>
            </w:pPr>
            <w:r w:rsidRPr="0038050E">
              <w:rPr>
                <w:rFonts w:ascii="Times New Roman" w:hAnsi="Times New Roman" w:cs="Times New Roman"/>
                <w:b/>
                <w:bCs/>
                <w:sz w:val="24"/>
                <w:szCs w:val="24"/>
              </w:rPr>
              <w:t>Female</w:t>
            </w:r>
          </w:p>
        </w:tc>
        <w:tc>
          <w:tcPr>
            <w:tcW w:w="847" w:type="dxa"/>
            <w:gridSpan w:val="2"/>
            <w:hideMark/>
          </w:tcPr>
          <w:p w14:paraId="76B17325" w14:textId="77777777" w:rsidR="002B545D" w:rsidRDefault="002B545D" w:rsidP="003F5A64">
            <w:pPr>
              <w:spacing w:line="276" w:lineRule="auto"/>
              <w:rPr>
                <w:rFonts w:ascii="Times New Roman" w:hAnsi="Times New Roman" w:cs="Times New Roman"/>
                <w:b/>
                <w:bCs/>
                <w:sz w:val="24"/>
                <w:szCs w:val="24"/>
              </w:rPr>
            </w:pPr>
            <w:r w:rsidRPr="0038050E">
              <w:rPr>
                <w:rFonts w:ascii="Times New Roman" w:hAnsi="Times New Roman" w:cs="Times New Roman"/>
                <w:b/>
                <w:bCs/>
                <w:sz w:val="24"/>
                <w:szCs w:val="24"/>
              </w:rPr>
              <w:t>Total</w:t>
            </w:r>
          </w:p>
          <w:p w14:paraId="6CB8C855" w14:textId="1C0695D2" w:rsidR="00032FEC" w:rsidRPr="0038050E" w:rsidRDefault="00032FEC" w:rsidP="003F5A64">
            <w:pPr>
              <w:spacing w:line="276" w:lineRule="auto"/>
              <w:rPr>
                <w:rFonts w:ascii="Times New Roman" w:hAnsi="Times New Roman" w:cs="Times New Roman"/>
                <w:b/>
                <w:bCs/>
                <w:sz w:val="24"/>
                <w:szCs w:val="24"/>
              </w:rPr>
            </w:pPr>
            <w:proofErr w:type="gramStart"/>
            <w:r>
              <w:rPr>
                <w:rFonts w:ascii="Times New Roman" w:hAnsi="Times New Roman" w:cs="Times New Roman"/>
                <w:b/>
                <w:bCs/>
                <w:sz w:val="24"/>
                <w:szCs w:val="24"/>
              </w:rPr>
              <w:t>n(</w:t>
            </w:r>
            <w:proofErr w:type="gramEnd"/>
            <w:r>
              <w:rPr>
                <w:rFonts w:ascii="Times New Roman" w:hAnsi="Times New Roman" w:cs="Times New Roman"/>
                <w:b/>
                <w:bCs/>
                <w:sz w:val="24"/>
                <w:szCs w:val="24"/>
              </w:rPr>
              <w:t>%)</w:t>
            </w:r>
          </w:p>
        </w:tc>
      </w:tr>
      <w:tr w:rsidR="00821478" w:rsidRPr="0038050E" w14:paraId="0094E2B1" w14:textId="77777777" w:rsidTr="00821478">
        <w:trPr>
          <w:trHeight w:val="330"/>
        </w:trPr>
        <w:tc>
          <w:tcPr>
            <w:tcW w:w="1185" w:type="dxa"/>
            <w:hideMark/>
          </w:tcPr>
          <w:p w14:paraId="44E45795" w14:textId="77777777" w:rsidR="002B545D" w:rsidRPr="0089664F" w:rsidRDefault="002B545D" w:rsidP="003F5A64">
            <w:pPr>
              <w:spacing w:line="276" w:lineRule="auto"/>
              <w:rPr>
                <w:rFonts w:ascii="Times New Roman" w:hAnsi="Times New Roman" w:cs="Times New Roman"/>
                <w:sz w:val="24"/>
                <w:szCs w:val="24"/>
              </w:rPr>
            </w:pPr>
            <w:r w:rsidRPr="00821478">
              <w:rPr>
                <w:rFonts w:ascii="Times New Roman" w:hAnsi="Times New Roman" w:cs="Times New Roman"/>
              </w:rPr>
              <w:t>Normal</w:t>
            </w:r>
          </w:p>
        </w:tc>
        <w:tc>
          <w:tcPr>
            <w:tcW w:w="425" w:type="dxa"/>
            <w:hideMark/>
          </w:tcPr>
          <w:p w14:paraId="0700C5E6"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8</w:t>
            </w:r>
          </w:p>
        </w:tc>
        <w:tc>
          <w:tcPr>
            <w:tcW w:w="457" w:type="dxa"/>
            <w:hideMark/>
          </w:tcPr>
          <w:p w14:paraId="43B4C911"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6.4</w:t>
            </w:r>
          </w:p>
        </w:tc>
        <w:tc>
          <w:tcPr>
            <w:tcW w:w="425" w:type="dxa"/>
            <w:hideMark/>
          </w:tcPr>
          <w:p w14:paraId="09927A14"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w:t>
            </w:r>
          </w:p>
        </w:tc>
        <w:tc>
          <w:tcPr>
            <w:tcW w:w="582" w:type="dxa"/>
            <w:hideMark/>
          </w:tcPr>
          <w:p w14:paraId="53621021"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0.8</w:t>
            </w:r>
          </w:p>
        </w:tc>
        <w:tc>
          <w:tcPr>
            <w:tcW w:w="575" w:type="dxa"/>
            <w:hideMark/>
          </w:tcPr>
          <w:p w14:paraId="7411AB09"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9</w:t>
            </w:r>
          </w:p>
        </w:tc>
        <w:tc>
          <w:tcPr>
            <w:tcW w:w="582" w:type="dxa"/>
            <w:hideMark/>
          </w:tcPr>
          <w:p w14:paraId="64DB6B6F"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7.2</w:t>
            </w:r>
          </w:p>
        </w:tc>
        <w:tc>
          <w:tcPr>
            <w:tcW w:w="425" w:type="dxa"/>
            <w:hideMark/>
          </w:tcPr>
          <w:p w14:paraId="50B56235"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37</w:t>
            </w:r>
          </w:p>
        </w:tc>
        <w:tc>
          <w:tcPr>
            <w:tcW w:w="582" w:type="dxa"/>
            <w:hideMark/>
          </w:tcPr>
          <w:p w14:paraId="59855FC6"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29.6</w:t>
            </w:r>
          </w:p>
        </w:tc>
        <w:tc>
          <w:tcPr>
            <w:tcW w:w="425" w:type="dxa"/>
            <w:hideMark/>
          </w:tcPr>
          <w:p w14:paraId="6CB80492"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26</w:t>
            </w:r>
          </w:p>
        </w:tc>
        <w:tc>
          <w:tcPr>
            <w:tcW w:w="582" w:type="dxa"/>
            <w:hideMark/>
          </w:tcPr>
          <w:p w14:paraId="6A94467A"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20.8</w:t>
            </w:r>
          </w:p>
        </w:tc>
        <w:tc>
          <w:tcPr>
            <w:tcW w:w="530" w:type="dxa"/>
            <w:hideMark/>
          </w:tcPr>
          <w:p w14:paraId="5560B6D2"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63</w:t>
            </w:r>
          </w:p>
        </w:tc>
        <w:tc>
          <w:tcPr>
            <w:tcW w:w="582" w:type="dxa"/>
            <w:hideMark/>
          </w:tcPr>
          <w:p w14:paraId="7A5283D5"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50.4</w:t>
            </w:r>
          </w:p>
        </w:tc>
        <w:tc>
          <w:tcPr>
            <w:tcW w:w="425" w:type="dxa"/>
            <w:hideMark/>
          </w:tcPr>
          <w:p w14:paraId="4A9871A6"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36</w:t>
            </w:r>
          </w:p>
        </w:tc>
        <w:tc>
          <w:tcPr>
            <w:tcW w:w="582" w:type="dxa"/>
            <w:hideMark/>
          </w:tcPr>
          <w:p w14:paraId="554CBD1A"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28.8</w:t>
            </w:r>
          </w:p>
        </w:tc>
        <w:tc>
          <w:tcPr>
            <w:tcW w:w="425" w:type="dxa"/>
            <w:hideMark/>
          </w:tcPr>
          <w:p w14:paraId="7BFF7971"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27</w:t>
            </w:r>
          </w:p>
        </w:tc>
        <w:tc>
          <w:tcPr>
            <w:tcW w:w="582" w:type="dxa"/>
            <w:hideMark/>
          </w:tcPr>
          <w:p w14:paraId="12E2CC94"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21.6</w:t>
            </w:r>
          </w:p>
        </w:tc>
        <w:tc>
          <w:tcPr>
            <w:tcW w:w="558" w:type="dxa"/>
            <w:gridSpan w:val="2"/>
            <w:hideMark/>
          </w:tcPr>
          <w:p w14:paraId="21CF0C3B"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63</w:t>
            </w:r>
          </w:p>
        </w:tc>
        <w:tc>
          <w:tcPr>
            <w:tcW w:w="582" w:type="dxa"/>
            <w:hideMark/>
          </w:tcPr>
          <w:p w14:paraId="1F14EB55"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50.4</w:t>
            </w:r>
          </w:p>
        </w:tc>
      </w:tr>
      <w:tr w:rsidR="00821478" w:rsidRPr="0038050E" w14:paraId="52D84931" w14:textId="77777777" w:rsidTr="00821478">
        <w:trPr>
          <w:trHeight w:val="330"/>
        </w:trPr>
        <w:tc>
          <w:tcPr>
            <w:tcW w:w="1185" w:type="dxa"/>
            <w:hideMark/>
          </w:tcPr>
          <w:p w14:paraId="6AC9465D" w14:textId="77777777" w:rsidR="002B545D" w:rsidRPr="0089664F" w:rsidRDefault="002B545D" w:rsidP="003F5A64">
            <w:pPr>
              <w:spacing w:line="276" w:lineRule="auto"/>
              <w:rPr>
                <w:rFonts w:ascii="Times New Roman" w:hAnsi="Times New Roman" w:cs="Times New Roman"/>
                <w:sz w:val="24"/>
                <w:szCs w:val="24"/>
              </w:rPr>
            </w:pPr>
            <w:r w:rsidRPr="00821478">
              <w:rPr>
                <w:rFonts w:ascii="Times New Roman" w:hAnsi="Times New Roman" w:cs="Times New Roman"/>
              </w:rPr>
              <w:t>Increased</w:t>
            </w:r>
          </w:p>
        </w:tc>
        <w:tc>
          <w:tcPr>
            <w:tcW w:w="425" w:type="dxa"/>
            <w:hideMark/>
          </w:tcPr>
          <w:p w14:paraId="469D421E"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w:t>
            </w:r>
          </w:p>
        </w:tc>
        <w:tc>
          <w:tcPr>
            <w:tcW w:w="457" w:type="dxa"/>
            <w:hideMark/>
          </w:tcPr>
          <w:p w14:paraId="19FE404F"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0.8</w:t>
            </w:r>
          </w:p>
        </w:tc>
        <w:tc>
          <w:tcPr>
            <w:tcW w:w="425" w:type="dxa"/>
            <w:hideMark/>
          </w:tcPr>
          <w:p w14:paraId="49F5CE25"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w:t>
            </w:r>
          </w:p>
        </w:tc>
        <w:tc>
          <w:tcPr>
            <w:tcW w:w="582" w:type="dxa"/>
            <w:hideMark/>
          </w:tcPr>
          <w:p w14:paraId="75F24B2A"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1.6</w:t>
            </w:r>
          </w:p>
        </w:tc>
        <w:tc>
          <w:tcPr>
            <w:tcW w:w="575" w:type="dxa"/>
            <w:hideMark/>
          </w:tcPr>
          <w:p w14:paraId="6B3A6F69"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3</w:t>
            </w:r>
          </w:p>
        </w:tc>
        <w:tc>
          <w:tcPr>
            <w:tcW w:w="582" w:type="dxa"/>
            <w:hideMark/>
          </w:tcPr>
          <w:p w14:paraId="3BD0F160"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2.4</w:t>
            </w:r>
          </w:p>
        </w:tc>
        <w:tc>
          <w:tcPr>
            <w:tcW w:w="425" w:type="dxa"/>
            <w:hideMark/>
          </w:tcPr>
          <w:p w14:paraId="59C8CECF"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16</w:t>
            </w:r>
          </w:p>
        </w:tc>
        <w:tc>
          <w:tcPr>
            <w:tcW w:w="582" w:type="dxa"/>
            <w:hideMark/>
          </w:tcPr>
          <w:p w14:paraId="07B2BA5D"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12.8</w:t>
            </w:r>
          </w:p>
        </w:tc>
        <w:tc>
          <w:tcPr>
            <w:tcW w:w="425" w:type="dxa"/>
            <w:hideMark/>
          </w:tcPr>
          <w:p w14:paraId="6EA4291F"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17</w:t>
            </w:r>
          </w:p>
        </w:tc>
        <w:tc>
          <w:tcPr>
            <w:tcW w:w="582" w:type="dxa"/>
            <w:hideMark/>
          </w:tcPr>
          <w:p w14:paraId="2ACA71F7"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13.6</w:t>
            </w:r>
          </w:p>
        </w:tc>
        <w:tc>
          <w:tcPr>
            <w:tcW w:w="530" w:type="dxa"/>
            <w:hideMark/>
          </w:tcPr>
          <w:p w14:paraId="3382D331"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33</w:t>
            </w:r>
          </w:p>
        </w:tc>
        <w:tc>
          <w:tcPr>
            <w:tcW w:w="582" w:type="dxa"/>
            <w:hideMark/>
          </w:tcPr>
          <w:p w14:paraId="3CECDD10"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26.4</w:t>
            </w:r>
          </w:p>
        </w:tc>
        <w:tc>
          <w:tcPr>
            <w:tcW w:w="425" w:type="dxa"/>
            <w:hideMark/>
          </w:tcPr>
          <w:p w14:paraId="65E9759E"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7</w:t>
            </w:r>
          </w:p>
        </w:tc>
        <w:tc>
          <w:tcPr>
            <w:tcW w:w="582" w:type="dxa"/>
            <w:hideMark/>
          </w:tcPr>
          <w:p w14:paraId="48522130"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5.6</w:t>
            </w:r>
          </w:p>
        </w:tc>
        <w:tc>
          <w:tcPr>
            <w:tcW w:w="425" w:type="dxa"/>
            <w:hideMark/>
          </w:tcPr>
          <w:p w14:paraId="11D012C5"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4</w:t>
            </w:r>
          </w:p>
        </w:tc>
        <w:tc>
          <w:tcPr>
            <w:tcW w:w="582" w:type="dxa"/>
            <w:hideMark/>
          </w:tcPr>
          <w:p w14:paraId="766CCB5B"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3.2</w:t>
            </w:r>
          </w:p>
        </w:tc>
        <w:tc>
          <w:tcPr>
            <w:tcW w:w="558" w:type="dxa"/>
            <w:gridSpan w:val="2"/>
            <w:hideMark/>
          </w:tcPr>
          <w:p w14:paraId="46C26050"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11</w:t>
            </w:r>
          </w:p>
        </w:tc>
        <w:tc>
          <w:tcPr>
            <w:tcW w:w="582" w:type="dxa"/>
            <w:hideMark/>
          </w:tcPr>
          <w:p w14:paraId="29F5B973"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8.8</w:t>
            </w:r>
          </w:p>
        </w:tc>
      </w:tr>
      <w:tr w:rsidR="00821478" w:rsidRPr="0038050E" w14:paraId="2BC77D38" w14:textId="77777777" w:rsidTr="00821478">
        <w:trPr>
          <w:trHeight w:val="330"/>
        </w:trPr>
        <w:tc>
          <w:tcPr>
            <w:tcW w:w="1185" w:type="dxa"/>
            <w:hideMark/>
          </w:tcPr>
          <w:p w14:paraId="4E7CC387" w14:textId="77777777" w:rsidR="002B545D" w:rsidRPr="0089664F" w:rsidRDefault="002B545D" w:rsidP="003F5A64">
            <w:pPr>
              <w:spacing w:line="276" w:lineRule="auto"/>
              <w:rPr>
                <w:rFonts w:ascii="Times New Roman" w:hAnsi="Times New Roman" w:cs="Times New Roman"/>
                <w:sz w:val="24"/>
                <w:szCs w:val="24"/>
              </w:rPr>
            </w:pPr>
            <w:r w:rsidRPr="00821478">
              <w:rPr>
                <w:rFonts w:ascii="Times New Roman" w:hAnsi="Times New Roman" w:cs="Times New Roman"/>
              </w:rPr>
              <w:t>Decreased</w:t>
            </w:r>
          </w:p>
        </w:tc>
        <w:tc>
          <w:tcPr>
            <w:tcW w:w="425" w:type="dxa"/>
            <w:hideMark/>
          </w:tcPr>
          <w:p w14:paraId="2365ED02"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67</w:t>
            </w:r>
          </w:p>
        </w:tc>
        <w:tc>
          <w:tcPr>
            <w:tcW w:w="457" w:type="dxa"/>
            <w:hideMark/>
          </w:tcPr>
          <w:p w14:paraId="18422CD6"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53.6</w:t>
            </w:r>
          </w:p>
        </w:tc>
        <w:tc>
          <w:tcPr>
            <w:tcW w:w="425" w:type="dxa"/>
            <w:hideMark/>
          </w:tcPr>
          <w:p w14:paraId="3DBECFAE"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46</w:t>
            </w:r>
          </w:p>
        </w:tc>
        <w:tc>
          <w:tcPr>
            <w:tcW w:w="582" w:type="dxa"/>
            <w:hideMark/>
          </w:tcPr>
          <w:p w14:paraId="5C321A0E"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36.8</w:t>
            </w:r>
          </w:p>
        </w:tc>
        <w:tc>
          <w:tcPr>
            <w:tcW w:w="575" w:type="dxa"/>
            <w:hideMark/>
          </w:tcPr>
          <w:p w14:paraId="091E6EBF"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11.3</w:t>
            </w:r>
          </w:p>
        </w:tc>
        <w:tc>
          <w:tcPr>
            <w:tcW w:w="582" w:type="dxa"/>
            <w:hideMark/>
          </w:tcPr>
          <w:p w14:paraId="6F8B38D3"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90.4</w:t>
            </w:r>
          </w:p>
        </w:tc>
        <w:tc>
          <w:tcPr>
            <w:tcW w:w="425" w:type="dxa"/>
            <w:hideMark/>
          </w:tcPr>
          <w:p w14:paraId="4B0FF3A2"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23</w:t>
            </w:r>
          </w:p>
        </w:tc>
        <w:tc>
          <w:tcPr>
            <w:tcW w:w="582" w:type="dxa"/>
            <w:hideMark/>
          </w:tcPr>
          <w:p w14:paraId="3E0266CB"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18.4</w:t>
            </w:r>
          </w:p>
        </w:tc>
        <w:tc>
          <w:tcPr>
            <w:tcW w:w="425" w:type="dxa"/>
            <w:hideMark/>
          </w:tcPr>
          <w:p w14:paraId="7D2E4485"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6</w:t>
            </w:r>
          </w:p>
        </w:tc>
        <w:tc>
          <w:tcPr>
            <w:tcW w:w="582" w:type="dxa"/>
            <w:hideMark/>
          </w:tcPr>
          <w:p w14:paraId="7307AD28"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4.8</w:t>
            </w:r>
          </w:p>
        </w:tc>
        <w:tc>
          <w:tcPr>
            <w:tcW w:w="530" w:type="dxa"/>
            <w:hideMark/>
          </w:tcPr>
          <w:p w14:paraId="088AC7B4"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29</w:t>
            </w:r>
          </w:p>
        </w:tc>
        <w:tc>
          <w:tcPr>
            <w:tcW w:w="582" w:type="dxa"/>
            <w:hideMark/>
          </w:tcPr>
          <w:p w14:paraId="4F1BF4B8"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23.2</w:t>
            </w:r>
          </w:p>
        </w:tc>
        <w:tc>
          <w:tcPr>
            <w:tcW w:w="425" w:type="dxa"/>
            <w:hideMark/>
          </w:tcPr>
          <w:p w14:paraId="7E8816C0"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33</w:t>
            </w:r>
          </w:p>
        </w:tc>
        <w:tc>
          <w:tcPr>
            <w:tcW w:w="582" w:type="dxa"/>
            <w:hideMark/>
          </w:tcPr>
          <w:p w14:paraId="45DDB0C5"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26.4</w:t>
            </w:r>
          </w:p>
        </w:tc>
        <w:tc>
          <w:tcPr>
            <w:tcW w:w="425" w:type="dxa"/>
            <w:hideMark/>
          </w:tcPr>
          <w:p w14:paraId="64D35A7E"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18</w:t>
            </w:r>
          </w:p>
        </w:tc>
        <w:tc>
          <w:tcPr>
            <w:tcW w:w="582" w:type="dxa"/>
            <w:hideMark/>
          </w:tcPr>
          <w:p w14:paraId="1B438751"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14.4</w:t>
            </w:r>
          </w:p>
        </w:tc>
        <w:tc>
          <w:tcPr>
            <w:tcW w:w="558" w:type="dxa"/>
            <w:gridSpan w:val="2"/>
            <w:hideMark/>
          </w:tcPr>
          <w:p w14:paraId="08AAE55A"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51</w:t>
            </w:r>
          </w:p>
        </w:tc>
        <w:tc>
          <w:tcPr>
            <w:tcW w:w="582" w:type="dxa"/>
            <w:hideMark/>
          </w:tcPr>
          <w:p w14:paraId="1F2D66A5" w14:textId="77777777" w:rsidR="002B545D" w:rsidRPr="00FD1D1D" w:rsidRDefault="002B545D" w:rsidP="003F5A64">
            <w:pPr>
              <w:spacing w:line="276" w:lineRule="auto"/>
              <w:rPr>
                <w:rFonts w:ascii="Times New Roman" w:hAnsi="Times New Roman" w:cs="Times New Roman"/>
                <w:sz w:val="24"/>
                <w:szCs w:val="24"/>
              </w:rPr>
            </w:pPr>
            <w:r w:rsidRPr="00FD1D1D">
              <w:rPr>
                <w:rFonts w:ascii="Times New Roman" w:hAnsi="Times New Roman" w:cs="Times New Roman"/>
                <w:sz w:val="24"/>
                <w:szCs w:val="24"/>
              </w:rPr>
              <w:t>40.8</w:t>
            </w:r>
          </w:p>
        </w:tc>
      </w:tr>
      <w:tr w:rsidR="00821478" w:rsidRPr="0038050E" w14:paraId="3A36A318" w14:textId="77777777" w:rsidTr="00821478">
        <w:trPr>
          <w:trHeight w:val="330"/>
        </w:trPr>
        <w:tc>
          <w:tcPr>
            <w:tcW w:w="1185" w:type="dxa"/>
            <w:hideMark/>
          </w:tcPr>
          <w:p w14:paraId="1F1B8671" w14:textId="77777777" w:rsidR="002B545D" w:rsidRPr="0089664F" w:rsidRDefault="002B545D" w:rsidP="003F5A64">
            <w:pPr>
              <w:spacing w:line="276" w:lineRule="auto"/>
              <w:rPr>
                <w:rFonts w:ascii="Times New Roman" w:hAnsi="Times New Roman" w:cs="Times New Roman"/>
                <w:b/>
                <w:bCs/>
                <w:sz w:val="24"/>
                <w:szCs w:val="24"/>
              </w:rPr>
            </w:pPr>
            <w:r w:rsidRPr="00821478">
              <w:rPr>
                <w:rFonts w:ascii="Times New Roman" w:hAnsi="Times New Roman" w:cs="Times New Roman"/>
                <w:b/>
                <w:bCs/>
              </w:rPr>
              <w:t>TOTAL</w:t>
            </w:r>
          </w:p>
        </w:tc>
        <w:tc>
          <w:tcPr>
            <w:tcW w:w="425" w:type="dxa"/>
            <w:hideMark/>
          </w:tcPr>
          <w:p w14:paraId="7E016042" w14:textId="77777777" w:rsidR="002B545D" w:rsidRPr="0089664F" w:rsidRDefault="002B545D" w:rsidP="003F5A64">
            <w:pPr>
              <w:spacing w:line="276" w:lineRule="auto"/>
              <w:rPr>
                <w:rFonts w:ascii="Times New Roman" w:hAnsi="Times New Roman" w:cs="Times New Roman"/>
                <w:sz w:val="24"/>
                <w:szCs w:val="24"/>
              </w:rPr>
            </w:pPr>
            <w:r w:rsidRPr="0089664F">
              <w:rPr>
                <w:rFonts w:ascii="Times New Roman" w:hAnsi="Times New Roman" w:cs="Times New Roman"/>
                <w:sz w:val="24"/>
                <w:szCs w:val="24"/>
              </w:rPr>
              <w:t>76</w:t>
            </w:r>
          </w:p>
        </w:tc>
        <w:tc>
          <w:tcPr>
            <w:tcW w:w="457" w:type="dxa"/>
            <w:hideMark/>
          </w:tcPr>
          <w:p w14:paraId="15D6C18F" w14:textId="77777777" w:rsidR="002B545D" w:rsidRPr="0089664F" w:rsidRDefault="002B545D" w:rsidP="003F5A64">
            <w:pPr>
              <w:spacing w:line="276" w:lineRule="auto"/>
              <w:rPr>
                <w:rFonts w:ascii="Times New Roman" w:hAnsi="Times New Roman" w:cs="Times New Roman"/>
                <w:sz w:val="24"/>
                <w:szCs w:val="24"/>
              </w:rPr>
            </w:pPr>
            <w:r w:rsidRPr="0089664F">
              <w:rPr>
                <w:rFonts w:ascii="Times New Roman" w:hAnsi="Times New Roman" w:cs="Times New Roman"/>
                <w:sz w:val="24"/>
                <w:szCs w:val="24"/>
              </w:rPr>
              <w:t>60.8</w:t>
            </w:r>
          </w:p>
        </w:tc>
        <w:tc>
          <w:tcPr>
            <w:tcW w:w="425" w:type="dxa"/>
            <w:hideMark/>
          </w:tcPr>
          <w:p w14:paraId="6ACC4EE8" w14:textId="77777777" w:rsidR="002B545D" w:rsidRPr="0089664F" w:rsidRDefault="002B545D" w:rsidP="003F5A64">
            <w:pPr>
              <w:spacing w:line="276" w:lineRule="auto"/>
              <w:rPr>
                <w:rFonts w:ascii="Times New Roman" w:hAnsi="Times New Roman" w:cs="Times New Roman"/>
                <w:sz w:val="24"/>
                <w:szCs w:val="24"/>
              </w:rPr>
            </w:pPr>
            <w:r w:rsidRPr="0089664F">
              <w:rPr>
                <w:rFonts w:ascii="Times New Roman" w:hAnsi="Times New Roman" w:cs="Times New Roman"/>
                <w:sz w:val="24"/>
                <w:szCs w:val="24"/>
              </w:rPr>
              <w:t>49</w:t>
            </w:r>
          </w:p>
        </w:tc>
        <w:tc>
          <w:tcPr>
            <w:tcW w:w="582" w:type="dxa"/>
            <w:hideMark/>
          </w:tcPr>
          <w:p w14:paraId="3AFC10D2" w14:textId="77777777" w:rsidR="002B545D" w:rsidRPr="0089664F" w:rsidRDefault="002B545D" w:rsidP="003F5A64">
            <w:pPr>
              <w:spacing w:line="276" w:lineRule="auto"/>
              <w:rPr>
                <w:rFonts w:ascii="Times New Roman" w:hAnsi="Times New Roman" w:cs="Times New Roman"/>
                <w:sz w:val="24"/>
                <w:szCs w:val="24"/>
              </w:rPr>
            </w:pPr>
            <w:r w:rsidRPr="0089664F">
              <w:rPr>
                <w:rFonts w:ascii="Times New Roman" w:hAnsi="Times New Roman" w:cs="Times New Roman"/>
                <w:sz w:val="24"/>
                <w:szCs w:val="24"/>
              </w:rPr>
              <w:t>39.2</w:t>
            </w:r>
          </w:p>
        </w:tc>
        <w:tc>
          <w:tcPr>
            <w:tcW w:w="575" w:type="dxa"/>
            <w:hideMark/>
          </w:tcPr>
          <w:p w14:paraId="731E098C"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125</w:t>
            </w:r>
          </w:p>
        </w:tc>
        <w:tc>
          <w:tcPr>
            <w:tcW w:w="582" w:type="dxa"/>
            <w:hideMark/>
          </w:tcPr>
          <w:p w14:paraId="62614814"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100</w:t>
            </w:r>
          </w:p>
        </w:tc>
        <w:tc>
          <w:tcPr>
            <w:tcW w:w="425" w:type="dxa"/>
            <w:hideMark/>
          </w:tcPr>
          <w:p w14:paraId="491709CC"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76</w:t>
            </w:r>
          </w:p>
        </w:tc>
        <w:tc>
          <w:tcPr>
            <w:tcW w:w="582" w:type="dxa"/>
            <w:hideMark/>
          </w:tcPr>
          <w:p w14:paraId="13DFAB7B"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60.8</w:t>
            </w:r>
          </w:p>
        </w:tc>
        <w:tc>
          <w:tcPr>
            <w:tcW w:w="425" w:type="dxa"/>
            <w:hideMark/>
          </w:tcPr>
          <w:p w14:paraId="06C25565"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49</w:t>
            </w:r>
          </w:p>
        </w:tc>
        <w:tc>
          <w:tcPr>
            <w:tcW w:w="582" w:type="dxa"/>
            <w:hideMark/>
          </w:tcPr>
          <w:p w14:paraId="6852B0A5"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39.2</w:t>
            </w:r>
          </w:p>
        </w:tc>
        <w:tc>
          <w:tcPr>
            <w:tcW w:w="530" w:type="dxa"/>
            <w:hideMark/>
          </w:tcPr>
          <w:p w14:paraId="474FA98B"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125</w:t>
            </w:r>
          </w:p>
        </w:tc>
        <w:tc>
          <w:tcPr>
            <w:tcW w:w="582" w:type="dxa"/>
            <w:hideMark/>
          </w:tcPr>
          <w:p w14:paraId="56282026"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100</w:t>
            </w:r>
          </w:p>
        </w:tc>
        <w:tc>
          <w:tcPr>
            <w:tcW w:w="425" w:type="dxa"/>
            <w:hideMark/>
          </w:tcPr>
          <w:p w14:paraId="5C6625CC"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76</w:t>
            </w:r>
          </w:p>
        </w:tc>
        <w:tc>
          <w:tcPr>
            <w:tcW w:w="582" w:type="dxa"/>
            <w:hideMark/>
          </w:tcPr>
          <w:p w14:paraId="55C4F4B3"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60.8</w:t>
            </w:r>
          </w:p>
        </w:tc>
        <w:tc>
          <w:tcPr>
            <w:tcW w:w="425" w:type="dxa"/>
            <w:hideMark/>
          </w:tcPr>
          <w:p w14:paraId="7FEC5EF3"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49</w:t>
            </w:r>
          </w:p>
        </w:tc>
        <w:tc>
          <w:tcPr>
            <w:tcW w:w="582" w:type="dxa"/>
            <w:hideMark/>
          </w:tcPr>
          <w:p w14:paraId="2A038E02"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39.2</w:t>
            </w:r>
          </w:p>
        </w:tc>
        <w:tc>
          <w:tcPr>
            <w:tcW w:w="558" w:type="dxa"/>
            <w:gridSpan w:val="2"/>
            <w:hideMark/>
          </w:tcPr>
          <w:p w14:paraId="656BB4C5"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125</w:t>
            </w:r>
          </w:p>
        </w:tc>
        <w:tc>
          <w:tcPr>
            <w:tcW w:w="582" w:type="dxa"/>
            <w:hideMark/>
          </w:tcPr>
          <w:p w14:paraId="7002E5CB" w14:textId="77777777" w:rsidR="002B545D" w:rsidRPr="0038050E" w:rsidRDefault="002B545D" w:rsidP="003F5A64">
            <w:pPr>
              <w:spacing w:line="276" w:lineRule="auto"/>
              <w:rPr>
                <w:rFonts w:ascii="Times New Roman" w:hAnsi="Times New Roman" w:cs="Times New Roman"/>
                <w:sz w:val="24"/>
                <w:szCs w:val="24"/>
              </w:rPr>
            </w:pPr>
            <w:r w:rsidRPr="0038050E">
              <w:rPr>
                <w:rFonts w:ascii="Times New Roman" w:hAnsi="Times New Roman" w:cs="Times New Roman"/>
                <w:sz w:val="24"/>
                <w:szCs w:val="24"/>
              </w:rPr>
              <w:t>100</w:t>
            </w:r>
          </w:p>
        </w:tc>
      </w:tr>
    </w:tbl>
    <w:p w14:paraId="5D1B9D6B" w14:textId="77777777" w:rsidR="002B545D" w:rsidRPr="0089664F" w:rsidRDefault="002B545D" w:rsidP="003F5A64">
      <w:pPr>
        <w:spacing w:line="276" w:lineRule="auto"/>
        <w:rPr>
          <w:rFonts w:ascii="Times New Roman" w:hAnsi="Times New Roman" w:cs="Times New Roman"/>
          <w:sz w:val="24"/>
          <w:szCs w:val="24"/>
        </w:rPr>
      </w:pPr>
    </w:p>
    <w:p w14:paraId="0772F993" w14:textId="6C25EBCF"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The most common indications for bone marrow biopsy BMB were suspected multiple myeloma (n=3</w:t>
      </w:r>
      <w:r w:rsidR="002D7A55">
        <w:rPr>
          <w:rFonts w:ascii="Times New Roman" w:hAnsi="Times New Roman" w:cs="Times New Roman"/>
          <w:sz w:val="24"/>
          <w:szCs w:val="24"/>
        </w:rPr>
        <w:t>0</w:t>
      </w:r>
      <w:r w:rsidR="00032FEC">
        <w:rPr>
          <w:rFonts w:ascii="Times New Roman" w:hAnsi="Times New Roman" w:cs="Times New Roman"/>
          <w:sz w:val="24"/>
          <w:szCs w:val="24"/>
        </w:rPr>
        <w:t>, 24%), anaemia (n=18, 14.4%), l</w:t>
      </w:r>
      <w:r>
        <w:rPr>
          <w:rFonts w:ascii="Times New Roman" w:hAnsi="Times New Roman" w:cs="Times New Roman"/>
          <w:sz w:val="24"/>
          <w:szCs w:val="24"/>
        </w:rPr>
        <w:t xml:space="preserve">ymphoproliferative neoplasm with possible bone marrow involvement </w:t>
      </w:r>
      <w:r w:rsidRPr="0089664F">
        <w:rPr>
          <w:rFonts w:ascii="Times New Roman" w:hAnsi="Times New Roman" w:cs="Times New Roman"/>
          <w:sz w:val="24"/>
          <w:szCs w:val="24"/>
        </w:rPr>
        <w:t>(n=16, 12.8%) and pancytopenia (n=15, 12.0%). Table 3</w:t>
      </w:r>
      <w:r w:rsidR="00911ABD">
        <w:rPr>
          <w:rFonts w:ascii="Times New Roman" w:hAnsi="Times New Roman" w:cs="Times New Roman"/>
          <w:sz w:val="24"/>
          <w:szCs w:val="24"/>
        </w:rPr>
        <w:t xml:space="preserve"> and Table 4</w:t>
      </w:r>
      <w:r w:rsidRPr="0089664F">
        <w:rPr>
          <w:rFonts w:ascii="Times New Roman" w:hAnsi="Times New Roman" w:cs="Times New Roman"/>
          <w:sz w:val="24"/>
          <w:szCs w:val="24"/>
        </w:rPr>
        <w:t xml:space="preserve"> shows the various indications for bone marrow biopsy BMB across sex and age g</w:t>
      </w:r>
      <w:r w:rsidR="00032FEC">
        <w:rPr>
          <w:rFonts w:ascii="Times New Roman" w:hAnsi="Times New Roman" w:cs="Times New Roman"/>
          <w:sz w:val="24"/>
          <w:szCs w:val="24"/>
        </w:rPr>
        <w:t xml:space="preserve">roups, while Table 4 gives the full blood count </w:t>
      </w:r>
      <w:r w:rsidRPr="0089664F">
        <w:rPr>
          <w:rFonts w:ascii="Times New Roman" w:hAnsi="Times New Roman" w:cs="Times New Roman"/>
          <w:sz w:val="24"/>
          <w:szCs w:val="24"/>
        </w:rPr>
        <w:t>distribution across the indications for BMB.</w:t>
      </w:r>
    </w:p>
    <w:p w14:paraId="60DD3EDD" w14:textId="4AD07DF3" w:rsidR="002B545D" w:rsidRPr="0089664F" w:rsidRDefault="002B545D" w:rsidP="003F5A64">
      <w:pPr>
        <w:pStyle w:val="Caption"/>
        <w:keepNext/>
        <w:spacing w:line="276" w:lineRule="auto"/>
        <w:jc w:val="both"/>
        <w:rPr>
          <w:rFonts w:ascii="Times New Roman" w:hAnsi="Times New Roman" w:cs="Times New Roman"/>
          <w:color w:val="auto"/>
          <w:sz w:val="24"/>
          <w:szCs w:val="24"/>
        </w:rPr>
      </w:pPr>
      <w:r w:rsidRPr="0089664F">
        <w:rPr>
          <w:rFonts w:ascii="Times New Roman" w:hAnsi="Times New Roman" w:cs="Times New Roman"/>
          <w:color w:val="auto"/>
          <w:sz w:val="24"/>
          <w:szCs w:val="24"/>
        </w:rPr>
        <w:t xml:space="preserve">Table </w:t>
      </w:r>
      <w:r w:rsidRPr="0089664F">
        <w:rPr>
          <w:rFonts w:ascii="Times New Roman" w:hAnsi="Times New Roman" w:cs="Times New Roman"/>
          <w:color w:val="auto"/>
          <w:sz w:val="24"/>
          <w:szCs w:val="24"/>
        </w:rPr>
        <w:fldChar w:fldCharType="begin"/>
      </w:r>
      <w:r w:rsidRPr="0089664F">
        <w:rPr>
          <w:rFonts w:ascii="Times New Roman" w:hAnsi="Times New Roman" w:cs="Times New Roman"/>
          <w:color w:val="auto"/>
          <w:sz w:val="24"/>
          <w:szCs w:val="24"/>
        </w:rPr>
        <w:instrText xml:space="preserve"> SEQ Table \* ARABIC </w:instrText>
      </w:r>
      <w:r w:rsidRPr="0089664F">
        <w:rPr>
          <w:rFonts w:ascii="Times New Roman" w:hAnsi="Times New Roman" w:cs="Times New Roman"/>
          <w:color w:val="auto"/>
          <w:sz w:val="24"/>
          <w:szCs w:val="24"/>
        </w:rPr>
        <w:fldChar w:fldCharType="separate"/>
      </w:r>
      <w:r w:rsidRPr="0089664F">
        <w:rPr>
          <w:rFonts w:ascii="Times New Roman" w:hAnsi="Times New Roman" w:cs="Times New Roman"/>
          <w:noProof/>
          <w:color w:val="auto"/>
          <w:sz w:val="24"/>
          <w:szCs w:val="24"/>
        </w:rPr>
        <w:t>3</w:t>
      </w:r>
      <w:r w:rsidRPr="0089664F">
        <w:rPr>
          <w:rFonts w:ascii="Times New Roman" w:hAnsi="Times New Roman" w:cs="Times New Roman"/>
          <w:noProof/>
          <w:color w:val="auto"/>
          <w:sz w:val="24"/>
          <w:szCs w:val="24"/>
        </w:rPr>
        <w:fldChar w:fldCharType="end"/>
      </w:r>
      <w:r w:rsidRPr="0089664F">
        <w:rPr>
          <w:rFonts w:ascii="Times New Roman" w:hAnsi="Times New Roman" w:cs="Times New Roman"/>
          <w:color w:val="auto"/>
          <w:sz w:val="24"/>
          <w:szCs w:val="24"/>
        </w:rPr>
        <w:t>: Indications for BMB according</w:t>
      </w:r>
      <w:r w:rsidR="00911ABD">
        <w:rPr>
          <w:rFonts w:ascii="Times New Roman" w:hAnsi="Times New Roman" w:cs="Times New Roman"/>
          <w:color w:val="auto"/>
          <w:sz w:val="24"/>
          <w:szCs w:val="24"/>
        </w:rPr>
        <w:t xml:space="preserve"> to</w:t>
      </w:r>
      <w:r w:rsidRPr="0089664F">
        <w:rPr>
          <w:rFonts w:ascii="Times New Roman" w:hAnsi="Times New Roman" w:cs="Times New Roman"/>
          <w:color w:val="auto"/>
          <w:sz w:val="24"/>
          <w:szCs w:val="24"/>
        </w:rPr>
        <w:t xml:space="preserve"> </w:t>
      </w:r>
      <w:r w:rsidR="00911ABD">
        <w:rPr>
          <w:rFonts w:ascii="Times New Roman" w:hAnsi="Times New Roman" w:cs="Times New Roman"/>
          <w:color w:val="auto"/>
          <w:sz w:val="24"/>
          <w:szCs w:val="24"/>
        </w:rPr>
        <w:t>A</w:t>
      </w:r>
      <w:r w:rsidRPr="0089664F">
        <w:rPr>
          <w:rFonts w:ascii="Times New Roman" w:hAnsi="Times New Roman" w:cs="Times New Roman"/>
          <w:color w:val="auto"/>
          <w:sz w:val="24"/>
          <w:szCs w:val="24"/>
        </w:rPr>
        <w:t>ge distribution</w:t>
      </w:r>
    </w:p>
    <w:p w14:paraId="44AD2DA3" w14:textId="776DB001" w:rsidR="00BA5FE3" w:rsidRDefault="00BA5FE3" w:rsidP="003F5A64">
      <w:pPr>
        <w:tabs>
          <w:tab w:val="left" w:pos="834"/>
        </w:tabs>
        <w:spacing w:after="0" w:line="276" w:lineRule="auto"/>
        <w:jc w:val="both"/>
        <w:rPr>
          <w:rFonts w:ascii="Times New Roman" w:hAnsi="Times New Roman" w:cs="Times New Roman"/>
        </w:rPr>
      </w:pPr>
    </w:p>
    <w:p w14:paraId="46061FC8" w14:textId="73FE1A96" w:rsidR="00604761" w:rsidRDefault="00604761" w:rsidP="003F5A64">
      <w:pPr>
        <w:tabs>
          <w:tab w:val="left" w:pos="834"/>
        </w:tabs>
        <w:spacing w:after="0" w:line="276" w:lineRule="auto"/>
        <w:jc w:val="both"/>
        <w:rPr>
          <w:rFonts w:ascii="Times New Roman" w:hAnsi="Times New Roman" w:cs="Times New Roman"/>
        </w:rPr>
      </w:pPr>
    </w:p>
    <w:p w14:paraId="764EF203" w14:textId="77777777" w:rsidR="00604761" w:rsidRDefault="00604761" w:rsidP="003F5A64">
      <w:pPr>
        <w:tabs>
          <w:tab w:val="left" w:pos="834"/>
        </w:tabs>
        <w:spacing w:after="0" w:line="276" w:lineRule="auto"/>
        <w:jc w:val="both"/>
        <w:rPr>
          <w:rFonts w:ascii="Times New Roman" w:hAnsi="Times New Roman" w:cs="Times New Roman"/>
        </w:rPr>
      </w:pPr>
    </w:p>
    <w:tbl>
      <w:tblPr>
        <w:tblStyle w:val="TableGrid"/>
        <w:tblW w:w="9643" w:type="dxa"/>
        <w:tblLook w:val="04A0" w:firstRow="1" w:lastRow="0" w:firstColumn="1" w:lastColumn="0" w:noHBand="0" w:noVBand="1"/>
      </w:tblPr>
      <w:tblGrid>
        <w:gridCol w:w="1692"/>
        <w:gridCol w:w="987"/>
        <w:gridCol w:w="997"/>
        <w:gridCol w:w="997"/>
        <w:gridCol w:w="998"/>
        <w:gridCol w:w="988"/>
        <w:gridCol w:w="988"/>
        <w:gridCol w:w="988"/>
        <w:gridCol w:w="1008"/>
      </w:tblGrid>
      <w:tr w:rsidR="007C25DC" w14:paraId="7D00CC78" w14:textId="77777777" w:rsidTr="00CB424D">
        <w:trPr>
          <w:trHeight w:val="489"/>
        </w:trPr>
        <w:tc>
          <w:tcPr>
            <w:tcW w:w="1515" w:type="dxa"/>
          </w:tcPr>
          <w:p w14:paraId="64816DC6" w14:textId="306FB165"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INDICATION</w:t>
            </w:r>
          </w:p>
        </w:tc>
        <w:tc>
          <w:tcPr>
            <w:tcW w:w="1014" w:type="dxa"/>
          </w:tcPr>
          <w:p w14:paraId="707EE4DC"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 xml:space="preserve">20-29 </w:t>
            </w:r>
          </w:p>
          <w:p w14:paraId="3A70FC8D" w14:textId="4F1EB904"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4" w:type="dxa"/>
          </w:tcPr>
          <w:p w14:paraId="2946E0A6"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30-39</w:t>
            </w:r>
          </w:p>
          <w:p w14:paraId="1B957CE0" w14:textId="1F250145"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4" w:type="dxa"/>
          </w:tcPr>
          <w:p w14:paraId="0FFFDB43"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40-49</w:t>
            </w:r>
          </w:p>
          <w:p w14:paraId="50E45412" w14:textId="658B51D5"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2E9F8690"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50-59</w:t>
            </w:r>
          </w:p>
          <w:p w14:paraId="627A274E" w14:textId="38FA2020"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528D5420"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60-69</w:t>
            </w:r>
          </w:p>
          <w:p w14:paraId="0342C357" w14:textId="12E13442"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5E92E0EA"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70-79</w:t>
            </w:r>
          </w:p>
          <w:p w14:paraId="334C9894" w14:textId="43CB6658"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15" w:type="dxa"/>
          </w:tcPr>
          <w:p w14:paraId="16C3D6C3" w14:textId="77777777"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80-89</w:t>
            </w:r>
          </w:p>
          <w:p w14:paraId="1C86338C" w14:textId="4887EBE4" w:rsidR="007C25DC" w:rsidRDefault="007C25DC"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rPr>
              <w:t>n(</w:t>
            </w:r>
            <w:proofErr w:type="gramEnd"/>
            <w:r>
              <w:rPr>
                <w:rFonts w:ascii="Times New Roman" w:hAnsi="Times New Roman" w:cs="Times New Roman"/>
              </w:rPr>
              <w:t>%)</w:t>
            </w:r>
          </w:p>
        </w:tc>
        <w:tc>
          <w:tcPr>
            <w:tcW w:w="1026" w:type="dxa"/>
          </w:tcPr>
          <w:p w14:paraId="63743ACE" w14:textId="1EFEC074" w:rsidR="00604761" w:rsidRDefault="007C25DC" w:rsidP="003F5A64">
            <w:pPr>
              <w:tabs>
                <w:tab w:val="left" w:pos="834"/>
              </w:tabs>
              <w:spacing w:line="276" w:lineRule="auto"/>
              <w:jc w:val="both"/>
              <w:rPr>
                <w:rFonts w:ascii="Times New Roman" w:hAnsi="Times New Roman" w:cs="Times New Roman"/>
              </w:rPr>
            </w:pPr>
            <w:r>
              <w:rPr>
                <w:rFonts w:ascii="Times New Roman" w:hAnsi="Times New Roman" w:cs="Times New Roman"/>
              </w:rPr>
              <w:t>Grand Total</w:t>
            </w:r>
          </w:p>
        </w:tc>
      </w:tr>
      <w:tr w:rsidR="004F1E73" w14:paraId="6F8E0E37" w14:textId="77777777" w:rsidTr="00CB424D">
        <w:trPr>
          <w:trHeight w:val="267"/>
        </w:trPr>
        <w:tc>
          <w:tcPr>
            <w:tcW w:w="1515" w:type="dxa"/>
          </w:tcPr>
          <w:p w14:paraId="183DA605" w14:textId="47F53D65" w:rsidR="004F1E73" w:rsidRDefault="004F1E73"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Anaemia</w:t>
            </w:r>
            <w:proofErr w:type="spellEnd"/>
          </w:p>
        </w:tc>
        <w:tc>
          <w:tcPr>
            <w:tcW w:w="1014" w:type="dxa"/>
          </w:tcPr>
          <w:p w14:paraId="22B11D6B" w14:textId="0D555E64"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7FC2553A" w14:textId="4C5753A0"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5D4C9D96" w14:textId="5405DC39"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5F4665B9" w14:textId="34C66BDE"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2AB94911" w14:textId="6453B0C5"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2134E95E" w14:textId="0ACCA4A5"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004F1E73" w:rsidRPr="00FD1D1D">
              <w:rPr>
                <w:rFonts w:ascii="Times New Roman" w:hAnsi="Times New Roman" w:cs="Times New Roman"/>
                <w:sz w:val="24"/>
                <w:szCs w:val="24"/>
              </w:rPr>
              <w:t>(3.2)</w:t>
            </w:r>
          </w:p>
        </w:tc>
        <w:tc>
          <w:tcPr>
            <w:tcW w:w="1015" w:type="dxa"/>
          </w:tcPr>
          <w:p w14:paraId="05E98CF9" w14:textId="3FF086A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6BD1ED6B" w14:textId="2B621396"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18 </w:t>
            </w:r>
            <w:r w:rsidR="004F1E73" w:rsidRPr="004F1E73">
              <w:rPr>
                <w:rFonts w:ascii="Times New Roman" w:hAnsi="Times New Roman" w:cs="Times New Roman"/>
                <w:b/>
                <w:bCs/>
                <w:sz w:val="24"/>
                <w:szCs w:val="24"/>
              </w:rPr>
              <w:t>(14.4)</w:t>
            </w:r>
          </w:p>
        </w:tc>
      </w:tr>
      <w:tr w:rsidR="004F1E73" w14:paraId="3F844B9E" w14:textId="77777777" w:rsidTr="00CB424D">
        <w:trPr>
          <w:trHeight w:val="816"/>
        </w:trPr>
        <w:tc>
          <w:tcPr>
            <w:tcW w:w="1515" w:type="dxa"/>
          </w:tcPr>
          <w:p w14:paraId="54B18407" w14:textId="26412409"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 xml:space="preserve">Acute </w:t>
            </w:r>
            <w:proofErr w:type="spellStart"/>
            <w:r w:rsidRPr="00FD1D1D">
              <w:rPr>
                <w:rFonts w:ascii="Times New Roman" w:hAnsi="Times New Roman" w:cs="Times New Roman"/>
                <w:sz w:val="24"/>
                <w:szCs w:val="24"/>
              </w:rPr>
              <w:t>Leukaemia</w:t>
            </w:r>
            <w:proofErr w:type="spellEnd"/>
            <w:r w:rsidRPr="00FD1D1D">
              <w:rPr>
                <w:rFonts w:ascii="Times New Roman" w:hAnsi="Times New Roman" w:cs="Times New Roman"/>
                <w:sz w:val="24"/>
                <w:szCs w:val="24"/>
              </w:rPr>
              <w:t>, Unspecified</w:t>
            </w:r>
          </w:p>
        </w:tc>
        <w:tc>
          <w:tcPr>
            <w:tcW w:w="1014" w:type="dxa"/>
          </w:tcPr>
          <w:p w14:paraId="37C446FF" w14:textId="301717B7"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7FE47794" w14:textId="4526029E"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ACC6BE3" w14:textId="12A1B00C"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0F53DEE0" w14:textId="13826894"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1F99F126" w14:textId="22C73460"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FC4F400" w14:textId="74B2145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71D1A2DA" w14:textId="3B8FC97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26" w:type="dxa"/>
          </w:tcPr>
          <w:p w14:paraId="126172F8" w14:textId="514A42DD"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6 </w:t>
            </w:r>
            <w:r w:rsidR="004F1E73" w:rsidRPr="004F1E73">
              <w:rPr>
                <w:rFonts w:ascii="Times New Roman" w:hAnsi="Times New Roman" w:cs="Times New Roman"/>
                <w:b/>
                <w:bCs/>
                <w:sz w:val="24"/>
                <w:szCs w:val="24"/>
              </w:rPr>
              <w:t>(4.8)</w:t>
            </w:r>
          </w:p>
        </w:tc>
      </w:tr>
      <w:tr w:rsidR="004F1E73" w14:paraId="15F7F002" w14:textId="77777777" w:rsidTr="00CB424D">
        <w:trPr>
          <w:trHeight w:val="267"/>
        </w:trPr>
        <w:tc>
          <w:tcPr>
            <w:tcW w:w="1515" w:type="dxa"/>
          </w:tcPr>
          <w:p w14:paraId="0BA1B670" w14:textId="2C1026AB"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AML</w:t>
            </w:r>
          </w:p>
        </w:tc>
        <w:tc>
          <w:tcPr>
            <w:tcW w:w="1014" w:type="dxa"/>
          </w:tcPr>
          <w:p w14:paraId="5155B6BA" w14:textId="6B0F4EE3"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604FDE9A" w14:textId="3BCAB1ED"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014" w:type="dxa"/>
          </w:tcPr>
          <w:p w14:paraId="731B9C66" w14:textId="6667B3D3"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054BE8D3" w14:textId="56560A0B"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4C2F8C31" w14:textId="2A6AA209"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57220DB7" w14:textId="76B811E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5074FE1F" w14:textId="4A0A8427"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3345C088" w14:textId="51192EDA"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7 </w:t>
            </w:r>
            <w:r w:rsidR="004F1E73" w:rsidRPr="004F1E73">
              <w:rPr>
                <w:rFonts w:ascii="Times New Roman" w:hAnsi="Times New Roman" w:cs="Times New Roman"/>
                <w:b/>
                <w:bCs/>
                <w:sz w:val="24"/>
                <w:szCs w:val="24"/>
              </w:rPr>
              <w:t>(5.6)</w:t>
            </w:r>
          </w:p>
        </w:tc>
      </w:tr>
      <w:tr w:rsidR="004F1E73" w14:paraId="648C9B20" w14:textId="77777777" w:rsidTr="00CB424D">
        <w:trPr>
          <w:trHeight w:val="267"/>
        </w:trPr>
        <w:tc>
          <w:tcPr>
            <w:tcW w:w="1515" w:type="dxa"/>
          </w:tcPr>
          <w:p w14:paraId="24B7ECBC" w14:textId="02A826D9" w:rsidR="004F1E73" w:rsidRDefault="004F1E73"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Bicytopoenia</w:t>
            </w:r>
            <w:proofErr w:type="spellEnd"/>
          </w:p>
        </w:tc>
        <w:tc>
          <w:tcPr>
            <w:tcW w:w="1014" w:type="dxa"/>
          </w:tcPr>
          <w:p w14:paraId="63BF44F5" w14:textId="03A6ACD3"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3BC548BD" w14:textId="50BE5B36"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1A845D6B" w14:textId="1C7DDED6"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630094C8" w14:textId="5F990E1B"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28589E5D" w14:textId="6B957117"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6AC02A3A" w14:textId="67433973"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6920E81B" w14:textId="1B637099"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2E75495F" w14:textId="03988CE3"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3 </w:t>
            </w:r>
            <w:r w:rsidR="004F1E73" w:rsidRPr="004F1E73">
              <w:rPr>
                <w:rFonts w:ascii="Times New Roman" w:hAnsi="Times New Roman" w:cs="Times New Roman"/>
                <w:b/>
                <w:bCs/>
                <w:sz w:val="24"/>
                <w:szCs w:val="24"/>
              </w:rPr>
              <w:t>(2.4)</w:t>
            </w:r>
          </w:p>
        </w:tc>
      </w:tr>
      <w:tr w:rsidR="004F1E73" w14:paraId="67B8BCB1" w14:textId="77777777" w:rsidTr="00CB424D">
        <w:trPr>
          <w:trHeight w:val="281"/>
        </w:trPr>
        <w:tc>
          <w:tcPr>
            <w:tcW w:w="1515" w:type="dxa"/>
          </w:tcPr>
          <w:p w14:paraId="3CB061DE" w14:textId="07E6F334"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CEL</w:t>
            </w:r>
          </w:p>
        </w:tc>
        <w:tc>
          <w:tcPr>
            <w:tcW w:w="1014" w:type="dxa"/>
          </w:tcPr>
          <w:p w14:paraId="0127FDC2" w14:textId="4D27FA0C"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63EBADD" w14:textId="6115FAD2"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F93A3C0" w14:textId="11E4E041"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3DFDDEAF" w14:textId="73F0F3A7"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4F54A28F" w14:textId="7943CB4D"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7CED309F" w14:textId="2B349CBB"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326F3A73" w14:textId="3B0B653C"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70221CD3" w14:textId="124AFEDD"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 </w:t>
            </w:r>
            <w:r w:rsidR="004F1E73" w:rsidRPr="004F1E73">
              <w:rPr>
                <w:rFonts w:ascii="Times New Roman" w:hAnsi="Times New Roman" w:cs="Times New Roman"/>
                <w:b/>
                <w:bCs/>
                <w:sz w:val="24"/>
                <w:szCs w:val="24"/>
              </w:rPr>
              <w:t>(0.8)</w:t>
            </w:r>
          </w:p>
        </w:tc>
      </w:tr>
      <w:tr w:rsidR="004F1E73" w14:paraId="61E83F5A" w14:textId="77777777" w:rsidTr="00CB424D">
        <w:trPr>
          <w:trHeight w:val="267"/>
        </w:trPr>
        <w:tc>
          <w:tcPr>
            <w:tcW w:w="1515" w:type="dxa"/>
          </w:tcPr>
          <w:p w14:paraId="10D7F74D" w14:textId="420CD75A"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CLL</w:t>
            </w:r>
          </w:p>
        </w:tc>
        <w:tc>
          <w:tcPr>
            <w:tcW w:w="1014" w:type="dxa"/>
          </w:tcPr>
          <w:p w14:paraId="352BBDD3" w14:textId="3BC919A3"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6A1E143A" w14:textId="0B3014E0"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1EFAE757" w14:textId="6DFCE66C"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1A89A829" w14:textId="55081ABA"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2E04DF2C" w14:textId="4F007B9D"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004F1E73" w:rsidRPr="00FD1D1D">
              <w:rPr>
                <w:rFonts w:ascii="Times New Roman" w:hAnsi="Times New Roman" w:cs="Times New Roman"/>
                <w:sz w:val="24"/>
                <w:szCs w:val="24"/>
              </w:rPr>
              <w:t>(3.2)</w:t>
            </w:r>
          </w:p>
        </w:tc>
        <w:tc>
          <w:tcPr>
            <w:tcW w:w="1015" w:type="dxa"/>
          </w:tcPr>
          <w:p w14:paraId="0BF27042" w14:textId="3075A9A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6EC93C36" w14:textId="088EA40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3917D236" w14:textId="12C45760"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8 </w:t>
            </w:r>
            <w:r w:rsidR="004F1E73" w:rsidRPr="004F1E73">
              <w:rPr>
                <w:rFonts w:ascii="Times New Roman" w:hAnsi="Times New Roman" w:cs="Times New Roman"/>
                <w:b/>
                <w:bCs/>
                <w:sz w:val="24"/>
                <w:szCs w:val="24"/>
              </w:rPr>
              <w:t>(6.4)</w:t>
            </w:r>
          </w:p>
        </w:tc>
      </w:tr>
      <w:tr w:rsidR="004F1E73" w14:paraId="61D5FDEE" w14:textId="77777777" w:rsidTr="00CB424D">
        <w:trPr>
          <w:trHeight w:val="267"/>
        </w:trPr>
        <w:tc>
          <w:tcPr>
            <w:tcW w:w="1515" w:type="dxa"/>
          </w:tcPr>
          <w:p w14:paraId="7FFA448A" w14:textId="01AE70C8"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lastRenderedPageBreak/>
              <w:t>ET</w:t>
            </w:r>
          </w:p>
        </w:tc>
        <w:tc>
          <w:tcPr>
            <w:tcW w:w="1014" w:type="dxa"/>
          </w:tcPr>
          <w:p w14:paraId="25D34274" w14:textId="732E3E57"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34A91F0D" w14:textId="0D1EFECB"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014" w:type="dxa"/>
          </w:tcPr>
          <w:p w14:paraId="5719176E" w14:textId="7058F9C0"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78A4AB67" w14:textId="29F4A0EC"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0508374" w14:textId="0783D724"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0BCFEEDB" w14:textId="289A01F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430B08BF" w14:textId="70BB4DD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195B6247" w14:textId="2C64968F"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9 </w:t>
            </w:r>
            <w:r w:rsidR="004F1E73" w:rsidRPr="004F1E73">
              <w:rPr>
                <w:rFonts w:ascii="Times New Roman" w:hAnsi="Times New Roman" w:cs="Times New Roman"/>
                <w:b/>
                <w:bCs/>
                <w:sz w:val="24"/>
                <w:szCs w:val="24"/>
              </w:rPr>
              <w:t>(7.2)</w:t>
            </w:r>
          </w:p>
        </w:tc>
      </w:tr>
      <w:tr w:rsidR="004F1E73" w14:paraId="3A33D9E4" w14:textId="77777777" w:rsidTr="00CB424D">
        <w:trPr>
          <w:trHeight w:val="267"/>
        </w:trPr>
        <w:tc>
          <w:tcPr>
            <w:tcW w:w="1515" w:type="dxa"/>
          </w:tcPr>
          <w:p w14:paraId="73391F43" w14:textId="1C294BBA"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LPN</w:t>
            </w:r>
          </w:p>
        </w:tc>
        <w:tc>
          <w:tcPr>
            <w:tcW w:w="1014" w:type="dxa"/>
          </w:tcPr>
          <w:p w14:paraId="786A4CBB" w14:textId="25BE2D5D"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210E9DCB" w14:textId="10DBF164"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48C831F6" w14:textId="553343AA"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004F1E73" w:rsidRPr="00FD1D1D">
              <w:rPr>
                <w:rFonts w:ascii="Times New Roman" w:hAnsi="Times New Roman" w:cs="Times New Roman"/>
                <w:sz w:val="24"/>
                <w:szCs w:val="24"/>
              </w:rPr>
              <w:t>(3.2)</w:t>
            </w:r>
          </w:p>
        </w:tc>
        <w:tc>
          <w:tcPr>
            <w:tcW w:w="1015" w:type="dxa"/>
          </w:tcPr>
          <w:p w14:paraId="43319391" w14:textId="09DDEF4F"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5FF6FC6A" w14:textId="47526B70"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213E4713" w14:textId="57A75DC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D397233" w14:textId="0EE9E2DB"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26" w:type="dxa"/>
          </w:tcPr>
          <w:p w14:paraId="4FDF079C" w14:textId="12F2AB7A"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16 </w:t>
            </w:r>
            <w:r w:rsidR="004F1E73" w:rsidRPr="004F1E73">
              <w:rPr>
                <w:rFonts w:ascii="Times New Roman" w:hAnsi="Times New Roman" w:cs="Times New Roman"/>
                <w:b/>
                <w:bCs/>
                <w:sz w:val="24"/>
                <w:szCs w:val="24"/>
              </w:rPr>
              <w:t>(12.8)</w:t>
            </w:r>
          </w:p>
        </w:tc>
      </w:tr>
      <w:tr w:rsidR="004F1E73" w14:paraId="19FDA9A3" w14:textId="77777777" w:rsidTr="00CB424D">
        <w:trPr>
          <w:trHeight w:val="267"/>
        </w:trPr>
        <w:tc>
          <w:tcPr>
            <w:tcW w:w="1515" w:type="dxa"/>
          </w:tcPr>
          <w:p w14:paraId="22AA3FF7" w14:textId="774AD258"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MDS</w:t>
            </w:r>
          </w:p>
        </w:tc>
        <w:tc>
          <w:tcPr>
            <w:tcW w:w="1014" w:type="dxa"/>
          </w:tcPr>
          <w:p w14:paraId="2D5CA67C" w14:textId="099C4D2C"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66BA00A" w14:textId="7EA8E74B"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9E773ED" w14:textId="66517C23"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3F573233" w14:textId="02414C9C"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0F2DA5F9" w14:textId="06E29E06"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6544F3F5" w14:textId="78DF8569"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214FE82E" w14:textId="3D1C7F12"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118AEEF3" w14:textId="68BD91A5"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2 </w:t>
            </w:r>
            <w:r w:rsidR="004F1E73" w:rsidRPr="004F1E73">
              <w:rPr>
                <w:rFonts w:ascii="Times New Roman" w:hAnsi="Times New Roman" w:cs="Times New Roman"/>
                <w:b/>
                <w:bCs/>
                <w:sz w:val="24"/>
                <w:szCs w:val="24"/>
              </w:rPr>
              <w:t>(1.6)</w:t>
            </w:r>
          </w:p>
        </w:tc>
      </w:tr>
      <w:tr w:rsidR="004F1E73" w14:paraId="73FA9F44" w14:textId="77777777" w:rsidTr="00CB424D">
        <w:trPr>
          <w:trHeight w:val="267"/>
        </w:trPr>
        <w:tc>
          <w:tcPr>
            <w:tcW w:w="1515" w:type="dxa"/>
          </w:tcPr>
          <w:p w14:paraId="4B9B79F4" w14:textId="0C747E85"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MM</w:t>
            </w:r>
          </w:p>
        </w:tc>
        <w:tc>
          <w:tcPr>
            <w:tcW w:w="1014" w:type="dxa"/>
          </w:tcPr>
          <w:p w14:paraId="557EB798" w14:textId="32780D2B"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956311C" w14:textId="0C44BCF5"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014" w:type="dxa"/>
          </w:tcPr>
          <w:p w14:paraId="7AA6F8C7" w14:textId="23B402C9"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004F1E73" w:rsidRPr="00FD1D1D">
              <w:rPr>
                <w:rFonts w:ascii="Times New Roman" w:hAnsi="Times New Roman" w:cs="Times New Roman"/>
                <w:sz w:val="24"/>
                <w:szCs w:val="24"/>
              </w:rPr>
              <w:t>(5.6)</w:t>
            </w:r>
          </w:p>
        </w:tc>
        <w:tc>
          <w:tcPr>
            <w:tcW w:w="1015" w:type="dxa"/>
          </w:tcPr>
          <w:p w14:paraId="72A2E300" w14:textId="7EA948F2"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004F1E73" w:rsidRPr="00FD1D1D">
              <w:rPr>
                <w:rFonts w:ascii="Times New Roman" w:hAnsi="Times New Roman" w:cs="Times New Roman"/>
                <w:sz w:val="24"/>
                <w:szCs w:val="24"/>
              </w:rPr>
              <w:t>(5.6)</w:t>
            </w:r>
          </w:p>
        </w:tc>
        <w:tc>
          <w:tcPr>
            <w:tcW w:w="1015" w:type="dxa"/>
          </w:tcPr>
          <w:p w14:paraId="6DEB68D0" w14:textId="0B890B68"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004F1E73" w:rsidRPr="00FD1D1D">
              <w:rPr>
                <w:rFonts w:ascii="Times New Roman" w:hAnsi="Times New Roman" w:cs="Times New Roman"/>
                <w:sz w:val="24"/>
                <w:szCs w:val="24"/>
              </w:rPr>
              <w:t>(5.6)</w:t>
            </w:r>
          </w:p>
        </w:tc>
        <w:tc>
          <w:tcPr>
            <w:tcW w:w="1015" w:type="dxa"/>
          </w:tcPr>
          <w:p w14:paraId="7B20F077" w14:textId="60E3787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004F1E73" w:rsidRPr="00FD1D1D">
              <w:rPr>
                <w:rFonts w:ascii="Times New Roman" w:hAnsi="Times New Roman" w:cs="Times New Roman"/>
                <w:sz w:val="24"/>
                <w:szCs w:val="24"/>
              </w:rPr>
              <w:t>(4)</w:t>
            </w:r>
          </w:p>
        </w:tc>
        <w:tc>
          <w:tcPr>
            <w:tcW w:w="1015" w:type="dxa"/>
          </w:tcPr>
          <w:p w14:paraId="39B5FDA4" w14:textId="02926619"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26" w:type="dxa"/>
          </w:tcPr>
          <w:p w14:paraId="15D05286" w14:textId="372674AB"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30 </w:t>
            </w:r>
            <w:r w:rsidR="004F1E73" w:rsidRPr="004F1E73">
              <w:rPr>
                <w:rFonts w:ascii="Times New Roman" w:hAnsi="Times New Roman" w:cs="Times New Roman"/>
                <w:b/>
                <w:bCs/>
                <w:sz w:val="24"/>
                <w:szCs w:val="24"/>
              </w:rPr>
              <w:t>(24)</w:t>
            </w:r>
          </w:p>
        </w:tc>
      </w:tr>
      <w:tr w:rsidR="004F1E73" w14:paraId="0C5D6EBB" w14:textId="77777777" w:rsidTr="00CB424D">
        <w:trPr>
          <w:trHeight w:val="267"/>
        </w:trPr>
        <w:tc>
          <w:tcPr>
            <w:tcW w:w="1515" w:type="dxa"/>
          </w:tcPr>
          <w:p w14:paraId="3E4142D7" w14:textId="6C26743A"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Myelofibrosis</w:t>
            </w:r>
          </w:p>
        </w:tc>
        <w:tc>
          <w:tcPr>
            <w:tcW w:w="1014" w:type="dxa"/>
          </w:tcPr>
          <w:p w14:paraId="26EAF1BC" w14:textId="42579D76"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1E487192" w14:textId="7530CE42"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C39B153" w14:textId="425042CC"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2C549B57" w14:textId="6DCAD321"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44D81872" w14:textId="182DFAAD"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312E9DF7" w14:textId="30C1D7B5"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646ECA52" w14:textId="15B7DA95"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09549178" w14:textId="27594CE3"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7 </w:t>
            </w:r>
            <w:r w:rsidR="004F1E73" w:rsidRPr="004F1E73">
              <w:rPr>
                <w:rFonts w:ascii="Times New Roman" w:hAnsi="Times New Roman" w:cs="Times New Roman"/>
                <w:b/>
                <w:bCs/>
                <w:sz w:val="24"/>
                <w:szCs w:val="24"/>
              </w:rPr>
              <w:t>(5.6)</w:t>
            </w:r>
          </w:p>
        </w:tc>
      </w:tr>
      <w:tr w:rsidR="004F1E73" w14:paraId="734A968F" w14:textId="77777777" w:rsidTr="00CB424D">
        <w:trPr>
          <w:trHeight w:val="267"/>
        </w:trPr>
        <w:tc>
          <w:tcPr>
            <w:tcW w:w="1515" w:type="dxa"/>
          </w:tcPr>
          <w:p w14:paraId="758371D0" w14:textId="1A45D2F4"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NHL</w:t>
            </w:r>
          </w:p>
        </w:tc>
        <w:tc>
          <w:tcPr>
            <w:tcW w:w="1014" w:type="dxa"/>
          </w:tcPr>
          <w:p w14:paraId="682E770A" w14:textId="3D978D1D"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5999AF38" w14:textId="16CC5B37"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77E3E975" w14:textId="7CB93FE2"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7D801FD7" w14:textId="75448FE5"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37528280" w14:textId="7AB654F3"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73654B07" w14:textId="31AEDDDF"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0FFC4647" w14:textId="1B7E269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5C20D9A6" w14:textId="67738E0E"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2 </w:t>
            </w:r>
            <w:r w:rsidR="004F1E73" w:rsidRPr="004F1E73">
              <w:rPr>
                <w:rFonts w:ascii="Times New Roman" w:hAnsi="Times New Roman" w:cs="Times New Roman"/>
                <w:b/>
                <w:bCs/>
                <w:sz w:val="24"/>
                <w:szCs w:val="24"/>
              </w:rPr>
              <w:t>(1.6)</w:t>
            </w:r>
          </w:p>
        </w:tc>
      </w:tr>
      <w:tr w:rsidR="004F1E73" w14:paraId="229640E5" w14:textId="77777777" w:rsidTr="00CB424D">
        <w:trPr>
          <w:trHeight w:val="267"/>
        </w:trPr>
        <w:tc>
          <w:tcPr>
            <w:tcW w:w="1515" w:type="dxa"/>
          </w:tcPr>
          <w:p w14:paraId="21FFB994" w14:textId="03BA941D"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Pancytopenia</w:t>
            </w:r>
          </w:p>
        </w:tc>
        <w:tc>
          <w:tcPr>
            <w:tcW w:w="1014" w:type="dxa"/>
          </w:tcPr>
          <w:p w14:paraId="616984D8" w14:textId="6D2B3295"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014" w:type="dxa"/>
          </w:tcPr>
          <w:p w14:paraId="281A3DD8" w14:textId="19AE3A89"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014" w:type="dxa"/>
          </w:tcPr>
          <w:p w14:paraId="11C3461D" w14:textId="22D4B5FA"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004F1E73" w:rsidRPr="00FD1D1D">
              <w:rPr>
                <w:rFonts w:ascii="Times New Roman" w:hAnsi="Times New Roman" w:cs="Times New Roman"/>
                <w:sz w:val="24"/>
                <w:szCs w:val="24"/>
              </w:rPr>
              <w:t>(4)</w:t>
            </w:r>
          </w:p>
        </w:tc>
        <w:tc>
          <w:tcPr>
            <w:tcW w:w="1015" w:type="dxa"/>
          </w:tcPr>
          <w:p w14:paraId="0B657452" w14:textId="5E94F83C"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4E2C2097" w14:textId="74BE0D96"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004F1E73" w:rsidRPr="00FD1D1D">
              <w:rPr>
                <w:rFonts w:ascii="Times New Roman" w:hAnsi="Times New Roman" w:cs="Times New Roman"/>
                <w:sz w:val="24"/>
                <w:szCs w:val="24"/>
              </w:rPr>
              <w:t>(1.6)</w:t>
            </w:r>
          </w:p>
        </w:tc>
        <w:tc>
          <w:tcPr>
            <w:tcW w:w="1015" w:type="dxa"/>
          </w:tcPr>
          <w:p w14:paraId="0DEB208B" w14:textId="53F97EDD"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004F1E73" w:rsidRPr="00FD1D1D">
              <w:rPr>
                <w:rFonts w:ascii="Times New Roman" w:hAnsi="Times New Roman" w:cs="Times New Roman"/>
                <w:sz w:val="24"/>
                <w:szCs w:val="24"/>
              </w:rPr>
              <w:t>(2.4)</w:t>
            </w:r>
          </w:p>
        </w:tc>
        <w:tc>
          <w:tcPr>
            <w:tcW w:w="1015" w:type="dxa"/>
          </w:tcPr>
          <w:p w14:paraId="104C2640" w14:textId="592D5CFE"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5464301A" w14:textId="112F7DEB"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15 </w:t>
            </w:r>
            <w:r w:rsidR="004F1E73" w:rsidRPr="004F1E73">
              <w:rPr>
                <w:rFonts w:ascii="Times New Roman" w:hAnsi="Times New Roman" w:cs="Times New Roman"/>
                <w:b/>
                <w:bCs/>
                <w:sz w:val="24"/>
                <w:szCs w:val="24"/>
              </w:rPr>
              <w:t>(12)</w:t>
            </w:r>
          </w:p>
        </w:tc>
      </w:tr>
      <w:tr w:rsidR="004F1E73" w14:paraId="38D6FB2F" w14:textId="77777777" w:rsidTr="00CB424D">
        <w:trPr>
          <w:trHeight w:val="549"/>
        </w:trPr>
        <w:tc>
          <w:tcPr>
            <w:tcW w:w="1515" w:type="dxa"/>
          </w:tcPr>
          <w:p w14:paraId="2BBE1515" w14:textId="27D0DC3A" w:rsidR="004F1E73" w:rsidRDefault="004F1E73"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Polycythaemia</w:t>
            </w:r>
            <w:proofErr w:type="spellEnd"/>
            <w:r w:rsidRPr="00FD1D1D">
              <w:rPr>
                <w:rFonts w:ascii="Times New Roman" w:hAnsi="Times New Roman" w:cs="Times New Roman"/>
                <w:sz w:val="24"/>
                <w:szCs w:val="24"/>
              </w:rPr>
              <w:t xml:space="preserve"> Vera</w:t>
            </w:r>
          </w:p>
        </w:tc>
        <w:tc>
          <w:tcPr>
            <w:tcW w:w="1014" w:type="dxa"/>
          </w:tcPr>
          <w:p w14:paraId="352A8F1C" w14:textId="1CEDE3A1"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3CC0E529" w14:textId="39CBC709" w:rsidR="004F1E73" w:rsidRDefault="004F1E73"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014" w:type="dxa"/>
          </w:tcPr>
          <w:p w14:paraId="4F243461" w14:textId="605B044D" w:rsidR="004F1E73" w:rsidRDefault="00BF4A27"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3AFA48F3" w14:textId="75FEB288"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2ECD78B5" w14:textId="166EA804" w:rsidR="004F1E73" w:rsidRDefault="00BE165B"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15" w:type="dxa"/>
          </w:tcPr>
          <w:p w14:paraId="1B9C76D9" w14:textId="70BB0094"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004F1E73" w:rsidRPr="00FD1D1D">
              <w:rPr>
                <w:rFonts w:ascii="Times New Roman" w:hAnsi="Times New Roman" w:cs="Times New Roman"/>
                <w:sz w:val="24"/>
                <w:szCs w:val="24"/>
              </w:rPr>
              <w:t>(0.8)</w:t>
            </w:r>
          </w:p>
        </w:tc>
        <w:tc>
          <w:tcPr>
            <w:tcW w:w="1015" w:type="dxa"/>
          </w:tcPr>
          <w:p w14:paraId="5C88140F" w14:textId="304B6E6A" w:rsidR="004F1E73" w:rsidRDefault="00911ABD"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004F1E73" w:rsidRPr="00FD1D1D">
              <w:rPr>
                <w:rFonts w:ascii="Times New Roman" w:hAnsi="Times New Roman" w:cs="Times New Roman"/>
                <w:sz w:val="24"/>
                <w:szCs w:val="24"/>
              </w:rPr>
              <w:t>(0)</w:t>
            </w:r>
          </w:p>
        </w:tc>
        <w:tc>
          <w:tcPr>
            <w:tcW w:w="1026" w:type="dxa"/>
          </w:tcPr>
          <w:p w14:paraId="6B766A40" w14:textId="15B40F21"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 </w:t>
            </w:r>
            <w:r w:rsidR="004F1E73" w:rsidRPr="004F1E73">
              <w:rPr>
                <w:rFonts w:ascii="Times New Roman" w:hAnsi="Times New Roman" w:cs="Times New Roman"/>
                <w:b/>
                <w:bCs/>
                <w:sz w:val="24"/>
                <w:szCs w:val="24"/>
              </w:rPr>
              <w:t>(0.8)</w:t>
            </w:r>
          </w:p>
        </w:tc>
      </w:tr>
      <w:tr w:rsidR="004F1E73" w14:paraId="7815DFF9" w14:textId="77777777" w:rsidTr="00CB424D">
        <w:trPr>
          <w:trHeight w:val="252"/>
        </w:trPr>
        <w:tc>
          <w:tcPr>
            <w:tcW w:w="1515" w:type="dxa"/>
          </w:tcPr>
          <w:p w14:paraId="23B10502" w14:textId="129D5FAF" w:rsidR="004F1E73" w:rsidRDefault="004F1E73"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Grand Total</w:t>
            </w:r>
          </w:p>
        </w:tc>
        <w:tc>
          <w:tcPr>
            <w:tcW w:w="1014" w:type="dxa"/>
          </w:tcPr>
          <w:p w14:paraId="32F067F6" w14:textId="27876093" w:rsidR="004F1E73" w:rsidRPr="00911ABD" w:rsidRDefault="004F1E73"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12 (9.6)</w:t>
            </w:r>
          </w:p>
        </w:tc>
        <w:tc>
          <w:tcPr>
            <w:tcW w:w="1014" w:type="dxa"/>
          </w:tcPr>
          <w:p w14:paraId="4BD104C2" w14:textId="67B443D4" w:rsidR="004F1E73" w:rsidRPr="00911ABD" w:rsidRDefault="004F1E73"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13 (10.4)</w:t>
            </w:r>
          </w:p>
        </w:tc>
        <w:tc>
          <w:tcPr>
            <w:tcW w:w="1014" w:type="dxa"/>
          </w:tcPr>
          <w:p w14:paraId="2CB06FC1" w14:textId="27BD19A5"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31 </w:t>
            </w:r>
            <w:r w:rsidR="004F1E73" w:rsidRPr="00911ABD">
              <w:rPr>
                <w:rFonts w:ascii="Times New Roman" w:hAnsi="Times New Roman" w:cs="Times New Roman"/>
                <w:b/>
                <w:sz w:val="24"/>
                <w:szCs w:val="24"/>
              </w:rPr>
              <w:t>(24.8)</w:t>
            </w:r>
          </w:p>
        </w:tc>
        <w:tc>
          <w:tcPr>
            <w:tcW w:w="1015" w:type="dxa"/>
          </w:tcPr>
          <w:p w14:paraId="07BBFA76" w14:textId="7750891C"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19 </w:t>
            </w:r>
            <w:r w:rsidR="004F1E73" w:rsidRPr="00911ABD">
              <w:rPr>
                <w:rFonts w:ascii="Times New Roman" w:hAnsi="Times New Roman" w:cs="Times New Roman"/>
                <w:b/>
                <w:sz w:val="24"/>
                <w:szCs w:val="24"/>
              </w:rPr>
              <w:t>(15.2)</w:t>
            </w:r>
          </w:p>
        </w:tc>
        <w:tc>
          <w:tcPr>
            <w:tcW w:w="1015" w:type="dxa"/>
          </w:tcPr>
          <w:p w14:paraId="51842EF3" w14:textId="320D380D"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25 </w:t>
            </w:r>
            <w:r w:rsidR="004F1E73" w:rsidRPr="00911ABD">
              <w:rPr>
                <w:rFonts w:ascii="Times New Roman" w:hAnsi="Times New Roman" w:cs="Times New Roman"/>
                <w:b/>
                <w:sz w:val="24"/>
                <w:szCs w:val="24"/>
              </w:rPr>
              <w:t>(20)</w:t>
            </w:r>
          </w:p>
        </w:tc>
        <w:tc>
          <w:tcPr>
            <w:tcW w:w="1015" w:type="dxa"/>
          </w:tcPr>
          <w:p w14:paraId="5709EEF3" w14:textId="7940B994"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20 </w:t>
            </w:r>
            <w:r w:rsidR="004F1E73" w:rsidRPr="00911ABD">
              <w:rPr>
                <w:rFonts w:ascii="Times New Roman" w:hAnsi="Times New Roman" w:cs="Times New Roman"/>
                <w:b/>
                <w:sz w:val="24"/>
                <w:szCs w:val="24"/>
              </w:rPr>
              <w:t>(16)</w:t>
            </w:r>
          </w:p>
        </w:tc>
        <w:tc>
          <w:tcPr>
            <w:tcW w:w="1015" w:type="dxa"/>
          </w:tcPr>
          <w:p w14:paraId="3320D5D7" w14:textId="3044B5EA" w:rsidR="004F1E73" w:rsidRPr="00911ABD" w:rsidRDefault="00BF4A27"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sz w:val="24"/>
                <w:szCs w:val="24"/>
              </w:rPr>
              <w:t xml:space="preserve">5 </w:t>
            </w:r>
            <w:r w:rsidR="004F1E73" w:rsidRPr="00911ABD">
              <w:rPr>
                <w:rFonts w:ascii="Times New Roman" w:hAnsi="Times New Roman" w:cs="Times New Roman"/>
                <w:b/>
                <w:sz w:val="24"/>
                <w:szCs w:val="24"/>
              </w:rPr>
              <w:t>(4)</w:t>
            </w:r>
          </w:p>
        </w:tc>
        <w:tc>
          <w:tcPr>
            <w:tcW w:w="1026" w:type="dxa"/>
          </w:tcPr>
          <w:p w14:paraId="0DB872B9" w14:textId="7771BB2B" w:rsidR="004F1E73" w:rsidRPr="004F1E73" w:rsidRDefault="00BF4A27" w:rsidP="003F5A64">
            <w:pPr>
              <w:tabs>
                <w:tab w:val="left" w:pos="834"/>
              </w:tabs>
              <w:spacing w:line="276" w:lineRule="auto"/>
              <w:jc w:val="both"/>
              <w:rPr>
                <w:rFonts w:ascii="Times New Roman" w:hAnsi="Times New Roman" w:cs="Times New Roman"/>
                <w:b/>
              </w:rPr>
            </w:pPr>
            <w:r>
              <w:rPr>
                <w:rFonts w:ascii="Times New Roman" w:hAnsi="Times New Roman" w:cs="Times New Roman"/>
                <w:b/>
                <w:bCs/>
                <w:sz w:val="24"/>
                <w:szCs w:val="24"/>
              </w:rPr>
              <w:t xml:space="preserve">125 </w:t>
            </w:r>
            <w:r w:rsidR="004F1E73" w:rsidRPr="004F1E73">
              <w:rPr>
                <w:rFonts w:ascii="Times New Roman" w:hAnsi="Times New Roman" w:cs="Times New Roman"/>
                <w:b/>
                <w:bCs/>
                <w:sz w:val="24"/>
                <w:szCs w:val="24"/>
              </w:rPr>
              <w:t>(100)</w:t>
            </w:r>
          </w:p>
        </w:tc>
      </w:tr>
    </w:tbl>
    <w:p w14:paraId="5BEFECC1" w14:textId="20A9A364" w:rsidR="00BA5FE3" w:rsidRDefault="00BA5FE3" w:rsidP="003F5A64">
      <w:pPr>
        <w:tabs>
          <w:tab w:val="left" w:pos="834"/>
        </w:tabs>
        <w:spacing w:after="0" w:line="276" w:lineRule="auto"/>
        <w:jc w:val="both"/>
        <w:rPr>
          <w:rFonts w:ascii="Times New Roman" w:hAnsi="Times New Roman" w:cs="Times New Roman"/>
        </w:rPr>
      </w:pPr>
    </w:p>
    <w:p w14:paraId="26EE0347" w14:textId="14008D5E" w:rsidR="00604761" w:rsidRDefault="00604761" w:rsidP="003F5A64">
      <w:pPr>
        <w:tabs>
          <w:tab w:val="left" w:pos="834"/>
        </w:tabs>
        <w:spacing w:after="0" w:line="276" w:lineRule="auto"/>
        <w:jc w:val="both"/>
        <w:rPr>
          <w:rFonts w:ascii="Times New Roman" w:hAnsi="Times New Roman" w:cs="Times New Roman"/>
        </w:rPr>
      </w:pPr>
    </w:p>
    <w:p w14:paraId="743C0911" w14:textId="77777777" w:rsidR="00604761" w:rsidRDefault="00604761" w:rsidP="003F5A64">
      <w:pPr>
        <w:tabs>
          <w:tab w:val="left" w:pos="834"/>
        </w:tabs>
        <w:spacing w:after="0" w:line="276" w:lineRule="auto"/>
        <w:jc w:val="both"/>
        <w:rPr>
          <w:rFonts w:ascii="Times New Roman" w:hAnsi="Times New Roman" w:cs="Times New Roman"/>
        </w:rPr>
      </w:pPr>
    </w:p>
    <w:p w14:paraId="26E32DA2" w14:textId="3DD22F8C" w:rsidR="004F1E73" w:rsidRPr="0089664F" w:rsidRDefault="004F1E73" w:rsidP="003F5A64">
      <w:pPr>
        <w:pStyle w:val="Caption"/>
        <w:keepNext/>
        <w:spacing w:line="276" w:lineRule="auto"/>
        <w:jc w:val="both"/>
        <w:rPr>
          <w:rFonts w:ascii="Times New Roman" w:hAnsi="Times New Roman" w:cs="Times New Roman"/>
          <w:color w:val="auto"/>
          <w:sz w:val="24"/>
          <w:szCs w:val="24"/>
        </w:rPr>
      </w:pPr>
      <w:r w:rsidRPr="0089664F">
        <w:rPr>
          <w:rFonts w:ascii="Times New Roman" w:hAnsi="Times New Roman" w:cs="Times New Roman"/>
          <w:color w:val="auto"/>
          <w:sz w:val="24"/>
          <w:szCs w:val="24"/>
        </w:rPr>
        <w:t xml:space="preserve">Table </w:t>
      </w:r>
      <w:r w:rsidR="00911ABD">
        <w:rPr>
          <w:rFonts w:ascii="Times New Roman" w:hAnsi="Times New Roman" w:cs="Times New Roman"/>
          <w:color w:val="auto"/>
          <w:sz w:val="24"/>
          <w:szCs w:val="24"/>
        </w:rPr>
        <w:t>4</w:t>
      </w:r>
      <w:r w:rsidRPr="0089664F">
        <w:rPr>
          <w:rFonts w:ascii="Times New Roman" w:hAnsi="Times New Roman" w:cs="Times New Roman"/>
          <w:color w:val="auto"/>
          <w:sz w:val="24"/>
          <w:szCs w:val="24"/>
        </w:rPr>
        <w:t xml:space="preserve">: Indications for BMB according to </w:t>
      </w:r>
      <w:r>
        <w:rPr>
          <w:rFonts w:ascii="Times New Roman" w:hAnsi="Times New Roman" w:cs="Times New Roman"/>
          <w:color w:val="auto"/>
          <w:sz w:val="24"/>
          <w:szCs w:val="24"/>
        </w:rPr>
        <w:t>S</w:t>
      </w:r>
      <w:r w:rsidRPr="0089664F">
        <w:rPr>
          <w:rFonts w:ascii="Times New Roman" w:hAnsi="Times New Roman" w:cs="Times New Roman"/>
          <w:color w:val="auto"/>
          <w:sz w:val="24"/>
          <w:szCs w:val="24"/>
        </w:rPr>
        <w:t xml:space="preserve">ex </w:t>
      </w:r>
    </w:p>
    <w:p w14:paraId="1199FAEB" w14:textId="77777777" w:rsidR="00BA5FE3" w:rsidRDefault="00BA5FE3" w:rsidP="003F5A64">
      <w:pPr>
        <w:tabs>
          <w:tab w:val="left" w:pos="834"/>
        </w:tabs>
        <w:spacing w:after="0" w:line="276" w:lineRule="auto"/>
        <w:jc w:val="both"/>
        <w:rPr>
          <w:rFonts w:ascii="Times New Roman" w:hAnsi="Times New Roman" w:cs="Times New Roman"/>
        </w:rPr>
      </w:pPr>
    </w:p>
    <w:p w14:paraId="1FB70C43" w14:textId="77777777" w:rsidR="00BA5FE3" w:rsidRDefault="00BA5FE3" w:rsidP="003F5A64">
      <w:pPr>
        <w:tabs>
          <w:tab w:val="left" w:pos="834"/>
        </w:tabs>
        <w:spacing w:after="0" w:line="276" w:lineRule="auto"/>
        <w:jc w:val="both"/>
        <w:rPr>
          <w:rFonts w:ascii="Times New Roman" w:hAnsi="Times New Roman" w:cs="Times New Roman"/>
        </w:rPr>
      </w:pPr>
    </w:p>
    <w:p w14:paraId="540256B7" w14:textId="77777777" w:rsidR="00BA5FE3" w:rsidRDefault="00BA5FE3" w:rsidP="003F5A64">
      <w:pPr>
        <w:tabs>
          <w:tab w:val="left" w:pos="834"/>
        </w:tabs>
        <w:spacing w:after="0" w:line="276" w:lineRule="auto"/>
        <w:jc w:val="both"/>
        <w:rPr>
          <w:rFonts w:ascii="Times New Roman" w:hAnsi="Times New Roman" w:cs="Times New Roman"/>
        </w:rPr>
      </w:pPr>
    </w:p>
    <w:p w14:paraId="4B8C19CE" w14:textId="77777777" w:rsidR="00BA5FE3" w:rsidRDefault="00BA5FE3" w:rsidP="003F5A64">
      <w:pPr>
        <w:tabs>
          <w:tab w:val="left" w:pos="834"/>
        </w:tabs>
        <w:spacing w:after="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1915"/>
        <w:gridCol w:w="1915"/>
        <w:gridCol w:w="1915"/>
        <w:gridCol w:w="1915"/>
      </w:tblGrid>
      <w:tr w:rsidR="00604761" w14:paraId="04EF4DCD" w14:textId="77777777" w:rsidTr="00BA5FE3">
        <w:tc>
          <w:tcPr>
            <w:tcW w:w="1915" w:type="dxa"/>
          </w:tcPr>
          <w:p w14:paraId="63C17490" w14:textId="5279724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rPr>
              <w:t>INDICATION</w:t>
            </w:r>
          </w:p>
        </w:tc>
        <w:tc>
          <w:tcPr>
            <w:tcW w:w="1915" w:type="dxa"/>
          </w:tcPr>
          <w:p w14:paraId="0FA1984D" w14:textId="6DE2ABD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rPr>
              <w:t>M (n%)</w:t>
            </w:r>
          </w:p>
        </w:tc>
        <w:tc>
          <w:tcPr>
            <w:tcW w:w="1915" w:type="dxa"/>
          </w:tcPr>
          <w:p w14:paraId="455C693C" w14:textId="1ECF17E0"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rPr>
              <w:t>F (n%)</w:t>
            </w:r>
          </w:p>
        </w:tc>
        <w:tc>
          <w:tcPr>
            <w:tcW w:w="1915" w:type="dxa"/>
          </w:tcPr>
          <w:p w14:paraId="053E0389" w14:textId="01CE17DE" w:rsidR="00604761" w:rsidRPr="00665AFD" w:rsidRDefault="00604761" w:rsidP="003F5A64">
            <w:pPr>
              <w:tabs>
                <w:tab w:val="left" w:pos="834"/>
              </w:tabs>
              <w:spacing w:line="276" w:lineRule="auto"/>
              <w:jc w:val="both"/>
              <w:rPr>
                <w:rFonts w:ascii="Times New Roman" w:hAnsi="Times New Roman" w:cs="Times New Roman"/>
                <w:b/>
              </w:rPr>
            </w:pPr>
            <w:r w:rsidRPr="00665AFD">
              <w:rPr>
                <w:rFonts w:ascii="Times New Roman" w:hAnsi="Times New Roman" w:cs="Times New Roman"/>
                <w:b/>
              </w:rPr>
              <w:t>Grand Total</w:t>
            </w:r>
          </w:p>
        </w:tc>
      </w:tr>
      <w:tr w:rsidR="00604761" w14:paraId="5D8A149D" w14:textId="77777777" w:rsidTr="00BA5FE3">
        <w:tc>
          <w:tcPr>
            <w:tcW w:w="1915" w:type="dxa"/>
          </w:tcPr>
          <w:p w14:paraId="6B885570" w14:textId="60672F4C" w:rsidR="00604761" w:rsidRDefault="00604761"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Anaemia</w:t>
            </w:r>
            <w:proofErr w:type="spellEnd"/>
          </w:p>
        </w:tc>
        <w:tc>
          <w:tcPr>
            <w:tcW w:w="1915" w:type="dxa"/>
          </w:tcPr>
          <w:p w14:paraId="68428AB8" w14:textId="66513CAB"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8 </w:t>
            </w:r>
            <w:r w:rsidRPr="00FD1D1D">
              <w:rPr>
                <w:rFonts w:ascii="Times New Roman" w:hAnsi="Times New Roman" w:cs="Times New Roman"/>
                <w:sz w:val="24"/>
                <w:szCs w:val="24"/>
              </w:rPr>
              <w:t>(6.4)</w:t>
            </w:r>
          </w:p>
        </w:tc>
        <w:tc>
          <w:tcPr>
            <w:tcW w:w="1915" w:type="dxa"/>
          </w:tcPr>
          <w:p w14:paraId="5BD09760" w14:textId="6C0013BB"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10 </w:t>
            </w:r>
            <w:r w:rsidRPr="00FD1D1D">
              <w:rPr>
                <w:rFonts w:ascii="Times New Roman" w:hAnsi="Times New Roman" w:cs="Times New Roman"/>
                <w:sz w:val="24"/>
                <w:szCs w:val="24"/>
              </w:rPr>
              <w:t>(8)</w:t>
            </w:r>
          </w:p>
        </w:tc>
        <w:tc>
          <w:tcPr>
            <w:tcW w:w="1915" w:type="dxa"/>
          </w:tcPr>
          <w:p w14:paraId="6C4C123E" w14:textId="70D93C6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18 (14.4)</w:t>
            </w:r>
          </w:p>
        </w:tc>
      </w:tr>
      <w:tr w:rsidR="00604761" w14:paraId="2E212F4D" w14:textId="77777777" w:rsidTr="00BA5FE3">
        <w:tc>
          <w:tcPr>
            <w:tcW w:w="1915" w:type="dxa"/>
          </w:tcPr>
          <w:p w14:paraId="1545AB3F" w14:textId="00F540CD"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 xml:space="preserve">Acute </w:t>
            </w:r>
            <w:proofErr w:type="spellStart"/>
            <w:r w:rsidRPr="00FD1D1D">
              <w:rPr>
                <w:rFonts w:ascii="Times New Roman" w:hAnsi="Times New Roman" w:cs="Times New Roman"/>
                <w:sz w:val="24"/>
                <w:szCs w:val="24"/>
              </w:rPr>
              <w:t>Leukaemia</w:t>
            </w:r>
            <w:proofErr w:type="spellEnd"/>
            <w:r w:rsidRPr="00FD1D1D">
              <w:rPr>
                <w:rFonts w:ascii="Times New Roman" w:hAnsi="Times New Roman" w:cs="Times New Roman"/>
                <w:sz w:val="24"/>
                <w:szCs w:val="24"/>
              </w:rPr>
              <w:t>, Unspecified</w:t>
            </w:r>
          </w:p>
        </w:tc>
        <w:tc>
          <w:tcPr>
            <w:tcW w:w="1915" w:type="dxa"/>
          </w:tcPr>
          <w:p w14:paraId="2CC74C0E" w14:textId="43B3E354"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74BD8974" w14:textId="2904805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4 </w:t>
            </w:r>
            <w:r w:rsidRPr="00FD1D1D">
              <w:rPr>
                <w:rFonts w:ascii="Times New Roman" w:hAnsi="Times New Roman" w:cs="Times New Roman"/>
                <w:sz w:val="24"/>
                <w:szCs w:val="24"/>
              </w:rPr>
              <w:t>(3.2)</w:t>
            </w:r>
          </w:p>
        </w:tc>
        <w:tc>
          <w:tcPr>
            <w:tcW w:w="1915" w:type="dxa"/>
          </w:tcPr>
          <w:p w14:paraId="264F1536" w14:textId="53211C3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6 (4.8)</w:t>
            </w:r>
          </w:p>
        </w:tc>
      </w:tr>
      <w:tr w:rsidR="00604761" w14:paraId="67DB349D" w14:textId="77777777" w:rsidTr="00BA5FE3">
        <w:tc>
          <w:tcPr>
            <w:tcW w:w="1915" w:type="dxa"/>
          </w:tcPr>
          <w:p w14:paraId="4A205924" w14:textId="7A6974D0"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AML</w:t>
            </w:r>
          </w:p>
        </w:tc>
        <w:tc>
          <w:tcPr>
            <w:tcW w:w="1915" w:type="dxa"/>
          </w:tcPr>
          <w:p w14:paraId="56088E72" w14:textId="0E9B566C"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Pr="00FD1D1D">
              <w:rPr>
                <w:rFonts w:ascii="Times New Roman" w:hAnsi="Times New Roman" w:cs="Times New Roman"/>
                <w:sz w:val="24"/>
                <w:szCs w:val="24"/>
              </w:rPr>
              <w:t>(4)</w:t>
            </w:r>
          </w:p>
        </w:tc>
        <w:tc>
          <w:tcPr>
            <w:tcW w:w="1915" w:type="dxa"/>
          </w:tcPr>
          <w:p w14:paraId="214D997C" w14:textId="675EA4DB"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3905FD5E" w14:textId="4428BD80"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7 (5.6)</w:t>
            </w:r>
          </w:p>
        </w:tc>
      </w:tr>
      <w:tr w:rsidR="00604761" w14:paraId="6D73A5C6" w14:textId="77777777" w:rsidTr="00BA5FE3">
        <w:tc>
          <w:tcPr>
            <w:tcW w:w="1915" w:type="dxa"/>
          </w:tcPr>
          <w:p w14:paraId="5F7E6564" w14:textId="0AB79329" w:rsidR="00604761" w:rsidRDefault="00604761" w:rsidP="003F5A64">
            <w:pPr>
              <w:tabs>
                <w:tab w:val="left" w:pos="834"/>
              </w:tabs>
              <w:spacing w:line="276" w:lineRule="auto"/>
              <w:jc w:val="both"/>
              <w:rPr>
                <w:rFonts w:ascii="Times New Roman" w:hAnsi="Times New Roman" w:cs="Times New Roman"/>
              </w:rPr>
            </w:pPr>
            <w:proofErr w:type="spellStart"/>
            <w:r w:rsidRPr="00FD1D1D">
              <w:rPr>
                <w:rFonts w:ascii="Times New Roman" w:hAnsi="Times New Roman" w:cs="Times New Roman"/>
                <w:sz w:val="24"/>
                <w:szCs w:val="24"/>
              </w:rPr>
              <w:t>Bicytopoenia</w:t>
            </w:r>
            <w:proofErr w:type="spellEnd"/>
          </w:p>
        </w:tc>
        <w:tc>
          <w:tcPr>
            <w:tcW w:w="1915" w:type="dxa"/>
          </w:tcPr>
          <w:p w14:paraId="0F049EEC" w14:textId="6DC20E7D"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3F51854C" w14:textId="096BD012"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35738BFA" w14:textId="70884FDE"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2 (2.4)</w:t>
            </w:r>
          </w:p>
        </w:tc>
      </w:tr>
      <w:tr w:rsidR="00604761" w14:paraId="618A9ACA" w14:textId="77777777" w:rsidTr="00BA5FE3">
        <w:tc>
          <w:tcPr>
            <w:tcW w:w="1915" w:type="dxa"/>
          </w:tcPr>
          <w:p w14:paraId="08AB8529" w14:textId="5B37167C"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CEL</w:t>
            </w:r>
          </w:p>
        </w:tc>
        <w:tc>
          <w:tcPr>
            <w:tcW w:w="1915" w:type="dxa"/>
          </w:tcPr>
          <w:p w14:paraId="37201C7C" w14:textId="7C309065"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65F1896D" w14:textId="2785D0FE"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0 </w:t>
            </w:r>
            <w:r w:rsidRPr="00FD1D1D">
              <w:rPr>
                <w:rFonts w:ascii="Times New Roman" w:hAnsi="Times New Roman" w:cs="Times New Roman"/>
                <w:sz w:val="24"/>
                <w:szCs w:val="24"/>
              </w:rPr>
              <w:t>(0)</w:t>
            </w:r>
          </w:p>
        </w:tc>
        <w:tc>
          <w:tcPr>
            <w:tcW w:w="1915" w:type="dxa"/>
          </w:tcPr>
          <w:p w14:paraId="7E320644" w14:textId="7279CF09"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 (0.8)</w:t>
            </w:r>
          </w:p>
        </w:tc>
      </w:tr>
      <w:tr w:rsidR="00604761" w14:paraId="2301A2BF" w14:textId="77777777" w:rsidTr="00BA5FE3">
        <w:tc>
          <w:tcPr>
            <w:tcW w:w="1915" w:type="dxa"/>
          </w:tcPr>
          <w:p w14:paraId="1D61120C" w14:textId="55ADD824"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CLL</w:t>
            </w:r>
          </w:p>
        </w:tc>
        <w:tc>
          <w:tcPr>
            <w:tcW w:w="1915" w:type="dxa"/>
          </w:tcPr>
          <w:p w14:paraId="2FFE27F5" w14:textId="19F53762"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6 </w:t>
            </w:r>
            <w:r w:rsidRPr="00FD1D1D">
              <w:rPr>
                <w:rFonts w:ascii="Times New Roman" w:hAnsi="Times New Roman" w:cs="Times New Roman"/>
                <w:sz w:val="24"/>
                <w:szCs w:val="24"/>
              </w:rPr>
              <w:t>(4.8)</w:t>
            </w:r>
          </w:p>
        </w:tc>
        <w:tc>
          <w:tcPr>
            <w:tcW w:w="1915" w:type="dxa"/>
          </w:tcPr>
          <w:p w14:paraId="444FB46D" w14:textId="54F6EA8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40C98BF2" w14:textId="54B3EED1"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8 (6.4)</w:t>
            </w:r>
          </w:p>
        </w:tc>
      </w:tr>
      <w:tr w:rsidR="00604761" w14:paraId="0EDD3A15" w14:textId="77777777" w:rsidTr="00BA5FE3">
        <w:tc>
          <w:tcPr>
            <w:tcW w:w="1915" w:type="dxa"/>
          </w:tcPr>
          <w:p w14:paraId="10CD4884" w14:textId="6E458CA8"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ET</w:t>
            </w:r>
          </w:p>
        </w:tc>
        <w:tc>
          <w:tcPr>
            <w:tcW w:w="1915" w:type="dxa"/>
          </w:tcPr>
          <w:p w14:paraId="2E639C3D" w14:textId="10E2D533"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6 </w:t>
            </w:r>
            <w:r w:rsidRPr="00FD1D1D">
              <w:rPr>
                <w:rFonts w:ascii="Times New Roman" w:hAnsi="Times New Roman" w:cs="Times New Roman"/>
                <w:sz w:val="24"/>
                <w:szCs w:val="24"/>
              </w:rPr>
              <w:t>(4.8)</w:t>
            </w:r>
          </w:p>
        </w:tc>
        <w:tc>
          <w:tcPr>
            <w:tcW w:w="1915" w:type="dxa"/>
          </w:tcPr>
          <w:p w14:paraId="3E6D910C" w14:textId="5027451A"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915" w:type="dxa"/>
          </w:tcPr>
          <w:p w14:paraId="0C625EBE" w14:textId="1820245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9 (7.2)</w:t>
            </w:r>
          </w:p>
        </w:tc>
      </w:tr>
      <w:tr w:rsidR="00604761" w14:paraId="260728B9" w14:textId="77777777" w:rsidTr="00BA5FE3">
        <w:tc>
          <w:tcPr>
            <w:tcW w:w="1915" w:type="dxa"/>
          </w:tcPr>
          <w:p w14:paraId="300DAF67" w14:textId="7D320C14"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LPN</w:t>
            </w:r>
          </w:p>
        </w:tc>
        <w:tc>
          <w:tcPr>
            <w:tcW w:w="1915" w:type="dxa"/>
          </w:tcPr>
          <w:p w14:paraId="180EE0C1" w14:textId="3E553FEE"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7 </w:t>
            </w:r>
            <w:r w:rsidRPr="00FD1D1D">
              <w:rPr>
                <w:rFonts w:ascii="Times New Roman" w:hAnsi="Times New Roman" w:cs="Times New Roman"/>
                <w:sz w:val="24"/>
                <w:szCs w:val="24"/>
              </w:rPr>
              <w:t>(5.6)</w:t>
            </w:r>
          </w:p>
        </w:tc>
        <w:tc>
          <w:tcPr>
            <w:tcW w:w="1915" w:type="dxa"/>
          </w:tcPr>
          <w:p w14:paraId="0DD119E4" w14:textId="7BB6EA62" w:rsidR="00604761" w:rsidRDefault="00604761" w:rsidP="003F5A64">
            <w:pPr>
              <w:tabs>
                <w:tab w:val="left" w:pos="834"/>
              </w:tabs>
              <w:spacing w:line="276" w:lineRule="auto"/>
              <w:jc w:val="both"/>
              <w:rPr>
                <w:rFonts w:ascii="Times New Roman" w:hAnsi="Times New Roman" w:cs="Times New Roman"/>
              </w:rPr>
            </w:pPr>
            <w:proofErr w:type="gramStart"/>
            <w:r>
              <w:rPr>
                <w:rFonts w:ascii="Times New Roman" w:hAnsi="Times New Roman" w:cs="Times New Roman"/>
                <w:sz w:val="24"/>
                <w:szCs w:val="24"/>
              </w:rPr>
              <w:t xml:space="preserve">9  </w:t>
            </w:r>
            <w:r w:rsidRPr="00FD1D1D">
              <w:rPr>
                <w:rFonts w:ascii="Times New Roman" w:hAnsi="Times New Roman" w:cs="Times New Roman"/>
                <w:sz w:val="24"/>
                <w:szCs w:val="24"/>
              </w:rPr>
              <w:t>(</w:t>
            </w:r>
            <w:proofErr w:type="gramEnd"/>
            <w:r w:rsidRPr="00FD1D1D">
              <w:rPr>
                <w:rFonts w:ascii="Times New Roman" w:hAnsi="Times New Roman" w:cs="Times New Roman"/>
                <w:sz w:val="24"/>
                <w:szCs w:val="24"/>
              </w:rPr>
              <w:t>7.2)</w:t>
            </w:r>
          </w:p>
        </w:tc>
        <w:tc>
          <w:tcPr>
            <w:tcW w:w="1915" w:type="dxa"/>
          </w:tcPr>
          <w:p w14:paraId="29DB0823" w14:textId="5A9948D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16 (12.8)</w:t>
            </w:r>
          </w:p>
        </w:tc>
      </w:tr>
      <w:tr w:rsidR="00604761" w14:paraId="79B351CD" w14:textId="77777777" w:rsidTr="00BA5FE3">
        <w:tc>
          <w:tcPr>
            <w:tcW w:w="1915" w:type="dxa"/>
          </w:tcPr>
          <w:p w14:paraId="7343665A" w14:textId="04064FA2"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MDS</w:t>
            </w:r>
          </w:p>
        </w:tc>
        <w:tc>
          <w:tcPr>
            <w:tcW w:w="1915" w:type="dxa"/>
          </w:tcPr>
          <w:p w14:paraId="7BBA87E6" w14:textId="09F5243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3DFC707A" w14:textId="6FE34605"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1873BDC8" w14:textId="6DEDFBC3"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2 (1.6)</w:t>
            </w:r>
          </w:p>
        </w:tc>
      </w:tr>
      <w:tr w:rsidR="00604761" w14:paraId="376CF8F8" w14:textId="77777777" w:rsidTr="00BA5FE3">
        <w:tc>
          <w:tcPr>
            <w:tcW w:w="1915" w:type="dxa"/>
          </w:tcPr>
          <w:p w14:paraId="65FADA06" w14:textId="0129B0C7"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MM</w:t>
            </w:r>
          </w:p>
        </w:tc>
        <w:tc>
          <w:tcPr>
            <w:tcW w:w="1915" w:type="dxa"/>
          </w:tcPr>
          <w:p w14:paraId="638B03ED" w14:textId="316B674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21 </w:t>
            </w:r>
            <w:r w:rsidRPr="00FD1D1D">
              <w:rPr>
                <w:rFonts w:ascii="Times New Roman" w:hAnsi="Times New Roman" w:cs="Times New Roman"/>
                <w:sz w:val="24"/>
                <w:szCs w:val="24"/>
              </w:rPr>
              <w:t>(16.8)</w:t>
            </w:r>
          </w:p>
        </w:tc>
        <w:tc>
          <w:tcPr>
            <w:tcW w:w="1915" w:type="dxa"/>
          </w:tcPr>
          <w:p w14:paraId="67227C94" w14:textId="1D0EC0CF"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9 </w:t>
            </w:r>
            <w:r w:rsidRPr="00FD1D1D">
              <w:rPr>
                <w:rFonts w:ascii="Times New Roman" w:hAnsi="Times New Roman" w:cs="Times New Roman"/>
                <w:sz w:val="24"/>
                <w:szCs w:val="24"/>
              </w:rPr>
              <w:t>(7.2)</w:t>
            </w:r>
          </w:p>
        </w:tc>
        <w:tc>
          <w:tcPr>
            <w:tcW w:w="1915" w:type="dxa"/>
          </w:tcPr>
          <w:p w14:paraId="31121FAB" w14:textId="3B2F669D"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30 (24)</w:t>
            </w:r>
          </w:p>
        </w:tc>
      </w:tr>
      <w:tr w:rsidR="00604761" w14:paraId="76ED5CCC" w14:textId="77777777" w:rsidTr="00BA5FE3">
        <w:tc>
          <w:tcPr>
            <w:tcW w:w="1915" w:type="dxa"/>
          </w:tcPr>
          <w:p w14:paraId="763504A3" w14:textId="376F7B3D"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Myelofibrosis</w:t>
            </w:r>
          </w:p>
        </w:tc>
        <w:tc>
          <w:tcPr>
            <w:tcW w:w="1915" w:type="dxa"/>
          </w:tcPr>
          <w:p w14:paraId="6AFFE649" w14:textId="20E9ACF5"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5 </w:t>
            </w:r>
            <w:r w:rsidRPr="00FD1D1D">
              <w:rPr>
                <w:rFonts w:ascii="Times New Roman" w:hAnsi="Times New Roman" w:cs="Times New Roman"/>
                <w:sz w:val="24"/>
                <w:szCs w:val="24"/>
              </w:rPr>
              <w:t>(4)</w:t>
            </w:r>
          </w:p>
        </w:tc>
        <w:tc>
          <w:tcPr>
            <w:tcW w:w="1915" w:type="dxa"/>
          </w:tcPr>
          <w:p w14:paraId="76326F22" w14:textId="18A8D248"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2 </w:t>
            </w:r>
            <w:r w:rsidRPr="00FD1D1D">
              <w:rPr>
                <w:rFonts w:ascii="Times New Roman" w:hAnsi="Times New Roman" w:cs="Times New Roman"/>
                <w:sz w:val="24"/>
                <w:szCs w:val="24"/>
              </w:rPr>
              <w:t>(1.6)</w:t>
            </w:r>
          </w:p>
        </w:tc>
        <w:tc>
          <w:tcPr>
            <w:tcW w:w="1915" w:type="dxa"/>
          </w:tcPr>
          <w:p w14:paraId="07DE6BDB" w14:textId="31C5311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7 (5.6)</w:t>
            </w:r>
          </w:p>
        </w:tc>
      </w:tr>
      <w:tr w:rsidR="00604761" w14:paraId="76596C78" w14:textId="77777777" w:rsidTr="00BA5FE3">
        <w:tc>
          <w:tcPr>
            <w:tcW w:w="1915" w:type="dxa"/>
          </w:tcPr>
          <w:p w14:paraId="7C90C0F9" w14:textId="4AD7AECC"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NHL</w:t>
            </w:r>
          </w:p>
        </w:tc>
        <w:tc>
          <w:tcPr>
            <w:tcW w:w="1915" w:type="dxa"/>
          </w:tcPr>
          <w:p w14:paraId="58480C50" w14:textId="24151364"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5F0D3CA4" w14:textId="283702F9"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1 </w:t>
            </w:r>
            <w:r w:rsidRPr="00FD1D1D">
              <w:rPr>
                <w:rFonts w:ascii="Times New Roman" w:hAnsi="Times New Roman" w:cs="Times New Roman"/>
                <w:sz w:val="24"/>
                <w:szCs w:val="24"/>
              </w:rPr>
              <w:t>(0.8)</w:t>
            </w:r>
          </w:p>
        </w:tc>
        <w:tc>
          <w:tcPr>
            <w:tcW w:w="1915" w:type="dxa"/>
          </w:tcPr>
          <w:p w14:paraId="19DC48C8" w14:textId="50DF88D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2 (1.6)</w:t>
            </w:r>
          </w:p>
        </w:tc>
      </w:tr>
      <w:tr w:rsidR="00604761" w14:paraId="26A0E782" w14:textId="77777777" w:rsidTr="00BA5FE3">
        <w:tc>
          <w:tcPr>
            <w:tcW w:w="1915" w:type="dxa"/>
          </w:tcPr>
          <w:p w14:paraId="3147B614" w14:textId="4F59B308"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sz w:val="24"/>
                <w:szCs w:val="24"/>
              </w:rPr>
              <w:t>Pancytopenia</w:t>
            </w:r>
          </w:p>
        </w:tc>
        <w:tc>
          <w:tcPr>
            <w:tcW w:w="1915" w:type="dxa"/>
          </w:tcPr>
          <w:p w14:paraId="2720DF81" w14:textId="7FB80CDF"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12</w:t>
            </w:r>
            <w:r>
              <w:rPr>
                <w:rFonts w:ascii="Times New Roman" w:hAnsi="Times New Roman" w:cs="Times New Roman"/>
                <w:sz w:val="24"/>
                <w:szCs w:val="24"/>
              </w:rPr>
              <w:t xml:space="preserve"> (9.6)</w:t>
            </w:r>
          </w:p>
        </w:tc>
        <w:tc>
          <w:tcPr>
            <w:tcW w:w="1915" w:type="dxa"/>
          </w:tcPr>
          <w:p w14:paraId="332B2138" w14:textId="6D9F7720"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 xml:space="preserve">3 </w:t>
            </w:r>
            <w:r w:rsidRPr="00FD1D1D">
              <w:rPr>
                <w:rFonts w:ascii="Times New Roman" w:hAnsi="Times New Roman" w:cs="Times New Roman"/>
                <w:sz w:val="24"/>
                <w:szCs w:val="24"/>
              </w:rPr>
              <w:t>(2.4)</w:t>
            </w:r>
          </w:p>
        </w:tc>
        <w:tc>
          <w:tcPr>
            <w:tcW w:w="1915" w:type="dxa"/>
          </w:tcPr>
          <w:p w14:paraId="18A63484" w14:textId="6128BB04"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15 (12)</w:t>
            </w:r>
          </w:p>
        </w:tc>
      </w:tr>
      <w:tr w:rsidR="00604761" w14:paraId="0CA2268D" w14:textId="77777777" w:rsidTr="00BA5FE3">
        <w:tc>
          <w:tcPr>
            <w:tcW w:w="1915" w:type="dxa"/>
          </w:tcPr>
          <w:p w14:paraId="5906A026" w14:textId="3F361B77" w:rsidR="00604761" w:rsidRPr="00FD1D1D" w:rsidRDefault="00604761" w:rsidP="003F5A64">
            <w:pPr>
              <w:tabs>
                <w:tab w:val="left" w:pos="834"/>
              </w:tabs>
              <w:spacing w:line="276" w:lineRule="auto"/>
              <w:jc w:val="both"/>
              <w:rPr>
                <w:rFonts w:ascii="Times New Roman" w:hAnsi="Times New Roman" w:cs="Times New Roman"/>
                <w:sz w:val="24"/>
                <w:szCs w:val="24"/>
              </w:rPr>
            </w:pPr>
            <w:proofErr w:type="spellStart"/>
            <w:r w:rsidRPr="00FD1D1D">
              <w:rPr>
                <w:rFonts w:ascii="Times New Roman" w:hAnsi="Times New Roman" w:cs="Times New Roman"/>
                <w:sz w:val="24"/>
                <w:szCs w:val="24"/>
              </w:rPr>
              <w:t>Polycythaemia</w:t>
            </w:r>
            <w:proofErr w:type="spellEnd"/>
            <w:r w:rsidRPr="00FD1D1D">
              <w:rPr>
                <w:rFonts w:ascii="Times New Roman" w:hAnsi="Times New Roman" w:cs="Times New Roman"/>
                <w:sz w:val="24"/>
                <w:szCs w:val="24"/>
              </w:rPr>
              <w:t xml:space="preserve"> Vera</w:t>
            </w:r>
          </w:p>
        </w:tc>
        <w:tc>
          <w:tcPr>
            <w:tcW w:w="1915" w:type="dxa"/>
          </w:tcPr>
          <w:p w14:paraId="6E3AC651" w14:textId="204A187F"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sz w:val="24"/>
                <w:szCs w:val="24"/>
              </w:rPr>
              <w:t>0</w:t>
            </w:r>
            <w:r>
              <w:rPr>
                <w:rFonts w:ascii="Times New Roman" w:hAnsi="Times New Roman" w:cs="Times New Roman"/>
                <w:sz w:val="24"/>
                <w:szCs w:val="24"/>
              </w:rPr>
              <w:t xml:space="preserve"> (0)</w:t>
            </w:r>
          </w:p>
        </w:tc>
        <w:tc>
          <w:tcPr>
            <w:tcW w:w="1915" w:type="dxa"/>
          </w:tcPr>
          <w:p w14:paraId="5FD6FC92" w14:textId="32218AB3" w:rsidR="00604761" w:rsidRDefault="00604761" w:rsidP="003F5A64">
            <w:pPr>
              <w:tabs>
                <w:tab w:val="left" w:pos="834"/>
              </w:tabs>
              <w:spacing w:line="276" w:lineRule="auto"/>
              <w:jc w:val="both"/>
              <w:rPr>
                <w:rFonts w:ascii="Times New Roman" w:hAnsi="Times New Roman" w:cs="Times New Roman"/>
              </w:rPr>
            </w:pPr>
            <w:r>
              <w:rPr>
                <w:rFonts w:ascii="Times New Roman" w:hAnsi="Times New Roman" w:cs="Times New Roman"/>
                <w:sz w:val="24"/>
                <w:szCs w:val="24"/>
              </w:rPr>
              <w:t>1 (</w:t>
            </w:r>
            <w:r w:rsidRPr="00FD1D1D">
              <w:rPr>
                <w:rFonts w:ascii="Times New Roman" w:hAnsi="Times New Roman" w:cs="Times New Roman"/>
                <w:sz w:val="24"/>
                <w:szCs w:val="24"/>
              </w:rPr>
              <w:t>0.8</w:t>
            </w:r>
            <w:r>
              <w:rPr>
                <w:rFonts w:ascii="Times New Roman" w:hAnsi="Times New Roman" w:cs="Times New Roman"/>
                <w:sz w:val="24"/>
                <w:szCs w:val="24"/>
              </w:rPr>
              <w:t>)</w:t>
            </w:r>
          </w:p>
        </w:tc>
        <w:tc>
          <w:tcPr>
            <w:tcW w:w="1915" w:type="dxa"/>
          </w:tcPr>
          <w:p w14:paraId="55A463A6" w14:textId="446C3178" w:rsidR="00604761" w:rsidRPr="00911ABD" w:rsidRDefault="00604761" w:rsidP="003F5A64">
            <w:pPr>
              <w:tabs>
                <w:tab w:val="left" w:pos="834"/>
              </w:tabs>
              <w:spacing w:line="276" w:lineRule="auto"/>
              <w:jc w:val="both"/>
              <w:rPr>
                <w:rFonts w:ascii="Times New Roman" w:hAnsi="Times New Roman" w:cs="Times New Roman"/>
                <w:b/>
              </w:rPr>
            </w:pPr>
            <w:r w:rsidRPr="00911ABD">
              <w:rPr>
                <w:rFonts w:ascii="Times New Roman" w:hAnsi="Times New Roman" w:cs="Times New Roman"/>
                <w:b/>
                <w:bCs/>
                <w:sz w:val="24"/>
                <w:szCs w:val="24"/>
              </w:rPr>
              <w:t>1 (0.8)</w:t>
            </w:r>
          </w:p>
        </w:tc>
      </w:tr>
      <w:tr w:rsidR="00604761" w14:paraId="4A809E57" w14:textId="77777777" w:rsidTr="00BA5FE3">
        <w:tc>
          <w:tcPr>
            <w:tcW w:w="1915" w:type="dxa"/>
          </w:tcPr>
          <w:p w14:paraId="78A2B6BC" w14:textId="19C86ABE" w:rsidR="00604761" w:rsidRPr="00FD1D1D" w:rsidRDefault="00604761" w:rsidP="003F5A64">
            <w:pPr>
              <w:tabs>
                <w:tab w:val="left" w:pos="834"/>
              </w:tabs>
              <w:spacing w:line="276" w:lineRule="auto"/>
              <w:jc w:val="both"/>
              <w:rPr>
                <w:rFonts w:ascii="Times New Roman" w:hAnsi="Times New Roman" w:cs="Times New Roman"/>
                <w:sz w:val="24"/>
                <w:szCs w:val="24"/>
              </w:rPr>
            </w:pPr>
            <w:r w:rsidRPr="00FD1D1D">
              <w:rPr>
                <w:rFonts w:ascii="Times New Roman" w:hAnsi="Times New Roman" w:cs="Times New Roman"/>
                <w:b/>
                <w:bCs/>
                <w:sz w:val="24"/>
                <w:szCs w:val="24"/>
              </w:rPr>
              <w:t>Grand Total</w:t>
            </w:r>
          </w:p>
        </w:tc>
        <w:tc>
          <w:tcPr>
            <w:tcW w:w="1915" w:type="dxa"/>
          </w:tcPr>
          <w:p w14:paraId="15493CA4" w14:textId="3391AEE2"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76</w:t>
            </w:r>
            <w:r>
              <w:rPr>
                <w:rFonts w:ascii="Times New Roman" w:hAnsi="Times New Roman" w:cs="Times New Roman"/>
                <w:b/>
                <w:bCs/>
                <w:sz w:val="24"/>
                <w:szCs w:val="24"/>
              </w:rPr>
              <w:t xml:space="preserve"> (60.8)</w:t>
            </w:r>
          </w:p>
        </w:tc>
        <w:tc>
          <w:tcPr>
            <w:tcW w:w="1915" w:type="dxa"/>
          </w:tcPr>
          <w:p w14:paraId="35A81A3F" w14:textId="16D9462F"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49</w:t>
            </w:r>
            <w:r>
              <w:rPr>
                <w:rFonts w:ascii="Times New Roman" w:hAnsi="Times New Roman" w:cs="Times New Roman"/>
                <w:b/>
                <w:bCs/>
                <w:sz w:val="24"/>
                <w:szCs w:val="24"/>
              </w:rPr>
              <w:t xml:space="preserve"> (39.2)</w:t>
            </w:r>
          </w:p>
        </w:tc>
        <w:tc>
          <w:tcPr>
            <w:tcW w:w="1915" w:type="dxa"/>
          </w:tcPr>
          <w:p w14:paraId="0D03C559" w14:textId="7F5D64AE" w:rsidR="00604761" w:rsidRDefault="00604761" w:rsidP="003F5A64">
            <w:pPr>
              <w:tabs>
                <w:tab w:val="left" w:pos="834"/>
              </w:tabs>
              <w:spacing w:line="276" w:lineRule="auto"/>
              <w:jc w:val="both"/>
              <w:rPr>
                <w:rFonts w:ascii="Times New Roman" w:hAnsi="Times New Roman" w:cs="Times New Roman"/>
              </w:rPr>
            </w:pPr>
            <w:r w:rsidRPr="00FD1D1D">
              <w:rPr>
                <w:rFonts w:ascii="Times New Roman" w:hAnsi="Times New Roman" w:cs="Times New Roman"/>
                <w:b/>
                <w:bCs/>
                <w:sz w:val="24"/>
                <w:szCs w:val="24"/>
              </w:rPr>
              <w:t>125</w:t>
            </w:r>
            <w:r>
              <w:rPr>
                <w:rFonts w:ascii="Times New Roman" w:hAnsi="Times New Roman" w:cs="Times New Roman"/>
                <w:b/>
                <w:bCs/>
                <w:sz w:val="24"/>
                <w:szCs w:val="24"/>
              </w:rPr>
              <w:t xml:space="preserve"> (100)</w:t>
            </w:r>
          </w:p>
        </w:tc>
      </w:tr>
    </w:tbl>
    <w:p w14:paraId="612B90B8" w14:textId="77777777" w:rsidR="00BA5FE3" w:rsidRDefault="00BA5FE3" w:rsidP="003F5A64">
      <w:pPr>
        <w:tabs>
          <w:tab w:val="left" w:pos="834"/>
        </w:tabs>
        <w:spacing w:after="0" w:line="276" w:lineRule="auto"/>
        <w:jc w:val="both"/>
        <w:rPr>
          <w:rFonts w:ascii="Times New Roman" w:hAnsi="Times New Roman" w:cs="Times New Roman"/>
        </w:rPr>
      </w:pPr>
    </w:p>
    <w:p w14:paraId="61C364CF" w14:textId="77777777" w:rsidR="00BA5FE3" w:rsidRDefault="00BA5FE3" w:rsidP="003F5A64">
      <w:pPr>
        <w:tabs>
          <w:tab w:val="left" w:pos="834"/>
        </w:tabs>
        <w:spacing w:after="0" w:line="276" w:lineRule="auto"/>
        <w:jc w:val="both"/>
        <w:rPr>
          <w:rFonts w:ascii="Times New Roman" w:hAnsi="Times New Roman" w:cs="Times New Roman"/>
        </w:rPr>
      </w:pPr>
    </w:p>
    <w:p w14:paraId="1CDFD219" w14:textId="77777777" w:rsidR="00BA5FE3" w:rsidRDefault="00BA5FE3" w:rsidP="003F5A64">
      <w:pPr>
        <w:tabs>
          <w:tab w:val="left" w:pos="834"/>
        </w:tabs>
        <w:spacing w:after="0" w:line="276" w:lineRule="auto"/>
        <w:jc w:val="both"/>
        <w:rPr>
          <w:rFonts w:ascii="Times New Roman" w:hAnsi="Times New Roman" w:cs="Times New Roman"/>
        </w:rPr>
      </w:pPr>
    </w:p>
    <w:p w14:paraId="7D961486" w14:textId="77777777" w:rsidR="00BA5FE3" w:rsidRDefault="00BA5FE3" w:rsidP="003F5A64">
      <w:pPr>
        <w:tabs>
          <w:tab w:val="left" w:pos="834"/>
        </w:tabs>
        <w:spacing w:after="0" w:line="276" w:lineRule="auto"/>
        <w:jc w:val="both"/>
        <w:rPr>
          <w:rFonts w:ascii="Times New Roman" w:hAnsi="Times New Roman" w:cs="Times New Roman"/>
        </w:rPr>
      </w:pPr>
    </w:p>
    <w:p w14:paraId="341218D9" w14:textId="77777777" w:rsidR="00BA5FE3" w:rsidRDefault="00BA5FE3" w:rsidP="003F5A64">
      <w:pPr>
        <w:tabs>
          <w:tab w:val="left" w:pos="834"/>
        </w:tabs>
        <w:spacing w:after="0" w:line="276" w:lineRule="auto"/>
        <w:jc w:val="both"/>
        <w:rPr>
          <w:rFonts w:ascii="Times New Roman" w:hAnsi="Times New Roman" w:cs="Times New Roman"/>
        </w:rPr>
      </w:pPr>
    </w:p>
    <w:p w14:paraId="5AD654ED" w14:textId="77777777" w:rsidR="00BA5FE3" w:rsidRDefault="00BA5FE3" w:rsidP="003F5A64">
      <w:pPr>
        <w:tabs>
          <w:tab w:val="left" w:pos="834"/>
        </w:tabs>
        <w:spacing w:after="0" w:line="276" w:lineRule="auto"/>
        <w:jc w:val="both"/>
        <w:rPr>
          <w:rFonts w:ascii="Times New Roman" w:hAnsi="Times New Roman" w:cs="Times New Roman"/>
        </w:rPr>
      </w:pPr>
    </w:p>
    <w:p w14:paraId="6605DCED" w14:textId="77777777" w:rsidR="00BA5FE3" w:rsidRDefault="00BA5FE3" w:rsidP="003F5A64">
      <w:pPr>
        <w:tabs>
          <w:tab w:val="left" w:pos="834"/>
        </w:tabs>
        <w:spacing w:after="0" w:line="276" w:lineRule="auto"/>
        <w:jc w:val="both"/>
        <w:rPr>
          <w:rFonts w:ascii="Times New Roman" w:hAnsi="Times New Roman" w:cs="Times New Roman"/>
        </w:rPr>
      </w:pPr>
    </w:p>
    <w:p w14:paraId="3CD83F60" w14:textId="77777777" w:rsidR="00BA5FE3" w:rsidRDefault="00BA5FE3" w:rsidP="003F5A64">
      <w:pPr>
        <w:tabs>
          <w:tab w:val="left" w:pos="834"/>
        </w:tabs>
        <w:spacing w:after="0" w:line="276" w:lineRule="auto"/>
        <w:jc w:val="both"/>
        <w:rPr>
          <w:rFonts w:ascii="Times New Roman" w:hAnsi="Times New Roman" w:cs="Times New Roman"/>
        </w:rPr>
      </w:pPr>
    </w:p>
    <w:p w14:paraId="6C0243FF" w14:textId="77777777" w:rsidR="00BA5FE3" w:rsidRDefault="00BA5FE3" w:rsidP="003F5A64">
      <w:pPr>
        <w:tabs>
          <w:tab w:val="left" w:pos="834"/>
        </w:tabs>
        <w:spacing w:after="0" w:line="276" w:lineRule="auto"/>
        <w:jc w:val="both"/>
        <w:rPr>
          <w:rFonts w:ascii="Times New Roman" w:hAnsi="Times New Roman" w:cs="Times New Roman"/>
        </w:rPr>
      </w:pPr>
    </w:p>
    <w:p w14:paraId="5B58C86F" w14:textId="4F041E11" w:rsidR="003200C3" w:rsidRPr="002F6B1E" w:rsidRDefault="003200C3" w:rsidP="003F5A64">
      <w:pPr>
        <w:tabs>
          <w:tab w:val="left" w:pos="834"/>
        </w:tabs>
        <w:spacing w:after="0" w:line="276" w:lineRule="auto"/>
        <w:jc w:val="both"/>
        <w:rPr>
          <w:rFonts w:ascii="Times New Roman" w:hAnsi="Times New Roman" w:cs="Times New Roman"/>
        </w:rPr>
      </w:pPr>
      <w:r w:rsidRPr="002F6B1E">
        <w:rPr>
          <w:rFonts w:ascii="Times New Roman" w:hAnsi="Times New Roman" w:cs="Times New Roman"/>
        </w:rPr>
        <w:t xml:space="preserve">ALL= Acute lymphocytic </w:t>
      </w:r>
      <w:proofErr w:type="spellStart"/>
      <w:r w:rsidRPr="002F6B1E">
        <w:rPr>
          <w:rFonts w:ascii="Times New Roman" w:hAnsi="Times New Roman" w:cs="Times New Roman"/>
        </w:rPr>
        <w:t>leukaemia</w:t>
      </w:r>
      <w:proofErr w:type="spellEnd"/>
      <w:r w:rsidRPr="002F6B1E">
        <w:rPr>
          <w:rFonts w:ascii="Times New Roman" w:hAnsi="Times New Roman" w:cs="Times New Roman"/>
        </w:rPr>
        <w:t>, AML= Acute myeloid leukaemia, CEL= Chronic eosinophilic leukaemia, CLL Chronic lymphocytic leukaemia, ET=</w:t>
      </w:r>
      <w:r>
        <w:rPr>
          <w:rFonts w:ascii="Times New Roman" w:hAnsi="Times New Roman" w:cs="Times New Roman"/>
        </w:rPr>
        <w:t xml:space="preserve"> Essential thrombocythaemia, LPN</w:t>
      </w:r>
      <w:r w:rsidRPr="002F6B1E">
        <w:rPr>
          <w:rFonts w:ascii="Times New Roman" w:hAnsi="Times New Roman" w:cs="Times New Roman"/>
        </w:rPr>
        <w:t>= Lympho</w:t>
      </w:r>
      <w:r>
        <w:rPr>
          <w:rFonts w:ascii="Times New Roman" w:hAnsi="Times New Roman" w:cs="Times New Roman"/>
        </w:rPr>
        <w:t>proliferative neoplasm</w:t>
      </w:r>
      <w:r w:rsidRPr="002F6B1E">
        <w:rPr>
          <w:rFonts w:ascii="Times New Roman" w:hAnsi="Times New Roman" w:cs="Times New Roman"/>
        </w:rPr>
        <w:t xml:space="preserve">, </w:t>
      </w:r>
      <w:r>
        <w:rPr>
          <w:rFonts w:ascii="Times New Roman" w:hAnsi="Times New Roman" w:cs="Times New Roman"/>
        </w:rPr>
        <w:t xml:space="preserve">MDS= </w:t>
      </w:r>
      <w:r w:rsidRPr="002F6B1E">
        <w:rPr>
          <w:rFonts w:ascii="Times New Roman" w:hAnsi="Times New Roman" w:cs="Times New Roman"/>
        </w:rPr>
        <w:t>Myelodysplastic syndrome,</w:t>
      </w:r>
      <w:r>
        <w:rPr>
          <w:rFonts w:ascii="Times New Roman" w:hAnsi="Times New Roman" w:cs="Times New Roman"/>
        </w:rPr>
        <w:t xml:space="preserve"> MM= </w:t>
      </w:r>
      <w:r w:rsidRPr="002F6B1E">
        <w:rPr>
          <w:rFonts w:ascii="Times New Roman" w:hAnsi="Times New Roman" w:cs="Times New Roman"/>
        </w:rPr>
        <w:t xml:space="preserve">Multiple myeloma, MF= (Primary myelofibrosis), </w:t>
      </w:r>
    </w:p>
    <w:p w14:paraId="27911B18" w14:textId="77777777"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noProof/>
          <w:sz w:val="24"/>
          <w:szCs w:val="24"/>
          <w:lang w:val="en-GB" w:eastAsia="en-GB"/>
        </w:rPr>
        <w:drawing>
          <wp:anchor distT="0" distB="0" distL="114300" distR="114300" simplePos="0" relativeHeight="251659264" behindDoc="0" locked="0" layoutInCell="1" allowOverlap="1" wp14:anchorId="46FD4319" wp14:editId="1B7BBDA3">
            <wp:simplePos x="0" y="0"/>
            <wp:positionH relativeFrom="column">
              <wp:posOffset>-742950</wp:posOffset>
            </wp:positionH>
            <wp:positionV relativeFrom="paragraph">
              <wp:posOffset>276225</wp:posOffset>
            </wp:positionV>
            <wp:extent cx="7419975" cy="2876550"/>
            <wp:effectExtent l="0" t="0" r="9525" b="0"/>
            <wp:wrapThrough wrapText="bothSides">
              <wp:wrapPolygon edited="0">
                <wp:start x="0" y="0"/>
                <wp:lineTo x="0" y="21457"/>
                <wp:lineTo x="21572" y="21457"/>
                <wp:lineTo x="21572" y="0"/>
                <wp:lineTo x="0" y="0"/>
              </wp:wrapPolygon>
            </wp:wrapThrough>
            <wp:docPr id="1195643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1997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664F">
        <w:rPr>
          <w:rFonts w:ascii="Times New Roman" w:hAnsi="Times New Roman" w:cs="Times New Roman"/>
          <w:sz w:val="24"/>
          <w:szCs w:val="24"/>
        </w:rPr>
        <w:t>Table 4: FBC distribution across the indications for BMB</w:t>
      </w:r>
    </w:p>
    <w:p w14:paraId="6115563A" w14:textId="5A06D20A" w:rsidR="00D361A8" w:rsidRPr="002F6B1E" w:rsidRDefault="00D361A8" w:rsidP="003F5A64">
      <w:pPr>
        <w:tabs>
          <w:tab w:val="left" w:pos="834"/>
        </w:tabs>
        <w:spacing w:after="0" w:line="276" w:lineRule="auto"/>
        <w:jc w:val="both"/>
        <w:rPr>
          <w:rFonts w:ascii="Times New Roman" w:hAnsi="Times New Roman" w:cs="Times New Roman"/>
        </w:rPr>
      </w:pPr>
      <w:r>
        <w:rPr>
          <w:rFonts w:ascii="Times New Roman" w:hAnsi="Times New Roman" w:cs="Times New Roman"/>
        </w:rPr>
        <w:t>AL</w:t>
      </w:r>
      <w:r w:rsidRPr="002F6B1E">
        <w:rPr>
          <w:rFonts w:ascii="Times New Roman" w:hAnsi="Times New Roman" w:cs="Times New Roman"/>
        </w:rPr>
        <w:t xml:space="preserve">= Acute </w:t>
      </w:r>
      <w:proofErr w:type="spellStart"/>
      <w:r w:rsidRPr="002F6B1E">
        <w:rPr>
          <w:rFonts w:ascii="Times New Roman" w:hAnsi="Times New Roman" w:cs="Times New Roman"/>
        </w:rPr>
        <w:t>leukaemia</w:t>
      </w:r>
      <w:proofErr w:type="spellEnd"/>
      <w:r w:rsidRPr="002F6B1E">
        <w:rPr>
          <w:rFonts w:ascii="Times New Roman" w:hAnsi="Times New Roman" w:cs="Times New Roman"/>
        </w:rPr>
        <w:t xml:space="preserve">, AML= Acute myeloid leukaemia, CEL= Chronic eosinophilic leukaemia, CLL Chronic lymphocytic leukaemia, ET= Essential thrombocythaemia, </w:t>
      </w:r>
      <w:r>
        <w:rPr>
          <w:rFonts w:ascii="Times New Roman" w:hAnsi="Times New Roman" w:cs="Times New Roman"/>
        </w:rPr>
        <w:t>NHL Non-Hodgkin lymphoma</w:t>
      </w:r>
      <w:r w:rsidRPr="002F6B1E">
        <w:rPr>
          <w:rFonts w:ascii="Times New Roman" w:hAnsi="Times New Roman" w:cs="Times New Roman"/>
        </w:rPr>
        <w:t xml:space="preserve">, </w:t>
      </w:r>
      <w:r w:rsidR="003200C3">
        <w:rPr>
          <w:rFonts w:ascii="Times New Roman" w:hAnsi="Times New Roman" w:cs="Times New Roman"/>
        </w:rPr>
        <w:t xml:space="preserve">MDS= </w:t>
      </w:r>
      <w:r w:rsidRPr="002F6B1E">
        <w:rPr>
          <w:rFonts w:ascii="Times New Roman" w:hAnsi="Times New Roman" w:cs="Times New Roman"/>
        </w:rPr>
        <w:t>Myelodysplastic syndrome,</w:t>
      </w:r>
      <w:r>
        <w:rPr>
          <w:rFonts w:ascii="Times New Roman" w:hAnsi="Times New Roman" w:cs="Times New Roman"/>
        </w:rPr>
        <w:t xml:space="preserve"> MM= </w:t>
      </w:r>
      <w:r w:rsidR="003200C3">
        <w:rPr>
          <w:rFonts w:ascii="Times New Roman" w:hAnsi="Times New Roman" w:cs="Times New Roman"/>
        </w:rPr>
        <w:t>Multiple myeloma, MF= Myelofibrosis (Primary</w:t>
      </w:r>
      <w:r w:rsidRPr="002F6B1E">
        <w:rPr>
          <w:rFonts w:ascii="Times New Roman" w:hAnsi="Times New Roman" w:cs="Times New Roman"/>
        </w:rPr>
        <w:t xml:space="preserve">), PV= </w:t>
      </w:r>
      <w:proofErr w:type="spellStart"/>
      <w:r w:rsidRPr="002F6B1E">
        <w:rPr>
          <w:rFonts w:ascii="Times New Roman" w:hAnsi="Times New Roman" w:cs="Times New Roman"/>
        </w:rPr>
        <w:t>Polycythaemia</w:t>
      </w:r>
      <w:proofErr w:type="spellEnd"/>
      <w:r w:rsidRPr="002F6B1E">
        <w:rPr>
          <w:rFonts w:ascii="Times New Roman" w:hAnsi="Times New Roman" w:cs="Times New Roman"/>
        </w:rPr>
        <w:t xml:space="preserve"> </w:t>
      </w:r>
      <w:proofErr w:type="spellStart"/>
      <w:r w:rsidRPr="002F6B1E">
        <w:rPr>
          <w:rFonts w:ascii="Times New Roman" w:hAnsi="Times New Roman" w:cs="Times New Roman"/>
        </w:rPr>
        <w:t>vera</w:t>
      </w:r>
      <w:proofErr w:type="spellEnd"/>
    </w:p>
    <w:p w14:paraId="04C931FA" w14:textId="77777777" w:rsidR="002B545D" w:rsidRPr="0089664F" w:rsidRDefault="002B545D" w:rsidP="003F5A64">
      <w:pPr>
        <w:spacing w:line="276" w:lineRule="auto"/>
        <w:jc w:val="both"/>
        <w:rPr>
          <w:rFonts w:ascii="Times New Roman" w:hAnsi="Times New Roman" w:cs="Times New Roman"/>
          <w:sz w:val="24"/>
          <w:szCs w:val="24"/>
        </w:rPr>
      </w:pPr>
    </w:p>
    <w:p w14:paraId="08F5E807" w14:textId="3DF1BCD1" w:rsidR="002D7A55" w:rsidRDefault="002D7A55" w:rsidP="003F5A64">
      <w:pPr>
        <w:spacing w:line="276" w:lineRule="auto"/>
        <w:jc w:val="both"/>
        <w:rPr>
          <w:rFonts w:ascii="Times New Roman" w:hAnsi="Times New Roman" w:cs="Times New Roman"/>
          <w:sz w:val="24"/>
          <w:szCs w:val="24"/>
        </w:rPr>
      </w:pPr>
    </w:p>
    <w:p w14:paraId="48BA8FE5" w14:textId="794607FF" w:rsidR="002B545D" w:rsidRDefault="00B467AE" w:rsidP="003F5A64">
      <w:pPr>
        <w:spacing w:line="276" w:lineRule="auto"/>
        <w:jc w:val="both"/>
        <w:rPr>
          <w:rFonts w:ascii="Times New Roman" w:hAnsi="Times New Roman" w:cs="Times New Roman"/>
          <w:sz w:val="24"/>
          <w:szCs w:val="24"/>
        </w:rPr>
      </w:pPr>
      <w:r w:rsidRPr="0089664F">
        <w:rPr>
          <w:rFonts w:ascii="Times New Roman" w:hAnsi="Times New Roman" w:cs="Times New Roman"/>
          <w:noProof/>
          <w:sz w:val="24"/>
          <w:szCs w:val="24"/>
          <w:lang w:val="en-GB" w:eastAsia="en-GB"/>
        </w:rPr>
        <w:lastRenderedPageBreak/>
        <w:drawing>
          <wp:anchor distT="0" distB="0" distL="114300" distR="114300" simplePos="0" relativeHeight="251660288" behindDoc="0" locked="0" layoutInCell="1" allowOverlap="1" wp14:anchorId="1DCCC33E" wp14:editId="56B73BE4">
            <wp:simplePos x="0" y="0"/>
            <wp:positionH relativeFrom="margin">
              <wp:posOffset>-476885</wp:posOffset>
            </wp:positionH>
            <wp:positionV relativeFrom="paragraph">
              <wp:posOffset>1040765</wp:posOffset>
            </wp:positionV>
            <wp:extent cx="6715125" cy="2854960"/>
            <wp:effectExtent l="0" t="0" r="9525" b="2540"/>
            <wp:wrapTopAndBottom/>
            <wp:docPr id="2106050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50358" name="Picture 2106050358"/>
                    <pic:cNvPicPr/>
                  </pic:nvPicPr>
                  <pic:blipFill rotWithShape="1">
                    <a:blip r:embed="rId9" cstate="print">
                      <a:extLst>
                        <a:ext uri="{28A0092B-C50C-407E-A947-70E740481C1C}">
                          <a14:useLocalDpi xmlns:a14="http://schemas.microsoft.com/office/drawing/2010/main" val="0"/>
                        </a:ext>
                      </a:extLst>
                    </a:blip>
                    <a:srcRect t="10750" r="18098" b="42530"/>
                    <a:stretch/>
                  </pic:blipFill>
                  <pic:spPr bwMode="auto">
                    <a:xfrm>
                      <a:off x="0" y="0"/>
                      <a:ext cx="6715125" cy="285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45D">
        <w:rPr>
          <w:rFonts w:ascii="Times New Roman" w:hAnsi="Times New Roman" w:cs="Times New Roman"/>
          <w:sz w:val="24"/>
          <w:szCs w:val="24"/>
        </w:rPr>
        <w:t xml:space="preserve">The most common </w:t>
      </w:r>
      <w:proofErr w:type="spellStart"/>
      <w:r w:rsidR="002B545D">
        <w:rPr>
          <w:rFonts w:ascii="Times New Roman" w:hAnsi="Times New Roman" w:cs="Times New Roman"/>
          <w:sz w:val="24"/>
          <w:szCs w:val="24"/>
        </w:rPr>
        <w:t>haematological</w:t>
      </w:r>
      <w:proofErr w:type="spellEnd"/>
      <w:r w:rsidR="002B545D">
        <w:rPr>
          <w:rFonts w:ascii="Times New Roman" w:hAnsi="Times New Roman" w:cs="Times New Roman"/>
          <w:sz w:val="24"/>
          <w:szCs w:val="24"/>
        </w:rPr>
        <w:t xml:space="preserve"> malignancies diagnosed from BMB were multiple myeloma (34 persons) and </w:t>
      </w:r>
      <w:r w:rsidR="00032FEC">
        <w:rPr>
          <w:rFonts w:ascii="Times New Roman" w:hAnsi="Times New Roman" w:cs="Times New Roman"/>
          <w:sz w:val="24"/>
          <w:szCs w:val="24"/>
        </w:rPr>
        <w:t xml:space="preserve">24 patients with </w:t>
      </w:r>
      <w:r w:rsidR="002B545D">
        <w:rPr>
          <w:rFonts w:ascii="Times New Roman" w:hAnsi="Times New Roman" w:cs="Times New Roman"/>
          <w:sz w:val="24"/>
          <w:szCs w:val="24"/>
        </w:rPr>
        <w:t>a</w:t>
      </w:r>
      <w:r w:rsidR="002B545D" w:rsidRPr="0089664F">
        <w:rPr>
          <w:rFonts w:ascii="Times New Roman" w:hAnsi="Times New Roman" w:cs="Times New Roman"/>
          <w:sz w:val="24"/>
          <w:szCs w:val="24"/>
        </w:rPr>
        <w:t xml:space="preserve">cute myeloid </w:t>
      </w:r>
      <w:r w:rsidR="002B545D">
        <w:rPr>
          <w:rFonts w:ascii="Times New Roman" w:hAnsi="Times New Roman" w:cs="Times New Roman"/>
          <w:sz w:val="24"/>
          <w:szCs w:val="24"/>
        </w:rPr>
        <w:t>leukaemia</w:t>
      </w:r>
      <w:r w:rsidR="00032FEC">
        <w:rPr>
          <w:rFonts w:ascii="Times New Roman" w:hAnsi="Times New Roman" w:cs="Times New Roman"/>
          <w:sz w:val="24"/>
          <w:szCs w:val="24"/>
        </w:rPr>
        <w:t xml:space="preserve"> (figure </w:t>
      </w:r>
      <w:r w:rsidR="00A12CCE">
        <w:rPr>
          <w:rFonts w:ascii="Times New Roman" w:hAnsi="Times New Roman" w:cs="Times New Roman"/>
          <w:sz w:val="24"/>
          <w:szCs w:val="24"/>
        </w:rPr>
        <w:t>3</w:t>
      </w:r>
      <w:r w:rsidR="002B545D" w:rsidRPr="0089664F">
        <w:rPr>
          <w:rFonts w:ascii="Times New Roman" w:hAnsi="Times New Roman" w:cs="Times New Roman"/>
          <w:sz w:val="24"/>
          <w:szCs w:val="24"/>
        </w:rPr>
        <w:t>)</w:t>
      </w:r>
      <w:r w:rsidR="002B545D">
        <w:rPr>
          <w:rFonts w:ascii="Times New Roman" w:hAnsi="Times New Roman" w:cs="Times New Roman"/>
          <w:sz w:val="24"/>
          <w:szCs w:val="24"/>
        </w:rPr>
        <w:t>, while the least frequent were p</w:t>
      </w:r>
      <w:r w:rsidR="002B545D" w:rsidRPr="0089664F">
        <w:rPr>
          <w:rFonts w:ascii="Times New Roman" w:hAnsi="Times New Roman" w:cs="Times New Roman"/>
          <w:sz w:val="24"/>
          <w:szCs w:val="24"/>
        </w:rPr>
        <w:t>olycythemia</w:t>
      </w:r>
      <w:r w:rsidR="002B545D">
        <w:rPr>
          <w:rFonts w:ascii="Times New Roman" w:hAnsi="Times New Roman" w:cs="Times New Roman"/>
          <w:sz w:val="24"/>
          <w:szCs w:val="24"/>
        </w:rPr>
        <w:t xml:space="preserve"> rubra vera (1 person), chronic eosinophilic leukaemia</w:t>
      </w:r>
      <w:r w:rsidR="002B545D" w:rsidRPr="0089664F">
        <w:rPr>
          <w:rFonts w:ascii="Times New Roman" w:hAnsi="Times New Roman" w:cs="Times New Roman"/>
          <w:sz w:val="24"/>
          <w:szCs w:val="24"/>
        </w:rPr>
        <w:t xml:space="preserve"> (1 </w:t>
      </w:r>
      <w:r w:rsidR="002B545D">
        <w:rPr>
          <w:rFonts w:ascii="Times New Roman" w:hAnsi="Times New Roman" w:cs="Times New Roman"/>
          <w:sz w:val="24"/>
          <w:szCs w:val="24"/>
        </w:rPr>
        <w:t>person</w:t>
      </w:r>
      <w:r w:rsidR="002B545D" w:rsidRPr="0089664F">
        <w:rPr>
          <w:rFonts w:ascii="Times New Roman" w:hAnsi="Times New Roman" w:cs="Times New Roman"/>
          <w:sz w:val="24"/>
          <w:szCs w:val="24"/>
        </w:rPr>
        <w:t xml:space="preserve">) as shown in Figure </w:t>
      </w:r>
      <w:r w:rsidR="00A12CCE">
        <w:rPr>
          <w:rFonts w:ascii="Times New Roman" w:hAnsi="Times New Roman" w:cs="Times New Roman"/>
          <w:sz w:val="24"/>
          <w:szCs w:val="24"/>
        </w:rPr>
        <w:t>2</w:t>
      </w:r>
      <w:r w:rsidR="002B545D" w:rsidRPr="0089664F">
        <w:rPr>
          <w:rFonts w:ascii="Times New Roman" w:hAnsi="Times New Roman" w:cs="Times New Roman"/>
          <w:sz w:val="24"/>
          <w:szCs w:val="24"/>
        </w:rPr>
        <w:t>.</w:t>
      </w:r>
    </w:p>
    <w:p w14:paraId="418A4FC1" w14:textId="6C27062B" w:rsidR="00032FEC" w:rsidRDefault="00032FEC" w:rsidP="003F5A64">
      <w:pPr>
        <w:spacing w:line="276" w:lineRule="auto"/>
        <w:jc w:val="both"/>
        <w:rPr>
          <w:rFonts w:ascii="Times New Roman" w:hAnsi="Times New Roman" w:cs="Times New Roman"/>
          <w:sz w:val="24"/>
          <w:szCs w:val="24"/>
        </w:rPr>
      </w:pPr>
    </w:p>
    <w:p w14:paraId="00B460B2" w14:textId="3C0B217F" w:rsidR="002B545D" w:rsidRDefault="002B545D" w:rsidP="003F5A64">
      <w:pPr>
        <w:spacing w:line="276" w:lineRule="auto"/>
        <w:jc w:val="both"/>
        <w:rPr>
          <w:rFonts w:ascii="Times New Roman" w:hAnsi="Times New Roman" w:cs="Times New Roman"/>
          <w:sz w:val="24"/>
          <w:szCs w:val="24"/>
        </w:rPr>
      </w:pPr>
    </w:p>
    <w:p w14:paraId="6278D936" w14:textId="0D1A0DDD" w:rsidR="001B0887" w:rsidRDefault="001B0887" w:rsidP="003F5A64">
      <w:pPr>
        <w:tabs>
          <w:tab w:val="left" w:pos="834"/>
        </w:tabs>
        <w:spacing w:line="276" w:lineRule="auto"/>
        <w:jc w:val="both"/>
        <w:rPr>
          <w:rFonts w:ascii="Times New Roman" w:hAnsi="Times New Roman" w:cs="Times New Roman"/>
        </w:rPr>
      </w:pPr>
    </w:p>
    <w:p w14:paraId="5131CB40" w14:textId="08389974" w:rsidR="001B0887" w:rsidRDefault="001B0887" w:rsidP="003F5A64">
      <w:pPr>
        <w:tabs>
          <w:tab w:val="left" w:pos="834"/>
        </w:tabs>
        <w:spacing w:line="276" w:lineRule="auto"/>
        <w:jc w:val="both"/>
        <w:rPr>
          <w:rFonts w:ascii="Times New Roman" w:hAnsi="Times New Roman" w:cs="Times New Roman"/>
        </w:rPr>
      </w:pPr>
    </w:p>
    <w:p w14:paraId="7E4F3FE5" w14:textId="415338BD" w:rsidR="001B0887" w:rsidRDefault="001B0887" w:rsidP="003F5A64">
      <w:pPr>
        <w:tabs>
          <w:tab w:val="left" w:pos="834"/>
        </w:tabs>
        <w:spacing w:after="0" w:line="276" w:lineRule="auto"/>
        <w:jc w:val="both"/>
        <w:rPr>
          <w:rFonts w:ascii="Times New Roman" w:hAnsi="Times New Roman" w:cs="Times New Roman"/>
        </w:rPr>
      </w:pPr>
      <w:r w:rsidRPr="002F6B1E">
        <w:rPr>
          <w:rFonts w:ascii="Times New Roman" w:hAnsi="Times New Roman" w:cs="Times New Roman"/>
        </w:rPr>
        <w:t>(ALL= Acute lymphocytic leukaemia, AML= Acute myeloid leukaemia, CEL= Chronic eosinophilic leukaemia, CLL Chronic lymphocytic leukaemia, ET= Essential thrombocythaemia, LBI= Lymphoma</w:t>
      </w:r>
    </w:p>
    <w:p w14:paraId="00AFFB7C" w14:textId="56BD4662" w:rsidR="00BD4E89" w:rsidRPr="002F6B1E" w:rsidRDefault="00BD4E89" w:rsidP="003F5A64">
      <w:pPr>
        <w:tabs>
          <w:tab w:val="left" w:pos="834"/>
        </w:tabs>
        <w:spacing w:after="0" w:line="276" w:lineRule="auto"/>
        <w:jc w:val="both"/>
        <w:rPr>
          <w:rFonts w:ascii="Times New Roman" w:hAnsi="Times New Roman" w:cs="Times New Roman"/>
        </w:rPr>
      </w:pPr>
      <w:r w:rsidRPr="002F6B1E">
        <w:rPr>
          <w:rFonts w:ascii="Times New Roman" w:hAnsi="Times New Roman" w:cs="Times New Roman"/>
        </w:rPr>
        <w:t>with bone marrow involvement, MBD= Metastatic bone disease, Myelodysplastic syndrome,</w:t>
      </w:r>
      <w:r w:rsidR="001B0887">
        <w:rPr>
          <w:rFonts w:ascii="Times New Roman" w:hAnsi="Times New Roman" w:cs="Times New Roman"/>
        </w:rPr>
        <w:t xml:space="preserve"> MM= </w:t>
      </w:r>
      <w:r w:rsidRPr="002F6B1E">
        <w:rPr>
          <w:rFonts w:ascii="Times New Roman" w:hAnsi="Times New Roman" w:cs="Times New Roman"/>
        </w:rPr>
        <w:t xml:space="preserve">Multiple myeloma, MF= (Primary myelofibrosis), PV= </w:t>
      </w:r>
      <w:proofErr w:type="spellStart"/>
      <w:r w:rsidRPr="002F6B1E">
        <w:rPr>
          <w:rFonts w:ascii="Times New Roman" w:hAnsi="Times New Roman" w:cs="Times New Roman"/>
        </w:rPr>
        <w:t>Polycythaemia</w:t>
      </w:r>
      <w:proofErr w:type="spellEnd"/>
      <w:r w:rsidRPr="002F6B1E">
        <w:rPr>
          <w:rFonts w:ascii="Times New Roman" w:hAnsi="Times New Roman" w:cs="Times New Roman"/>
        </w:rPr>
        <w:t xml:space="preserve"> </w:t>
      </w:r>
      <w:proofErr w:type="spellStart"/>
      <w:r w:rsidRPr="002F6B1E">
        <w:rPr>
          <w:rFonts w:ascii="Times New Roman" w:hAnsi="Times New Roman" w:cs="Times New Roman"/>
        </w:rPr>
        <w:t>vera</w:t>
      </w:r>
      <w:proofErr w:type="spellEnd"/>
    </w:p>
    <w:p w14:paraId="1752533A" w14:textId="77777777" w:rsidR="001B0887" w:rsidRDefault="001B0887" w:rsidP="003F5A64">
      <w:pPr>
        <w:tabs>
          <w:tab w:val="left" w:pos="834"/>
        </w:tabs>
        <w:spacing w:line="276" w:lineRule="auto"/>
        <w:jc w:val="both"/>
        <w:rPr>
          <w:rFonts w:ascii="Times New Roman" w:hAnsi="Times New Roman" w:cs="Times New Roman"/>
          <w:sz w:val="24"/>
          <w:szCs w:val="24"/>
        </w:rPr>
      </w:pPr>
    </w:p>
    <w:p w14:paraId="22EE4DDB" w14:textId="38E9F544" w:rsidR="002B545D" w:rsidRDefault="002B545D" w:rsidP="003F5A64">
      <w:pPr>
        <w:tabs>
          <w:tab w:val="left" w:pos="834"/>
        </w:tabs>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Figure </w:t>
      </w:r>
      <w:r w:rsidR="00A12CCE">
        <w:rPr>
          <w:rFonts w:ascii="Times New Roman" w:hAnsi="Times New Roman" w:cs="Times New Roman"/>
          <w:sz w:val="24"/>
          <w:szCs w:val="24"/>
        </w:rPr>
        <w:t>2</w:t>
      </w:r>
      <w:r w:rsidRPr="0089664F">
        <w:rPr>
          <w:rFonts w:ascii="Times New Roman" w:hAnsi="Times New Roman" w:cs="Times New Roman"/>
          <w:sz w:val="24"/>
          <w:szCs w:val="24"/>
        </w:rPr>
        <w:t>: Frequency of BMB Diagnoses</w:t>
      </w:r>
    </w:p>
    <w:p w14:paraId="45C1D8F2" w14:textId="1B3DA268" w:rsidR="00032FEC" w:rsidRDefault="00032FEC" w:rsidP="003F5A64">
      <w:pPr>
        <w:tabs>
          <w:tab w:val="left" w:pos="834"/>
        </w:tabs>
        <w:spacing w:line="276" w:lineRule="auto"/>
        <w:jc w:val="both"/>
        <w:rPr>
          <w:rFonts w:ascii="Times New Roman" w:hAnsi="Times New Roman" w:cs="Times New Roman"/>
          <w:sz w:val="24"/>
          <w:szCs w:val="24"/>
        </w:rPr>
      </w:pPr>
    </w:p>
    <w:p w14:paraId="38ACA4BD" w14:textId="77777777" w:rsidR="00032FEC" w:rsidRDefault="00032FEC" w:rsidP="003F5A64">
      <w:pPr>
        <w:tabs>
          <w:tab w:val="left" w:pos="834"/>
        </w:tabs>
        <w:spacing w:line="276" w:lineRule="auto"/>
        <w:jc w:val="both"/>
        <w:rPr>
          <w:rFonts w:ascii="Times New Roman" w:hAnsi="Times New Roman" w:cs="Times New Roman"/>
          <w:sz w:val="24"/>
          <w:szCs w:val="24"/>
        </w:rPr>
      </w:pPr>
    </w:p>
    <w:p w14:paraId="310B08DB" w14:textId="1B1E9A98" w:rsidR="00032FEC" w:rsidRDefault="00606A53" w:rsidP="003F5A64">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032FEC">
        <w:rPr>
          <w:noProof/>
          <w:lang w:val="en-GB" w:eastAsia="en-GB"/>
        </w:rPr>
        <w:drawing>
          <wp:inline distT="0" distB="0" distL="0" distR="0" wp14:anchorId="5DB5639C" wp14:editId="12BB369C">
            <wp:extent cx="2095500" cy="1571625"/>
            <wp:effectExtent l="0" t="0" r="0" b="9525"/>
            <wp:docPr id="2" name="Picture 2" descr="C:\Users\Chimzurum\Pictures\AML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mzurum\Pictures\AML 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719" cy="1572539"/>
                    </a:xfrm>
                    <a:prstGeom prst="rect">
                      <a:avLst/>
                    </a:prstGeom>
                    <a:noFill/>
                    <a:ln>
                      <a:noFill/>
                    </a:ln>
                  </pic:spPr>
                </pic:pic>
              </a:graphicData>
            </a:graphic>
          </wp:inline>
        </w:drawing>
      </w:r>
      <w:r w:rsidR="00032FEC">
        <w:rPr>
          <w:rFonts w:ascii="Times New Roman" w:hAnsi="Times New Roman" w:cs="Times New Roman"/>
          <w:sz w:val="24"/>
          <w:szCs w:val="24"/>
        </w:rPr>
        <w:t xml:space="preserve">  </w:t>
      </w:r>
      <w:r w:rsidR="00032FEC">
        <w:rPr>
          <w:noProof/>
          <w:lang w:val="en-GB" w:eastAsia="en-GB"/>
        </w:rPr>
        <w:drawing>
          <wp:inline distT="0" distB="0" distL="0" distR="0" wp14:anchorId="332AB778" wp14:editId="0EEBF35B">
            <wp:extent cx="2385060" cy="1583055"/>
            <wp:effectExtent l="0" t="0" r="0" b="0"/>
            <wp:docPr id="1" name="Picture 1" descr="C:\Users\Chimzurum\Pictures\AML 50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mzurum\Pictures\AML 50 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335" cy="1584565"/>
                    </a:xfrm>
                    <a:prstGeom prst="rect">
                      <a:avLst/>
                    </a:prstGeom>
                    <a:noFill/>
                    <a:ln>
                      <a:noFill/>
                    </a:ln>
                  </pic:spPr>
                </pic:pic>
              </a:graphicData>
            </a:graphic>
          </wp:inline>
        </w:drawing>
      </w:r>
      <w:r>
        <w:rPr>
          <w:rFonts w:ascii="Times New Roman" w:hAnsi="Times New Roman" w:cs="Times New Roman"/>
          <w:sz w:val="24"/>
          <w:szCs w:val="24"/>
        </w:rPr>
        <w:t>B</w:t>
      </w:r>
    </w:p>
    <w:p w14:paraId="6186AA6B" w14:textId="48D555F8" w:rsidR="00032FEC" w:rsidRDefault="00032FEC" w:rsidP="003F5A64">
      <w:pPr>
        <w:pStyle w:val="NoSpacing"/>
        <w:spacing w:line="276" w:lineRule="auto"/>
        <w:jc w:val="both"/>
        <w:rPr>
          <w:rFonts w:ascii="Times New Roman" w:hAnsi="Times New Roman" w:cs="Times New Roman"/>
        </w:rPr>
      </w:pPr>
      <w:r w:rsidRPr="008E1EA8">
        <w:rPr>
          <w:rFonts w:ascii="Times New Roman" w:hAnsi="Times New Roman" w:cs="Times New Roman"/>
        </w:rPr>
        <w:t xml:space="preserve">Fig </w:t>
      </w:r>
      <w:r w:rsidR="00A12CCE">
        <w:rPr>
          <w:rFonts w:ascii="Times New Roman" w:hAnsi="Times New Roman" w:cs="Times New Roman"/>
        </w:rPr>
        <w:t>3</w:t>
      </w:r>
      <w:r w:rsidRPr="008E1EA8">
        <w:rPr>
          <w:rFonts w:ascii="Times New Roman" w:hAnsi="Times New Roman" w:cs="Times New Roman"/>
        </w:rPr>
        <w:t xml:space="preserve">: Photomicrograph </w:t>
      </w:r>
      <w:r w:rsidR="00606A53">
        <w:rPr>
          <w:rFonts w:ascii="Times New Roman" w:hAnsi="Times New Roman" w:cs="Times New Roman"/>
        </w:rPr>
        <w:t xml:space="preserve">(Fig </w:t>
      </w:r>
      <w:r w:rsidR="00A12CCE">
        <w:rPr>
          <w:rFonts w:ascii="Times New Roman" w:hAnsi="Times New Roman" w:cs="Times New Roman"/>
        </w:rPr>
        <w:t>3</w:t>
      </w:r>
      <w:r w:rsidR="00606A53">
        <w:rPr>
          <w:rFonts w:ascii="Times New Roman" w:hAnsi="Times New Roman" w:cs="Times New Roman"/>
        </w:rPr>
        <w:t>A)</w:t>
      </w:r>
      <w:r w:rsidR="00606A53" w:rsidRPr="00606A53">
        <w:rPr>
          <w:rFonts w:ascii="Times New Roman" w:hAnsi="Times New Roman" w:cs="Times New Roman"/>
        </w:rPr>
        <w:t xml:space="preserve"> </w:t>
      </w:r>
      <w:r w:rsidRPr="008E1EA8">
        <w:rPr>
          <w:rFonts w:ascii="Times New Roman" w:hAnsi="Times New Roman" w:cs="Times New Roman"/>
        </w:rPr>
        <w:t xml:space="preserve">of </w:t>
      </w:r>
      <w:proofErr w:type="spellStart"/>
      <w:r w:rsidRPr="008E1EA8">
        <w:rPr>
          <w:rFonts w:ascii="Times New Roman" w:hAnsi="Times New Roman" w:cs="Times New Roman"/>
        </w:rPr>
        <w:t>haematoxylin</w:t>
      </w:r>
      <w:proofErr w:type="spellEnd"/>
      <w:r w:rsidRPr="008E1EA8">
        <w:rPr>
          <w:rFonts w:ascii="Times New Roman" w:hAnsi="Times New Roman" w:cs="Times New Roman"/>
        </w:rPr>
        <w:t xml:space="preserve"> and eosin-stained bone marrow sections of </w:t>
      </w:r>
      <w:r w:rsidR="00606A53">
        <w:rPr>
          <w:rFonts w:ascii="Times New Roman" w:hAnsi="Times New Roman" w:cs="Times New Roman"/>
        </w:rPr>
        <w:t>a</w:t>
      </w:r>
      <w:r w:rsidRPr="008E1EA8">
        <w:rPr>
          <w:rFonts w:ascii="Times New Roman" w:hAnsi="Times New Roman" w:cs="Times New Roman"/>
        </w:rPr>
        <w:t>cute myeloid leukemia (AML) showing</w:t>
      </w:r>
      <w:r w:rsidR="00606A53">
        <w:rPr>
          <w:rFonts w:ascii="Times New Roman" w:hAnsi="Times New Roman" w:cs="Times New Roman"/>
        </w:rPr>
        <w:t xml:space="preserve"> a hypercellular marrow </w:t>
      </w:r>
      <w:r w:rsidR="00606A53" w:rsidRPr="008E1EA8">
        <w:rPr>
          <w:rFonts w:ascii="Times New Roman" w:hAnsi="Times New Roman" w:cs="Times New Roman"/>
        </w:rPr>
        <w:t>(X100)</w:t>
      </w:r>
      <w:r w:rsidR="00606A53">
        <w:rPr>
          <w:rFonts w:ascii="Times New Roman" w:hAnsi="Times New Roman" w:cs="Times New Roman"/>
        </w:rPr>
        <w:t>. There are</w:t>
      </w:r>
      <w:r w:rsidRPr="008E1EA8">
        <w:rPr>
          <w:rFonts w:ascii="Times New Roman" w:hAnsi="Times New Roman" w:cs="Times New Roman"/>
        </w:rPr>
        <w:t xml:space="preserve"> numerous dysplastic myeloblasts replacing the marrow spaces</w:t>
      </w:r>
      <w:r w:rsidR="00606A53">
        <w:rPr>
          <w:rFonts w:ascii="Times New Roman" w:hAnsi="Times New Roman" w:cs="Times New Roman"/>
        </w:rPr>
        <w:t xml:space="preserve"> (X400).</w:t>
      </w:r>
      <w:r w:rsidRPr="008E1EA8">
        <w:rPr>
          <w:rFonts w:ascii="Times New Roman" w:hAnsi="Times New Roman" w:cs="Times New Roman"/>
        </w:rPr>
        <w:t xml:space="preserve"> </w:t>
      </w:r>
      <w:r w:rsidR="001F4839">
        <w:rPr>
          <w:rFonts w:ascii="Times New Roman" w:hAnsi="Times New Roman" w:cs="Times New Roman"/>
        </w:rPr>
        <w:t>These myeloblasts are seen to have markedly pleomorphic nuclei that appear hyperchromatic</w:t>
      </w:r>
      <w:r w:rsidR="00A542D7">
        <w:rPr>
          <w:rFonts w:ascii="Times New Roman" w:hAnsi="Times New Roman" w:cs="Times New Roman"/>
        </w:rPr>
        <w:t xml:space="preserve"> (Fig </w:t>
      </w:r>
      <w:r w:rsidR="00A12CCE">
        <w:rPr>
          <w:rFonts w:ascii="Times New Roman" w:hAnsi="Times New Roman" w:cs="Times New Roman"/>
        </w:rPr>
        <w:t>3</w:t>
      </w:r>
      <w:r w:rsidR="00A542D7">
        <w:rPr>
          <w:rFonts w:ascii="Times New Roman" w:hAnsi="Times New Roman" w:cs="Times New Roman"/>
        </w:rPr>
        <w:t>B).</w:t>
      </w:r>
    </w:p>
    <w:p w14:paraId="268C27C1" w14:textId="77777777" w:rsidR="00D47913" w:rsidRPr="00032FEC" w:rsidRDefault="00D47913" w:rsidP="003F5A64">
      <w:pPr>
        <w:pStyle w:val="NoSpacing"/>
        <w:spacing w:line="276" w:lineRule="auto"/>
        <w:jc w:val="both"/>
        <w:rPr>
          <w:rFonts w:ascii="Times New Roman" w:hAnsi="Times New Roman" w:cs="Times New Roman"/>
        </w:rPr>
      </w:pPr>
    </w:p>
    <w:p w14:paraId="147AD441" w14:textId="0F8FC292" w:rsidR="00032FEC" w:rsidRDefault="00A542D7" w:rsidP="003F5A64">
      <w:pPr>
        <w:pStyle w:val="NormalWeb"/>
        <w:spacing w:line="276" w:lineRule="auto"/>
      </w:pPr>
      <w:r>
        <w:t>A</w:t>
      </w:r>
      <w:r w:rsidR="00032FEC">
        <w:rPr>
          <w:noProof/>
          <w:lang w:val="en-GB" w:eastAsia="en-GB"/>
        </w:rPr>
        <w:drawing>
          <wp:inline distT="0" distB="0" distL="0" distR="0" wp14:anchorId="472D85DF" wp14:editId="20043012">
            <wp:extent cx="2840539" cy="2446020"/>
            <wp:effectExtent l="0" t="0" r="0" b="0"/>
            <wp:docPr id="6" name="Picture 6" descr="C:\Users\Chimzurum\Pictures\metastatic bone marrow carcinoma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imzurum\Pictures\metastatic bone marrow carcinoma 2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0539" cy="2446020"/>
                    </a:xfrm>
                    <a:prstGeom prst="rect">
                      <a:avLst/>
                    </a:prstGeom>
                    <a:noFill/>
                    <a:ln>
                      <a:noFill/>
                    </a:ln>
                  </pic:spPr>
                </pic:pic>
              </a:graphicData>
            </a:graphic>
          </wp:inline>
        </w:drawing>
      </w:r>
      <w:r w:rsidR="00032FEC">
        <w:rPr>
          <w:noProof/>
          <w:lang w:val="en-GB" w:eastAsia="en-GB"/>
        </w:rPr>
        <w:drawing>
          <wp:inline distT="0" distB="0" distL="0" distR="0" wp14:anchorId="14BD1E72" wp14:editId="49C7C2FA">
            <wp:extent cx="2705100" cy="2446020"/>
            <wp:effectExtent l="0" t="0" r="0" b="0"/>
            <wp:docPr id="7" name="Picture 7" descr="C:\Users\Chimzurum\Pictures\metastatic bone marrow 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imzurum\Pictures\metastatic bone marrow disea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2446020"/>
                    </a:xfrm>
                    <a:prstGeom prst="rect">
                      <a:avLst/>
                    </a:prstGeom>
                    <a:noFill/>
                    <a:ln>
                      <a:noFill/>
                    </a:ln>
                  </pic:spPr>
                </pic:pic>
              </a:graphicData>
            </a:graphic>
          </wp:inline>
        </w:drawing>
      </w:r>
      <w:r>
        <w:t>B</w:t>
      </w:r>
    </w:p>
    <w:p w14:paraId="44D9E837" w14:textId="00C9D0A0" w:rsidR="00032FEC" w:rsidRDefault="00032FEC" w:rsidP="003F5A64">
      <w:pPr>
        <w:pStyle w:val="NoSpacing"/>
        <w:spacing w:line="276" w:lineRule="auto"/>
        <w:jc w:val="both"/>
        <w:rPr>
          <w:rFonts w:ascii="Times New Roman" w:hAnsi="Times New Roman" w:cs="Times New Roman"/>
        </w:rPr>
      </w:pPr>
      <w:r w:rsidRPr="008E1EA8">
        <w:rPr>
          <w:rFonts w:ascii="Times New Roman" w:hAnsi="Times New Roman" w:cs="Times New Roman"/>
        </w:rPr>
        <w:t>Fig</w:t>
      </w:r>
      <w:r>
        <w:rPr>
          <w:rFonts w:ascii="Times New Roman" w:hAnsi="Times New Roman" w:cs="Times New Roman"/>
        </w:rPr>
        <w:t>ure</w:t>
      </w:r>
      <w:r w:rsidRPr="008E1EA8">
        <w:rPr>
          <w:rFonts w:ascii="Times New Roman" w:hAnsi="Times New Roman" w:cs="Times New Roman"/>
        </w:rPr>
        <w:t xml:space="preserve"> </w:t>
      </w:r>
      <w:r w:rsidR="00A12CCE">
        <w:rPr>
          <w:rFonts w:ascii="Times New Roman" w:hAnsi="Times New Roman" w:cs="Times New Roman"/>
        </w:rPr>
        <w:t>4</w:t>
      </w:r>
      <w:r w:rsidRPr="008E1EA8">
        <w:rPr>
          <w:rFonts w:ascii="Times New Roman" w:hAnsi="Times New Roman" w:cs="Times New Roman"/>
        </w:rPr>
        <w:t xml:space="preserve">: Photomicrograph of </w:t>
      </w:r>
      <w:proofErr w:type="spellStart"/>
      <w:r w:rsidRPr="008E1EA8">
        <w:rPr>
          <w:rFonts w:ascii="Times New Roman" w:hAnsi="Times New Roman" w:cs="Times New Roman"/>
        </w:rPr>
        <w:t>haematoxylin</w:t>
      </w:r>
      <w:proofErr w:type="spellEnd"/>
      <w:r w:rsidRPr="008E1EA8">
        <w:rPr>
          <w:rFonts w:ascii="Times New Roman" w:hAnsi="Times New Roman" w:cs="Times New Roman"/>
        </w:rPr>
        <w:t xml:space="preserve"> and eosin-stained bone marrow sections </w:t>
      </w:r>
      <w:r w:rsidR="00A542D7">
        <w:rPr>
          <w:rFonts w:ascii="Times New Roman" w:hAnsi="Times New Roman" w:cs="Times New Roman"/>
        </w:rPr>
        <w:t xml:space="preserve">of </w:t>
      </w:r>
      <w:r>
        <w:rPr>
          <w:rFonts w:ascii="Times New Roman" w:hAnsi="Times New Roman" w:cs="Times New Roman"/>
        </w:rPr>
        <w:t xml:space="preserve">metastatic adenocarcinoma show infiltrating malignant epithelial cells that attempt to form glands diffusely infiltrating the marrow </w:t>
      </w:r>
      <w:r w:rsidR="001F4839">
        <w:rPr>
          <w:rFonts w:ascii="Times New Roman" w:hAnsi="Times New Roman" w:cs="Times New Roman"/>
        </w:rPr>
        <w:t>spaces (X4</w:t>
      </w:r>
      <w:r w:rsidRPr="008E1EA8">
        <w:rPr>
          <w:rFonts w:ascii="Times New Roman" w:hAnsi="Times New Roman" w:cs="Times New Roman"/>
        </w:rPr>
        <w:t>00)</w:t>
      </w:r>
    </w:p>
    <w:p w14:paraId="193A1C48" w14:textId="7386E9C5" w:rsidR="00653E0E" w:rsidRDefault="00653E0E" w:rsidP="003F5A64">
      <w:pPr>
        <w:spacing w:after="200" w:line="276" w:lineRule="auto"/>
      </w:pPr>
      <w:bookmarkStart w:id="2" w:name="_Hlk208577372"/>
    </w:p>
    <w:p w14:paraId="077E890A" w14:textId="31BBC460" w:rsidR="00653E0E" w:rsidRDefault="00A542D7" w:rsidP="003F5A64">
      <w:pPr>
        <w:pStyle w:val="NormalWeb"/>
        <w:spacing w:line="276" w:lineRule="auto"/>
      </w:pPr>
      <w:r>
        <w:lastRenderedPageBreak/>
        <w:t>A</w:t>
      </w:r>
      <w:r w:rsidR="00653E0E">
        <w:rPr>
          <w:noProof/>
          <w:lang w:val="en-GB" w:eastAsia="en-GB"/>
        </w:rPr>
        <w:drawing>
          <wp:inline distT="0" distB="0" distL="0" distR="0" wp14:anchorId="0CC07913" wp14:editId="5B3A2006">
            <wp:extent cx="2796540" cy="2141220"/>
            <wp:effectExtent l="0" t="0" r="3810" b="0"/>
            <wp:docPr id="4" name="Picture 4" descr="C:\Users\Chimzurum\Pictures\bone marrow primary myelo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mzurum\Pictures\bone marrow primary myelofibrosi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540" cy="2141220"/>
                    </a:xfrm>
                    <a:prstGeom prst="rect">
                      <a:avLst/>
                    </a:prstGeom>
                    <a:noFill/>
                    <a:ln>
                      <a:noFill/>
                    </a:ln>
                  </pic:spPr>
                </pic:pic>
              </a:graphicData>
            </a:graphic>
          </wp:inline>
        </w:drawing>
      </w:r>
      <w:r w:rsidR="00653E0E">
        <w:rPr>
          <w:noProof/>
          <w:lang w:val="en-GB" w:eastAsia="en-GB"/>
        </w:rPr>
        <w:drawing>
          <wp:inline distT="0" distB="0" distL="0" distR="0" wp14:anchorId="23842653" wp14:editId="424CE42F">
            <wp:extent cx="2773680" cy="2133600"/>
            <wp:effectExtent l="0" t="0" r="7620" b="0"/>
            <wp:docPr id="3" name="Picture 3" descr="C:\Users\Chimzurum\Pictures\MYELOFIBR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mzurum\Pictures\MYELOFIBROSI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680" cy="2133600"/>
                    </a:xfrm>
                    <a:prstGeom prst="rect">
                      <a:avLst/>
                    </a:prstGeom>
                    <a:noFill/>
                    <a:ln>
                      <a:noFill/>
                    </a:ln>
                  </pic:spPr>
                </pic:pic>
              </a:graphicData>
            </a:graphic>
          </wp:inline>
        </w:drawing>
      </w:r>
      <w:r>
        <w:t>B</w:t>
      </w:r>
    </w:p>
    <w:p w14:paraId="1C5BE72D" w14:textId="0B696301" w:rsidR="00653E0E" w:rsidRDefault="00A542D7" w:rsidP="003F5A64">
      <w:pPr>
        <w:pStyle w:val="NormalWeb"/>
        <w:spacing w:line="276" w:lineRule="auto"/>
      </w:pPr>
      <w:r>
        <w:t>C</w:t>
      </w:r>
      <w:r w:rsidR="00653E0E">
        <w:rPr>
          <w:noProof/>
          <w:lang w:val="en-GB" w:eastAsia="en-GB"/>
        </w:rPr>
        <w:drawing>
          <wp:inline distT="0" distB="0" distL="0" distR="0" wp14:anchorId="7D762611" wp14:editId="389F6013">
            <wp:extent cx="3230880" cy="2423160"/>
            <wp:effectExtent l="0" t="0" r="7620" b="0"/>
            <wp:docPr id="5" name="Picture 5" descr="C:\Users\Chimzurum\Pictures\reticulin bone marrow sta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mzurum\Pictures\reticulin bone marrow stain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inline>
        </w:drawing>
      </w:r>
    </w:p>
    <w:p w14:paraId="3B2900A6" w14:textId="518EFA3B" w:rsidR="00A542D7" w:rsidRDefault="00A542D7" w:rsidP="003F5A64">
      <w:pPr>
        <w:pStyle w:val="NoSpacing"/>
        <w:spacing w:line="276" w:lineRule="auto"/>
        <w:jc w:val="both"/>
        <w:rPr>
          <w:rFonts w:ascii="Times New Roman" w:hAnsi="Times New Roman" w:cs="Times New Roman"/>
        </w:rPr>
      </w:pPr>
      <w:r w:rsidRPr="008E1EA8">
        <w:rPr>
          <w:rFonts w:ascii="Times New Roman" w:hAnsi="Times New Roman" w:cs="Times New Roman"/>
        </w:rPr>
        <w:t>Fig</w:t>
      </w:r>
      <w:r>
        <w:rPr>
          <w:rFonts w:ascii="Times New Roman" w:hAnsi="Times New Roman" w:cs="Times New Roman"/>
        </w:rPr>
        <w:t>ure</w:t>
      </w:r>
      <w:r w:rsidRPr="008E1EA8">
        <w:rPr>
          <w:rFonts w:ascii="Times New Roman" w:hAnsi="Times New Roman" w:cs="Times New Roman"/>
        </w:rPr>
        <w:t xml:space="preserve"> </w:t>
      </w:r>
      <w:r w:rsidR="00A12CCE">
        <w:rPr>
          <w:rFonts w:ascii="Times New Roman" w:hAnsi="Times New Roman" w:cs="Times New Roman"/>
        </w:rPr>
        <w:t>5</w:t>
      </w:r>
      <w:r w:rsidRPr="008E1EA8">
        <w:rPr>
          <w:rFonts w:ascii="Times New Roman" w:hAnsi="Times New Roman" w:cs="Times New Roman"/>
        </w:rPr>
        <w:t>: Photomicrograph of haematoxylin and eosin-stained bone marrow sections</w:t>
      </w:r>
      <w:r w:rsidR="00BB1B0E">
        <w:rPr>
          <w:rFonts w:ascii="Times New Roman" w:hAnsi="Times New Roman" w:cs="Times New Roman"/>
        </w:rPr>
        <w:t xml:space="preserve"> (X200)</w:t>
      </w:r>
      <w:r>
        <w:rPr>
          <w:rFonts w:ascii="Times New Roman" w:hAnsi="Times New Roman" w:cs="Times New Roman"/>
        </w:rPr>
        <w:t xml:space="preserve"> of primary myelofibrosis show increased number of abnormal megakaryocytes (Fig </w:t>
      </w:r>
      <w:r w:rsidR="00A12CCE">
        <w:rPr>
          <w:rFonts w:ascii="Times New Roman" w:hAnsi="Times New Roman" w:cs="Times New Roman"/>
        </w:rPr>
        <w:t>5</w:t>
      </w:r>
      <w:r>
        <w:rPr>
          <w:rFonts w:ascii="Times New Roman" w:hAnsi="Times New Roman" w:cs="Times New Roman"/>
        </w:rPr>
        <w:t xml:space="preserve">A). </w:t>
      </w:r>
      <w:r w:rsidRPr="008E1EA8">
        <w:rPr>
          <w:rFonts w:ascii="Times New Roman" w:hAnsi="Times New Roman" w:cs="Times New Roman"/>
        </w:rPr>
        <w:t xml:space="preserve"> </w:t>
      </w:r>
      <w:r>
        <w:rPr>
          <w:rFonts w:ascii="Times New Roman" w:hAnsi="Times New Roman" w:cs="Times New Roman"/>
        </w:rPr>
        <w:t xml:space="preserve">There is fibrosis of the marrow spaces (Fig </w:t>
      </w:r>
      <w:r w:rsidR="00A12CCE">
        <w:rPr>
          <w:rFonts w:ascii="Times New Roman" w:hAnsi="Times New Roman" w:cs="Times New Roman"/>
        </w:rPr>
        <w:t>5</w:t>
      </w:r>
      <w:r>
        <w:rPr>
          <w:rFonts w:ascii="Times New Roman" w:hAnsi="Times New Roman" w:cs="Times New Roman"/>
        </w:rPr>
        <w:t xml:space="preserve">B). The reticulin stain shows grade 2 fibrosis (Fig </w:t>
      </w:r>
      <w:r w:rsidR="00A12CCE">
        <w:rPr>
          <w:rFonts w:ascii="Times New Roman" w:hAnsi="Times New Roman" w:cs="Times New Roman"/>
        </w:rPr>
        <w:t>5</w:t>
      </w:r>
      <w:r>
        <w:rPr>
          <w:rFonts w:ascii="Times New Roman" w:hAnsi="Times New Roman" w:cs="Times New Roman"/>
        </w:rPr>
        <w:t xml:space="preserve">C). </w:t>
      </w:r>
    </w:p>
    <w:p w14:paraId="0E931212" w14:textId="77777777" w:rsidR="00A542D7" w:rsidRDefault="00A542D7" w:rsidP="003F5A64">
      <w:pPr>
        <w:spacing w:line="276" w:lineRule="auto"/>
        <w:jc w:val="both"/>
        <w:rPr>
          <w:rFonts w:ascii="Times New Roman" w:hAnsi="Times New Roman" w:cs="Times New Roman"/>
          <w:sz w:val="24"/>
          <w:szCs w:val="24"/>
        </w:rPr>
      </w:pPr>
    </w:p>
    <w:p w14:paraId="2B2D7F16" w14:textId="47D3A8F2" w:rsidR="002B545D"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There was concordance between aspirate and biopsy diagnosis for all 8 cases of chronic lymphocytic </w:t>
      </w:r>
      <w:proofErr w:type="gramStart"/>
      <w:r w:rsidRPr="0089664F">
        <w:rPr>
          <w:rFonts w:ascii="Times New Roman" w:hAnsi="Times New Roman" w:cs="Times New Roman"/>
          <w:sz w:val="24"/>
          <w:szCs w:val="24"/>
        </w:rPr>
        <w:t xml:space="preserve">leukaemia, </w:t>
      </w:r>
      <w:r w:rsidR="00BB1B0E">
        <w:rPr>
          <w:rFonts w:ascii="Times New Roman" w:hAnsi="Times New Roman" w:cs="Times New Roman"/>
          <w:sz w:val="24"/>
          <w:szCs w:val="24"/>
        </w:rPr>
        <w:t xml:space="preserve"> all</w:t>
      </w:r>
      <w:proofErr w:type="gramEnd"/>
      <w:r w:rsidR="00BB1B0E">
        <w:rPr>
          <w:rFonts w:ascii="Times New Roman" w:hAnsi="Times New Roman" w:cs="Times New Roman"/>
          <w:sz w:val="24"/>
          <w:szCs w:val="24"/>
        </w:rPr>
        <w:t xml:space="preserve"> </w:t>
      </w:r>
      <w:r w:rsidRPr="0089664F">
        <w:rPr>
          <w:rFonts w:ascii="Times New Roman" w:hAnsi="Times New Roman" w:cs="Times New Roman"/>
          <w:sz w:val="24"/>
          <w:szCs w:val="24"/>
        </w:rPr>
        <w:t xml:space="preserve">7 cases of myelodysplastic syndrome, and </w:t>
      </w:r>
      <w:r w:rsidR="00032FEC">
        <w:rPr>
          <w:rFonts w:ascii="Times New Roman" w:hAnsi="Times New Roman" w:cs="Times New Roman"/>
          <w:sz w:val="24"/>
          <w:szCs w:val="24"/>
        </w:rPr>
        <w:t xml:space="preserve">the </w:t>
      </w:r>
      <w:r w:rsidRPr="0089664F">
        <w:rPr>
          <w:rFonts w:ascii="Times New Roman" w:hAnsi="Times New Roman" w:cs="Times New Roman"/>
          <w:sz w:val="24"/>
          <w:szCs w:val="24"/>
        </w:rPr>
        <w:t xml:space="preserve">singular cases of chronic eosinophilic </w:t>
      </w:r>
      <w:proofErr w:type="spellStart"/>
      <w:r w:rsidRPr="0089664F">
        <w:rPr>
          <w:rFonts w:ascii="Times New Roman" w:hAnsi="Times New Roman" w:cs="Times New Roman"/>
          <w:sz w:val="24"/>
          <w:szCs w:val="24"/>
        </w:rPr>
        <w:t>leuk</w:t>
      </w:r>
      <w:r>
        <w:rPr>
          <w:rFonts w:ascii="Times New Roman" w:hAnsi="Times New Roman" w:cs="Times New Roman"/>
          <w:sz w:val="24"/>
          <w:szCs w:val="24"/>
        </w:rPr>
        <w:t>a</w:t>
      </w:r>
      <w:r w:rsidRPr="0089664F">
        <w:rPr>
          <w:rFonts w:ascii="Times New Roman" w:hAnsi="Times New Roman" w:cs="Times New Roman"/>
          <w:sz w:val="24"/>
          <w:szCs w:val="24"/>
        </w:rPr>
        <w:t>emia</w:t>
      </w:r>
      <w:proofErr w:type="spellEnd"/>
      <w:r w:rsidRPr="0089664F">
        <w:rPr>
          <w:rFonts w:ascii="Times New Roman" w:hAnsi="Times New Roman" w:cs="Times New Roman"/>
          <w:sz w:val="24"/>
          <w:szCs w:val="24"/>
        </w:rPr>
        <w:t xml:space="preserve"> and </w:t>
      </w:r>
      <w:proofErr w:type="spellStart"/>
      <w:r w:rsidRPr="0089664F">
        <w:rPr>
          <w:rFonts w:ascii="Times New Roman" w:hAnsi="Times New Roman" w:cs="Times New Roman"/>
          <w:sz w:val="24"/>
          <w:szCs w:val="24"/>
        </w:rPr>
        <w:t>polycythaemia</w:t>
      </w:r>
      <w:proofErr w:type="spellEnd"/>
      <w:r>
        <w:rPr>
          <w:rFonts w:ascii="Times New Roman" w:hAnsi="Times New Roman" w:cs="Times New Roman"/>
          <w:sz w:val="24"/>
          <w:szCs w:val="24"/>
        </w:rPr>
        <w:t xml:space="preserve"> rubra</w:t>
      </w:r>
      <w:r w:rsidRPr="0089664F">
        <w:rPr>
          <w:rFonts w:ascii="Times New Roman" w:hAnsi="Times New Roman" w:cs="Times New Roman"/>
          <w:sz w:val="24"/>
          <w:szCs w:val="24"/>
        </w:rPr>
        <w:t xml:space="preserve"> vera. O</w:t>
      </w:r>
      <w:r>
        <w:rPr>
          <w:rFonts w:ascii="Times New Roman" w:hAnsi="Times New Roman" w:cs="Times New Roman"/>
          <w:sz w:val="24"/>
          <w:szCs w:val="24"/>
        </w:rPr>
        <w:t>n the other hand, there were 7 haematological malignancies</w:t>
      </w:r>
      <w:r w:rsidRPr="0089664F">
        <w:rPr>
          <w:rFonts w:ascii="Times New Roman" w:hAnsi="Times New Roman" w:cs="Times New Roman"/>
          <w:sz w:val="24"/>
          <w:szCs w:val="24"/>
        </w:rPr>
        <w:t xml:space="preserve"> for which discordance occurred and the discordance rates were 8.3% </w:t>
      </w:r>
      <w:r>
        <w:rPr>
          <w:rFonts w:ascii="Times New Roman" w:hAnsi="Times New Roman" w:cs="Times New Roman"/>
          <w:sz w:val="24"/>
          <w:szCs w:val="24"/>
        </w:rPr>
        <w:t>in acute myeloid leukaemia,</w:t>
      </w:r>
      <w:r w:rsidRPr="0089664F">
        <w:rPr>
          <w:rFonts w:ascii="Times New Roman" w:hAnsi="Times New Roman" w:cs="Times New Roman"/>
          <w:sz w:val="24"/>
          <w:szCs w:val="24"/>
        </w:rPr>
        <w:t xml:space="preserve"> </w:t>
      </w:r>
      <w:r>
        <w:rPr>
          <w:rFonts w:ascii="Times New Roman" w:hAnsi="Times New Roman" w:cs="Times New Roman"/>
          <w:sz w:val="24"/>
          <w:szCs w:val="24"/>
        </w:rPr>
        <w:t>10.0% in essential thrombocythaemia, 11.1% in</w:t>
      </w:r>
      <w:r w:rsidRPr="0089664F">
        <w:rPr>
          <w:rFonts w:ascii="Times New Roman" w:hAnsi="Times New Roman" w:cs="Times New Roman"/>
          <w:sz w:val="24"/>
          <w:szCs w:val="24"/>
        </w:rPr>
        <w:t xml:space="preserve"> acute lymphoblastic leukaemia, </w:t>
      </w:r>
      <w:r>
        <w:rPr>
          <w:rFonts w:ascii="Times New Roman" w:hAnsi="Times New Roman" w:cs="Times New Roman"/>
          <w:sz w:val="24"/>
          <w:szCs w:val="24"/>
        </w:rPr>
        <w:t>11.8% in</w:t>
      </w:r>
      <w:r w:rsidRPr="0089664F">
        <w:rPr>
          <w:rFonts w:ascii="Times New Roman" w:hAnsi="Times New Roman" w:cs="Times New Roman"/>
          <w:sz w:val="24"/>
          <w:szCs w:val="24"/>
        </w:rPr>
        <w:t xml:space="preserve"> </w:t>
      </w:r>
      <w:r>
        <w:rPr>
          <w:rFonts w:ascii="Times New Roman" w:hAnsi="Times New Roman" w:cs="Times New Roman"/>
          <w:sz w:val="24"/>
          <w:szCs w:val="24"/>
        </w:rPr>
        <w:t>multiple myeloma,</w:t>
      </w:r>
      <w:r w:rsidRPr="0089664F">
        <w:rPr>
          <w:rFonts w:ascii="Times New Roman" w:hAnsi="Times New Roman" w:cs="Times New Roman"/>
          <w:sz w:val="24"/>
          <w:szCs w:val="24"/>
        </w:rPr>
        <w:t xml:space="preserve"> </w:t>
      </w:r>
      <w:r>
        <w:rPr>
          <w:rFonts w:ascii="Times New Roman" w:hAnsi="Times New Roman" w:cs="Times New Roman"/>
          <w:sz w:val="24"/>
          <w:szCs w:val="24"/>
        </w:rPr>
        <w:t xml:space="preserve">15.4% in </w:t>
      </w:r>
      <w:r w:rsidRPr="0089664F">
        <w:rPr>
          <w:rFonts w:ascii="Times New Roman" w:hAnsi="Times New Roman" w:cs="Times New Roman"/>
          <w:sz w:val="24"/>
          <w:szCs w:val="24"/>
        </w:rPr>
        <w:t>l</w:t>
      </w:r>
      <w:r>
        <w:rPr>
          <w:rFonts w:ascii="Times New Roman" w:hAnsi="Times New Roman" w:cs="Times New Roman"/>
          <w:sz w:val="24"/>
          <w:szCs w:val="24"/>
        </w:rPr>
        <w:t>ymphoproliferative neoplasm,</w:t>
      </w:r>
      <w:r w:rsidRPr="0089664F">
        <w:rPr>
          <w:rFonts w:ascii="Times New Roman" w:hAnsi="Times New Roman" w:cs="Times New Roman"/>
          <w:sz w:val="24"/>
          <w:szCs w:val="24"/>
        </w:rPr>
        <w:t xml:space="preserve"> 38.5% </w:t>
      </w:r>
      <w:r>
        <w:rPr>
          <w:rFonts w:ascii="Times New Roman" w:hAnsi="Times New Roman" w:cs="Times New Roman"/>
          <w:sz w:val="24"/>
          <w:szCs w:val="24"/>
        </w:rPr>
        <w:t>in my</w:t>
      </w:r>
      <w:r w:rsidR="00032FEC">
        <w:rPr>
          <w:rFonts w:ascii="Times New Roman" w:hAnsi="Times New Roman" w:cs="Times New Roman"/>
          <w:sz w:val="24"/>
          <w:szCs w:val="24"/>
        </w:rPr>
        <w:t>e</w:t>
      </w:r>
      <w:r>
        <w:rPr>
          <w:rFonts w:ascii="Times New Roman" w:hAnsi="Times New Roman" w:cs="Times New Roman"/>
          <w:sz w:val="24"/>
          <w:szCs w:val="24"/>
        </w:rPr>
        <w:t>lofibrosis</w:t>
      </w:r>
      <w:r w:rsidRPr="0089664F">
        <w:rPr>
          <w:rFonts w:ascii="Times New Roman" w:hAnsi="Times New Roman" w:cs="Times New Roman"/>
          <w:sz w:val="24"/>
          <w:szCs w:val="24"/>
        </w:rPr>
        <w:t xml:space="preserve"> and 80% </w:t>
      </w:r>
      <w:r>
        <w:rPr>
          <w:rFonts w:ascii="Times New Roman" w:hAnsi="Times New Roman" w:cs="Times New Roman"/>
          <w:sz w:val="24"/>
          <w:szCs w:val="24"/>
        </w:rPr>
        <w:t xml:space="preserve">in </w:t>
      </w:r>
      <w:r>
        <w:rPr>
          <w:rFonts w:ascii="Times New Roman" w:hAnsi="Times New Roman" w:cs="Times New Roman"/>
          <w:bCs/>
          <w:sz w:val="24"/>
          <w:szCs w:val="24"/>
        </w:rPr>
        <w:t>m</w:t>
      </w:r>
      <w:r w:rsidRPr="0089664F">
        <w:rPr>
          <w:rFonts w:ascii="Times New Roman" w:hAnsi="Times New Roman" w:cs="Times New Roman"/>
          <w:bCs/>
          <w:sz w:val="24"/>
          <w:szCs w:val="24"/>
        </w:rPr>
        <w:t>etastatic bone</w:t>
      </w:r>
      <w:r>
        <w:rPr>
          <w:rFonts w:ascii="Times New Roman" w:hAnsi="Times New Roman" w:cs="Times New Roman"/>
          <w:bCs/>
          <w:sz w:val="24"/>
          <w:szCs w:val="24"/>
        </w:rPr>
        <w:t xml:space="preserve"> marrow</w:t>
      </w:r>
      <w:r w:rsidRPr="0089664F">
        <w:rPr>
          <w:rFonts w:ascii="Times New Roman" w:hAnsi="Times New Roman" w:cs="Times New Roman"/>
          <w:bCs/>
          <w:sz w:val="24"/>
          <w:szCs w:val="24"/>
        </w:rPr>
        <w:t xml:space="preserve"> disease</w:t>
      </w:r>
      <w:r>
        <w:rPr>
          <w:rFonts w:ascii="Times New Roman" w:hAnsi="Times New Roman" w:cs="Times New Roman"/>
          <w:sz w:val="24"/>
          <w:szCs w:val="24"/>
        </w:rPr>
        <w:t>,</w:t>
      </w:r>
      <w:r w:rsidRPr="0089664F">
        <w:rPr>
          <w:rFonts w:ascii="Times New Roman" w:hAnsi="Times New Roman" w:cs="Times New Roman"/>
          <w:sz w:val="24"/>
          <w:szCs w:val="24"/>
        </w:rPr>
        <w:t xml:space="preserve"> making a total of 19 cases of discordant diagnoses</w:t>
      </w:r>
      <w:r w:rsidR="0056778B">
        <w:rPr>
          <w:rFonts w:ascii="Times New Roman" w:hAnsi="Times New Roman" w:cs="Times New Roman"/>
          <w:sz w:val="24"/>
          <w:szCs w:val="24"/>
        </w:rPr>
        <w:t xml:space="preserve"> between aspirate and biopsy</w:t>
      </w:r>
      <w:r w:rsidRPr="0089664F">
        <w:rPr>
          <w:rFonts w:ascii="Times New Roman" w:hAnsi="Times New Roman" w:cs="Times New Roman"/>
          <w:sz w:val="24"/>
          <w:szCs w:val="24"/>
        </w:rPr>
        <w:t xml:space="preserve"> (see Figure </w:t>
      </w:r>
      <w:r w:rsidR="00A12CCE">
        <w:rPr>
          <w:rFonts w:ascii="Times New Roman" w:hAnsi="Times New Roman" w:cs="Times New Roman"/>
          <w:sz w:val="24"/>
          <w:szCs w:val="24"/>
        </w:rPr>
        <w:t>6</w:t>
      </w:r>
      <w:r w:rsidRPr="0089664F">
        <w:rPr>
          <w:rFonts w:ascii="Times New Roman" w:hAnsi="Times New Roman" w:cs="Times New Roman"/>
          <w:sz w:val="24"/>
          <w:szCs w:val="24"/>
        </w:rPr>
        <w:t xml:space="preserve"> and Table 5). Table 5 shows the various discordant diagnoses with the final</w:t>
      </w:r>
      <w:r>
        <w:rPr>
          <w:rFonts w:ascii="Times New Roman" w:hAnsi="Times New Roman" w:cs="Times New Roman"/>
          <w:sz w:val="24"/>
          <w:szCs w:val="24"/>
        </w:rPr>
        <w:t xml:space="preserve"> working</w:t>
      </w:r>
      <w:r w:rsidRPr="0089664F">
        <w:rPr>
          <w:rFonts w:ascii="Times New Roman" w:hAnsi="Times New Roman" w:cs="Times New Roman"/>
          <w:sz w:val="24"/>
          <w:szCs w:val="24"/>
        </w:rPr>
        <w:t xml:space="preserve"> diagnoses</w:t>
      </w:r>
      <w:r>
        <w:rPr>
          <w:rFonts w:ascii="Times New Roman" w:hAnsi="Times New Roman" w:cs="Times New Roman"/>
          <w:sz w:val="24"/>
          <w:szCs w:val="24"/>
        </w:rPr>
        <w:t xml:space="preserve"> adopted</w:t>
      </w:r>
      <w:r w:rsidRPr="0089664F">
        <w:rPr>
          <w:rFonts w:ascii="Times New Roman" w:hAnsi="Times New Roman" w:cs="Times New Roman"/>
          <w:sz w:val="24"/>
          <w:szCs w:val="24"/>
        </w:rPr>
        <w:t xml:space="preserve"> for the specific patient. </w:t>
      </w:r>
    </w:p>
    <w:bookmarkEnd w:id="2"/>
    <w:p w14:paraId="62DBB156" w14:textId="77777777" w:rsidR="002B545D" w:rsidRPr="0089664F" w:rsidRDefault="002B545D" w:rsidP="003F5A64">
      <w:pPr>
        <w:keepNext/>
        <w:spacing w:line="276" w:lineRule="auto"/>
        <w:jc w:val="both"/>
        <w:rPr>
          <w:rFonts w:ascii="Times New Roman" w:hAnsi="Times New Roman" w:cs="Times New Roman"/>
          <w:sz w:val="24"/>
          <w:szCs w:val="24"/>
        </w:rPr>
      </w:pPr>
      <w:r w:rsidRPr="0089664F">
        <w:rPr>
          <w:rFonts w:ascii="Times New Roman" w:hAnsi="Times New Roman" w:cs="Times New Roman"/>
          <w:noProof/>
          <w:sz w:val="24"/>
          <w:szCs w:val="24"/>
          <w:lang w:val="en-GB" w:eastAsia="en-GB"/>
        </w:rPr>
        <w:lastRenderedPageBreak/>
        <w:drawing>
          <wp:inline distT="0" distB="0" distL="0" distR="0" wp14:anchorId="0674BD25" wp14:editId="4788DD47">
            <wp:extent cx="4572000" cy="2743200"/>
            <wp:effectExtent l="0" t="0" r="0" b="0"/>
            <wp:docPr id="1616956484" name="Chart 1">
              <a:extLst xmlns:a="http://schemas.openxmlformats.org/drawingml/2006/main">
                <a:ext uri="{FF2B5EF4-FFF2-40B4-BE49-F238E27FC236}">
                  <a16:creationId xmlns:a16="http://schemas.microsoft.com/office/drawing/2014/main" id="{FA45B40C-01CE-D9C7-7204-A8F1CCE97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2CE187" w14:textId="7B7DFCA1" w:rsidR="002F6B1E" w:rsidRPr="002F6B1E" w:rsidRDefault="002F6B1E" w:rsidP="003F5A64">
      <w:pPr>
        <w:tabs>
          <w:tab w:val="left" w:pos="834"/>
        </w:tabs>
        <w:spacing w:line="276" w:lineRule="auto"/>
        <w:jc w:val="both"/>
        <w:rPr>
          <w:rFonts w:ascii="Times New Roman" w:hAnsi="Times New Roman" w:cs="Times New Roman"/>
        </w:rPr>
      </w:pPr>
      <w:r w:rsidRPr="002F6B1E">
        <w:rPr>
          <w:rFonts w:ascii="Times New Roman" w:hAnsi="Times New Roman" w:cs="Times New Roman"/>
        </w:rPr>
        <w:t xml:space="preserve">ALL= Acute lymphocytic leukaemia, AML= Acute myeloid leukaemia, ET= Essential thrombocythaemia, </w:t>
      </w:r>
      <w:r>
        <w:rPr>
          <w:rFonts w:ascii="Times New Roman" w:hAnsi="Times New Roman" w:cs="Times New Roman"/>
        </w:rPr>
        <w:t>LPN</w:t>
      </w:r>
      <w:r w:rsidRPr="002F6B1E">
        <w:rPr>
          <w:rFonts w:ascii="Times New Roman" w:hAnsi="Times New Roman" w:cs="Times New Roman"/>
        </w:rPr>
        <w:t xml:space="preserve">= Lymphoma with bone marrow involvement, MBD= Metastatic </w:t>
      </w:r>
      <w:r>
        <w:rPr>
          <w:rFonts w:ascii="Times New Roman" w:hAnsi="Times New Roman" w:cs="Times New Roman"/>
        </w:rPr>
        <w:t>bone disease</w:t>
      </w:r>
      <w:r w:rsidRPr="002F6B1E">
        <w:rPr>
          <w:rFonts w:ascii="Times New Roman" w:hAnsi="Times New Roman" w:cs="Times New Roman"/>
        </w:rPr>
        <w:t>, MM= Multiple myeloma, MF= (Primary myelofibrosis</w:t>
      </w:r>
      <w:r>
        <w:rPr>
          <w:rFonts w:ascii="Times New Roman" w:hAnsi="Times New Roman" w:cs="Times New Roman"/>
        </w:rPr>
        <w:t>)</w:t>
      </w:r>
    </w:p>
    <w:p w14:paraId="70F05ABF" w14:textId="488B9782" w:rsidR="00894FC9" w:rsidRPr="00894FC9" w:rsidRDefault="00BD4E89" w:rsidP="003F5A64">
      <w:pPr>
        <w:pStyle w:val="Caption"/>
        <w:spacing w:line="276" w:lineRule="auto"/>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F</w:t>
      </w:r>
      <w:r w:rsidR="002B545D" w:rsidRPr="00894FC9">
        <w:rPr>
          <w:rFonts w:ascii="Times New Roman" w:hAnsi="Times New Roman" w:cs="Times New Roman"/>
          <w:i w:val="0"/>
          <w:iCs w:val="0"/>
          <w:color w:val="auto"/>
          <w:sz w:val="24"/>
          <w:szCs w:val="24"/>
        </w:rPr>
        <w:t xml:space="preserve">igure </w:t>
      </w:r>
      <w:r w:rsidR="00A12CCE">
        <w:rPr>
          <w:rFonts w:ascii="Times New Roman" w:hAnsi="Times New Roman" w:cs="Times New Roman"/>
          <w:i w:val="0"/>
          <w:iCs w:val="0"/>
          <w:color w:val="auto"/>
          <w:sz w:val="24"/>
          <w:szCs w:val="24"/>
        </w:rPr>
        <w:t>6</w:t>
      </w:r>
      <w:r w:rsidR="002B545D" w:rsidRPr="00894FC9">
        <w:rPr>
          <w:rFonts w:ascii="Times New Roman" w:hAnsi="Times New Roman" w:cs="Times New Roman"/>
          <w:i w:val="0"/>
          <w:iCs w:val="0"/>
          <w:color w:val="auto"/>
          <w:sz w:val="24"/>
          <w:szCs w:val="24"/>
        </w:rPr>
        <w:t>: Discordance Rates between BMB and BMA</w:t>
      </w:r>
    </w:p>
    <w:p w14:paraId="24CDB75D" w14:textId="77777777" w:rsidR="002B545D" w:rsidRPr="0089664F" w:rsidRDefault="002B545D" w:rsidP="003F5A64">
      <w:pPr>
        <w:spacing w:line="276" w:lineRule="auto"/>
        <w:jc w:val="both"/>
        <w:rPr>
          <w:rFonts w:ascii="Times New Roman" w:hAnsi="Times New Roman" w:cs="Times New Roman"/>
          <w:sz w:val="24"/>
          <w:szCs w:val="24"/>
        </w:rPr>
      </w:pPr>
      <w:r w:rsidRPr="0089664F">
        <w:rPr>
          <w:rFonts w:ascii="Times New Roman" w:hAnsi="Times New Roman" w:cs="Times New Roman"/>
          <w:noProof/>
          <w:sz w:val="24"/>
          <w:szCs w:val="24"/>
          <w:lang w:val="en-GB" w:eastAsia="en-GB"/>
        </w:rPr>
        <w:drawing>
          <wp:anchor distT="0" distB="0" distL="114300" distR="114300" simplePos="0" relativeHeight="251661312" behindDoc="0" locked="0" layoutInCell="1" allowOverlap="1" wp14:anchorId="689DC668" wp14:editId="3D6E63BD">
            <wp:simplePos x="0" y="0"/>
            <wp:positionH relativeFrom="column">
              <wp:posOffset>-781050</wp:posOffset>
            </wp:positionH>
            <wp:positionV relativeFrom="paragraph">
              <wp:posOffset>207645</wp:posOffset>
            </wp:positionV>
            <wp:extent cx="7402830" cy="3476625"/>
            <wp:effectExtent l="0" t="0" r="7620" b="9525"/>
            <wp:wrapThrough wrapText="bothSides">
              <wp:wrapPolygon edited="0">
                <wp:start x="0" y="0"/>
                <wp:lineTo x="0" y="21541"/>
                <wp:lineTo x="20677" y="21541"/>
                <wp:lineTo x="20677" y="18937"/>
                <wp:lineTo x="21567" y="18937"/>
                <wp:lineTo x="21567" y="0"/>
                <wp:lineTo x="0" y="0"/>
              </wp:wrapPolygon>
            </wp:wrapThrough>
            <wp:docPr id="81637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0283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664F">
        <w:rPr>
          <w:rFonts w:ascii="Times New Roman" w:hAnsi="Times New Roman" w:cs="Times New Roman"/>
          <w:sz w:val="24"/>
          <w:szCs w:val="24"/>
        </w:rPr>
        <w:t>Table 5: Concordance between BMB and BMA</w:t>
      </w:r>
    </w:p>
    <w:p w14:paraId="06A7C314" w14:textId="25C46C5D" w:rsidR="002F6B1E" w:rsidRPr="002F6B1E" w:rsidRDefault="002F6B1E" w:rsidP="003F5A64">
      <w:pPr>
        <w:tabs>
          <w:tab w:val="left" w:pos="834"/>
        </w:tabs>
        <w:spacing w:line="276" w:lineRule="auto"/>
        <w:jc w:val="both"/>
        <w:rPr>
          <w:rFonts w:ascii="Times New Roman" w:hAnsi="Times New Roman" w:cs="Times New Roman"/>
        </w:rPr>
      </w:pPr>
      <w:bookmarkStart w:id="3" w:name="_Hlk209096532"/>
      <w:r w:rsidRPr="002F6B1E">
        <w:rPr>
          <w:rFonts w:ascii="Times New Roman" w:hAnsi="Times New Roman" w:cs="Times New Roman"/>
        </w:rPr>
        <w:t xml:space="preserve">ALL= Acute lymphocytic leukaemia, AML= Acute myeloid leukaemia, CEL= Chronic eosinophilic leukaemia, CLL Chronic lymphocytic leukaemia, ET= Essential thrombocythaemia, LBI= Lymphoma with </w:t>
      </w:r>
      <w:r w:rsidRPr="002F6B1E">
        <w:rPr>
          <w:rFonts w:ascii="Times New Roman" w:hAnsi="Times New Roman" w:cs="Times New Roman"/>
        </w:rPr>
        <w:lastRenderedPageBreak/>
        <w:t xml:space="preserve">bone marrow involvement, MBD= Metastatic bone disease, </w:t>
      </w:r>
      <w:r w:rsidR="003200C3">
        <w:rPr>
          <w:rFonts w:ascii="Times New Roman" w:hAnsi="Times New Roman" w:cs="Times New Roman"/>
        </w:rPr>
        <w:t xml:space="preserve">MDS= </w:t>
      </w:r>
      <w:r w:rsidRPr="002F6B1E">
        <w:rPr>
          <w:rFonts w:ascii="Times New Roman" w:hAnsi="Times New Roman" w:cs="Times New Roman"/>
        </w:rPr>
        <w:t xml:space="preserve">Myelodysplastic syndrome, MM= Multiple myeloma, MF= (Primary myelofibrosis), PV= </w:t>
      </w:r>
      <w:proofErr w:type="spellStart"/>
      <w:r w:rsidRPr="002F6B1E">
        <w:rPr>
          <w:rFonts w:ascii="Times New Roman" w:hAnsi="Times New Roman" w:cs="Times New Roman"/>
        </w:rPr>
        <w:t>Polycythaemia</w:t>
      </w:r>
      <w:proofErr w:type="spellEnd"/>
      <w:r w:rsidRPr="002F6B1E">
        <w:rPr>
          <w:rFonts w:ascii="Times New Roman" w:hAnsi="Times New Roman" w:cs="Times New Roman"/>
        </w:rPr>
        <w:t xml:space="preserve"> </w:t>
      </w:r>
      <w:proofErr w:type="spellStart"/>
      <w:r w:rsidRPr="002F6B1E">
        <w:rPr>
          <w:rFonts w:ascii="Times New Roman" w:hAnsi="Times New Roman" w:cs="Times New Roman"/>
        </w:rPr>
        <w:t>vera</w:t>
      </w:r>
      <w:proofErr w:type="spellEnd"/>
    </w:p>
    <w:p w14:paraId="692F9E22" w14:textId="77777777" w:rsidR="003F5A64" w:rsidRDefault="00A97BF6" w:rsidP="003F5A64">
      <w:pPr>
        <w:spacing w:line="276" w:lineRule="auto"/>
        <w:jc w:val="both"/>
        <w:rPr>
          <w:rFonts w:ascii="Times New Roman" w:hAnsi="Times New Roman" w:cs="Times New Roman"/>
          <w:sz w:val="24"/>
          <w:szCs w:val="24"/>
        </w:rPr>
      </w:pPr>
      <w:r w:rsidRPr="00BE4946">
        <w:rPr>
          <w:rFonts w:ascii="Times New Roman" w:hAnsi="Times New Roman" w:cs="Times New Roman"/>
          <w:sz w:val="24"/>
          <w:szCs w:val="24"/>
        </w:rPr>
        <w:t>A Chi-Square test of association was conducted to examine the relationship between the</w:t>
      </w:r>
      <w:r>
        <w:rPr>
          <w:rFonts w:ascii="Times New Roman" w:hAnsi="Times New Roman" w:cs="Times New Roman"/>
          <w:sz w:val="24"/>
          <w:szCs w:val="24"/>
        </w:rPr>
        <w:t xml:space="preserve"> </w:t>
      </w:r>
      <w:r w:rsidRPr="00BE4946">
        <w:rPr>
          <w:rFonts w:ascii="Times New Roman" w:hAnsi="Times New Roman" w:cs="Times New Roman"/>
          <w:sz w:val="24"/>
          <w:szCs w:val="24"/>
        </w:rPr>
        <w:t>bone marrow aspiration (BMA) and bone marrow biopsy (BMB</w:t>
      </w:r>
      <w:r>
        <w:rPr>
          <w:rFonts w:ascii="Times New Roman" w:hAnsi="Times New Roman" w:cs="Times New Roman"/>
          <w:sz w:val="24"/>
          <w:szCs w:val="24"/>
        </w:rPr>
        <w:t xml:space="preserve">) </w:t>
      </w:r>
      <w:r w:rsidRPr="00BE4946">
        <w:rPr>
          <w:rFonts w:ascii="Times New Roman" w:hAnsi="Times New Roman" w:cs="Times New Roman"/>
          <w:sz w:val="24"/>
          <w:szCs w:val="24"/>
        </w:rPr>
        <w:t xml:space="preserve">concordance. The symmetric measures presented in Table </w:t>
      </w:r>
      <w:r>
        <w:rPr>
          <w:rFonts w:ascii="Times New Roman" w:hAnsi="Times New Roman" w:cs="Times New Roman"/>
          <w:sz w:val="24"/>
          <w:szCs w:val="24"/>
        </w:rPr>
        <w:t>6</w:t>
      </w:r>
      <w:r w:rsidR="003F5A64">
        <w:rPr>
          <w:rFonts w:ascii="Times New Roman" w:hAnsi="Times New Roman" w:cs="Times New Roman"/>
          <w:sz w:val="24"/>
          <w:szCs w:val="24"/>
        </w:rPr>
        <w:t>, as seen below, t</w:t>
      </w:r>
      <w:r w:rsidRPr="00BE4946">
        <w:rPr>
          <w:rFonts w:ascii="Times New Roman" w:hAnsi="Times New Roman" w:cs="Times New Roman"/>
          <w:sz w:val="24"/>
          <w:szCs w:val="24"/>
        </w:rPr>
        <w:t>he Phi coefficient was 0.746, while Cramer's V recorded a value of 0.848</w:t>
      </w:r>
      <w:r w:rsidR="003F5A64">
        <w:rPr>
          <w:rFonts w:ascii="Times New Roman" w:hAnsi="Times New Roman" w:cs="Times New Roman"/>
          <w:sz w:val="24"/>
          <w:szCs w:val="24"/>
        </w:rPr>
        <w:t xml:space="preserve">. The </w:t>
      </w:r>
      <w:r w:rsidRPr="00BE4946">
        <w:rPr>
          <w:rFonts w:ascii="Times New Roman" w:hAnsi="Times New Roman" w:cs="Times New Roman"/>
          <w:sz w:val="24"/>
          <w:szCs w:val="24"/>
        </w:rPr>
        <w:t>Cohen’s Kappa value of 0.820 (Asymptotic Standard Error = 0.045)</w:t>
      </w:r>
      <w:r w:rsidR="003F5A64">
        <w:rPr>
          <w:rFonts w:ascii="Times New Roman" w:hAnsi="Times New Roman" w:cs="Times New Roman"/>
          <w:sz w:val="24"/>
          <w:szCs w:val="24"/>
        </w:rPr>
        <w:t>, followed by t</w:t>
      </w:r>
      <w:r w:rsidRPr="00BE4946">
        <w:rPr>
          <w:rFonts w:ascii="Times New Roman" w:hAnsi="Times New Roman" w:cs="Times New Roman"/>
          <w:sz w:val="24"/>
          <w:szCs w:val="24"/>
        </w:rPr>
        <w:t xml:space="preserve">he approximate t-value of 12.624 and corresponding significance level (p = 0.0001) </w:t>
      </w:r>
    </w:p>
    <w:p w14:paraId="1D84CB1B" w14:textId="608F013E" w:rsidR="00A97BF6" w:rsidRPr="00A5671C" w:rsidRDefault="00A97BF6" w:rsidP="003F5A64">
      <w:pPr>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 xml:space="preserve">Table 6: Symmetric Measures Showing the Strength of Association Between the </w:t>
      </w:r>
      <w:r>
        <w:rPr>
          <w:rFonts w:ascii="Times New Roman" w:hAnsi="Times New Roman" w:cs="Times New Roman"/>
          <w:sz w:val="24"/>
          <w:szCs w:val="24"/>
        </w:rPr>
        <w:t xml:space="preserve">Bone marrow Aspiration and Bone marrow Biopsy </w:t>
      </w:r>
    </w:p>
    <w:tbl>
      <w:tblPr>
        <w:tblStyle w:val="TableGrid"/>
        <w:tblW w:w="0" w:type="auto"/>
        <w:tblLook w:val="04A0" w:firstRow="1" w:lastRow="0" w:firstColumn="1" w:lastColumn="0" w:noHBand="0" w:noVBand="1"/>
      </w:tblPr>
      <w:tblGrid>
        <w:gridCol w:w="1870"/>
        <w:gridCol w:w="1854"/>
        <w:gridCol w:w="1887"/>
        <w:gridCol w:w="1869"/>
        <w:gridCol w:w="1870"/>
      </w:tblGrid>
      <w:tr w:rsidR="00A97BF6" w:rsidRPr="00A5671C" w14:paraId="60F7497B" w14:textId="77777777" w:rsidTr="00DC7CAF">
        <w:tc>
          <w:tcPr>
            <w:tcW w:w="1915" w:type="dxa"/>
          </w:tcPr>
          <w:p w14:paraId="0A709B83" w14:textId="77777777" w:rsidR="00A97BF6" w:rsidRPr="00A5671C" w:rsidRDefault="00A97BF6" w:rsidP="003F5A64">
            <w:pPr>
              <w:tabs>
                <w:tab w:val="left" w:pos="834"/>
              </w:tabs>
              <w:spacing w:line="276" w:lineRule="auto"/>
              <w:jc w:val="both"/>
              <w:rPr>
                <w:rFonts w:ascii="Times New Roman" w:hAnsi="Times New Roman" w:cs="Times New Roman"/>
                <w:b/>
                <w:sz w:val="24"/>
                <w:szCs w:val="24"/>
              </w:rPr>
            </w:pPr>
            <w:r w:rsidRPr="00A5671C">
              <w:rPr>
                <w:rFonts w:ascii="Times New Roman" w:hAnsi="Times New Roman" w:cs="Times New Roman"/>
                <w:b/>
                <w:sz w:val="24"/>
                <w:szCs w:val="24"/>
              </w:rPr>
              <w:t>Measure</w:t>
            </w:r>
          </w:p>
          <w:p w14:paraId="1D0A95C2"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Nominal by Nominal</w:t>
            </w:r>
          </w:p>
        </w:tc>
        <w:tc>
          <w:tcPr>
            <w:tcW w:w="1915" w:type="dxa"/>
          </w:tcPr>
          <w:p w14:paraId="3A1FEA8D"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Value</w:t>
            </w:r>
          </w:p>
        </w:tc>
        <w:tc>
          <w:tcPr>
            <w:tcW w:w="1915" w:type="dxa"/>
          </w:tcPr>
          <w:p w14:paraId="7575EA1A"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Asymptotic Standard Errorᵃ</w:t>
            </w:r>
          </w:p>
        </w:tc>
        <w:tc>
          <w:tcPr>
            <w:tcW w:w="1915" w:type="dxa"/>
          </w:tcPr>
          <w:p w14:paraId="47A2E134"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Approx. T</w:t>
            </w:r>
          </w:p>
        </w:tc>
        <w:tc>
          <w:tcPr>
            <w:tcW w:w="1916" w:type="dxa"/>
          </w:tcPr>
          <w:p w14:paraId="4EA6682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Approx. Sig.</w:t>
            </w:r>
          </w:p>
        </w:tc>
      </w:tr>
      <w:tr w:rsidR="00A97BF6" w:rsidRPr="00A5671C" w14:paraId="2D82FE22" w14:textId="77777777" w:rsidTr="00DC7CAF">
        <w:tc>
          <w:tcPr>
            <w:tcW w:w="1915" w:type="dxa"/>
          </w:tcPr>
          <w:p w14:paraId="09CAEA4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Phi</w:t>
            </w:r>
          </w:p>
        </w:tc>
        <w:tc>
          <w:tcPr>
            <w:tcW w:w="1915" w:type="dxa"/>
          </w:tcPr>
          <w:p w14:paraId="488B2DB1"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.746</w:t>
            </w:r>
          </w:p>
        </w:tc>
        <w:tc>
          <w:tcPr>
            <w:tcW w:w="1915" w:type="dxa"/>
          </w:tcPr>
          <w:p w14:paraId="1E64AF1A"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5" w:type="dxa"/>
          </w:tcPr>
          <w:p w14:paraId="179E3D15"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6" w:type="dxa"/>
          </w:tcPr>
          <w:p w14:paraId="2C9A10CB"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r>
      <w:tr w:rsidR="00A97BF6" w:rsidRPr="00A5671C" w14:paraId="61BED35D" w14:textId="77777777" w:rsidTr="00DC7CAF">
        <w:tc>
          <w:tcPr>
            <w:tcW w:w="1915" w:type="dxa"/>
          </w:tcPr>
          <w:p w14:paraId="155C35A5"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Cramer's V</w:t>
            </w:r>
          </w:p>
        </w:tc>
        <w:tc>
          <w:tcPr>
            <w:tcW w:w="1915" w:type="dxa"/>
          </w:tcPr>
          <w:p w14:paraId="0D82C5E0"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.848</w:t>
            </w:r>
          </w:p>
        </w:tc>
        <w:tc>
          <w:tcPr>
            <w:tcW w:w="1915" w:type="dxa"/>
          </w:tcPr>
          <w:p w14:paraId="6CEDC810"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5" w:type="dxa"/>
          </w:tcPr>
          <w:p w14:paraId="7920F5A9"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6" w:type="dxa"/>
          </w:tcPr>
          <w:p w14:paraId="007D4B4F"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r>
      <w:tr w:rsidR="00A97BF6" w:rsidRPr="00A5671C" w14:paraId="6952F444" w14:textId="77777777" w:rsidTr="00DC7CAF">
        <w:tc>
          <w:tcPr>
            <w:tcW w:w="1915" w:type="dxa"/>
          </w:tcPr>
          <w:p w14:paraId="70BF836E"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Kappa</w:t>
            </w:r>
          </w:p>
        </w:tc>
        <w:tc>
          <w:tcPr>
            <w:tcW w:w="1915" w:type="dxa"/>
          </w:tcPr>
          <w:p w14:paraId="7E2206C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.820</w:t>
            </w:r>
          </w:p>
        </w:tc>
        <w:tc>
          <w:tcPr>
            <w:tcW w:w="1915" w:type="dxa"/>
          </w:tcPr>
          <w:p w14:paraId="7A6BB96A"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.045</w:t>
            </w:r>
          </w:p>
        </w:tc>
        <w:tc>
          <w:tcPr>
            <w:tcW w:w="1915" w:type="dxa"/>
          </w:tcPr>
          <w:p w14:paraId="11B51AB6"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sz w:val="24"/>
                <w:szCs w:val="24"/>
              </w:rPr>
              <w:t>12.624</w:t>
            </w:r>
          </w:p>
        </w:tc>
        <w:tc>
          <w:tcPr>
            <w:tcW w:w="1916" w:type="dxa"/>
          </w:tcPr>
          <w:p w14:paraId="6BCE6DB0"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.0001</w:t>
            </w:r>
          </w:p>
        </w:tc>
      </w:tr>
      <w:tr w:rsidR="00A97BF6" w:rsidRPr="00A5671C" w14:paraId="4F96589C" w14:textId="77777777" w:rsidTr="00DC7CAF">
        <w:tc>
          <w:tcPr>
            <w:tcW w:w="1915" w:type="dxa"/>
          </w:tcPr>
          <w:p w14:paraId="2E71D44F"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N of Valid Cases</w:t>
            </w:r>
          </w:p>
        </w:tc>
        <w:tc>
          <w:tcPr>
            <w:tcW w:w="1915" w:type="dxa"/>
          </w:tcPr>
          <w:p w14:paraId="5FEA9AFC"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r w:rsidRPr="00A5671C">
              <w:rPr>
                <w:rFonts w:ascii="Times New Roman" w:hAnsi="Times New Roman" w:cs="Times New Roman"/>
                <w:b/>
                <w:sz w:val="24"/>
                <w:szCs w:val="24"/>
              </w:rPr>
              <w:t>125</w:t>
            </w:r>
          </w:p>
        </w:tc>
        <w:tc>
          <w:tcPr>
            <w:tcW w:w="1915" w:type="dxa"/>
          </w:tcPr>
          <w:p w14:paraId="4648AFE8"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5" w:type="dxa"/>
          </w:tcPr>
          <w:p w14:paraId="6D912282"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c>
          <w:tcPr>
            <w:tcW w:w="1916" w:type="dxa"/>
          </w:tcPr>
          <w:p w14:paraId="73E5BD26" w14:textId="77777777" w:rsidR="00A97BF6" w:rsidRPr="00A5671C" w:rsidRDefault="00A97BF6" w:rsidP="003F5A64">
            <w:pPr>
              <w:tabs>
                <w:tab w:val="left" w:pos="834"/>
              </w:tabs>
              <w:spacing w:line="276" w:lineRule="auto"/>
              <w:jc w:val="both"/>
              <w:rPr>
                <w:rFonts w:ascii="Times New Roman" w:hAnsi="Times New Roman" w:cs="Times New Roman"/>
                <w:sz w:val="24"/>
                <w:szCs w:val="24"/>
              </w:rPr>
            </w:pPr>
          </w:p>
        </w:tc>
      </w:tr>
    </w:tbl>
    <w:p w14:paraId="55D2319C" w14:textId="77777777" w:rsidR="00A97BF6" w:rsidRPr="00B31A0B" w:rsidRDefault="00A97BF6" w:rsidP="003F5A64">
      <w:pPr>
        <w:spacing w:before="240" w:line="276" w:lineRule="auto"/>
        <w:rPr>
          <w:rFonts w:ascii="Times New Roman" w:hAnsi="Times New Roman" w:cs="Times New Roman"/>
          <w:sz w:val="24"/>
          <w:szCs w:val="24"/>
        </w:rPr>
      </w:pPr>
      <w:r w:rsidRPr="00B31A0B">
        <w:rPr>
          <w:rFonts w:ascii="Times New Roman" w:hAnsi="Times New Roman" w:cs="Times New Roman"/>
          <w:b/>
          <w:sz w:val="24"/>
          <w:szCs w:val="24"/>
        </w:rPr>
        <w:t>a.</w:t>
      </w:r>
      <w:r w:rsidRPr="00B31A0B">
        <w:rPr>
          <w:rFonts w:ascii="Times New Roman" w:hAnsi="Times New Roman" w:cs="Times New Roman"/>
          <w:sz w:val="24"/>
          <w:szCs w:val="24"/>
        </w:rPr>
        <w:t xml:space="preserve"> Kappa = 0.820 indicates almost perfect agreement between Bone Marrow Aspiration (BMA) and Bone Marrow Biopsy (BMB) results </w:t>
      </w:r>
    </w:p>
    <w:p w14:paraId="7BC61ECF" w14:textId="77777777" w:rsidR="00A97BF6" w:rsidRPr="00A5671C" w:rsidRDefault="00A97BF6" w:rsidP="003F5A64">
      <w:pPr>
        <w:spacing w:line="276" w:lineRule="auto"/>
        <w:rPr>
          <w:rFonts w:ascii="Times New Roman" w:hAnsi="Times New Roman" w:cs="Times New Roman"/>
          <w:sz w:val="24"/>
          <w:szCs w:val="24"/>
        </w:rPr>
      </w:pPr>
      <w:r w:rsidRPr="00B31A0B">
        <w:rPr>
          <w:rFonts w:ascii="Times New Roman" w:hAnsi="Times New Roman" w:cs="Times New Roman"/>
          <w:b/>
          <w:sz w:val="24"/>
          <w:szCs w:val="24"/>
        </w:rPr>
        <w:t>b.</w:t>
      </w:r>
      <w:r w:rsidRPr="00B31A0B">
        <w:rPr>
          <w:rFonts w:ascii="Times New Roman" w:hAnsi="Times New Roman" w:cs="Times New Roman"/>
          <w:sz w:val="24"/>
          <w:szCs w:val="24"/>
        </w:rPr>
        <w:t xml:space="preserve"> The result is statistically significant (p &lt; 0.05), suggesting that the agreement observed is unlikely due to chance</w:t>
      </w:r>
    </w:p>
    <w:p w14:paraId="08E32E64" w14:textId="77777777" w:rsidR="00894FC9" w:rsidRDefault="00894FC9" w:rsidP="003F5A64">
      <w:pPr>
        <w:spacing w:line="276" w:lineRule="auto"/>
        <w:jc w:val="both"/>
        <w:rPr>
          <w:rFonts w:ascii="Times New Roman" w:hAnsi="Times New Roman" w:cs="Times New Roman"/>
          <w:b/>
          <w:bCs/>
          <w:sz w:val="24"/>
          <w:szCs w:val="24"/>
        </w:rPr>
      </w:pPr>
    </w:p>
    <w:p w14:paraId="4D569B61" w14:textId="77777777" w:rsidR="002B545D" w:rsidRPr="0089664F" w:rsidRDefault="002B545D" w:rsidP="003F5A64">
      <w:pPr>
        <w:spacing w:line="276" w:lineRule="auto"/>
        <w:jc w:val="both"/>
        <w:rPr>
          <w:rFonts w:ascii="Times New Roman" w:hAnsi="Times New Roman" w:cs="Times New Roman"/>
          <w:b/>
          <w:bCs/>
          <w:sz w:val="24"/>
          <w:szCs w:val="24"/>
        </w:rPr>
      </w:pPr>
      <w:bookmarkStart w:id="4" w:name="_Hlk210314461"/>
      <w:r>
        <w:rPr>
          <w:rFonts w:ascii="Times New Roman" w:hAnsi="Times New Roman" w:cs="Times New Roman"/>
          <w:b/>
          <w:bCs/>
          <w:sz w:val="24"/>
          <w:szCs w:val="24"/>
        </w:rPr>
        <w:t xml:space="preserve"> </w:t>
      </w:r>
      <w:r w:rsidRPr="0089664F">
        <w:rPr>
          <w:rFonts w:ascii="Times New Roman" w:hAnsi="Times New Roman" w:cs="Times New Roman"/>
          <w:b/>
          <w:bCs/>
          <w:sz w:val="24"/>
          <w:szCs w:val="24"/>
        </w:rPr>
        <w:t>DISCUSSION</w:t>
      </w:r>
    </w:p>
    <w:bookmarkEnd w:id="3"/>
    <w:bookmarkEnd w:id="4"/>
    <w:p w14:paraId="113D8F21" w14:textId="48DD0F6F"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This seven-year retrospective analysis evaluates the diagnostic utility of bone marrow biopsy (BMB) in adults with haematological malignancies (HMs) and its concordance with bone marrow aspirate (BMA) in routine practice at a Nigerian tertiary </w:t>
      </w:r>
      <w:r w:rsidR="002F6B1E" w:rsidRPr="00894FC9">
        <w:rPr>
          <w:rFonts w:ascii="Times New Roman" w:hAnsi="Times New Roman" w:cs="Times New Roman"/>
          <w:sz w:val="24"/>
          <w:szCs w:val="24"/>
        </w:rPr>
        <w:t>center</w:t>
      </w:r>
      <w:r w:rsidRPr="00894FC9">
        <w:rPr>
          <w:rFonts w:ascii="Times New Roman" w:hAnsi="Times New Roman" w:cs="Times New Roman"/>
          <w:sz w:val="24"/>
          <w:szCs w:val="24"/>
        </w:rPr>
        <w:t>. By restricting inclusion to cases in which bone marrow aspiration (BMA) and bone marrow biopsy (BMB) were obtained from the same site, the study directly measures the incremental value of the trephine biopsy in real-world workflows.</w:t>
      </w:r>
    </w:p>
    <w:p w14:paraId="01A8A282" w14:textId="6E5F40BD" w:rsidR="00894FC9" w:rsidRPr="00894FC9" w:rsidRDefault="00894FC9" w:rsidP="003F5A64">
      <w:pPr>
        <w:spacing w:line="276" w:lineRule="auto"/>
        <w:jc w:val="both"/>
        <w:rPr>
          <w:rFonts w:ascii="Times New Roman" w:hAnsi="Times New Roman" w:cs="Times New Roman"/>
          <w:sz w:val="24"/>
          <w:szCs w:val="24"/>
          <w:vertAlign w:val="superscript"/>
        </w:rPr>
      </w:pPr>
      <w:r w:rsidRPr="00894FC9">
        <w:rPr>
          <w:rFonts w:ascii="Times New Roman" w:hAnsi="Times New Roman" w:cs="Times New Roman"/>
          <w:sz w:val="24"/>
          <w:szCs w:val="24"/>
        </w:rPr>
        <w:t>In this study males were observed to be affected</w:t>
      </w:r>
      <w:r w:rsidR="002F6B1E">
        <w:rPr>
          <w:rFonts w:ascii="Times New Roman" w:hAnsi="Times New Roman" w:cs="Times New Roman"/>
          <w:sz w:val="24"/>
          <w:szCs w:val="24"/>
        </w:rPr>
        <w:t xml:space="preserve"> with </w:t>
      </w:r>
      <w:proofErr w:type="spellStart"/>
      <w:r w:rsidR="002F6B1E">
        <w:rPr>
          <w:rFonts w:ascii="Times New Roman" w:hAnsi="Times New Roman" w:cs="Times New Roman"/>
          <w:sz w:val="24"/>
          <w:szCs w:val="24"/>
        </w:rPr>
        <w:t>haematological</w:t>
      </w:r>
      <w:proofErr w:type="spellEnd"/>
      <w:r w:rsidR="002F6B1E">
        <w:rPr>
          <w:rFonts w:ascii="Times New Roman" w:hAnsi="Times New Roman" w:cs="Times New Roman"/>
          <w:sz w:val="24"/>
          <w:szCs w:val="24"/>
        </w:rPr>
        <w:t xml:space="preserve"> </w:t>
      </w:r>
      <w:proofErr w:type="spellStart"/>
      <w:r w:rsidR="002F6B1E">
        <w:rPr>
          <w:rFonts w:ascii="Times New Roman" w:hAnsi="Times New Roman" w:cs="Times New Roman"/>
          <w:sz w:val="24"/>
          <w:szCs w:val="24"/>
        </w:rPr>
        <w:t>malignacies</w:t>
      </w:r>
      <w:proofErr w:type="spellEnd"/>
      <w:r w:rsidRPr="00894FC9">
        <w:rPr>
          <w:rFonts w:ascii="Times New Roman" w:hAnsi="Times New Roman" w:cs="Times New Roman"/>
          <w:sz w:val="24"/>
          <w:szCs w:val="24"/>
        </w:rPr>
        <w:t xml:space="preserve"> more than females. This is similar to previous studies that found more males affected than females</w:t>
      </w:r>
      <w:r w:rsidRPr="00894FC9">
        <w:rPr>
          <w:rFonts w:ascii="Times New Roman" w:hAnsi="Times New Roman" w:cs="Times New Roman"/>
          <w:sz w:val="24"/>
          <w:szCs w:val="24"/>
          <w:vertAlign w:val="superscript"/>
        </w:rPr>
        <w:t>9,10,11</w:t>
      </w:r>
      <w:r w:rsidRPr="00894FC9">
        <w:rPr>
          <w:rFonts w:ascii="Times New Roman" w:hAnsi="Times New Roman" w:cs="Times New Roman"/>
          <w:sz w:val="24"/>
          <w:szCs w:val="24"/>
        </w:rPr>
        <w:t xml:space="preserve"> except for </w:t>
      </w:r>
      <w:proofErr w:type="spellStart"/>
      <w:r w:rsidRPr="00894FC9">
        <w:rPr>
          <w:rFonts w:ascii="Times New Roman" w:hAnsi="Times New Roman" w:cs="Times New Roman"/>
          <w:sz w:val="24"/>
          <w:szCs w:val="24"/>
        </w:rPr>
        <w:t>Nwagu</w:t>
      </w:r>
      <w:proofErr w:type="spellEnd"/>
      <w:r w:rsidRPr="00894FC9">
        <w:rPr>
          <w:rFonts w:ascii="Times New Roman" w:hAnsi="Times New Roman" w:cs="Times New Roman"/>
          <w:sz w:val="24"/>
          <w:szCs w:val="24"/>
        </w:rPr>
        <w:t xml:space="preserve"> et al.</w:t>
      </w:r>
      <w:r w:rsidRPr="00894FC9">
        <w:rPr>
          <w:rFonts w:ascii="Times New Roman" w:hAnsi="Times New Roman" w:cs="Times New Roman"/>
          <w:sz w:val="24"/>
          <w:szCs w:val="24"/>
          <w:vertAlign w:val="superscript"/>
        </w:rPr>
        <w:t>12</w:t>
      </w:r>
      <w:r w:rsidRPr="00894FC9">
        <w:rPr>
          <w:rFonts w:ascii="Times New Roman" w:hAnsi="Times New Roman" w:cs="Times New Roman"/>
          <w:sz w:val="24"/>
          <w:szCs w:val="24"/>
        </w:rPr>
        <w:t xml:space="preserve"> in Southern Nigeria, who reported a slight increase in females more than males. Male predominance in hematological malignancies has been consistently reported in Nigerian and other West African cohorts, and has been partly attributed to higher occupational exposure that predispose them to the development of haematological cancers.</w:t>
      </w:r>
      <w:r w:rsidRPr="00894FC9">
        <w:rPr>
          <w:rFonts w:ascii="Times New Roman" w:hAnsi="Times New Roman" w:cs="Times New Roman"/>
          <w:sz w:val="24"/>
          <w:szCs w:val="24"/>
          <w:vertAlign w:val="superscript"/>
        </w:rPr>
        <w:t>13,14</w:t>
      </w:r>
    </w:p>
    <w:p w14:paraId="3D6F0D93" w14:textId="3D6E275D"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lastRenderedPageBreak/>
        <w:t xml:space="preserve">In this study, multiple myeloma (MM) was found to be the most </w:t>
      </w:r>
      <w:r w:rsidR="002F6B1E">
        <w:rPr>
          <w:rFonts w:ascii="Times New Roman" w:hAnsi="Times New Roman" w:cs="Times New Roman"/>
          <w:sz w:val="24"/>
          <w:szCs w:val="24"/>
        </w:rPr>
        <w:t>common</w:t>
      </w:r>
      <w:r w:rsidRPr="00894FC9">
        <w:rPr>
          <w:rFonts w:ascii="Times New Roman" w:hAnsi="Times New Roman" w:cs="Times New Roman"/>
          <w:sz w:val="24"/>
          <w:szCs w:val="24"/>
        </w:rPr>
        <w:t xml:space="preserve"> haematological malignancy with 34 cases diagnosed on bone marrow biopsy. This is consistent with </w:t>
      </w:r>
      <w:r w:rsidR="002F6B1E">
        <w:rPr>
          <w:rFonts w:ascii="Times New Roman" w:hAnsi="Times New Roman" w:cs="Times New Roman"/>
          <w:sz w:val="24"/>
          <w:szCs w:val="24"/>
        </w:rPr>
        <w:t xml:space="preserve">a </w:t>
      </w:r>
      <w:r w:rsidRPr="00894FC9">
        <w:rPr>
          <w:rFonts w:ascii="Times New Roman" w:hAnsi="Times New Roman" w:cs="Times New Roman"/>
          <w:sz w:val="24"/>
          <w:szCs w:val="24"/>
        </w:rPr>
        <w:t>previous study that points out plasma-cell neoplasms as one of the leading marrow-based cancers encountered in tertiary hematology practice.</w:t>
      </w:r>
      <w:proofErr w:type="gramStart"/>
      <w:r w:rsidR="002F6B1E">
        <w:rPr>
          <w:rFonts w:ascii="Times New Roman" w:hAnsi="Times New Roman" w:cs="Times New Roman"/>
          <w:sz w:val="24"/>
          <w:szCs w:val="24"/>
          <w:vertAlign w:val="superscript"/>
        </w:rPr>
        <w:t>15</w:t>
      </w:r>
      <w:r w:rsidRPr="00894FC9">
        <w:rPr>
          <w:rFonts w:ascii="Times New Roman" w:hAnsi="Times New Roman" w:cs="Times New Roman"/>
          <w:sz w:val="24"/>
          <w:szCs w:val="24"/>
        </w:rPr>
        <w:t xml:space="preserve">  Abduh</w:t>
      </w:r>
      <w:proofErr w:type="gramEnd"/>
      <w:r w:rsidRPr="00894FC9">
        <w:rPr>
          <w:rFonts w:ascii="Times New Roman" w:hAnsi="Times New Roman" w:cs="Times New Roman"/>
          <w:sz w:val="24"/>
          <w:szCs w:val="24"/>
        </w:rPr>
        <w:t xml:space="preserve"> et al. described Multiple myeloma as the most common pl</w:t>
      </w:r>
      <w:r w:rsidR="002F6B1E">
        <w:rPr>
          <w:rFonts w:ascii="Times New Roman" w:hAnsi="Times New Roman" w:cs="Times New Roman"/>
          <w:sz w:val="24"/>
          <w:szCs w:val="24"/>
        </w:rPr>
        <w:t>asma-cell neoplasm</w:t>
      </w:r>
      <w:r w:rsidRPr="00894FC9">
        <w:rPr>
          <w:rFonts w:ascii="Times New Roman" w:hAnsi="Times New Roman" w:cs="Times New Roman"/>
          <w:sz w:val="24"/>
          <w:szCs w:val="24"/>
          <w:vertAlign w:val="superscript"/>
        </w:rPr>
        <w:t>15</w:t>
      </w:r>
      <w:r w:rsidRPr="00894FC9">
        <w:rPr>
          <w:rFonts w:ascii="Times New Roman" w:hAnsi="Times New Roman" w:cs="Times New Roman"/>
          <w:sz w:val="24"/>
          <w:szCs w:val="24"/>
        </w:rPr>
        <w:t xml:space="preserve"> emphasiz</w:t>
      </w:r>
      <w:r w:rsidR="002F6B1E">
        <w:rPr>
          <w:rFonts w:ascii="Times New Roman" w:hAnsi="Times New Roman" w:cs="Times New Roman"/>
          <w:sz w:val="24"/>
          <w:szCs w:val="24"/>
        </w:rPr>
        <w:t xml:space="preserve">ing </w:t>
      </w:r>
      <w:r w:rsidRPr="00894FC9">
        <w:rPr>
          <w:rFonts w:ascii="Times New Roman" w:hAnsi="Times New Roman" w:cs="Times New Roman"/>
          <w:sz w:val="24"/>
          <w:szCs w:val="24"/>
        </w:rPr>
        <w:t xml:space="preserve">that MM diagnosis and risk stratification critically depend on bone marrow findings, particularly plasma-cell infiltration, clonality, and cytogenetic abnormalities. </w:t>
      </w:r>
    </w:p>
    <w:p w14:paraId="68688AA8" w14:textId="18C9A265" w:rsidR="00894FC9" w:rsidRPr="002F6B1E" w:rsidRDefault="00894FC9" w:rsidP="003F5A64">
      <w:pPr>
        <w:spacing w:line="276" w:lineRule="auto"/>
        <w:jc w:val="both"/>
        <w:rPr>
          <w:rFonts w:ascii="Times New Roman" w:hAnsi="Times New Roman" w:cs="Times New Roman"/>
          <w:sz w:val="24"/>
          <w:szCs w:val="24"/>
        </w:rPr>
      </w:pPr>
      <w:r w:rsidRPr="002F6B1E">
        <w:rPr>
          <w:rFonts w:ascii="Times New Roman" w:hAnsi="Times New Roman" w:cs="Times New Roman"/>
          <w:sz w:val="24"/>
          <w:szCs w:val="24"/>
        </w:rPr>
        <w:t>Acute myeloid leukemia (AML) was the second most frequent diagnosis on BMB with 24 cases. Acute myeloid leukemia is fundamentally a bone marrow–based disease, with diagnosis and prognostic classification requiring marrow morphology, immunophenotyping, and cytogenetic/molecular testing</w:t>
      </w:r>
      <w:r w:rsidR="002F6B1E">
        <w:rPr>
          <w:rFonts w:ascii="Times New Roman" w:hAnsi="Times New Roman" w:cs="Times New Roman"/>
          <w:sz w:val="24"/>
          <w:szCs w:val="24"/>
        </w:rPr>
        <w:t>.</w:t>
      </w:r>
      <w:r w:rsidRPr="002F6B1E">
        <w:rPr>
          <w:rFonts w:ascii="Times New Roman" w:hAnsi="Times New Roman" w:cs="Times New Roman"/>
          <w:sz w:val="24"/>
          <w:szCs w:val="24"/>
          <w:vertAlign w:val="superscript"/>
        </w:rPr>
        <w:t>15,16</w:t>
      </w:r>
      <w:r w:rsidRPr="002F6B1E">
        <w:rPr>
          <w:rFonts w:ascii="Times New Roman" w:hAnsi="Times New Roman" w:cs="Times New Roman"/>
          <w:sz w:val="24"/>
          <w:szCs w:val="24"/>
        </w:rPr>
        <w:t xml:space="preserve">  </w:t>
      </w:r>
    </w:p>
    <w:p w14:paraId="0D9C3490" w14:textId="02BCFBD8"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Lymphoplasmacytic neoplasm (LPN) </w:t>
      </w:r>
      <w:r w:rsidR="002F6B1E">
        <w:rPr>
          <w:rFonts w:ascii="Times New Roman" w:hAnsi="Times New Roman" w:cs="Times New Roman"/>
          <w:sz w:val="24"/>
          <w:szCs w:val="24"/>
        </w:rPr>
        <w:t xml:space="preserve">with bone marrow involvement </w:t>
      </w:r>
      <w:r w:rsidRPr="00894FC9">
        <w:rPr>
          <w:rFonts w:ascii="Times New Roman" w:hAnsi="Times New Roman" w:cs="Times New Roman"/>
          <w:sz w:val="24"/>
          <w:szCs w:val="24"/>
        </w:rPr>
        <w:t xml:space="preserve">was identified in 13 patients, which, according to the bone marrow biopsy diagnosis done in the study is the third most common malignancy. This frequency pattern differs from a study done in </w:t>
      </w:r>
      <w:proofErr w:type="spellStart"/>
      <w:r w:rsidRPr="00894FC9">
        <w:rPr>
          <w:rFonts w:ascii="Times New Roman" w:hAnsi="Times New Roman" w:cs="Times New Roman"/>
          <w:sz w:val="24"/>
          <w:szCs w:val="24"/>
        </w:rPr>
        <w:t>Abakaliki</w:t>
      </w:r>
      <w:proofErr w:type="spellEnd"/>
      <w:r w:rsidRPr="00894FC9">
        <w:rPr>
          <w:rFonts w:ascii="Times New Roman" w:hAnsi="Times New Roman" w:cs="Times New Roman"/>
          <w:sz w:val="24"/>
          <w:szCs w:val="24"/>
        </w:rPr>
        <w:t>, South-Eastern Nigeria, where non-Hodgkin lymphoma appears to be the most frequent, as reported by Ugwu Ni et al.</w:t>
      </w:r>
      <w:r w:rsidRPr="00894FC9">
        <w:rPr>
          <w:rFonts w:ascii="Times New Roman" w:hAnsi="Times New Roman" w:cs="Times New Roman"/>
          <w:sz w:val="24"/>
          <w:szCs w:val="24"/>
          <w:vertAlign w:val="superscript"/>
        </w:rPr>
        <w:t>17</w:t>
      </w:r>
      <w:r w:rsidRPr="00894FC9">
        <w:rPr>
          <w:rFonts w:ascii="Times New Roman" w:hAnsi="Times New Roman" w:cs="Times New Roman"/>
          <w:sz w:val="24"/>
          <w:szCs w:val="24"/>
        </w:rPr>
        <w:t xml:space="preserve"> This frequency range differences could be as a result of </w:t>
      </w:r>
      <w:r w:rsidR="00777126">
        <w:rPr>
          <w:rFonts w:ascii="Times New Roman" w:hAnsi="Times New Roman" w:cs="Times New Roman"/>
          <w:sz w:val="24"/>
          <w:szCs w:val="24"/>
        </w:rPr>
        <w:t>environmental exposures</w:t>
      </w:r>
      <w:r w:rsidRPr="00894FC9">
        <w:rPr>
          <w:rFonts w:ascii="Times New Roman" w:hAnsi="Times New Roman" w:cs="Times New Roman"/>
          <w:sz w:val="24"/>
          <w:szCs w:val="24"/>
        </w:rPr>
        <w:t xml:space="preserve">. </w:t>
      </w:r>
    </w:p>
    <w:p w14:paraId="3C993082" w14:textId="77777777" w:rsidR="00894FC9" w:rsidRPr="00894FC9" w:rsidRDefault="00894FC9" w:rsidP="003F5A64">
      <w:pPr>
        <w:spacing w:line="276" w:lineRule="auto"/>
        <w:jc w:val="both"/>
        <w:rPr>
          <w:rFonts w:ascii="Times New Roman" w:hAnsi="Times New Roman" w:cs="Times New Roman"/>
          <w:sz w:val="24"/>
          <w:szCs w:val="24"/>
          <w:vertAlign w:val="superscript"/>
        </w:rPr>
      </w:pPr>
      <w:r w:rsidRPr="00894FC9">
        <w:rPr>
          <w:rFonts w:ascii="Times New Roman" w:hAnsi="Times New Roman" w:cs="Times New Roman"/>
          <w:sz w:val="24"/>
          <w:szCs w:val="24"/>
        </w:rPr>
        <w:t xml:space="preserve">The least frequent diagnoses were polycythemia vera (PV) and chronic eosinophilic leukemia (CEL), each seen in one patient. </w:t>
      </w:r>
      <w:proofErr w:type="spellStart"/>
      <w:r w:rsidRPr="00894FC9">
        <w:rPr>
          <w:rFonts w:ascii="Times New Roman" w:hAnsi="Times New Roman" w:cs="Times New Roman"/>
          <w:sz w:val="24"/>
          <w:szCs w:val="24"/>
        </w:rPr>
        <w:t>Tefferi</w:t>
      </w:r>
      <w:proofErr w:type="spellEnd"/>
      <w:r w:rsidRPr="00894FC9">
        <w:rPr>
          <w:rFonts w:ascii="Times New Roman" w:hAnsi="Times New Roman" w:cs="Times New Roman"/>
          <w:sz w:val="24"/>
          <w:szCs w:val="24"/>
        </w:rPr>
        <w:t xml:space="preserve"> et al.</w:t>
      </w:r>
      <w:r w:rsidRPr="00894FC9">
        <w:rPr>
          <w:rFonts w:ascii="Times New Roman" w:hAnsi="Times New Roman" w:cs="Times New Roman"/>
          <w:sz w:val="24"/>
          <w:szCs w:val="24"/>
          <w:vertAlign w:val="superscript"/>
        </w:rPr>
        <w:t>18</w:t>
      </w:r>
      <w:r w:rsidRPr="00894FC9">
        <w:rPr>
          <w:rFonts w:ascii="Times New Roman" w:hAnsi="Times New Roman" w:cs="Times New Roman"/>
          <w:sz w:val="24"/>
          <w:szCs w:val="24"/>
        </w:rPr>
        <w:t xml:space="preserve"> in their study reported that PV is usually recognized by a combination of elevated blood counts, JAK2 mutation testing, and marrow morphology, with biopsy confirmation aiding in distinguishing from other myeloproliferative neoplasms</w:t>
      </w:r>
      <w:r w:rsidRPr="00894FC9">
        <w:rPr>
          <w:rFonts w:ascii="Times New Roman" w:hAnsi="Times New Roman" w:cs="Times New Roman"/>
          <w:sz w:val="24"/>
          <w:szCs w:val="24"/>
          <w:vertAlign w:val="superscript"/>
        </w:rPr>
        <w:t>18</w:t>
      </w:r>
      <w:r w:rsidRPr="00894FC9">
        <w:rPr>
          <w:rFonts w:ascii="Times New Roman" w:hAnsi="Times New Roman" w:cs="Times New Roman"/>
          <w:sz w:val="24"/>
          <w:szCs w:val="24"/>
        </w:rPr>
        <w:t>. CEL, on the other hand, is extremely rare, as reinforced by SEER-based epidemiologic analysis by Wang et al.</w:t>
      </w:r>
      <w:r w:rsidRPr="00894FC9">
        <w:rPr>
          <w:rFonts w:ascii="Times New Roman" w:hAnsi="Times New Roman" w:cs="Times New Roman"/>
          <w:sz w:val="24"/>
          <w:szCs w:val="24"/>
          <w:vertAlign w:val="superscript"/>
        </w:rPr>
        <w:t>19</w:t>
      </w:r>
      <w:r w:rsidRPr="00894FC9">
        <w:rPr>
          <w:rFonts w:ascii="Times New Roman" w:hAnsi="Times New Roman" w:cs="Times New Roman"/>
          <w:sz w:val="24"/>
          <w:szCs w:val="24"/>
        </w:rPr>
        <w:t>, which documented its very low incidence and emphasized the role of molecular testing (e.g., PDGFRA fusions) for accurate classification and therapy</w:t>
      </w:r>
      <w:r w:rsidRPr="00894FC9">
        <w:rPr>
          <w:rFonts w:ascii="Times New Roman" w:hAnsi="Times New Roman" w:cs="Times New Roman"/>
          <w:sz w:val="24"/>
          <w:szCs w:val="24"/>
          <w:vertAlign w:val="superscript"/>
        </w:rPr>
        <w:t>19</w:t>
      </w:r>
      <w:r w:rsidRPr="00894FC9">
        <w:rPr>
          <w:rFonts w:ascii="Times New Roman" w:hAnsi="Times New Roman" w:cs="Times New Roman"/>
          <w:sz w:val="24"/>
          <w:szCs w:val="24"/>
        </w:rPr>
        <w:t xml:space="preserve">. </w:t>
      </w:r>
    </w:p>
    <w:p w14:paraId="5BE6CDE8" w14:textId="77777777"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Cytopenias dominated the haematological phenotype, with anaemia present in 90.4% of patients. This finding is consistent with international and Nigerian reports showing that unexplained anaemia is the most common indication for bone marrow evaluation and frequently reveals causes ranging from nutritional deficiency to marrow failure and myeloid neoplasia</w:t>
      </w:r>
      <w:r w:rsidRPr="00894FC9">
        <w:rPr>
          <w:rFonts w:ascii="Times New Roman" w:hAnsi="Times New Roman" w:cs="Times New Roman"/>
          <w:sz w:val="24"/>
          <w:szCs w:val="24"/>
          <w:vertAlign w:val="superscript"/>
        </w:rPr>
        <w:t>20,21,22</w:t>
      </w:r>
      <w:r w:rsidRPr="00894FC9">
        <w:rPr>
          <w:rFonts w:ascii="Times New Roman" w:hAnsi="Times New Roman" w:cs="Times New Roman"/>
          <w:sz w:val="24"/>
          <w:szCs w:val="24"/>
        </w:rPr>
        <w:t>.</w:t>
      </w:r>
    </w:p>
    <w:p w14:paraId="40761F96" w14:textId="7F611935"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Regional series from Gombe, Ondo, Zaria, and Yola consistently report anaemia as the commonest trigger for marrow evaluation, with diagnoses frequently including megaloblastic anaemia, combined deficiency anaemia, and haematological malignancies.</w:t>
      </w:r>
      <w:r w:rsidRPr="00894FC9">
        <w:rPr>
          <w:rFonts w:ascii="Times New Roman" w:hAnsi="Times New Roman" w:cs="Times New Roman"/>
          <w:sz w:val="24"/>
          <w:szCs w:val="24"/>
          <w:vertAlign w:val="superscript"/>
        </w:rPr>
        <w:t xml:space="preserve">23,24,25,26 </w:t>
      </w:r>
      <w:r w:rsidRPr="00894FC9">
        <w:rPr>
          <w:rFonts w:ascii="Times New Roman" w:hAnsi="Times New Roman" w:cs="Times New Roman"/>
          <w:sz w:val="24"/>
          <w:szCs w:val="24"/>
        </w:rPr>
        <w:t>These findings underscore that significant marrow pathology may be present even with isolated anaemia or normal counts in other lineages.</w:t>
      </w:r>
    </w:p>
    <w:p w14:paraId="0EA6A353" w14:textId="5E069C1C" w:rsidR="00894FC9" w:rsidRPr="003F5A64" w:rsidRDefault="00894FC9" w:rsidP="003F5A64">
      <w:pPr>
        <w:spacing w:line="276" w:lineRule="auto"/>
        <w:jc w:val="both"/>
        <w:rPr>
          <w:rFonts w:ascii="Times New Roman" w:hAnsi="Times New Roman" w:cs="Times New Roman"/>
        </w:rPr>
      </w:pPr>
      <w:r w:rsidRPr="00894FC9">
        <w:rPr>
          <w:rFonts w:ascii="Times New Roman" w:hAnsi="Times New Roman" w:cs="Times New Roman"/>
          <w:sz w:val="24"/>
          <w:szCs w:val="24"/>
        </w:rPr>
        <w:t>In this study, there was overall concordance between bone marrow aspirate (BMA) and biopsy (BMB) diagnoses in 106 of 125 paired evaluations, with a discordance rate of 15.2%.</w:t>
      </w:r>
      <w:r w:rsidR="005E488F">
        <w:rPr>
          <w:rFonts w:ascii="Times New Roman" w:hAnsi="Times New Roman" w:cs="Times New Roman"/>
          <w:sz w:val="24"/>
          <w:szCs w:val="24"/>
        </w:rPr>
        <w:t xml:space="preserve"> The concordance finding according to the </w:t>
      </w:r>
      <w:r w:rsidR="005E488F" w:rsidRPr="005E488F">
        <w:rPr>
          <w:rFonts w:ascii="Times New Roman" w:hAnsi="Times New Roman" w:cs="Times New Roman"/>
          <w:sz w:val="24"/>
          <w:szCs w:val="24"/>
        </w:rPr>
        <w:t>Chi-Square and symmetric measures analysis</w:t>
      </w:r>
      <w:r w:rsidR="003F5A64">
        <w:rPr>
          <w:rFonts w:ascii="Times New Roman" w:hAnsi="Times New Roman" w:cs="Times New Roman"/>
          <w:sz w:val="24"/>
          <w:szCs w:val="24"/>
        </w:rPr>
        <w:t>,</w:t>
      </w:r>
      <w:r w:rsidR="005E488F">
        <w:rPr>
          <w:rFonts w:ascii="Times New Roman" w:hAnsi="Times New Roman" w:cs="Times New Roman"/>
          <w:sz w:val="24"/>
          <w:szCs w:val="24"/>
        </w:rPr>
        <w:t xml:space="preserve"> dem</w:t>
      </w:r>
      <w:r w:rsidR="005E488F" w:rsidRPr="005E488F">
        <w:rPr>
          <w:rFonts w:ascii="Times New Roman" w:hAnsi="Times New Roman" w:cs="Times New Roman"/>
          <w:sz w:val="24"/>
          <w:szCs w:val="24"/>
        </w:rPr>
        <w:t>onstrate</w:t>
      </w:r>
      <w:r w:rsidR="005E488F">
        <w:rPr>
          <w:rFonts w:ascii="Times New Roman" w:hAnsi="Times New Roman" w:cs="Times New Roman"/>
          <w:sz w:val="24"/>
          <w:szCs w:val="24"/>
        </w:rPr>
        <w:t>d</w:t>
      </w:r>
      <w:r w:rsidR="005E488F" w:rsidRPr="005E488F">
        <w:rPr>
          <w:rFonts w:ascii="Times New Roman" w:hAnsi="Times New Roman" w:cs="Times New Roman"/>
          <w:sz w:val="24"/>
          <w:szCs w:val="24"/>
        </w:rPr>
        <w:t xml:space="preserve"> a strong and statistically significant association between bone marrow aspiration (BMA) and bone marrow biopsy (BMB) results.</w:t>
      </w:r>
      <w:r w:rsidRPr="00894FC9">
        <w:rPr>
          <w:rFonts w:ascii="Times New Roman" w:hAnsi="Times New Roman" w:cs="Times New Roman"/>
          <w:sz w:val="24"/>
          <w:szCs w:val="24"/>
        </w:rPr>
        <w:t xml:space="preserve"> </w:t>
      </w:r>
      <w:r w:rsidR="005E488F" w:rsidRPr="005E488F">
        <w:rPr>
          <w:rFonts w:ascii="Times New Roman" w:hAnsi="Times New Roman" w:cs="Times New Roman"/>
          <w:sz w:val="24"/>
          <w:szCs w:val="24"/>
        </w:rPr>
        <w:t xml:space="preserve">The Phi coefficient (0.746) and Cramer’s V (0.848) both indicate a </w:t>
      </w:r>
      <w:r w:rsidR="005E488F" w:rsidRPr="005E488F">
        <w:rPr>
          <w:rFonts w:ascii="Times New Roman" w:hAnsi="Times New Roman" w:cs="Times New Roman"/>
          <w:sz w:val="24"/>
          <w:szCs w:val="24"/>
        </w:rPr>
        <w:lastRenderedPageBreak/>
        <w:t>very strong relationship, suggesting that diagnostic outcomes from both procedures are highly consistent</w:t>
      </w:r>
      <w:r w:rsidR="005E488F">
        <w:rPr>
          <w:rFonts w:ascii="Times New Roman" w:hAnsi="Times New Roman" w:cs="Times New Roman"/>
          <w:sz w:val="24"/>
          <w:szCs w:val="24"/>
        </w:rPr>
        <w:t xml:space="preserve">, </w:t>
      </w:r>
      <w:r w:rsidR="005E488F" w:rsidRPr="005E488F">
        <w:rPr>
          <w:rFonts w:ascii="Times New Roman" w:hAnsi="Times New Roman" w:cs="Times New Roman"/>
          <w:sz w:val="24"/>
          <w:szCs w:val="24"/>
        </w:rPr>
        <w:t>the Cohen’s Kappa value of 0.820, with an asymptotic standard error of 0.045</w:t>
      </w:r>
      <w:r w:rsidR="003F5A64">
        <w:rPr>
          <w:rFonts w:ascii="Times New Roman" w:hAnsi="Times New Roman" w:cs="Times New Roman"/>
          <w:sz w:val="24"/>
          <w:szCs w:val="24"/>
        </w:rPr>
        <w:t xml:space="preserve"> which illustrate</w:t>
      </w:r>
      <w:r w:rsidR="003F5A64" w:rsidRPr="00BE4946">
        <w:rPr>
          <w:rFonts w:ascii="Times New Roman" w:hAnsi="Times New Roman" w:cs="Times New Roman"/>
          <w:sz w:val="24"/>
          <w:szCs w:val="24"/>
        </w:rPr>
        <w:t xml:space="preserve"> an excellent level of agreement between the </w:t>
      </w:r>
      <w:r w:rsidR="003F5A64">
        <w:rPr>
          <w:rFonts w:ascii="Times New Roman" w:hAnsi="Times New Roman" w:cs="Times New Roman"/>
          <w:sz w:val="24"/>
          <w:szCs w:val="24"/>
        </w:rPr>
        <w:t>BMB and BMA</w:t>
      </w:r>
      <w:r w:rsidR="003F5A64" w:rsidRPr="00BE4946">
        <w:rPr>
          <w:rFonts w:ascii="Times New Roman" w:hAnsi="Times New Roman" w:cs="Times New Roman"/>
          <w:sz w:val="24"/>
          <w:szCs w:val="24"/>
        </w:rPr>
        <w:t xml:space="preserve"> beyond what would be expected by chance.</w:t>
      </w:r>
      <w:r w:rsidR="005E488F" w:rsidRPr="005E488F">
        <w:rPr>
          <w:rFonts w:ascii="Times New Roman" w:hAnsi="Times New Roman" w:cs="Times New Roman"/>
          <w:sz w:val="24"/>
          <w:szCs w:val="24"/>
        </w:rPr>
        <w:t>,</w:t>
      </w:r>
      <w:r w:rsidR="003F5A64">
        <w:rPr>
          <w:rFonts w:ascii="Times New Roman" w:hAnsi="Times New Roman" w:cs="Times New Roman"/>
          <w:sz w:val="24"/>
          <w:szCs w:val="24"/>
        </w:rPr>
        <w:t xml:space="preserve"> </w:t>
      </w:r>
      <w:r w:rsidR="005E488F" w:rsidRPr="005E488F">
        <w:rPr>
          <w:rFonts w:ascii="Times New Roman" w:hAnsi="Times New Roman" w:cs="Times New Roman"/>
          <w:sz w:val="24"/>
          <w:szCs w:val="24"/>
        </w:rPr>
        <w:t xml:space="preserve"> reflects an almost perfect level of agreement beyond chance, according to the interpretation guidelines by Landis and Koch (1977). The high t-value (12.624) and corresponding significance level (p = 0.0001)</w:t>
      </w:r>
      <w:r w:rsidR="003F5A64">
        <w:rPr>
          <w:rFonts w:ascii="Times New Roman" w:hAnsi="Times New Roman" w:cs="Times New Roman"/>
          <w:sz w:val="24"/>
          <w:szCs w:val="24"/>
        </w:rPr>
        <w:t xml:space="preserve"> </w:t>
      </w:r>
      <w:r w:rsidR="003F5A64" w:rsidRPr="00BE4946">
        <w:rPr>
          <w:rFonts w:ascii="Times New Roman" w:hAnsi="Times New Roman" w:cs="Times New Roman"/>
          <w:sz w:val="24"/>
          <w:szCs w:val="24"/>
        </w:rPr>
        <w:t>indicate that this agreement is statistically significant.</w:t>
      </w:r>
      <w:r w:rsidR="003F5A64">
        <w:rPr>
          <w:rFonts w:ascii="Times New Roman" w:hAnsi="Times New Roman" w:cs="Times New Roman"/>
        </w:rPr>
        <w:t xml:space="preserve"> </w:t>
      </w:r>
      <w:r w:rsidRPr="00894FC9">
        <w:rPr>
          <w:rFonts w:ascii="Times New Roman" w:hAnsi="Times New Roman" w:cs="Times New Roman"/>
          <w:sz w:val="24"/>
          <w:szCs w:val="24"/>
        </w:rPr>
        <w:t xml:space="preserve">Complete concordance was observed in all cases of chronic lymphocytic leukaemia (CLL), myelodysplastic syndrome (MDS), chronic eosinophilic </w:t>
      </w:r>
      <w:proofErr w:type="spellStart"/>
      <w:r w:rsidRPr="00894FC9">
        <w:rPr>
          <w:rFonts w:ascii="Times New Roman" w:hAnsi="Times New Roman" w:cs="Times New Roman"/>
          <w:sz w:val="24"/>
          <w:szCs w:val="24"/>
        </w:rPr>
        <w:t>leukaemia</w:t>
      </w:r>
      <w:proofErr w:type="spellEnd"/>
      <w:r w:rsidRPr="00894FC9">
        <w:rPr>
          <w:rFonts w:ascii="Times New Roman" w:hAnsi="Times New Roman" w:cs="Times New Roman"/>
          <w:sz w:val="24"/>
          <w:szCs w:val="24"/>
        </w:rPr>
        <w:t xml:space="preserve"> and </w:t>
      </w:r>
      <w:proofErr w:type="spellStart"/>
      <w:r w:rsidRPr="00894FC9">
        <w:rPr>
          <w:rFonts w:ascii="Times New Roman" w:hAnsi="Times New Roman" w:cs="Times New Roman"/>
          <w:sz w:val="24"/>
          <w:szCs w:val="24"/>
        </w:rPr>
        <w:t>polycythaemia</w:t>
      </w:r>
      <w:proofErr w:type="spellEnd"/>
      <w:r w:rsidRPr="00894FC9">
        <w:rPr>
          <w:rFonts w:ascii="Times New Roman" w:hAnsi="Times New Roman" w:cs="Times New Roman"/>
          <w:sz w:val="24"/>
          <w:szCs w:val="24"/>
        </w:rPr>
        <w:t xml:space="preserve"> </w:t>
      </w:r>
      <w:proofErr w:type="spellStart"/>
      <w:r w:rsidRPr="00894FC9">
        <w:rPr>
          <w:rFonts w:ascii="Times New Roman" w:hAnsi="Times New Roman" w:cs="Times New Roman"/>
          <w:sz w:val="24"/>
          <w:szCs w:val="24"/>
        </w:rPr>
        <w:t>vera</w:t>
      </w:r>
      <w:proofErr w:type="spellEnd"/>
      <w:r w:rsidRPr="00894FC9">
        <w:rPr>
          <w:rFonts w:ascii="Times New Roman" w:hAnsi="Times New Roman" w:cs="Times New Roman"/>
          <w:sz w:val="24"/>
          <w:szCs w:val="24"/>
        </w:rPr>
        <w:t xml:space="preserve">, which is consistent with the findings of Thakur et al., who reported high concordance rates for CLL and other conditions </w:t>
      </w:r>
      <w:proofErr w:type="spellStart"/>
      <w:r w:rsidRPr="00894FC9">
        <w:rPr>
          <w:rFonts w:ascii="Times New Roman" w:hAnsi="Times New Roman" w:cs="Times New Roman"/>
          <w:sz w:val="24"/>
          <w:szCs w:val="24"/>
        </w:rPr>
        <w:t>characterised</w:t>
      </w:r>
      <w:proofErr w:type="spellEnd"/>
      <w:r w:rsidRPr="00894FC9">
        <w:rPr>
          <w:rFonts w:ascii="Times New Roman" w:hAnsi="Times New Roman" w:cs="Times New Roman"/>
          <w:sz w:val="24"/>
          <w:szCs w:val="24"/>
        </w:rPr>
        <w:t xml:space="preserve"> by diffuse marrow involvement</w:t>
      </w:r>
      <w:r w:rsidR="00777126">
        <w:rPr>
          <w:rFonts w:ascii="Times New Roman" w:hAnsi="Times New Roman" w:cs="Times New Roman"/>
          <w:sz w:val="24"/>
          <w:szCs w:val="24"/>
        </w:rPr>
        <w:t>.</w:t>
      </w:r>
      <w:r w:rsidRPr="00894FC9">
        <w:rPr>
          <w:rFonts w:ascii="Times New Roman" w:hAnsi="Times New Roman" w:cs="Times New Roman"/>
          <w:sz w:val="24"/>
          <w:szCs w:val="24"/>
          <w:vertAlign w:val="superscript"/>
        </w:rPr>
        <w:t>23</w:t>
      </w:r>
      <w:r w:rsidRPr="00894FC9">
        <w:rPr>
          <w:rFonts w:ascii="Times New Roman" w:hAnsi="Times New Roman" w:cs="Times New Roman"/>
          <w:sz w:val="24"/>
          <w:szCs w:val="24"/>
        </w:rPr>
        <w:t xml:space="preserve"> Such conditions are generally well represented in aspirate smears, leading to good morphological agreement between aspirate and trephine sections</w:t>
      </w:r>
      <w:r w:rsidRPr="00894FC9">
        <w:rPr>
          <w:rFonts w:ascii="Times New Roman" w:hAnsi="Times New Roman" w:cs="Times New Roman"/>
          <w:sz w:val="24"/>
          <w:szCs w:val="24"/>
          <w:vertAlign w:val="superscript"/>
        </w:rPr>
        <w:t>27</w:t>
      </w:r>
      <w:r w:rsidRPr="00894FC9">
        <w:rPr>
          <w:rFonts w:ascii="Times New Roman" w:hAnsi="Times New Roman" w:cs="Times New Roman"/>
          <w:sz w:val="24"/>
          <w:szCs w:val="24"/>
        </w:rPr>
        <w:t>.</w:t>
      </w:r>
      <w:r w:rsidR="005E488F">
        <w:rPr>
          <w:rFonts w:ascii="Times New Roman" w:hAnsi="Times New Roman" w:cs="Times New Roman"/>
          <w:sz w:val="24"/>
          <w:szCs w:val="24"/>
        </w:rPr>
        <w:t xml:space="preserve"> </w:t>
      </w:r>
    </w:p>
    <w:p w14:paraId="29D454DC" w14:textId="69C37BFB" w:rsidR="00894FC9" w:rsidRPr="00894FC9" w:rsidRDefault="00894FC9"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Discordance was observed in 19 cases, with the highest rates seen in metastatic bone disease (MBD; 80%) and myelofibrosis (MF; 38.5%), where biopsy proved more reliable. The particularly high discordance in MBD is unsurprising, as metastatic deposits are often focal and may be missed by aspirate, especially when aspiration is performed at uninvolved sites or when samples are diluted</w:t>
      </w:r>
      <w:r w:rsidR="00777126">
        <w:rPr>
          <w:rFonts w:ascii="Times New Roman" w:hAnsi="Times New Roman" w:cs="Times New Roman"/>
          <w:sz w:val="24"/>
          <w:szCs w:val="24"/>
        </w:rPr>
        <w:t>.</w:t>
      </w:r>
      <w:r w:rsidRPr="00894FC9">
        <w:rPr>
          <w:rFonts w:ascii="Times New Roman" w:hAnsi="Times New Roman" w:cs="Times New Roman"/>
          <w:sz w:val="24"/>
          <w:szCs w:val="24"/>
          <w:vertAlign w:val="superscript"/>
        </w:rPr>
        <w:t>28</w:t>
      </w:r>
      <w:r w:rsidRPr="00894FC9">
        <w:rPr>
          <w:rFonts w:ascii="Times New Roman" w:hAnsi="Times New Roman" w:cs="Times New Roman"/>
          <w:sz w:val="24"/>
          <w:szCs w:val="24"/>
        </w:rPr>
        <w:t xml:space="preserve"> </w:t>
      </w:r>
      <w:r w:rsidR="00C57B3D" w:rsidRPr="00C57B3D">
        <w:rPr>
          <w:rFonts w:ascii="Times New Roman" w:hAnsi="Times New Roman" w:cs="Times New Roman"/>
          <w:sz w:val="24"/>
          <w:szCs w:val="24"/>
        </w:rPr>
        <w:t>In cases of metastatic bone disease and myelofibrosis, biopsy results altered patient management by confirming diagnoses missed or inconclusive on aspiration alone</w:t>
      </w:r>
      <w:r w:rsidR="00C57B3D">
        <w:rPr>
          <w:rFonts w:ascii="Times New Roman" w:hAnsi="Times New Roman" w:cs="Times New Roman"/>
          <w:sz w:val="24"/>
          <w:szCs w:val="24"/>
          <w:vertAlign w:val="superscript"/>
        </w:rPr>
        <w:t>27</w:t>
      </w:r>
      <w:r w:rsidR="00C57B3D" w:rsidRPr="00C57B3D">
        <w:rPr>
          <w:rFonts w:ascii="Times New Roman" w:hAnsi="Times New Roman" w:cs="Times New Roman"/>
          <w:sz w:val="24"/>
          <w:szCs w:val="24"/>
        </w:rPr>
        <w:t>.</w:t>
      </w:r>
      <w:r w:rsidR="00A97BF6">
        <w:rPr>
          <w:rFonts w:ascii="Times New Roman" w:hAnsi="Times New Roman" w:cs="Times New Roman"/>
          <w:sz w:val="24"/>
          <w:szCs w:val="24"/>
        </w:rPr>
        <w:t xml:space="preserve"> </w:t>
      </w:r>
      <w:r w:rsidR="00A97BF6" w:rsidRPr="00A97BF6">
        <w:rPr>
          <w:rFonts w:ascii="Times New Roman" w:hAnsi="Times New Roman" w:cs="Times New Roman"/>
          <w:sz w:val="24"/>
          <w:szCs w:val="24"/>
        </w:rPr>
        <w:t>Precise detection of marrow metastases aided accurate cancer staging and informed therapeutic planning, whereas identifying myelofibrosis contributed to prognosis assessment and guided subsequent management choices. These observations highlight the crucial role of bone marrow biopsy as a complementary and confirmatory diagnostic tool in complex hematologic conditions</w:t>
      </w:r>
      <w:r w:rsidR="00A97BF6">
        <w:rPr>
          <w:rFonts w:ascii="Times New Roman" w:hAnsi="Times New Roman" w:cs="Times New Roman"/>
          <w:sz w:val="24"/>
          <w:szCs w:val="24"/>
          <w:vertAlign w:val="superscript"/>
        </w:rPr>
        <w:t>8,28</w:t>
      </w:r>
      <w:r w:rsidR="00A97BF6" w:rsidRPr="00A97BF6">
        <w:rPr>
          <w:rFonts w:ascii="Times New Roman" w:hAnsi="Times New Roman" w:cs="Times New Roman"/>
          <w:sz w:val="24"/>
          <w:szCs w:val="24"/>
        </w:rPr>
        <w:t>.</w:t>
      </w:r>
      <w:r w:rsidR="00C57B3D">
        <w:rPr>
          <w:rFonts w:ascii="Times New Roman" w:hAnsi="Times New Roman" w:cs="Times New Roman"/>
          <w:sz w:val="24"/>
          <w:szCs w:val="24"/>
        </w:rPr>
        <w:t xml:space="preserve"> </w:t>
      </w:r>
      <w:r w:rsidRPr="00894FC9">
        <w:rPr>
          <w:rFonts w:ascii="Times New Roman" w:hAnsi="Times New Roman" w:cs="Times New Roman"/>
          <w:sz w:val="24"/>
          <w:szCs w:val="24"/>
        </w:rPr>
        <w:t>This suggests that while both methods are valuable, biopsy is the more preferred method, especially in cases where focal lesions or marrow fibrosis are suspected. Previous studies similarly reported low concordance for marrow metastasis, with trephine biopsy proving more reliable for detection</w:t>
      </w:r>
      <w:r w:rsidRPr="00894FC9">
        <w:rPr>
          <w:rFonts w:ascii="Times New Roman" w:hAnsi="Times New Roman" w:cs="Times New Roman"/>
          <w:sz w:val="24"/>
          <w:szCs w:val="24"/>
          <w:vertAlign w:val="superscript"/>
        </w:rPr>
        <w:t>29,30</w:t>
      </w:r>
      <w:r w:rsidRPr="00894FC9">
        <w:rPr>
          <w:rFonts w:ascii="Times New Roman" w:hAnsi="Times New Roman" w:cs="Times New Roman"/>
          <w:sz w:val="24"/>
          <w:szCs w:val="24"/>
        </w:rPr>
        <w:t>. Likewise, MF is notorious for producing “dry taps” due to marrow fibrosis, resulting in inadequate aspirate material and lower diagnostic yield compared to biopsy</w:t>
      </w:r>
      <w:r w:rsidRPr="00894FC9">
        <w:rPr>
          <w:rFonts w:ascii="Times New Roman" w:hAnsi="Times New Roman" w:cs="Times New Roman"/>
          <w:sz w:val="24"/>
          <w:szCs w:val="24"/>
          <w:vertAlign w:val="superscript"/>
        </w:rPr>
        <w:t>27</w:t>
      </w:r>
      <w:r w:rsidRPr="00894FC9">
        <w:rPr>
          <w:rFonts w:ascii="Times New Roman" w:hAnsi="Times New Roman" w:cs="Times New Roman"/>
          <w:sz w:val="24"/>
          <w:szCs w:val="24"/>
        </w:rPr>
        <w:t>.</w:t>
      </w:r>
    </w:p>
    <w:p w14:paraId="22B3C6E6" w14:textId="77777777" w:rsidR="002B545D" w:rsidRPr="00894FC9" w:rsidRDefault="002B545D" w:rsidP="003F5A64">
      <w:pPr>
        <w:spacing w:line="276" w:lineRule="auto"/>
        <w:jc w:val="both"/>
        <w:rPr>
          <w:rFonts w:ascii="Times New Roman" w:hAnsi="Times New Roman" w:cs="Times New Roman"/>
          <w:sz w:val="24"/>
          <w:szCs w:val="24"/>
        </w:rPr>
      </w:pPr>
    </w:p>
    <w:p w14:paraId="65E21E33" w14:textId="77777777" w:rsidR="002B545D" w:rsidRPr="00894FC9" w:rsidRDefault="002B545D" w:rsidP="003F5A64">
      <w:pPr>
        <w:spacing w:line="276" w:lineRule="auto"/>
        <w:jc w:val="both"/>
        <w:rPr>
          <w:rFonts w:ascii="Times New Roman" w:hAnsi="Times New Roman" w:cs="Times New Roman"/>
          <w:b/>
          <w:bCs/>
          <w:sz w:val="24"/>
          <w:szCs w:val="24"/>
        </w:rPr>
      </w:pPr>
      <w:r w:rsidRPr="00894FC9">
        <w:rPr>
          <w:rFonts w:ascii="Times New Roman" w:hAnsi="Times New Roman" w:cs="Times New Roman"/>
          <w:b/>
          <w:bCs/>
          <w:sz w:val="24"/>
          <w:szCs w:val="24"/>
        </w:rPr>
        <w:t>CONCLUSION</w:t>
      </w:r>
    </w:p>
    <w:p w14:paraId="2EAD70A8" w14:textId="5BF0BFCA" w:rsidR="002B545D" w:rsidRPr="00894FC9" w:rsidRDefault="002B545D" w:rsidP="003F5A64">
      <w:pPr>
        <w:spacing w:line="276" w:lineRule="auto"/>
        <w:jc w:val="both"/>
        <w:rPr>
          <w:rFonts w:ascii="Times New Roman" w:hAnsi="Times New Roman" w:cs="Times New Roman"/>
          <w:sz w:val="24"/>
          <w:szCs w:val="24"/>
        </w:rPr>
      </w:pPr>
      <w:r w:rsidRPr="00894FC9">
        <w:rPr>
          <w:rFonts w:ascii="Times New Roman" w:hAnsi="Times New Roman" w:cs="Times New Roman"/>
          <w:sz w:val="24"/>
          <w:szCs w:val="24"/>
        </w:rPr>
        <w:t xml:space="preserve">This study evaluated bone marrow aspiration and biopsy from a concurrent site, illustrating their diagnostic value in routine practices at a Nigerian tertiary </w:t>
      </w:r>
      <w:proofErr w:type="spellStart"/>
      <w:r w:rsidRPr="00894FC9">
        <w:rPr>
          <w:rFonts w:ascii="Times New Roman" w:hAnsi="Times New Roman" w:cs="Times New Roman"/>
          <w:sz w:val="24"/>
          <w:szCs w:val="24"/>
        </w:rPr>
        <w:t>centre</w:t>
      </w:r>
      <w:proofErr w:type="spellEnd"/>
      <w:r w:rsidRPr="00894FC9">
        <w:rPr>
          <w:rFonts w:ascii="Times New Roman" w:hAnsi="Times New Roman" w:cs="Times New Roman"/>
          <w:sz w:val="24"/>
          <w:szCs w:val="24"/>
        </w:rPr>
        <w:t xml:space="preserve">. Anaemia was the most frequent clinical indication, present in 90.4% of patients, often triggering marrow evaluation. There was an overall concordance rate of 84.8% between bone marrow aspirate and biopsy results, with complete agreement in chronic lymphocytic leukaemia, myelodysplastic syndrome and notable discordance in metastatic bone disease (80%) and myelofibrosis (38.5%). Biopsy proved superior </w:t>
      </w:r>
      <w:r w:rsidR="00777126">
        <w:rPr>
          <w:rFonts w:ascii="Times New Roman" w:hAnsi="Times New Roman" w:cs="Times New Roman"/>
          <w:sz w:val="24"/>
          <w:szCs w:val="24"/>
        </w:rPr>
        <w:t xml:space="preserve">in </w:t>
      </w:r>
      <w:r w:rsidRPr="00894FC9">
        <w:rPr>
          <w:rFonts w:ascii="Times New Roman" w:hAnsi="Times New Roman" w:cs="Times New Roman"/>
          <w:sz w:val="24"/>
          <w:szCs w:val="24"/>
        </w:rPr>
        <w:t xml:space="preserve">identifying </w:t>
      </w:r>
      <w:r w:rsidR="00777126" w:rsidRPr="00894FC9">
        <w:rPr>
          <w:rFonts w:ascii="Times New Roman" w:hAnsi="Times New Roman" w:cs="Times New Roman"/>
          <w:sz w:val="24"/>
          <w:szCs w:val="24"/>
        </w:rPr>
        <w:t>localized</w:t>
      </w:r>
      <w:r w:rsidRPr="00894FC9">
        <w:rPr>
          <w:rFonts w:ascii="Times New Roman" w:hAnsi="Times New Roman" w:cs="Times New Roman"/>
          <w:sz w:val="24"/>
          <w:szCs w:val="24"/>
        </w:rPr>
        <w:t xml:space="preserve"> abnormalities (like cancer metastases) and in cases where the bone marrow is fibrotic or packed with abnormal cells, </w:t>
      </w:r>
      <w:r w:rsidR="00777126">
        <w:rPr>
          <w:rFonts w:ascii="Times New Roman" w:hAnsi="Times New Roman" w:cs="Times New Roman"/>
          <w:sz w:val="24"/>
          <w:szCs w:val="24"/>
        </w:rPr>
        <w:t>where aspirates</w:t>
      </w:r>
      <w:r w:rsidRPr="00894FC9">
        <w:rPr>
          <w:rFonts w:ascii="Times New Roman" w:hAnsi="Times New Roman" w:cs="Times New Roman"/>
          <w:sz w:val="24"/>
          <w:szCs w:val="24"/>
        </w:rPr>
        <w:t xml:space="preserve"> might not yield enough material (a "dry </w:t>
      </w:r>
      <w:r w:rsidRPr="00894FC9">
        <w:rPr>
          <w:rFonts w:ascii="Times New Roman" w:hAnsi="Times New Roman" w:cs="Times New Roman"/>
          <w:sz w:val="24"/>
          <w:szCs w:val="24"/>
        </w:rPr>
        <w:lastRenderedPageBreak/>
        <w:t>tap"). In summary, combining aspiration and biopsy enhances diagnostic accuracy, with biopsy being crucial in specific cases.</w:t>
      </w:r>
    </w:p>
    <w:p w14:paraId="16856EAB" w14:textId="77777777" w:rsidR="00312F63" w:rsidRDefault="00312F63" w:rsidP="003F5A64">
      <w:pPr>
        <w:spacing w:after="0" w:line="276" w:lineRule="auto"/>
        <w:rPr>
          <w:rFonts w:asciiTheme="majorBidi" w:eastAsia="Times New Roman" w:hAnsiTheme="majorBidi" w:cstheme="majorBidi"/>
          <w:kern w:val="0"/>
          <w:sz w:val="24"/>
          <w:szCs w:val="24"/>
          <w:lang w:val="en-GB" w:eastAsia="en-GB"/>
          <w14:ligatures w14:val="none"/>
        </w:rPr>
      </w:pPr>
      <w:r w:rsidRPr="00312F63">
        <w:rPr>
          <w:rFonts w:asciiTheme="majorBidi" w:eastAsia="Times New Roman" w:hAnsiTheme="majorBidi" w:cstheme="majorBidi"/>
          <w:b/>
          <w:bCs/>
          <w:kern w:val="0"/>
          <w:sz w:val="24"/>
          <w:szCs w:val="24"/>
          <w:lang w:val="en-GB" w:eastAsia="en-GB"/>
          <w14:ligatures w14:val="none"/>
        </w:rPr>
        <w:t>Disclosure statements</w:t>
      </w:r>
    </w:p>
    <w:p w14:paraId="70A93721" w14:textId="0375AE2F" w:rsidR="00312F63" w:rsidRDefault="00312F63" w:rsidP="003F5A64">
      <w:pPr>
        <w:spacing w:after="0" w:line="276" w:lineRule="auto"/>
        <w:rPr>
          <w:rFonts w:asciiTheme="majorBidi" w:eastAsia="Times New Roman" w:hAnsiTheme="majorBidi" w:cstheme="majorBidi"/>
          <w:kern w:val="0"/>
          <w:sz w:val="24"/>
          <w:szCs w:val="24"/>
          <w:lang w:val="en-GB" w:eastAsia="en-GB"/>
          <w14:ligatures w14:val="none"/>
        </w:rPr>
      </w:pPr>
      <w:r>
        <w:rPr>
          <w:rFonts w:asciiTheme="majorBidi" w:eastAsia="Times New Roman" w:hAnsiTheme="majorBidi" w:cstheme="majorBidi"/>
          <w:kern w:val="0"/>
          <w:sz w:val="24"/>
          <w:szCs w:val="24"/>
          <w:lang w:val="en-GB" w:eastAsia="en-GB"/>
          <w14:ligatures w14:val="none"/>
        </w:rPr>
        <w:t>This manuscript has not been presented as a preprint, conference paper</w:t>
      </w:r>
      <w:r w:rsidRPr="00312F63">
        <w:rPr>
          <w:rFonts w:asciiTheme="majorBidi" w:eastAsia="Times New Roman" w:hAnsiTheme="majorBidi" w:cstheme="majorBidi"/>
          <w:kern w:val="0"/>
          <w:sz w:val="24"/>
          <w:szCs w:val="24"/>
          <w:lang w:val="en-GB" w:eastAsia="en-GB"/>
          <w14:ligatures w14:val="none"/>
        </w:rPr>
        <w:t xml:space="preserve">, </w:t>
      </w:r>
      <w:r>
        <w:rPr>
          <w:rFonts w:asciiTheme="majorBidi" w:eastAsia="Times New Roman" w:hAnsiTheme="majorBidi" w:cstheme="majorBidi"/>
          <w:kern w:val="0"/>
          <w:sz w:val="24"/>
          <w:szCs w:val="24"/>
          <w:lang w:val="en-GB" w:eastAsia="en-GB"/>
          <w14:ligatures w14:val="none"/>
        </w:rPr>
        <w:t>or a thesis</w:t>
      </w:r>
    </w:p>
    <w:p w14:paraId="1D1F0DA0" w14:textId="77777777" w:rsidR="00312F63" w:rsidRDefault="00312F63" w:rsidP="003F5A64">
      <w:pPr>
        <w:spacing w:after="0" w:line="276" w:lineRule="auto"/>
        <w:rPr>
          <w:rFonts w:asciiTheme="majorBidi" w:eastAsia="Times New Roman" w:hAnsiTheme="majorBidi" w:cstheme="majorBidi"/>
          <w:kern w:val="0"/>
          <w:sz w:val="24"/>
          <w:szCs w:val="24"/>
          <w:lang w:val="en-GB" w:eastAsia="en-GB"/>
          <w14:ligatures w14:val="none"/>
        </w:rPr>
      </w:pPr>
      <w:r>
        <w:rPr>
          <w:rFonts w:asciiTheme="majorBidi" w:eastAsia="Times New Roman" w:hAnsiTheme="majorBidi" w:cstheme="majorBidi"/>
          <w:kern w:val="0"/>
          <w:sz w:val="24"/>
          <w:szCs w:val="24"/>
          <w:lang w:val="en-GB" w:eastAsia="en-GB"/>
          <w14:ligatures w14:val="none"/>
        </w:rPr>
        <w:t xml:space="preserve">There was no use of </w:t>
      </w:r>
      <w:r w:rsidRPr="00312F63">
        <w:rPr>
          <w:rFonts w:asciiTheme="majorBidi" w:eastAsia="Times New Roman" w:hAnsiTheme="majorBidi" w:cstheme="majorBidi"/>
          <w:kern w:val="0"/>
          <w:sz w:val="24"/>
          <w:szCs w:val="24"/>
          <w:lang w:val="en-GB" w:eastAsia="en-GB"/>
          <w14:ligatures w14:val="none"/>
        </w:rPr>
        <w:t>AI tools</w:t>
      </w:r>
    </w:p>
    <w:p w14:paraId="4EC7A69C" w14:textId="77777777" w:rsidR="002B545D" w:rsidRPr="00312F63" w:rsidRDefault="002B545D" w:rsidP="003F5A64">
      <w:pPr>
        <w:spacing w:line="276" w:lineRule="auto"/>
        <w:jc w:val="both"/>
        <w:rPr>
          <w:rFonts w:ascii="Times New Roman" w:hAnsi="Times New Roman" w:cs="Times New Roman"/>
          <w:sz w:val="24"/>
          <w:szCs w:val="24"/>
          <w:lang w:val="en-GB"/>
        </w:rPr>
      </w:pPr>
      <w:bookmarkStart w:id="5" w:name="_GoBack"/>
      <w:bookmarkEnd w:id="5"/>
    </w:p>
    <w:p w14:paraId="5C4F96BF" w14:textId="77777777" w:rsidR="002B545D" w:rsidRPr="0089664F" w:rsidRDefault="002B545D" w:rsidP="003F5A64">
      <w:pPr>
        <w:spacing w:line="276" w:lineRule="auto"/>
        <w:jc w:val="both"/>
        <w:rPr>
          <w:rFonts w:ascii="Times New Roman" w:hAnsi="Times New Roman" w:cs="Times New Roman"/>
          <w:b/>
          <w:bCs/>
          <w:sz w:val="24"/>
          <w:szCs w:val="24"/>
        </w:rPr>
      </w:pPr>
      <w:r w:rsidRPr="0089664F">
        <w:rPr>
          <w:rFonts w:ascii="Times New Roman" w:hAnsi="Times New Roman" w:cs="Times New Roman"/>
          <w:b/>
          <w:bCs/>
          <w:sz w:val="24"/>
          <w:szCs w:val="24"/>
        </w:rPr>
        <w:t>REFERENCE</w:t>
      </w:r>
    </w:p>
    <w:p w14:paraId="745702B0" w14:textId="77777777" w:rsidR="002B545D" w:rsidRPr="0089664F" w:rsidRDefault="002B545D" w:rsidP="003F5A64">
      <w:pPr>
        <w:spacing w:line="276" w:lineRule="auto"/>
        <w:jc w:val="both"/>
        <w:rPr>
          <w:rFonts w:ascii="Times New Roman" w:hAnsi="Times New Roman" w:cs="Times New Roman"/>
          <w:b/>
          <w:bCs/>
          <w:sz w:val="24"/>
          <w:szCs w:val="24"/>
        </w:rPr>
      </w:pPr>
    </w:p>
    <w:p w14:paraId="06183520" w14:textId="77777777" w:rsidR="00A94C85" w:rsidRDefault="00A94C85" w:rsidP="00A94C85">
      <w:pPr>
        <w:numPr>
          <w:ilvl w:val="0"/>
          <w:numId w:val="17"/>
        </w:numPr>
        <w:spacing w:line="276" w:lineRule="auto"/>
        <w:jc w:val="both"/>
        <w:rPr>
          <w:rFonts w:ascii="Times New Roman" w:hAnsi="Times New Roman" w:cs="Times New Roman"/>
          <w:sz w:val="24"/>
          <w:szCs w:val="24"/>
        </w:rPr>
      </w:pPr>
      <w:bookmarkStart w:id="6" w:name="_Hlk209188258"/>
      <w:proofErr w:type="spellStart"/>
      <w:r w:rsidRPr="00A94C85">
        <w:rPr>
          <w:rFonts w:ascii="Times New Roman" w:hAnsi="Times New Roman" w:cs="Times New Roman"/>
          <w:sz w:val="24"/>
          <w:szCs w:val="24"/>
        </w:rPr>
        <w:t>Durosinmi</w:t>
      </w:r>
      <w:proofErr w:type="spellEnd"/>
      <w:r w:rsidRPr="00A94C85">
        <w:rPr>
          <w:rFonts w:ascii="Times New Roman" w:hAnsi="Times New Roman" w:cs="Times New Roman"/>
          <w:sz w:val="24"/>
          <w:szCs w:val="24"/>
        </w:rPr>
        <w:t xml:space="preserve">, M. A. (2022). A design handbook of haemato-oncology therapy for medical practitioners and resident doctors (4th ed.). </w:t>
      </w:r>
      <w:proofErr w:type="spellStart"/>
      <w:r w:rsidRPr="00A94C85">
        <w:rPr>
          <w:rFonts w:ascii="Times New Roman" w:hAnsi="Times New Roman" w:cs="Times New Roman"/>
          <w:sz w:val="24"/>
          <w:szCs w:val="24"/>
        </w:rPr>
        <w:t>Amkra</w:t>
      </w:r>
      <w:proofErr w:type="spellEnd"/>
      <w:r w:rsidRPr="00A94C85">
        <w:rPr>
          <w:rFonts w:ascii="Times New Roman" w:hAnsi="Times New Roman" w:cs="Times New Roman"/>
          <w:sz w:val="24"/>
          <w:szCs w:val="24"/>
        </w:rPr>
        <w:t xml:space="preserve"> Books.</w:t>
      </w:r>
    </w:p>
    <w:bookmarkEnd w:id="6"/>
    <w:p w14:paraId="41F84FE7" w14:textId="3031B3BE"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Kawthalkar</w:t>
      </w:r>
      <w:proofErr w:type="spellEnd"/>
      <w:r w:rsidRPr="00A94C85">
        <w:rPr>
          <w:rFonts w:ascii="Times New Roman" w:hAnsi="Times New Roman" w:cs="Times New Roman"/>
          <w:sz w:val="24"/>
          <w:szCs w:val="24"/>
        </w:rPr>
        <w:t xml:space="preserve">, S. M. (2013). Disorders of white blood cells. Acute </w:t>
      </w:r>
      <w:proofErr w:type="spellStart"/>
      <w:r w:rsidRPr="00A94C85">
        <w:rPr>
          <w:rFonts w:ascii="Times New Roman" w:hAnsi="Times New Roman" w:cs="Times New Roman"/>
          <w:sz w:val="24"/>
          <w:szCs w:val="24"/>
        </w:rPr>
        <w:t>leukaemias</w:t>
      </w:r>
      <w:proofErr w:type="spellEnd"/>
      <w:r w:rsidRPr="00A94C85">
        <w:rPr>
          <w:rFonts w:ascii="Times New Roman" w:hAnsi="Times New Roman" w:cs="Times New Roman"/>
          <w:sz w:val="24"/>
          <w:szCs w:val="24"/>
        </w:rPr>
        <w:t xml:space="preserve">. In *Essentials of </w:t>
      </w:r>
      <w:proofErr w:type="spellStart"/>
      <w:r w:rsidRPr="00A94C85">
        <w:rPr>
          <w:rFonts w:ascii="Times New Roman" w:hAnsi="Times New Roman" w:cs="Times New Roman"/>
          <w:sz w:val="24"/>
          <w:szCs w:val="24"/>
        </w:rPr>
        <w:t>haematology</w:t>
      </w:r>
      <w:proofErr w:type="spellEnd"/>
      <w:r w:rsidRPr="00A94C85">
        <w:rPr>
          <w:rFonts w:ascii="Times New Roman" w:hAnsi="Times New Roman" w:cs="Times New Roman"/>
          <w:sz w:val="24"/>
          <w:szCs w:val="24"/>
        </w:rPr>
        <w:t xml:space="preserve">* (2nd ed., pp. 224–266). Jaypee Brothers Medical Publishers (P) Ltd. </w:t>
      </w:r>
      <w:hyperlink r:id="rId19" w:history="1">
        <w:r w:rsidRPr="00395C17">
          <w:rPr>
            <w:rStyle w:val="Hyperlink"/>
            <w:rFonts w:ascii="Times New Roman" w:hAnsi="Times New Roman" w:cs="Times New Roman"/>
            <w:sz w:val="24"/>
            <w:szCs w:val="24"/>
          </w:rPr>
          <w:t>https://doi.org/10.5005/jp/books/11810</w:t>
        </w:r>
      </w:hyperlink>
    </w:p>
    <w:p w14:paraId="22536639" w14:textId="013E2A7F"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Medvinsky</w:t>
      </w:r>
      <w:proofErr w:type="spellEnd"/>
      <w:r w:rsidRPr="00A94C85">
        <w:rPr>
          <w:rFonts w:ascii="Times New Roman" w:hAnsi="Times New Roman" w:cs="Times New Roman"/>
          <w:sz w:val="24"/>
          <w:szCs w:val="24"/>
        </w:rPr>
        <w:t xml:space="preserve">, A., &amp; </w:t>
      </w:r>
      <w:proofErr w:type="spellStart"/>
      <w:r w:rsidRPr="00A94C85">
        <w:rPr>
          <w:rFonts w:ascii="Times New Roman" w:hAnsi="Times New Roman" w:cs="Times New Roman"/>
          <w:sz w:val="24"/>
          <w:szCs w:val="24"/>
        </w:rPr>
        <w:t>Dzierzak</w:t>
      </w:r>
      <w:proofErr w:type="spellEnd"/>
      <w:r w:rsidRPr="00A94C85">
        <w:rPr>
          <w:rFonts w:ascii="Times New Roman" w:hAnsi="Times New Roman" w:cs="Times New Roman"/>
          <w:sz w:val="24"/>
          <w:szCs w:val="24"/>
        </w:rPr>
        <w:t xml:space="preserve">, E. (1996). Definitive hematopoiesis is autonomously initiated by the AGM region. Cell, 86(6), 897-906. </w:t>
      </w:r>
      <w:hyperlink r:id="rId20" w:history="1">
        <w:r w:rsidRPr="00395C17">
          <w:rPr>
            <w:rStyle w:val="Hyperlink"/>
            <w:rFonts w:ascii="Times New Roman" w:hAnsi="Times New Roman" w:cs="Times New Roman"/>
            <w:sz w:val="24"/>
            <w:szCs w:val="24"/>
          </w:rPr>
          <w:t>https://doi.org/10.1016/s0092-8674(00)80165-8</w:t>
        </w:r>
      </w:hyperlink>
    </w:p>
    <w:p w14:paraId="71739C65" w14:textId="4690211E" w:rsidR="002B545D" w:rsidRPr="0089664F" w:rsidRDefault="002B545D" w:rsidP="00A94C85">
      <w:pPr>
        <w:numPr>
          <w:ilvl w:val="0"/>
          <w:numId w:val="17"/>
        </w:numPr>
        <w:spacing w:line="276" w:lineRule="auto"/>
        <w:jc w:val="both"/>
        <w:rPr>
          <w:rFonts w:ascii="Times New Roman" w:hAnsi="Times New Roman" w:cs="Times New Roman"/>
          <w:sz w:val="24"/>
          <w:szCs w:val="24"/>
        </w:rPr>
      </w:pPr>
      <w:r w:rsidRPr="0089664F">
        <w:rPr>
          <w:rFonts w:ascii="Times New Roman" w:hAnsi="Times New Roman" w:cs="Times New Roman"/>
          <w:sz w:val="24"/>
          <w:szCs w:val="24"/>
        </w:rPr>
        <w:t xml:space="preserve">Singh R, Bath T, Shetty K. </w:t>
      </w:r>
      <w:r w:rsidRPr="0089664F">
        <w:rPr>
          <w:rFonts w:ascii="Times New Roman" w:hAnsi="Times New Roman" w:cs="Times New Roman"/>
          <w:i/>
          <w:iCs/>
          <w:sz w:val="24"/>
          <w:szCs w:val="24"/>
        </w:rPr>
        <w:t>Embryology, Hematopoiesis.</w:t>
      </w:r>
      <w:r w:rsidRPr="0089664F">
        <w:rPr>
          <w:rFonts w:ascii="Times New Roman" w:hAnsi="Times New Roman" w:cs="Times New Roman"/>
          <w:sz w:val="24"/>
          <w:szCs w:val="24"/>
        </w:rPr>
        <w:t xml:space="preserve"> In: </w:t>
      </w:r>
      <w:proofErr w:type="spellStart"/>
      <w:r w:rsidRPr="0089664F">
        <w:rPr>
          <w:rFonts w:ascii="Times New Roman" w:hAnsi="Times New Roman" w:cs="Times New Roman"/>
          <w:sz w:val="24"/>
          <w:szCs w:val="24"/>
        </w:rPr>
        <w:t>StatPearls</w:t>
      </w:r>
      <w:proofErr w:type="spellEnd"/>
      <w:r w:rsidRPr="0089664F">
        <w:rPr>
          <w:rFonts w:ascii="Times New Roman" w:hAnsi="Times New Roman" w:cs="Times New Roman"/>
          <w:sz w:val="24"/>
          <w:szCs w:val="24"/>
        </w:rPr>
        <w:t xml:space="preserve"> [Internet]. Treasure Island (FL): </w:t>
      </w:r>
      <w:proofErr w:type="spellStart"/>
      <w:r w:rsidRPr="0089664F">
        <w:rPr>
          <w:rFonts w:ascii="Times New Roman" w:hAnsi="Times New Roman" w:cs="Times New Roman"/>
          <w:sz w:val="24"/>
          <w:szCs w:val="24"/>
        </w:rPr>
        <w:t>StatPearls</w:t>
      </w:r>
      <w:proofErr w:type="spellEnd"/>
      <w:r w:rsidRPr="0089664F">
        <w:rPr>
          <w:rFonts w:ascii="Times New Roman" w:hAnsi="Times New Roman" w:cs="Times New Roman"/>
          <w:sz w:val="24"/>
          <w:szCs w:val="24"/>
        </w:rPr>
        <w:t xml:space="preserve"> Publishing; 2023.</w:t>
      </w:r>
    </w:p>
    <w:p w14:paraId="52E15544" w14:textId="5FE1E188"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Lewis, K., Yoshimoto, M., &amp; Takebe, T. (2021). Fetal liver hematopoiesis: from development to delivery. Stem Cell Research &amp; Therapy. </w:t>
      </w:r>
      <w:hyperlink r:id="rId21" w:history="1">
        <w:r w:rsidRPr="00395C17">
          <w:rPr>
            <w:rStyle w:val="Hyperlink"/>
            <w:rFonts w:ascii="Times New Roman" w:hAnsi="Times New Roman" w:cs="Times New Roman"/>
            <w:sz w:val="24"/>
            <w:szCs w:val="24"/>
          </w:rPr>
          <w:t>https://doi.org/10.1186/s13287-021-02189-w</w:t>
        </w:r>
      </w:hyperlink>
    </w:p>
    <w:p w14:paraId="705A12FC" w14:textId="39E9A164" w:rsidR="002B545D" w:rsidRPr="00D259B3" w:rsidRDefault="002B545D" w:rsidP="00A94C85">
      <w:pPr>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Chan 0, </w:t>
      </w:r>
      <w:proofErr w:type="spellStart"/>
      <w:r>
        <w:rPr>
          <w:rFonts w:ascii="Times New Roman" w:hAnsi="Times New Roman" w:cs="Times New Roman"/>
          <w:sz w:val="24"/>
          <w:szCs w:val="24"/>
        </w:rPr>
        <w:t>Cavis</w:t>
      </w:r>
      <w:proofErr w:type="spellEnd"/>
      <w:r>
        <w:rPr>
          <w:rFonts w:ascii="Times New Roman" w:hAnsi="Times New Roman" w:cs="Times New Roman"/>
          <w:sz w:val="24"/>
          <w:szCs w:val="24"/>
        </w:rPr>
        <w:t xml:space="preserve"> H, Zhang L Normal haematopoiesis and Diagnosis Algorithms for Cytopenias and Cytoses.</w:t>
      </w:r>
      <w:r w:rsidRPr="00D259B3">
        <w:rPr>
          <w:rFonts w:ascii="Times New Roman" w:hAnsi="Times New Roman" w:cs="Times New Roman"/>
          <w:sz w:val="24"/>
          <w:szCs w:val="24"/>
        </w:rPr>
        <w:t xml:space="preserve"> In </w:t>
      </w:r>
      <w:r w:rsidRPr="00D259B3">
        <w:rPr>
          <w:rFonts w:asciiTheme="majorBidi" w:hAnsiTheme="majorBidi" w:cstheme="majorBidi"/>
          <w:sz w:val="24"/>
          <w:szCs w:val="24"/>
        </w:rPr>
        <w:t>DA Sallman, A Chaudhury, </w:t>
      </w:r>
      <w:hyperlink r:id="rId22" w:history="1">
        <w:r w:rsidRPr="00D259B3">
          <w:rPr>
            <w:rStyle w:val="Hyperlink"/>
            <w:rFonts w:asciiTheme="majorBidi" w:hAnsiTheme="majorBidi" w:cstheme="majorBidi"/>
            <w:color w:val="auto"/>
            <w:sz w:val="24"/>
            <w:szCs w:val="24"/>
            <w:u w:val="none"/>
          </w:rPr>
          <w:t>H Saeed</w:t>
        </w:r>
      </w:hyperlink>
      <w:r w:rsidRPr="00D259B3">
        <w:rPr>
          <w:rFonts w:asciiTheme="majorBidi" w:hAnsiTheme="majorBidi" w:cstheme="majorBidi"/>
          <w:sz w:val="24"/>
          <w:szCs w:val="24"/>
        </w:rPr>
        <w:t>, L Zhang</w:t>
      </w:r>
      <w:r w:rsidRPr="00D259B3">
        <w:rPr>
          <w:rFonts w:asciiTheme="majorBidi" w:hAnsiTheme="majorBidi"/>
          <w:sz w:val="24"/>
          <w:szCs w:val="24"/>
        </w:rPr>
        <w:t xml:space="preserve">. </w:t>
      </w:r>
      <w:hyperlink r:id="rId23" w:history="1">
        <w:r w:rsidRPr="00D259B3">
          <w:rPr>
            <w:rStyle w:val="Hyperlink"/>
            <w:rFonts w:asciiTheme="majorBidi" w:hAnsiTheme="majorBidi" w:cstheme="majorBidi"/>
            <w:color w:val="auto"/>
            <w:sz w:val="24"/>
            <w:szCs w:val="24"/>
            <w:u w:val="none"/>
          </w:rPr>
          <w:t>Handbook of hematologic malignancies</w:t>
        </w:r>
      </w:hyperlink>
      <w:r w:rsidRPr="00D259B3">
        <w:rPr>
          <w:rFonts w:asciiTheme="majorBidi" w:hAnsiTheme="majorBidi"/>
          <w:sz w:val="24"/>
          <w:szCs w:val="24"/>
        </w:rPr>
        <w:t xml:space="preserve"> </w:t>
      </w:r>
      <w:proofErr w:type="spellStart"/>
      <w:r w:rsidRPr="00D259B3">
        <w:rPr>
          <w:rFonts w:asciiTheme="majorBidi" w:hAnsiTheme="majorBidi"/>
          <w:sz w:val="24"/>
          <w:szCs w:val="24"/>
        </w:rPr>
        <w:t>pg</w:t>
      </w:r>
      <w:proofErr w:type="spellEnd"/>
      <w:r w:rsidRPr="00D259B3">
        <w:rPr>
          <w:rFonts w:asciiTheme="majorBidi" w:hAnsiTheme="majorBidi"/>
          <w:sz w:val="24"/>
          <w:szCs w:val="24"/>
        </w:rPr>
        <w:t xml:space="preserve"> 1-14:</w:t>
      </w:r>
      <w:r w:rsidRPr="00D259B3">
        <w:rPr>
          <w:rFonts w:asciiTheme="majorBidi" w:hAnsiTheme="majorBidi" w:cstheme="majorBidi"/>
          <w:sz w:val="24"/>
          <w:szCs w:val="24"/>
        </w:rPr>
        <w:t xml:space="preserve"> 2025</w:t>
      </w:r>
      <w:r w:rsidRPr="00D259B3">
        <w:rPr>
          <w:rFonts w:asciiTheme="majorBidi" w:hAnsiTheme="majorBidi"/>
          <w:sz w:val="24"/>
          <w:szCs w:val="24"/>
        </w:rPr>
        <w:t xml:space="preserve"> Springer Publishing</w:t>
      </w:r>
    </w:p>
    <w:p w14:paraId="391DC2FD" w14:textId="653A0B78" w:rsidR="00A94C85" w:rsidRDefault="00A94C85" w:rsidP="00A94C85">
      <w:pPr>
        <w:numPr>
          <w:ilvl w:val="0"/>
          <w:numId w:val="17"/>
        </w:numPr>
        <w:spacing w:line="276" w:lineRule="auto"/>
        <w:jc w:val="both"/>
        <w:rPr>
          <w:rFonts w:ascii="Times New Roman" w:hAnsi="Times New Roman" w:cs="Times New Roman"/>
          <w:sz w:val="24"/>
          <w:szCs w:val="24"/>
        </w:rPr>
      </w:pPr>
      <w:bookmarkStart w:id="7" w:name="_Hlk209188484"/>
      <w:r w:rsidRPr="00A94C85">
        <w:rPr>
          <w:rFonts w:ascii="Times New Roman" w:hAnsi="Times New Roman" w:cs="Times New Roman"/>
          <w:sz w:val="24"/>
          <w:szCs w:val="24"/>
        </w:rPr>
        <w:t xml:space="preserve">Thakur, S., </w:t>
      </w:r>
      <w:proofErr w:type="spellStart"/>
      <w:r w:rsidRPr="00A94C85">
        <w:rPr>
          <w:rFonts w:ascii="Times New Roman" w:hAnsi="Times New Roman" w:cs="Times New Roman"/>
          <w:sz w:val="24"/>
          <w:szCs w:val="24"/>
        </w:rPr>
        <w:t>Thaker</w:t>
      </w:r>
      <w:proofErr w:type="spellEnd"/>
      <w:r w:rsidRPr="00A94C85">
        <w:rPr>
          <w:rFonts w:ascii="Times New Roman" w:hAnsi="Times New Roman" w:cs="Times New Roman"/>
          <w:sz w:val="24"/>
          <w:szCs w:val="24"/>
        </w:rPr>
        <w:t xml:space="preserve">, B., </w:t>
      </w:r>
      <w:proofErr w:type="spellStart"/>
      <w:r w:rsidRPr="00A94C85">
        <w:rPr>
          <w:rFonts w:ascii="Times New Roman" w:hAnsi="Times New Roman" w:cs="Times New Roman"/>
          <w:sz w:val="24"/>
          <w:szCs w:val="24"/>
        </w:rPr>
        <w:t>Thaker</w:t>
      </w:r>
      <w:proofErr w:type="spellEnd"/>
      <w:r w:rsidRPr="00A94C85">
        <w:rPr>
          <w:rFonts w:ascii="Times New Roman" w:hAnsi="Times New Roman" w:cs="Times New Roman"/>
          <w:sz w:val="24"/>
          <w:szCs w:val="24"/>
        </w:rPr>
        <w:t xml:space="preserve">, K. S., &amp; Anjum, A. (2023). Utility of bone marrow aspiration and trephine biopsy in various </w:t>
      </w:r>
      <w:proofErr w:type="spellStart"/>
      <w:r w:rsidRPr="00A94C85">
        <w:rPr>
          <w:rFonts w:ascii="Times New Roman" w:hAnsi="Times New Roman" w:cs="Times New Roman"/>
          <w:sz w:val="24"/>
          <w:szCs w:val="24"/>
        </w:rPr>
        <w:t>haematological</w:t>
      </w:r>
      <w:proofErr w:type="spellEnd"/>
      <w:r w:rsidRPr="00A94C85">
        <w:rPr>
          <w:rFonts w:ascii="Times New Roman" w:hAnsi="Times New Roman" w:cs="Times New Roman"/>
          <w:sz w:val="24"/>
          <w:szCs w:val="24"/>
        </w:rPr>
        <w:t xml:space="preserve"> malignancies. International Journal of Research in Medical Sciences, 11(4), 1128–1135. </w:t>
      </w:r>
      <w:hyperlink r:id="rId24" w:history="1">
        <w:r w:rsidRPr="00395C17">
          <w:rPr>
            <w:rStyle w:val="Hyperlink"/>
            <w:rFonts w:ascii="Times New Roman" w:hAnsi="Times New Roman" w:cs="Times New Roman"/>
            <w:sz w:val="24"/>
            <w:szCs w:val="24"/>
          </w:rPr>
          <w:t>https://doi.org/10.18203/2320-6012.ijrms20230693</w:t>
        </w:r>
      </w:hyperlink>
    </w:p>
    <w:p w14:paraId="29D38D65" w14:textId="3998E1DE" w:rsidR="002B545D" w:rsidRDefault="002B545D" w:rsidP="00A94C85">
      <w:pPr>
        <w:numPr>
          <w:ilvl w:val="0"/>
          <w:numId w:val="17"/>
        </w:numPr>
        <w:spacing w:line="276" w:lineRule="auto"/>
        <w:jc w:val="both"/>
        <w:rPr>
          <w:rFonts w:ascii="Times New Roman" w:hAnsi="Times New Roman" w:cs="Times New Roman"/>
          <w:sz w:val="24"/>
          <w:szCs w:val="24"/>
        </w:rPr>
      </w:pPr>
      <w:proofErr w:type="spellStart"/>
      <w:r w:rsidRPr="0089664F">
        <w:rPr>
          <w:rFonts w:ascii="Times New Roman" w:hAnsi="Times New Roman" w:cs="Times New Roman"/>
          <w:sz w:val="24"/>
          <w:szCs w:val="24"/>
        </w:rPr>
        <w:t>Gobbi</w:t>
      </w:r>
      <w:proofErr w:type="spellEnd"/>
      <w:r w:rsidRPr="0089664F">
        <w:rPr>
          <w:rFonts w:ascii="Times New Roman" w:hAnsi="Times New Roman" w:cs="Times New Roman"/>
          <w:sz w:val="24"/>
          <w:szCs w:val="24"/>
        </w:rPr>
        <w:t xml:space="preserve"> </w:t>
      </w:r>
      <w:bookmarkEnd w:id="7"/>
      <w:r w:rsidRPr="0089664F">
        <w:rPr>
          <w:rFonts w:ascii="Times New Roman" w:hAnsi="Times New Roman" w:cs="Times New Roman"/>
          <w:sz w:val="24"/>
          <w:szCs w:val="24"/>
        </w:rPr>
        <w:t xml:space="preserve">PG, et al. </w:t>
      </w:r>
      <w:r w:rsidRPr="0089664F">
        <w:rPr>
          <w:rFonts w:ascii="Times New Roman" w:hAnsi="Times New Roman" w:cs="Times New Roman"/>
          <w:i/>
          <w:iCs/>
          <w:sz w:val="24"/>
          <w:szCs w:val="24"/>
        </w:rPr>
        <w:t>Metastatic tumour: the complementary role of the marrow aspirate and biopsy.</w:t>
      </w:r>
      <w:r w:rsidRPr="0089664F">
        <w:rPr>
          <w:rFonts w:ascii="Times New Roman" w:hAnsi="Times New Roman" w:cs="Times New Roman"/>
          <w:sz w:val="24"/>
          <w:szCs w:val="24"/>
        </w:rPr>
        <w:t xml:space="preserve"> Am J Clin Pathol. 1991;95(1):171-175. </w:t>
      </w:r>
      <w:hyperlink r:id="rId25" w:history="1">
        <w:r w:rsidRPr="0089664F">
          <w:rPr>
            <w:rStyle w:val="Hyperlink"/>
            <w:rFonts w:ascii="Times New Roman" w:hAnsi="Times New Roman" w:cs="Times New Roman"/>
            <w:sz w:val="24"/>
            <w:szCs w:val="24"/>
          </w:rPr>
          <w:t>https://pubmed.ncbi.nlm.nih.gov/1928232/</w:t>
        </w:r>
      </w:hyperlink>
      <w:r w:rsidRPr="0089664F">
        <w:rPr>
          <w:rFonts w:ascii="Times New Roman" w:hAnsi="Times New Roman" w:cs="Times New Roman"/>
          <w:sz w:val="24"/>
          <w:szCs w:val="24"/>
        </w:rPr>
        <w:t xml:space="preserve"> (</w:t>
      </w:r>
      <w:hyperlink r:id="rId26" w:tooltip="Metastatic tumor: the complementary role of the marrow aspirate and biopsy" w:history="1">
        <w:r w:rsidRPr="0089664F">
          <w:rPr>
            <w:rStyle w:val="Hyperlink"/>
            <w:rFonts w:ascii="Times New Roman" w:hAnsi="Times New Roman" w:cs="Times New Roman"/>
            <w:sz w:val="24"/>
            <w:szCs w:val="24"/>
          </w:rPr>
          <w:t>PubMed</w:t>
        </w:r>
      </w:hyperlink>
      <w:r w:rsidRPr="0089664F">
        <w:rPr>
          <w:rFonts w:ascii="Times New Roman" w:hAnsi="Times New Roman" w:cs="Times New Roman"/>
          <w:sz w:val="24"/>
          <w:szCs w:val="24"/>
        </w:rPr>
        <w:t>)</w:t>
      </w:r>
    </w:p>
    <w:p w14:paraId="1A575FC7" w14:textId="4A8F4635" w:rsidR="00A94C85" w:rsidRPr="00A94C85" w:rsidRDefault="00A94C85" w:rsidP="00A94C85">
      <w:pPr>
        <w:numPr>
          <w:ilvl w:val="0"/>
          <w:numId w:val="17"/>
        </w:numPr>
        <w:spacing w:line="276" w:lineRule="auto"/>
        <w:jc w:val="both"/>
        <w:rPr>
          <w:rFonts w:asciiTheme="majorBidi" w:hAnsiTheme="majorBidi" w:cstheme="majorBidi"/>
          <w:sz w:val="24"/>
          <w:szCs w:val="24"/>
        </w:rPr>
      </w:pPr>
      <w:proofErr w:type="spellStart"/>
      <w:r w:rsidRPr="00A94C85">
        <w:rPr>
          <w:rFonts w:asciiTheme="majorBidi" w:hAnsiTheme="majorBidi" w:cstheme="majorBidi"/>
          <w:color w:val="222222"/>
          <w:sz w:val="24"/>
          <w:szCs w:val="24"/>
          <w:shd w:val="clear" w:color="auto" w:fill="FFFFFF"/>
          <w:lang w:val="fr-FR"/>
        </w:rPr>
        <w:t>Mulatie</w:t>
      </w:r>
      <w:proofErr w:type="spellEnd"/>
      <w:r w:rsidRPr="00A94C85">
        <w:rPr>
          <w:rFonts w:asciiTheme="majorBidi" w:hAnsiTheme="majorBidi" w:cstheme="majorBidi"/>
          <w:color w:val="222222"/>
          <w:sz w:val="24"/>
          <w:szCs w:val="24"/>
          <w:shd w:val="clear" w:color="auto" w:fill="FFFFFF"/>
          <w:lang w:val="fr-FR"/>
        </w:rPr>
        <w:t xml:space="preserve">, Z., Berta, D. M., </w:t>
      </w:r>
      <w:proofErr w:type="spellStart"/>
      <w:r w:rsidRPr="00A94C85">
        <w:rPr>
          <w:rFonts w:asciiTheme="majorBidi" w:hAnsiTheme="majorBidi" w:cstheme="majorBidi"/>
          <w:color w:val="222222"/>
          <w:sz w:val="24"/>
          <w:szCs w:val="24"/>
          <w:shd w:val="clear" w:color="auto" w:fill="FFFFFF"/>
          <w:lang w:val="fr-FR"/>
        </w:rPr>
        <w:t>Gedefie</w:t>
      </w:r>
      <w:proofErr w:type="spellEnd"/>
      <w:r w:rsidRPr="00A94C85">
        <w:rPr>
          <w:rFonts w:asciiTheme="majorBidi" w:hAnsiTheme="majorBidi" w:cstheme="majorBidi"/>
          <w:color w:val="222222"/>
          <w:sz w:val="24"/>
          <w:szCs w:val="24"/>
          <w:shd w:val="clear" w:color="auto" w:fill="FFFFFF"/>
          <w:lang w:val="fr-FR"/>
        </w:rPr>
        <w:t xml:space="preserve">, A., et al. </w:t>
      </w:r>
      <w:r w:rsidRPr="00A94C85">
        <w:rPr>
          <w:rFonts w:asciiTheme="majorBidi" w:hAnsiTheme="majorBidi" w:cstheme="majorBidi"/>
          <w:color w:val="222222"/>
          <w:sz w:val="24"/>
          <w:szCs w:val="24"/>
          <w:shd w:val="clear" w:color="auto" w:fill="FFFFFF"/>
          <w:lang w:val="en-IN"/>
        </w:rPr>
        <w:t xml:space="preserve">(2025). Prevalence of </w:t>
      </w:r>
      <w:proofErr w:type="spellStart"/>
      <w:r w:rsidRPr="00A94C85">
        <w:rPr>
          <w:rFonts w:asciiTheme="majorBidi" w:hAnsiTheme="majorBidi" w:cstheme="majorBidi"/>
          <w:color w:val="222222"/>
          <w:sz w:val="24"/>
          <w:szCs w:val="24"/>
          <w:shd w:val="clear" w:color="auto" w:fill="FFFFFF"/>
          <w:lang w:val="en-IN"/>
        </w:rPr>
        <w:t>hematological</w:t>
      </w:r>
      <w:proofErr w:type="spellEnd"/>
      <w:r w:rsidRPr="00A94C85">
        <w:rPr>
          <w:rFonts w:asciiTheme="majorBidi" w:hAnsiTheme="majorBidi" w:cstheme="majorBidi"/>
          <w:color w:val="222222"/>
          <w:sz w:val="24"/>
          <w:szCs w:val="24"/>
          <w:shd w:val="clear" w:color="auto" w:fill="FFFFFF"/>
          <w:lang w:val="en-IN"/>
        </w:rPr>
        <w:t xml:space="preserve"> malignancies in Africa: A systematic review and meta-analysis. Scientific Reports, 15(9471) </w:t>
      </w:r>
      <w:hyperlink r:id="rId27" w:history="1">
        <w:r w:rsidRPr="00395C17">
          <w:rPr>
            <w:rStyle w:val="Hyperlink"/>
            <w:rFonts w:asciiTheme="majorBidi" w:hAnsiTheme="majorBidi" w:cstheme="majorBidi"/>
            <w:sz w:val="24"/>
            <w:szCs w:val="24"/>
            <w:shd w:val="clear" w:color="auto" w:fill="FFFFFF"/>
            <w:lang w:val="en-IN"/>
          </w:rPr>
          <w:t>https://doi.org/10.1038/s41598-025-94428-w</w:t>
        </w:r>
      </w:hyperlink>
    </w:p>
    <w:p w14:paraId="2E861B0D" w14:textId="212DA2D7" w:rsidR="00A94C85" w:rsidRPr="00A94C85" w:rsidRDefault="00A94C85" w:rsidP="00A94C85">
      <w:pPr>
        <w:numPr>
          <w:ilvl w:val="0"/>
          <w:numId w:val="17"/>
        </w:numPr>
        <w:spacing w:line="276" w:lineRule="auto"/>
        <w:jc w:val="both"/>
        <w:rPr>
          <w:rFonts w:asciiTheme="majorBidi" w:hAnsiTheme="majorBidi" w:cstheme="majorBidi"/>
          <w:sz w:val="24"/>
          <w:szCs w:val="24"/>
        </w:rPr>
      </w:pPr>
      <w:proofErr w:type="spellStart"/>
      <w:r w:rsidRPr="00A94C85">
        <w:lastRenderedPageBreak/>
        <w:t>Chihara</w:t>
      </w:r>
      <w:proofErr w:type="spellEnd"/>
      <w:r w:rsidRPr="00A94C85">
        <w:t xml:space="preserve">, D., Ito, H., Matsuda, T., Shibata, A., Katsumi, A., Nakamura, S., </w:t>
      </w:r>
      <w:proofErr w:type="spellStart"/>
      <w:r w:rsidRPr="00A94C85">
        <w:t>Tomotaka</w:t>
      </w:r>
      <w:proofErr w:type="spellEnd"/>
      <w:r w:rsidRPr="00A94C85">
        <w:t xml:space="preserve">, S., Morton, L. M., </w:t>
      </w:r>
      <w:proofErr w:type="spellStart"/>
      <w:r w:rsidRPr="00A94C85">
        <w:t>Weisenburger</w:t>
      </w:r>
      <w:proofErr w:type="spellEnd"/>
      <w:r w:rsidRPr="00A94C85">
        <w:t xml:space="preserve">, D. D., &amp; Matsuo, K. (2014). Differences in incidence and trends of </w:t>
      </w:r>
      <w:proofErr w:type="spellStart"/>
      <w:r w:rsidRPr="00A94C85">
        <w:t>haematological</w:t>
      </w:r>
      <w:proofErr w:type="spellEnd"/>
      <w:r w:rsidRPr="00A94C85">
        <w:t xml:space="preserve"> malignancies in Japan and the United States. British Journal of </w:t>
      </w:r>
      <w:proofErr w:type="spellStart"/>
      <w:r w:rsidRPr="00A94C85">
        <w:t>Haematology</w:t>
      </w:r>
      <w:proofErr w:type="spellEnd"/>
      <w:r w:rsidRPr="00A94C85">
        <w:t xml:space="preserve">, 164(4), 536–545. </w:t>
      </w:r>
      <w:hyperlink r:id="rId28" w:history="1">
        <w:r w:rsidRPr="00395C17">
          <w:rPr>
            <w:rStyle w:val="Hyperlink"/>
          </w:rPr>
          <w:t>https://doi.org/10.1111/bjh.12659</w:t>
        </w:r>
      </w:hyperlink>
    </w:p>
    <w:p w14:paraId="4F4D60C6" w14:textId="366A7E90" w:rsidR="00B4553F" w:rsidRDefault="00B4553F" w:rsidP="00A94C85">
      <w:pPr>
        <w:numPr>
          <w:ilvl w:val="0"/>
          <w:numId w:val="17"/>
        </w:numPr>
        <w:spacing w:line="276" w:lineRule="auto"/>
        <w:jc w:val="both"/>
        <w:rPr>
          <w:rFonts w:asciiTheme="majorBidi" w:hAnsiTheme="majorBidi" w:cstheme="majorBidi"/>
          <w:sz w:val="24"/>
          <w:szCs w:val="24"/>
        </w:rPr>
      </w:pPr>
      <w:proofErr w:type="spellStart"/>
      <w:r>
        <w:rPr>
          <w:rFonts w:asciiTheme="majorBidi" w:hAnsiTheme="majorBidi" w:cstheme="majorBidi"/>
          <w:sz w:val="24"/>
          <w:szCs w:val="24"/>
        </w:rPr>
        <w:t>Warpe</w:t>
      </w:r>
      <w:proofErr w:type="spellEnd"/>
      <w:r>
        <w:rPr>
          <w:rFonts w:asciiTheme="majorBidi" w:hAnsiTheme="majorBidi" w:cstheme="majorBidi"/>
          <w:sz w:val="24"/>
          <w:szCs w:val="24"/>
        </w:rPr>
        <w:t xml:space="preserve"> SJ, Wader J, </w:t>
      </w:r>
      <w:proofErr w:type="spellStart"/>
      <w:r>
        <w:rPr>
          <w:rFonts w:asciiTheme="majorBidi" w:hAnsiTheme="majorBidi" w:cstheme="majorBidi"/>
          <w:sz w:val="24"/>
          <w:szCs w:val="24"/>
        </w:rPr>
        <w:t>Warpe</w:t>
      </w:r>
      <w:proofErr w:type="spellEnd"/>
      <w:r w:rsidR="001822A6">
        <w:rPr>
          <w:rFonts w:asciiTheme="majorBidi" w:hAnsiTheme="majorBidi" w:cstheme="majorBidi"/>
          <w:sz w:val="24"/>
          <w:szCs w:val="24"/>
        </w:rPr>
        <w:t xml:space="preserve"> BM. Bone Marrow Aspiration and Bone Marrow and Bone Marrow in Haematological Disorders. Biomed</w:t>
      </w:r>
      <w:r w:rsidR="00950959">
        <w:rPr>
          <w:rFonts w:asciiTheme="majorBidi" w:hAnsiTheme="majorBidi" w:cstheme="majorBidi"/>
          <w:sz w:val="24"/>
          <w:szCs w:val="24"/>
        </w:rPr>
        <w:t>ical and</w:t>
      </w:r>
      <w:r w:rsidR="001822A6">
        <w:rPr>
          <w:rFonts w:asciiTheme="majorBidi" w:hAnsiTheme="majorBidi" w:cstheme="majorBidi"/>
          <w:sz w:val="24"/>
          <w:szCs w:val="24"/>
        </w:rPr>
        <w:t xml:space="preserve"> Pharmacol</w:t>
      </w:r>
      <w:r w:rsidR="00950959">
        <w:rPr>
          <w:rFonts w:asciiTheme="majorBidi" w:hAnsiTheme="majorBidi" w:cstheme="majorBidi"/>
          <w:sz w:val="24"/>
          <w:szCs w:val="24"/>
        </w:rPr>
        <w:t>ogy</w:t>
      </w:r>
      <w:r w:rsidR="001822A6">
        <w:rPr>
          <w:rFonts w:asciiTheme="majorBidi" w:hAnsiTheme="majorBidi" w:cstheme="majorBidi"/>
          <w:sz w:val="24"/>
          <w:szCs w:val="24"/>
        </w:rPr>
        <w:t xml:space="preserve"> J</w:t>
      </w:r>
      <w:r w:rsidR="00950959">
        <w:rPr>
          <w:rFonts w:asciiTheme="majorBidi" w:hAnsiTheme="majorBidi" w:cstheme="majorBidi"/>
          <w:sz w:val="24"/>
          <w:szCs w:val="24"/>
        </w:rPr>
        <w:t>ournal</w:t>
      </w:r>
      <w:r w:rsidR="001822A6">
        <w:rPr>
          <w:rFonts w:asciiTheme="majorBidi" w:hAnsiTheme="majorBidi" w:cstheme="majorBidi"/>
          <w:sz w:val="24"/>
          <w:szCs w:val="24"/>
        </w:rPr>
        <w:t xml:space="preserve"> 2020;13(2).</w:t>
      </w:r>
    </w:p>
    <w:p w14:paraId="668D9DD4" w14:textId="3BF8F217"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Akaba, K., </w:t>
      </w:r>
      <w:proofErr w:type="spellStart"/>
      <w:r w:rsidRPr="00A94C85">
        <w:rPr>
          <w:rFonts w:ascii="Times New Roman" w:hAnsi="Times New Roman" w:cs="Times New Roman"/>
          <w:sz w:val="24"/>
          <w:szCs w:val="24"/>
        </w:rPr>
        <w:t>Nwogoh</w:t>
      </w:r>
      <w:proofErr w:type="spellEnd"/>
      <w:r w:rsidRPr="00A94C85">
        <w:rPr>
          <w:rFonts w:ascii="Times New Roman" w:hAnsi="Times New Roman" w:cs="Times New Roman"/>
          <w:sz w:val="24"/>
          <w:szCs w:val="24"/>
        </w:rPr>
        <w:t xml:space="preserve">, B., Akpan, I., Bassey, O. B., </w:t>
      </w:r>
      <w:proofErr w:type="spellStart"/>
      <w:r w:rsidRPr="00A94C85">
        <w:rPr>
          <w:rFonts w:ascii="Times New Roman" w:hAnsi="Times New Roman" w:cs="Times New Roman"/>
          <w:sz w:val="24"/>
          <w:szCs w:val="24"/>
        </w:rPr>
        <w:t>Ofonime</w:t>
      </w:r>
      <w:proofErr w:type="spellEnd"/>
      <w:r w:rsidRPr="00A94C85">
        <w:rPr>
          <w:rFonts w:ascii="Times New Roman" w:hAnsi="Times New Roman" w:cs="Times New Roman"/>
          <w:sz w:val="24"/>
          <w:szCs w:val="24"/>
        </w:rPr>
        <w:t xml:space="preserve">, E., Petters, E., </w:t>
      </w:r>
      <w:proofErr w:type="spellStart"/>
      <w:r w:rsidRPr="00A94C85">
        <w:rPr>
          <w:rFonts w:ascii="Times New Roman" w:hAnsi="Times New Roman" w:cs="Times New Roman"/>
          <w:sz w:val="24"/>
          <w:szCs w:val="24"/>
        </w:rPr>
        <w:t>Igwilo</w:t>
      </w:r>
      <w:proofErr w:type="spellEnd"/>
      <w:r w:rsidRPr="00A94C85">
        <w:rPr>
          <w:rFonts w:ascii="Times New Roman" w:hAnsi="Times New Roman" w:cs="Times New Roman"/>
          <w:sz w:val="24"/>
          <w:szCs w:val="24"/>
        </w:rPr>
        <w:t xml:space="preserve">, H., </w:t>
      </w:r>
      <w:proofErr w:type="spellStart"/>
      <w:r w:rsidRPr="00A94C85">
        <w:rPr>
          <w:rFonts w:ascii="Times New Roman" w:hAnsi="Times New Roman" w:cs="Times New Roman"/>
          <w:sz w:val="24"/>
          <w:szCs w:val="24"/>
        </w:rPr>
        <w:t>Onyeulor</w:t>
      </w:r>
      <w:proofErr w:type="spellEnd"/>
      <w:r w:rsidRPr="00A94C85">
        <w:rPr>
          <w:rFonts w:ascii="Times New Roman" w:hAnsi="Times New Roman" w:cs="Times New Roman"/>
          <w:sz w:val="24"/>
          <w:szCs w:val="24"/>
        </w:rPr>
        <w:t xml:space="preserve">, E., &amp; </w:t>
      </w:r>
      <w:proofErr w:type="spellStart"/>
      <w:r w:rsidRPr="00A94C85">
        <w:rPr>
          <w:rFonts w:ascii="Times New Roman" w:hAnsi="Times New Roman" w:cs="Times New Roman"/>
          <w:sz w:val="24"/>
          <w:szCs w:val="24"/>
        </w:rPr>
        <w:t>Ushie</w:t>
      </w:r>
      <w:proofErr w:type="spellEnd"/>
      <w:r w:rsidRPr="00A94C85">
        <w:rPr>
          <w:rFonts w:ascii="Times New Roman" w:hAnsi="Times New Roman" w:cs="Times New Roman"/>
          <w:sz w:val="24"/>
          <w:szCs w:val="24"/>
        </w:rPr>
        <w:t xml:space="preserve">, G. A. (2019). Epidemiological Pattern of Adult </w:t>
      </w:r>
      <w:proofErr w:type="spellStart"/>
      <w:r w:rsidRPr="00A94C85">
        <w:rPr>
          <w:rFonts w:ascii="Times New Roman" w:hAnsi="Times New Roman" w:cs="Times New Roman"/>
          <w:sz w:val="24"/>
          <w:szCs w:val="24"/>
        </w:rPr>
        <w:t>Haematological</w:t>
      </w:r>
      <w:proofErr w:type="spellEnd"/>
      <w:r w:rsidRPr="00A94C85">
        <w:rPr>
          <w:rFonts w:ascii="Times New Roman" w:hAnsi="Times New Roman" w:cs="Times New Roman"/>
          <w:sz w:val="24"/>
          <w:szCs w:val="24"/>
        </w:rPr>
        <w:t xml:space="preserve"> Malignancies in a Tertiary Hospital in Cross River State. International Research Journal of Oncology, 2(1), 16-24. </w:t>
      </w:r>
      <w:hyperlink r:id="rId29" w:history="1">
        <w:r w:rsidRPr="00395C17">
          <w:rPr>
            <w:rStyle w:val="Hyperlink"/>
            <w:rFonts w:ascii="Times New Roman" w:hAnsi="Times New Roman" w:cs="Times New Roman"/>
            <w:sz w:val="24"/>
            <w:szCs w:val="24"/>
          </w:rPr>
          <w:t>https://journalirjo.com/index.php/IRJO/article/view/18</w:t>
        </w:r>
      </w:hyperlink>
    </w:p>
    <w:p w14:paraId="39C9D96D" w14:textId="2E1FD8FA"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Kagu, M. B., Ahmed, S. G., </w:t>
      </w:r>
      <w:proofErr w:type="spellStart"/>
      <w:r w:rsidRPr="00A94C85">
        <w:rPr>
          <w:rFonts w:ascii="Times New Roman" w:hAnsi="Times New Roman" w:cs="Times New Roman"/>
          <w:sz w:val="24"/>
          <w:szCs w:val="24"/>
        </w:rPr>
        <w:t>Bukar</w:t>
      </w:r>
      <w:proofErr w:type="spellEnd"/>
      <w:r w:rsidRPr="00A94C85">
        <w:rPr>
          <w:rFonts w:ascii="Times New Roman" w:hAnsi="Times New Roman" w:cs="Times New Roman"/>
          <w:sz w:val="24"/>
          <w:szCs w:val="24"/>
        </w:rPr>
        <w:t xml:space="preserve">, A. A., Mohammed, A. A., </w:t>
      </w:r>
      <w:proofErr w:type="spellStart"/>
      <w:r w:rsidRPr="00A94C85">
        <w:rPr>
          <w:rFonts w:ascii="Times New Roman" w:hAnsi="Times New Roman" w:cs="Times New Roman"/>
          <w:sz w:val="24"/>
          <w:szCs w:val="24"/>
        </w:rPr>
        <w:t>Mayun</w:t>
      </w:r>
      <w:proofErr w:type="spellEnd"/>
      <w:r w:rsidRPr="00A94C85">
        <w:rPr>
          <w:rFonts w:ascii="Times New Roman" w:hAnsi="Times New Roman" w:cs="Times New Roman"/>
          <w:sz w:val="24"/>
          <w:szCs w:val="24"/>
        </w:rPr>
        <w:t xml:space="preserve">, A. A., &amp; Musa, A. B. (2013). Spectrum of </w:t>
      </w:r>
      <w:proofErr w:type="spellStart"/>
      <w:r w:rsidRPr="00A94C85">
        <w:rPr>
          <w:rFonts w:ascii="Times New Roman" w:hAnsi="Times New Roman" w:cs="Times New Roman"/>
          <w:sz w:val="24"/>
          <w:szCs w:val="24"/>
        </w:rPr>
        <w:t>haematologic</w:t>
      </w:r>
      <w:proofErr w:type="spellEnd"/>
      <w:r w:rsidRPr="00A94C85">
        <w:rPr>
          <w:rFonts w:ascii="Times New Roman" w:hAnsi="Times New Roman" w:cs="Times New Roman"/>
          <w:sz w:val="24"/>
          <w:szCs w:val="24"/>
        </w:rPr>
        <w:t xml:space="preserve"> malignancies and survival outcomes of adult lymphomas in Maiduguri, north eastern Nigeria—a fourteen-year review. African Journal of Medicine and Medical Sciences, 42(1), 5-14. </w:t>
      </w:r>
      <w:hyperlink r:id="rId30" w:history="1">
        <w:r w:rsidRPr="00395C17">
          <w:rPr>
            <w:rStyle w:val="Hyperlink"/>
            <w:rFonts w:ascii="Times New Roman" w:hAnsi="Times New Roman" w:cs="Times New Roman"/>
            <w:sz w:val="24"/>
            <w:szCs w:val="24"/>
          </w:rPr>
          <w:t>https://www.ajms.org/index.php/ajms/issue/view/10</w:t>
        </w:r>
      </w:hyperlink>
    </w:p>
    <w:p w14:paraId="6B51CAF9" w14:textId="0E8214A7" w:rsidR="00A94C85" w:rsidRP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Amu, H., Dickson, K. S., </w:t>
      </w:r>
      <w:proofErr w:type="spellStart"/>
      <w:r w:rsidRPr="00A94C85">
        <w:rPr>
          <w:rFonts w:ascii="Times New Roman" w:hAnsi="Times New Roman" w:cs="Times New Roman"/>
          <w:sz w:val="24"/>
          <w:szCs w:val="24"/>
        </w:rPr>
        <w:t>Kumi-Kyereme</w:t>
      </w:r>
      <w:proofErr w:type="spellEnd"/>
      <w:r w:rsidRPr="00A94C85">
        <w:rPr>
          <w:rFonts w:ascii="Times New Roman" w:hAnsi="Times New Roman" w:cs="Times New Roman"/>
          <w:sz w:val="24"/>
          <w:szCs w:val="24"/>
        </w:rPr>
        <w:t xml:space="preserve">, A., &amp; </w:t>
      </w:r>
      <w:proofErr w:type="spellStart"/>
      <w:r w:rsidRPr="00A94C85">
        <w:rPr>
          <w:rFonts w:ascii="Times New Roman" w:hAnsi="Times New Roman" w:cs="Times New Roman"/>
          <w:sz w:val="24"/>
          <w:szCs w:val="24"/>
        </w:rPr>
        <w:t>Darteh</w:t>
      </w:r>
      <w:proofErr w:type="spellEnd"/>
      <w:r w:rsidRPr="00A94C85">
        <w:rPr>
          <w:rFonts w:ascii="Times New Roman" w:hAnsi="Times New Roman" w:cs="Times New Roman"/>
          <w:sz w:val="24"/>
          <w:szCs w:val="24"/>
        </w:rPr>
        <w:t xml:space="preserve">, E. K. M. (2018). Understanding variations in health insurance coverage in Ghana, Kenya, Nigeria, and Tanzania: Evidence from demographic and health surveys. </w:t>
      </w:r>
      <w:r w:rsidRPr="00A94C85">
        <w:rPr>
          <w:rFonts w:ascii="Times New Roman" w:hAnsi="Times New Roman" w:cs="Times New Roman"/>
          <w:sz w:val="24"/>
          <w:szCs w:val="24"/>
          <w:lang w:val="pt-BR"/>
        </w:rPr>
        <w:t xml:space="preserve">PLOS ONE, 13(8), e0201833. </w:t>
      </w:r>
      <w:r>
        <w:rPr>
          <w:rFonts w:ascii="Times New Roman" w:hAnsi="Times New Roman" w:cs="Times New Roman"/>
          <w:sz w:val="24"/>
          <w:szCs w:val="24"/>
          <w:lang w:val="pt-BR"/>
        </w:rPr>
        <w:fldChar w:fldCharType="begin"/>
      </w:r>
      <w:r>
        <w:rPr>
          <w:rFonts w:ascii="Times New Roman" w:hAnsi="Times New Roman" w:cs="Times New Roman"/>
          <w:sz w:val="24"/>
          <w:szCs w:val="24"/>
          <w:lang w:val="pt-BR"/>
        </w:rPr>
        <w:instrText xml:space="preserve"> HYPERLINK "</w:instrText>
      </w:r>
      <w:r w:rsidRPr="00A94C85">
        <w:rPr>
          <w:rFonts w:ascii="Times New Roman" w:hAnsi="Times New Roman" w:cs="Times New Roman"/>
          <w:sz w:val="24"/>
          <w:szCs w:val="24"/>
          <w:lang w:val="pt-BR"/>
        </w:rPr>
        <w:instrText>https://doi.org/10.1371/journal.pone.0201833</w:instrText>
      </w:r>
      <w:r>
        <w:rPr>
          <w:rFonts w:ascii="Times New Roman" w:hAnsi="Times New Roman" w:cs="Times New Roman"/>
          <w:sz w:val="24"/>
          <w:szCs w:val="24"/>
          <w:lang w:val="pt-BR"/>
        </w:rPr>
        <w:instrText xml:space="preserve">" </w:instrText>
      </w:r>
      <w:r>
        <w:rPr>
          <w:rFonts w:ascii="Times New Roman" w:hAnsi="Times New Roman" w:cs="Times New Roman"/>
          <w:sz w:val="24"/>
          <w:szCs w:val="24"/>
          <w:lang w:val="pt-BR"/>
        </w:rPr>
        <w:fldChar w:fldCharType="separate"/>
      </w:r>
      <w:r w:rsidRPr="00395C17">
        <w:rPr>
          <w:rStyle w:val="Hyperlink"/>
          <w:rFonts w:ascii="Times New Roman" w:hAnsi="Times New Roman" w:cs="Times New Roman"/>
          <w:sz w:val="24"/>
          <w:szCs w:val="24"/>
          <w:lang w:val="pt-BR"/>
        </w:rPr>
        <w:t>https://doi.org/10.1371/journal.pone.0201833</w:t>
      </w:r>
      <w:r>
        <w:rPr>
          <w:rFonts w:ascii="Times New Roman" w:hAnsi="Times New Roman" w:cs="Times New Roman"/>
          <w:sz w:val="24"/>
          <w:szCs w:val="24"/>
          <w:lang w:val="pt-BR"/>
        </w:rPr>
        <w:fldChar w:fldCharType="end"/>
      </w:r>
    </w:p>
    <w:p w14:paraId="713F0CE0" w14:textId="5F8ACFC6" w:rsidR="002B545D" w:rsidRDefault="002B545D"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Nwagu</w:t>
      </w:r>
      <w:proofErr w:type="spellEnd"/>
      <w:r w:rsidRPr="00A94C85">
        <w:rPr>
          <w:rFonts w:ascii="Times New Roman" w:hAnsi="Times New Roman" w:cs="Times New Roman"/>
          <w:sz w:val="24"/>
          <w:szCs w:val="24"/>
        </w:rPr>
        <w:t xml:space="preserve"> MU, </w:t>
      </w:r>
      <w:proofErr w:type="spellStart"/>
      <w:r w:rsidRPr="00A94C85">
        <w:rPr>
          <w:rFonts w:ascii="Times New Roman" w:hAnsi="Times New Roman" w:cs="Times New Roman"/>
          <w:sz w:val="24"/>
          <w:szCs w:val="24"/>
        </w:rPr>
        <w:t>Ikusemoro</w:t>
      </w:r>
      <w:proofErr w:type="spellEnd"/>
      <w:r w:rsidRPr="00A94C85">
        <w:rPr>
          <w:rFonts w:ascii="Times New Roman" w:hAnsi="Times New Roman" w:cs="Times New Roman"/>
          <w:sz w:val="24"/>
          <w:szCs w:val="24"/>
        </w:rPr>
        <w:t xml:space="preserve"> AI, Akinola OI, </w:t>
      </w:r>
      <w:proofErr w:type="spellStart"/>
      <w:r w:rsidRPr="00A94C85">
        <w:rPr>
          <w:rFonts w:ascii="Times New Roman" w:hAnsi="Times New Roman" w:cs="Times New Roman"/>
          <w:sz w:val="24"/>
          <w:szCs w:val="24"/>
        </w:rPr>
        <w:t>Egbo</w:t>
      </w:r>
      <w:proofErr w:type="spellEnd"/>
      <w:r w:rsidRPr="00A94C85">
        <w:rPr>
          <w:rFonts w:ascii="Times New Roman" w:hAnsi="Times New Roman" w:cs="Times New Roman"/>
          <w:sz w:val="24"/>
          <w:szCs w:val="24"/>
        </w:rPr>
        <w:t xml:space="preserve"> OH. </w:t>
      </w:r>
      <w:r w:rsidRPr="00235B3E">
        <w:rPr>
          <w:rFonts w:ascii="Times New Roman" w:hAnsi="Times New Roman" w:cs="Times New Roman"/>
          <w:sz w:val="24"/>
          <w:szCs w:val="24"/>
        </w:rPr>
        <w:t xml:space="preserve">An </w:t>
      </w:r>
      <w:proofErr w:type="gramStart"/>
      <w:r w:rsidRPr="00235B3E">
        <w:rPr>
          <w:rFonts w:ascii="Times New Roman" w:hAnsi="Times New Roman" w:cs="Times New Roman"/>
          <w:sz w:val="24"/>
          <w:szCs w:val="24"/>
        </w:rPr>
        <w:t>eight year</w:t>
      </w:r>
      <w:proofErr w:type="gramEnd"/>
      <w:r w:rsidRPr="00235B3E">
        <w:rPr>
          <w:rFonts w:ascii="Times New Roman" w:hAnsi="Times New Roman" w:cs="Times New Roman"/>
          <w:sz w:val="24"/>
          <w:szCs w:val="24"/>
        </w:rPr>
        <w:t xml:space="preserve"> retrospective study of the prevalence and socio-demographic characteristics of adult blood cancers at a sub-urban teaching hospital in Nigeria. J Res Basic Clin Sci </w:t>
      </w:r>
      <w:proofErr w:type="gramStart"/>
      <w:r w:rsidRPr="00235B3E">
        <w:rPr>
          <w:rFonts w:ascii="Times New Roman" w:hAnsi="Times New Roman" w:cs="Times New Roman"/>
          <w:sz w:val="24"/>
          <w:szCs w:val="24"/>
        </w:rPr>
        <w:t>2019;1:260</w:t>
      </w:r>
      <w:proofErr w:type="gramEnd"/>
      <w:r w:rsidRPr="00235B3E">
        <w:rPr>
          <w:rFonts w:ascii="Times New Roman" w:hAnsi="Times New Roman" w:cs="Times New Roman"/>
          <w:sz w:val="24"/>
          <w:szCs w:val="24"/>
        </w:rPr>
        <w:t>-5.</w:t>
      </w:r>
    </w:p>
    <w:p w14:paraId="23496A0E" w14:textId="0A1850B1"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Akaba, K., </w:t>
      </w:r>
      <w:proofErr w:type="spellStart"/>
      <w:r w:rsidRPr="00A94C85">
        <w:rPr>
          <w:rFonts w:ascii="Times New Roman" w:hAnsi="Times New Roman" w:cs="Times New Roman"/>
          <w:sz w:val="24"/>
          <w:szCs w:val="24"/>
        </w:rPr>
        <w:t>Nwogoh</w:t>
      </w:r>
      <w:proofErr w:type="spellEnd"/>
      <w:r w:rsidRPr="00A94C85">
        <w:rPr>
          <w:rFonts w:ascii="Times New Roman" w:hAnsi="Times New Roman" w:cs="Times New Roman"/>
          <w:sz w:val="24"/>
          <w:szCs w:val="24"/>
        </w:rPr>
        <w:t xml:space="preserve">, B., Akpan, I., Bassey, O. B., </w:t>
      </w:r>
      <w:proofErr w:type="spellStart"/>
      <w:r w:rsidRPr="00A94C85">
        <w:rPr>
          <w:rFonts w:ascii="Times New Roman" w:hAnsi="Times New Roman" w:cs="Times New Roman"/>
          <w:sz w:val="24"/>
          <w:szCs w:val="24"/>
        </w:rPr>
        <w:t>Ofonime</w:t>
      </w:r>
      <w:proofErr w:type="spellEnd"/>
      <w:r w:rsidRPr="00A94C85">
        <w:rPr>
          <w:rFonts w:ascii="Times New Roman" w:hAnsi="Times New Roman" w:cs="Times New Roman"/>
          <w:sz w:val="24"/>
          <w:szCs w:val="24"/>
        </w:rPr>
        <w:t xml:space="preserve">, E., Petters, E., </w:t>
      </w:r>
      <w:proofErr w:type="spellStart"/>
      <w:r w:rsidRPr="00A94C85">
        <w:rPr>
          <w:rFonts w:ascii="Times New Roman" w:hAnsi="Times New Roman" w:cs="Times New Roman"/>
          <w:sz w:val="24"/>
          <w:szCs w:val="24"/>
        </w:rPr>
        <w:t>Igwilo</w:t>
      </w:r>
      <w:proofErr w:type="spellEnd"/>
      <w:r w:rsidRPr="00A94C85">
        <w:rPr>
          <w:rFonts w:ascii="Times New Roman" w:hAnsi="Times New Roman" w:cs="Times New Roman"/>
          <w:sz w:val="24"/>
          <w:szCs w:val="24"/>
        </w:rPr>
        <w:t xml:space="preserve">, H., </w:t>
      </w:r>
      <w:proofErr w:type="spellStart"/>
      <w:r w:rsidRPr="00A94C85">
        <w:rPr>
          <w:rFonts w:ascii="Times New Roman" w:hAnsi="Times New Roman" w:cs="Times New Roman"/>
          <w:sz w:val="24"/>
          <w:szCs w:val="24"/>
        </w:rPr>
        <w:t>Onyeulor</w:t>
      </w:r>
      <w:proofErr w:type="spellEnd"/>
      <w:r w:rsidRPr="00A94C85">
        <w:rPr>
          <w:rFonts w:ascii="Times New Roman" w:hAnsi="Times New Roman" w:cs="Times New Roman"/>
          <w:sz w:val="24"/>
          <w:szCs w:val="24"/>
        </w:rPr>
        <w:t xml:space="preserve">, E., &amp; </w:t>
      </w:r>
      <w:proofErr w:type="spellStart"/>
      <w:r w:rsidRPr="00A94C85">
        <w:rPr>
          <w:rFonts w:ascii="Times New Roman" w:hAnsi="Times New Roman" w:cs="Times New Roman"/>
          <w:sz w:val="24"/>
          <w:szCs w:val="24"/>
        </w:rPr>
        <w:t>Ushie</w:t>
      </w:r>
      <w:proofErr w:type="spellEnd"/>
      <w:r w:rsidRPr="00A94C85">
        <w:rPr>
          <w:rFonts w:ascii="Times New Roman" w:hAnsi="Times New Roman" w:cs="Times New Roman"/>
          <w:sz w:val="24"/>
          <w:szCs w:val="24"/>
        </w:rPr>
        <w:t xml:space="preserve">, G. A. (2019). Epidemiological pattern of adult </w:t>
      </w:r>
      <w:proofErr w:type="spellStart"/>
      <w:r w:rsidRPr="00A94C85">
        <w:rPr>
          <w:rFonts w:ascii="Times New Roman" w:hAnsi="Times New Roman" w:cs="Times New Roman"/>
          <w:sz w:val="24"/>
          <w:szCs w:val="24"/>
        </w:rPr>
        <w:t>haematological</w:t>
      </w:r>
      <w:proofErr w:type="spellEnd"/>
      <w:r w:rsidRPr="00A94C85">
        <w:rPr>
          <w:rFonts w:ascii="Times New Roman" w:hAnsi="Times New Roman" w:cs="Times New Roman"/>
          <w:sz w:val="24"/>
          <w:szCs w:val="24"/>
        </w:rPr>
        <w:t xml:space="preserve"> malignancies in a tertiary hospital in Cross River State. International Research Journal of Oncology, 2(1), 1-9. </w:t>
      </w:r>
      <w:hyperlink r:id="rId31" w:history="1">
        <w:r w:rsidRPr="00395C17">
          <w:rPr>
            <w:rStyle w:val="Hyperlink"/>
            <w:rFonts w:ascii="Times New Roman" w:hAnsi="Times New Roman" w:cs="Times New Roman"/>
            <w:sz w:val="24"/>
            <w:szCs w:val="24"/>
          </w:rPr>
          <w:t>https://journalirjo.com/index.php/IRJO/article/view/18</w:t>
        </w:r>
      </w:hyperlink>
    </w:p>
    <w:p w14:paraId="39E6DD57" w14:textId="114ACFC8" w:rsidR="00A94C85" w:rsidRPr="00A94C85" w:rsidRDefault="00A94C85" w:rsidP="00A94C85">
      <w:pPr>
        <w:numPr>
          <w:ilvl w:val="0"/>
          <w:numId w:val="17"/>
        </w:numPr>
        <w:spacing w:line="276" w:lineRule="auto"/>
        <w:jc w:val="both"/>
        <w:rPr>
          <w:rFonts w:ascii="Times New Roman" w:hAnsi="Times New Roman" w:cs="Times New Roman"/>
        </w:rPr>
      </w:pPr>
      <w:r w:rsidRPr="00A94C85">
        <w:rPr>
          <w:rFonts w:ascii="Times New Roman" w:hAnsi="Times New Roman" w:cs="Times New Roman"/>
          <w:sz w:val="24"/>
          <w:szCs w:val="24"/>
        </w:rPr>
        <w:t xml:space="preserve">Kagu, M. B., Ahmed, S. G., </w:t>
      </w:r>
      <w:proofErr w:type="spellStart"/>
      <w:r w:rsidRPr="00A94C85">
        <w:rPr>
          <w:rFonts w:ascii="Times New Roman" w:hAnsi="Times New Roman" w:cs="Times New Roman"/>
          <w:sz w:val="24"/>
          <w:szCs w:val="24"/>
        </w:rPr>
        <w:t>Bukar</w:t>
      </w:r>
      <w:proofErr w:type="spellEnd"/>
      <w:r w:rsidRPr="00A94C85">
        <w:rPr>
          <w:rFonts w:ascii="Times New Roman" w:hAnsi="Times New Roman" w:cs="Times New Roman"/>
          <w:sz w:val="24"/>
          <w:szCs w:val="24"/>
        </w:rPr>
        <w:t xml:space="preserve">, A. A., Mohammed, A. A., </w:t>
      </w:r>
      <w:proofErr w:type="spellStart"/>
      <w:r w:rsidRPr="00A94C85">
        <w:rPr>
          <w:rFonts w:ascii="Times New Roman" w:hAnsi="Times New Roman" w:cs="Times New Roman"/>
          <w:sz w:val="24"/>
          <w:szCs w:val="24"/>
        </w:rPr>
        <w:t>Mayun</w:t>
      </w:r>
      <w:proofErr w:type="spellEnd"/>
      <w:r w:rsidRPr="00A94C85">
        <w:rPr>
          <w:rFonts w:ascii="Times New Roman" w:hAnsi="Times New Roman" w:cs="Times New Roman"/>
          <w:sz w:val="24"/>
          <w:szCs w:val="24"/>
        </w:rPr>
        <w:t xml:space="preserve">, A. A., &amp; Musa, A. B. (2013). Spectrum of </w:t>
      </w:r>
      <w:proofErr w:type="spellStart"/>
      <w:r w:rsidRPr="00A94C85">
        <w:rPr>
          <w:rFonts w:ascii="Times New Roman" w:hAnsi="Times New Roman" w:cs="Times New Roman"/>
          <w:sz w:val="24"/>
          <w:szCs w:val="24"/>
        </w:rPr>
        <w:t>haematologic</w:t>
      </w:r>
      <w:proofErr w:type="spellEnd"/>
      <w:r w:rsidRPr="00A94C85">
        <w:rPr>
          <w:rFonts w:ascii="Times New Roman" w:hAnsi="Times New Roman" w:cs="Times New Roman"/>
          <w:sz w:val="24"/>
          <w:szCs w:val="24"/>
        </w:rPr>
        <w:t xml:space="preserve"> malignancies and survival outcomes of adult lymphomas in Maiduguri, North eastern Nigeria—a </w:t>
      </w:r>
      <w:proofErr w:type="gramStart"/>
      <w:r w:rsidRPr="00A94C85">
        <w:rPr>
          <w:rFonts w:ascii="Times New Roman" w:hAnsi="Times New Roman" w:cs="Times New Roman"/>
          <w:sz w:val="24"/>
          <w:szCs w:val="24"/>
        </w:rPr>
        <w:t>fourteen year</w:t>
      </w:r>
      <w:proofErr w:type="gramEnd"/>
      <w:r w:rsidRPr="00A94C85">
        <w:rPr>
          <w:rFonts w:ascii="Times New Roman" w:hAnsi="Times New Roman" w:cs="Times New Roman"/>
          <w:sz w:val="24"/>
          <w:szCs w:val="24"/>
        </w:rPr>
        <w:t xml:space="preserve"> review. *African Journal of Medicine and Medical Sciences*, *42*(1), 5-14. </w:t>
      </w:r>
      <w:hyperlink r:id="rId32" w:history="1">
        <w:r w:rsidRPr="00395C17">
          <w:rPr>
            <w:rStyle w:val="Hyperlink"/>
            <w:rFonts w:ascii="Times New Roman" w:hAnsi="Times New Roman" w:cs="Times New Roman"/>
            <w:sz w:val="24"/>
            <w:szCs w:val="24"/>
          </w:rPr>
          <w:t>http://www.ajmms.com/index.php/ajmms/issue/view/10</w:t>
        </w:r>
      </w:hyperlink>
    </w:p>
    <w:p w14:paraId="444AC428" w14:textId="0CD09B6A" w:rsidR="002F05F6" w:rsidRPr="00955DB5" w:rsidRDefault="002F05F6" w:rsidP="00A94C85">
      <w:pPr>
        <w:numPr>
          <w:ilvl w:val="0"/>
          <w:numId w:val="17"/>
        </w:numPr>
        <w:spacing w:line="276" w:lineRule="auto"/>
        <w:jc w:val="both"/>
        <w:rPr>
          <w:rFonts w:ascii="Times New Roman" w:hAnsi="Times New Roman" w:cs="Times New Roman"/>
        </w:rPr>
      </w:pPr>
      <w:proofErr w:type="spellStart"/>
      <w:r w:rsidRPr="00955DB5">
        <w:rPr>
          <w:rFonts w:ascii="Times New Roman" w:hAnsi="Times New Roman" w:cs="Times New Roman"/>
        </w:rPr>
        <w:t>Abduh</w:t>
      </w:r>
      <w:proofErr w:type="spellEnd"/>
      <w:r w:rsidRPr="00955DB5">
        <w:rPr>
          <w:rFonts w:ascii="Times New Roman" w:hAnsi="Times New Roman" w:cs="Times New Roman"/>
        </w:rPr>
        <w:t xml:space="preserve"> MS, et al. An overview of multiple myeloma: A monoclonal plasma cell neoplasm. </w:t>
      </w:r>
      <w:r w:rsidRPr="00955DB5">
        <w:rPr>
          <w:rFonts w:ascii="Times New Roman" w:hAnsi="Times New Roman" w:cs="Times New Roman"/>
          <w:i/>
          <w:iCs/>
        </w:rPr>
        <w:t>J Hematol Oncol</w:t>
      </w:r>
      <w:r w:rsidRPr="00955DB5">
        <w:rPr>
          <w:rFonts w:ascii="Times New Roman" w:hAnsi="Times New Roman" w:cs="Times New Roman"/>
        </w:rPr>
        <w:t>. 2023.</w:t>
      </w:r>
    </w:p>
    <w:p w14:paraId="659B91C6" w14:textId="1DC55E17" w:rsidR="00A94C85" w:rsidRDefault="00A94C85" w:rsidP="00A94C85">
      <w:pPr>
        <w:numPr>
          <w:ilvl w:val="0"/>
          <w:numId w:val="17"/>
        </w:numPr>
        <w:spacing w:line="276" w:lineRule="auto"/>
        <w:jc w:val="both"/>
        <w:rPr>
          <w:rFonts w:ascii="Times New Roman" w:hAnsi="Times New Roman" w:cs="Times New Roman"/>
        </w:rPr>
      </w:pPr>
      <w:r w:rsidRPr="00A94C85">
        <w:rPr>
          <w:rFonts w:ascii="Times New Roman" w:hAnsi="Times New Roman" w:cs="Times New Roman"/>
        </w:rPr>
        <w:t xml:space="preserve">Kagu, M. B., Ahmed, S. G., </w:t>
      </w:r>
      <w:proofErr w:type="spellStart"/>
      <w:r w:rsidRPr="00A94C85">
        <w:rPr>
          <w:rFonts w:ascii="Times New Roman" w:hAnsi="Times New Roman" w:cs="Times New Roman"/>
        </w:rPr>
        <w:t>Bukar</w:t>
      </w:r>
      <w:proofErr w:type="spellEnd"/>
      <w:r w:rsidRPr="00A94C85">
        <w:rPr>
          <w:rFonts w:ascii="Times New Roman" w:hAnsi="Times New Roman" w:cs="Times New Roman"/>
        </w:rPr>
        <w:t xml:space="preserve">, A. A., Mohammed, A. A., </w:t>
      </w:r>
      <w:proofErr w:type="spellStart"/>
      <w:r w:rsidRPr="00A94C85">
        <w:rPr>
          <w:rFonts w:ascii="Times New Roman" w:hAnsi="Times New Roman" w:cs="Times New Roman"/>
        </w:rPr>
        <w:t>Mayun</w:t>
      </w:r>
      <w:proofErr w:type="spellEnd"/>
      <w:r w:rsidRPr="00A94C85">
        <w:rPr>
          <w:rFonts w:ascii="Times New Roman" w:hAnsi="Times New Roman" w:cs="Times New Roman"/>
        </w:rPr>
        <w:t xml:space="preserve">, A. A., &amp; Musa, A. B. (2013). Spectrum of </w:t>
      </w:r>
      <w:proofErr w:type="spellStart"/>
      <w:r w:rsidRPr="00A94C85">
        <w:rPr>
          <w:rFonts w:ascii="Times New Roman" w:hAnsi="Times New Roman" w:cs="Times New Roman"/>
        </w:rPr>
        <w:t>haematologic</w:t>
      </w:r>
      <w:proofErr w:type="spellEnd"/>
      <w:r w:rsidRPr="00A94C85">
        <w:rPr>
          <w:rFonts w:ascii="Times New Roman" w:hAnsi="Times New Roman" w:cs="Times New Roman"/>
        </w:rPr>
        <w:t xml:space="preserve"> malignancies and survival outcomes of adult lymphomas in Maiduguri, </w:t>
      </w:r>
      <w:r w:rsidRPr="00A94C85">
        <w:rPr>
          <w:rFonts w:ascii="Times New Roman" w:hAnsi="Times New Roman" w:cs="Times New Roman"/>
        </w:rPr>
        <w:lastRenderedPageBreak/>
        <w:t xml:space="preserve">North eastern Nigeria—a </w:t>
      </w:r>
      <w:proofErr w:type="gramStart"/>
      <w:r w:rsidRPr="00A94C85">
        <w:rPr>
          <w:rFonts w:ascii="Times New Roman" w:hAnsi="Times New Roman" w:cs="Times New Roman"/>
        </w:rPr>
        <w:t>fourteen year</w:t>
      </w:r>
      <w:proofErr w:type="gramEnd"/>
      <w:r w:rsidRPr="00A94C85">
        <w:rPr>
          <w:rFonts w:ascii="Times New Roman" w:hAnsi="Times New Roman" w:cs="Times New Roman"/>
        </w:rPr>
        <w:t xml:space="preserve"> review. *African Journal of Medicine and Medical Sciences*, *42*(1), 5-14. </w:t>
      </w:r>
      <w:hyperlink r:id="rId33" w:history="1">
        <w:r w:rsidRPr="00395C17">
          <w:rPr>
            <w:rStyle w:val="Hyperlink"/>
            <w:rFonts w:ascii="Times New Roman" w:hAnsi="Times New Roman" w:cs="Times New Roman"/>
          </w:rPr>
          <w:t>http://www.ajmms.com/index.php/ajmms/issue/view/10</w:t>
        </w:r>
      </w:hyperlink>
    </w:p>
    <w:p w14:paraId="4E13311F" w14:textId="26E49E6A" w:rsidR="00A94C85" w:rsidRDefault="00A94C85" w:rsidP="00A94C85">
      <w:pPr>
        <w:numPr>
          <w:ilvl w:val="0"/>
          <w:numId w:val="17"/>
        </w:numPr>
        <w:spacing w:line="276" w:lineRule="auto"/>
        <w:jc w:val="both"/>
        <w:rPr>
          <w:rFonts w:ascii="Times New Roman" w:hAnsi="Times New Roman" w:cs="Times New Roman"/>
        </w:rPr>
      </w:pPr>
      <w:proofErr w:type="spellStart"/>
      <w:r w:rsidRPr="00A94C85">
        <w:rPr>
          <w:rFonts w:ascii="Times New Roman" w:hAnsi="Times New Roman" w:cs="Times New Roman"/>
        </w:rPr>
        <w:t>Shimony</w:t>
      </w:r>
      <w:proofErr w:type="spellEnd"/>
      <w:r w:rsidRPr="00A94C85">
        <w:rPr>
          <w:rFonts w:ascii="Times New Roman" w:hAnsi="Times New Roman" w:cs="Times New Roman"/>
        </w:rPr>
        <w:t xml:space="preserve">, S., Stahl, M., &amp; Stone, R. M. (2023). Acute myeloid leukemia: 2023 update on diagnosis, risk-stratification, and management. American Journal of Hematology, 98(3), 502–526. </w:t>
      </w:r>
      <w:hyperlink r:id="rId34" w:history="1">
        <w:r w:rsidRPr="00395C17">
          <w:rPr>
            <w:rStyle w:val="Hyperlink"/>
            <w:rFonts w:ascii="Times New Roman" w:hAnsi="Times New Roman" w:cs="Times New Roman"/>
          </w:rPr>
          <w:t>https://doi.org/10.1002/ajh.26822</w:t>
        </w:r>
      </w:hyperlink>
    </w:p>
    <w:p w14:paraId="4338FB39" w14:textId="20BA8FC0" w:rsidR="00A94C85" w:rsidRDefault="00A94C85" w:rsidP="00A94C85">
      <w:pPr>
        <w:numPr>
          <w:ilvl w:val="0"/>
          <w:numId w:val="17"/>
        </w:numPr>
        <w:spacing w:line="276" w:lineRule="auto"/>
        <w:jc w:val="both"/>
        <w:rPr>
          <w:rFonts w:ascii="Times New Roman" w:hAnsi="Times New Roman" w:cs="Times New Roman"/>
        </w:rPr>
      </w:pPr>
      <w:proofErr w:type="spellStart"/>
      <w:r w:rsidRPr="00A94C85">
        <w:rPr>
          <w:rFonts w:ascii="Times New Roman" w:hAnsi="Times New Roman" w:cs="Times New Roman"/>
        </w:rPr>
        <w:t>Ugwu</w:t>
      </w:r>
      <w:proofErr w:type="spellEnd"/>
      <w:r w:rsidRPr="00A94C85">
        <w:rPr>
          <w:rFonts w:ascii="Times New Roman" w:hAnsi="Times New Roman" w:cs="Times New Roman"/>
        </w:rPr>
        <w:t xml:space="preserve">, N. I., Okoye, A. E., </w:t>
      </w:r>
      <w:proofErr w:type="spellStart"/>
      <w:r w:rsidRPr="00A94C85">
        <w:rPr>
          <w:rFonts w:ascii="Times New Roman" w:hAnsi="Times New Roman" w:cs="Times New Roman"/>
        </w:rPr>
        <w:t>Ugwu</w:t>
      </w:r>
      <w:proofErr w:type="spellEnd"/>
      <w:r w:rsidRPr="00A94C85">
        <w:rPr>
          <w:rFonts w:ascii="Times New Roman" w:hAnsi="Times New Roman" w:cs="Times New Roman"/>
        </w:rPr>
        <w:t xml:space="preserve">, C. N., </w:t>
      </w:r>
      <w:proofErr w:type="spellStart"/>
      <w:r w:rsidRPr="00A94C85">
        <w:rPr>
          <w:rFonts w:ascii="Times New Roman" w:hAnsi="Times New Roman" w:cs="Times New Roman"/>
        </w:rPr>
        <w:t>Iyare</w:t>
      </w:r>
      <w:proofErr w:type="spellEnd"/>
      <w:r w:rsidRPr="00A94C85">
        <w:rPr>
          <w:rFonts w:ascii="Times New Roman" w:hAnsi="Times New Roman" w:cs="Times New Roman"/>
        </w:rPr>
        <w:t xml:space="preserve">, F. E., </w:t>
      </w:r>
      <w:proofErr w:type="spellStart"/>
      <w:r w:rsidRPr="00A94C85">
        <w:rPr>
          <w:rFonts w:ascii="Times New Roman" w:hAnsi="Times New Roman" w:cs="Times New Roman"/>
        </w:rPr>
        <w:t>Edegbe</w:t>
      </w:r>
      <w:proofErr w:type="spellEnd"/>
      <w:r w:rsidRPr="00A94C85">
        <w:rPr>
          <w:rFonts w:ascii="Times New Roman" w:hAnsi="Times New Roman" w:cs="Times New Roman"/>
        </w:rPr>
        <w:t xml:space="preserve">, F. O., </w:t>
      </w:r>
      <w:proofErr w:type="spellStart"/>
      <w:r w:rsidRPr="00A94C85">
        <w:rPr>
          <w:rFonts w:ascii="Times New Roman" w:hAnsi="Times New Roman" w:cs="Times New Roman"/>
        </w:rPr>
        <w:t>Ugwu</w:t>
      </w:r>
      <w:proofErr w:type="spellEnd"/>
      <w:r w:rsidRPr="00A94C85">
        <w:rPr>
          <w:rFonts w:ascii="Times New Roman" w:hAnsi="Times New Roman" w:cs="Times New Roman"/>
        </w:rPr>
        <w:t xml:space="preserve">, G. C., et al. (2021). Distribution pattern and prevalence of </w:t>
      </w:r>
      <w:proofErr w:type="spellStart"/>
      <w:r w:rsidRPr="00A94C85">
        <w:rPr>
          <w:rFonts w:ascii="Times New Roman" w:hAnsi="Times New Roman" w:cs="Times New Roman"/>
        </w:rPr>
        <w:t>haematological</w:t>
      </w:r>
      <w:proofErr w:type="spellEnd"/>
      <w:r w:rsidRPr="00A94C85">
        <w:rPr>
          <w:rFonts w:ascii="Times New Roman" w:hAnsi="Times New Roman" w:cs="Times New Roman"/>
        </w:rPr>
        <w:t xml:space="preserve"> cancers among adults in </w:t>
      </w:r>
      <w:proofErr w:type="spellStart"/>
      <w:r w:rsidRPr="00A94C85">
        <w:rPr>
          <w:rFonts w:ascii="Times New Roman" w:hAnsi="Times New Roman" w:cs="Times New Roman"/>
        </w:rPr>
        <w:t>Abakaliki</w:t>
      </w:r>
      <w:proofErr w:type="spellEnd"/>
      <w:r w:rsidRPr="00A94C85">
        <w:rPr>
          <w:rFonts w:ascii="Times New Roman" w:hAnsi="Times New Roman" w:cs="Times New Roman"/>
        </w:rPr>
        <w:t xml:space="preserve">, South-Eastern Nigeria. Niger Postgrad Med J, 28(4), 266–272. </w:t>
      </w:r>
      <w:hyperlink r:id="rId35" w:history="1">
        <w:r w:rsidRPr="00395C17">
          <w:rPr>
            <w:rStyle w:val="Hyperlink"/>
            <w:rFonts w:ascii="Times New Roman" w:hAnsi="Times New Roman" w:cs="Times New Roman"/>
          </w:rPr>
          <w:t>https://doi.org/10.4103/npmj.npmj_636_21</w:t>
        </w:r>
      </w:hyperlink>
    </w:p>
    <w:p w14:paraId="0A7E560B" w14:textId="0DD1C40A" w:rsidR="00A94C85" w:rsidRDefault="00A94C85" w:rsidP="00A94C85">
      <w:pPr>
        <w:numPr>
          <w:ilvl w:val="0"/>
          <w:numId w:val="17"/>
        </w:numPr>
        <w:spacing w:line="276" w:lineRule="auto"/>
        <w:jc w:val="both"/>
        <w:rPr>
          <w:rFonts w:ascii="Times New Roman" w:hAnsi="Times New Roman" w:cs="Times New Roman"/>
        </w:rPr>
      </w:pPr>
      <w:proofErr w:type="spellStart"/>
      <w:r w:rsidRPr="00A94C85">
        <w:rPr>
          <w:rFonts w:ascii="Times New Roman" w:hAnsi="Times New Roman" w:cs="Times New Roman"/>
        </w:rPr>
        <w:t>Kaseb</w:t>
      </w:r>
      <w:proofErr w:type="spellEnd"/>
      <w:r w:rsidRPr="00A94C85">
        <w:rPr>
          <w:rFonts w:ascii="Times New Roman" w:hAnsi="Times New Roman" w:cs="Times New Roman"/>
        </w:rPr>
        <w:t xml:space="preserve">, H., Gonzalez-Mosquera, L. F., Parsi, M., &amp; </w:t>
      </w:r>
      <w:proofErr w:type="spellStart"/>
      <w:r w:rsidRPr="00A94C85">
        <w:rPr>
          <w:rFonts w:ascii="Times New Roman" w:hAnsi="Times New Roman" w:cs="Times New Roman"/>
        </w:rPr>
        <w:t>Mewawalla</w:t>
      </w:r>
      <w:proofErr w:type="spellEnd"/>
      <w:r w:rsidRPr="00A94C85">
        <w:rPr>
          <w:rFonts w:ascii="Times New Roman" w:hAnsi="Times New Roman" w:cs="Times New Roman"/>
        </w:rPr>
        <w:t>, P. (2023). Lymphoplasmacytic lymphoma/</w:t>
      </w:r>
      <w:proofErr w:type="spellStart"/>
      <w:r w:rsidRPr="00A94C85">
        <w:rPr>
          <w:rFonts w:ascii="Times New Roman" w:hAnsi="Times New Roman" w:cs="Times New Roman"/>
        </w:rPr>
        <w:t>Waldenström</w:t>
      </w:r>
      <w:proofErr w:type="spellEnd"/>
      <w:r w:rsidRPr="00A94C85">
        <w:rPr>
          <w:rFonts w:ascii="Times New Roman" w:hAnsi="Times New Roman" w:cs="Times New Roman"/>
        </w:rPr>
        <w:t xml:space="preserve"> macroglobulinemia. In: </w:t>
      </w:r>
      <w:proofErr w:type="spellStart"/>
      <w:r w:rsidRPr="00A94C85">
        <w:rPr>
          <w:rFonts w:ascii="Times New Roman" w:hAnsi="Times New Roman" w:cs="Times New Roman"/>
        </w:rPr>
        <w:t>StatPearls</w:t>
      </w:r>
      <w:proofErr w:type="spellEnd"/>
      <w:r w:rsidRPr="00A94C85">
        <w:rPr>
          <w:rFonts w:ascii="Times New Roman" w:hAnsi="Times New Roman" w:cs="Times New Roman"/>
        </w:rPr>
        <w:t xml:space="preserve"> [Internet]. Treasure Island (FL): </w:t>
      </w:r>
      <w:proofErr w:type="spellStart"/>
      <w:r w:rsidRPr="00A94C85">
        <w:rPr>
          <w:rFonts w:ascii="Times New Roman" w:hAnsi="Times New Roman" w:cs="Times New Roman"/>
        </w:rPr>
        <w:t>StatPearls</w:t>
      </w:r>
      <w:proofErr w:type="spellEnd"/>
      <w:r w:rsidRPr="00A94C85">
        <w:rPr>
          <w:rFonts w:ascii="Times New Roman" w:hAnsi="Times New Roman" w:cs="Times New Roman"/>
        </w:rPr>
        <w:t xml:space="preserve"> Publishing. </w:t>
      </w:r>
      <w:hyperlink r:id="rId36" w:history="1">
        <w:r w:rsidRPr="00395C17">
          <w:rPr>
            <w:rStyle w:val="Hyperlink"/>
            <w:rFonts w:ascii="Times New Roman" w:hAnsi="Times New Roman" w:cs="Times New Roman"/>
          </w:rPr>
          <w:t>https://www.ncbi.nlm.nih.gov/books/NBK513356/</w:t>
        </w:r>
      </w:hyperlink>
    </w:p>
    <w:p w14:paraId="522A635B" w14:textId="245644B3" w:rsidR="00A94C85" w:rsidRDefault="00A94C85" w:rsidP="00A94C85">
      <w:pPr>
        <w:numPr>
          <w:ilvl w:val="0"/>
          <w:numId w:val="17"/>
        </w:numPr>
        <w:spacing w:line="276" w:lineRule="auto"/>
        <w:jc w:val="both"/>
        <w:rPr>
          <w:rFonts w:ascii="Times New Roman" w:hAnsi="Times New Roman" w:cs="Times New Roman"/>
        </w:rPr>
      </w:pPr>
      <w:proofErr w:type="spellStart"/>
      <w:r w:rsidRPr="00A94C85">
        <w:rPr>
          <w:rFonts w:ascii="Times New Roman" w:hAnsi="Times New Roman" w:cs="Times New Roman"/>
        </w:rPr>
        <w:t>Tefferi</w:t>
      </w:r>
      <w:proofErr w:type="spellEnd"/>
      <w:r w:rsidRPr="00A94C85">
        <w:rPr>
          <w:rFonts w:ascii="Times New Roman" w:hAnsi="Times New Roman" w:cs="Times New Roman"/>
        </w:rPr>
        <w:t xml:space="preserve">, A., &amp; </w:t>
      </w:r>
      <w:proofErr w:type="spellStart"/>
      <w:r w:rsidRPr="00A94C85">
        <w:rPr>
          <w:rFonts w:ascii="Times New Roman" w:hAnsi="Times New Roman" w:cs="Times New Roman"/>
        </w:rPr>
        <w:t>Barbui</w:t>
      </w:r>
      <w:proofErr w:type="spellEnd"/>
      <w:r w:rsidRPr="00A94C85">
        <w:rPr>
          <w:rFonts w:ascii="Times New Roman" w:hAnsi="Times New Roman" w:cs="Times New Roman"/>
        </w:rPr>
        <w:t xml:space="preserve">, T. (2023). Polycythemia </w:t>
      </w:r>
      <w:proofErr w:type="spellStart"/>
      <w:r w:rsidRPr="00A94C85">
        <w:rPr>
          <w:rFonts w:ascii="Times New Roman" w:hAnsi="Times New Roman" w:cs="Times New Roman"/>
        </w:rPr>
        <w:t>vera</w:t>
      </w:r>
      <w:proofErr w:type="spellEnd"/>
      <w:r w:rsidRPr="00A94C85">
        <w:rPr>
          <w:rFonts w:ascii="Times New Roman" w:hAnsi="Times New Roman" w:cs="Times New Roman"/>
        </w:rPr>
        <w:t xml:space="preserve">: 2024 update on diagnosis, risk-stratification, and management. American Journal of Hematology, 98(9), 1465–1487. </w:t>
      </w:r>
      <w:hyperlink r:id="rId37" w:history="1">
        <w:r w:rsidRPr="00395C17">
          <w:rPr>
            <w:rStyle w:val="Hyperlink"/>
            <w:rFonts w:ascii="Times New Roman" w:hAnsi="Times New Roman" w:cs="Times New Roman"/>
          </w:rPr>
          <w:t>https://doi.org/10.1002/ajh.27002</w:t>
        </w:r>
      </w:hyperlink>
    </w:p>
    <w:p w14:paraId="523DF585" w14:textId="5A6ADE74" w:rsidR="00A94C85" w:rsidRP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rPr>
        <w:t xml:space="preserve">Wang, J., Lin, M., &amp; Wang, F. (2024). Epidemiology and prognostic nomogram for chronic eosinophilic leukemia: a population-based study using the SEER database. Scientific Reports. </w:t>
      </w:r>
      <w:hyperlink r:id="rId38" w:history="1">
        <w:r w:rsidRPr="00395C17">
          <w:rPr>
            <w:rStyle w:val="Hyperlink"/>
            <w:rFonts w:ascii="Times New Roman" w:hAnsi="Times New Roman" w:cs="Times New Roman"/>
          </w:rPr>
          <w:t>https://doi.org/10.1038/s41598-024-55432-8</w:t>
        </w:r>
      </w:hyperlink>
    </w:p>
    <w:p w14:paraId="6EB04504" w14:textId="322B6C18"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Raskin</w:t>
      </w:r>
      <w:proofErr w:type="spellEnd"/>
      <w:r w:rsidRPr="00A94C85">
        <w:rPr>
          <w:rFonts w:ascii="Times New Roman" w:hAnsi="Times New Roman" w:cs="Times New Roman"/>
          <w:sz w:val="24"/>
          <w:szCs w:val="24"/>
        </w:rPr>
        <w:t xml:space="preserve">, R. E., &amp; Messick, J. B. (2012). Bone marrow cytologic and histologic biopsies: indications, technique, and evaluation. Veterinary Clinics of North America: Small Animal Practice. </w:t>
      </w:r>
      <w:hyperlink r:id="rId39" w:history="1">
        <w:r w:rsidRPr="00395C17">
          <w:rPr>
            <w:rStyle w:val="Hyperlink"/>
            <w:rFonts w:ascii="Times New Roman" w:hAnsi="Times New Roman" w:cs="Times New Roman"/>
            <w:sz w:val="24"/>
            <w:szCs w:val="24"/>
          </w:rPr>
          <w:t>https://doi.org/10.1016/j.cvsm.2011.10.001</w:t>
        </w:r>
      </w:hyperlink>
    </w:p>
    <w:p w14:paraId="78236D27" w14:textId="2A8BC320"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Hasserjian</w:t>
      </w:r>
      <w:proofErr w:type="spellEnd"/>
      <w:r w:rsidRPr="00A94C85">
        <w:rPr>
          <w:rFonts w:ascii="Times New Roman" w:hAnsi="Times New Roman" w:cs="Times New Roman"/>
          <w:sz w:val="24"/>
          <w:szCs w:val="24"/>
        </w:rPr>
        <w:t xml:space="preserve">, R. P. (2008). Reactive versus neoplastic bone marrow: problems and pitfalls. Archives of Pathology &amp; Laboratory Medicine, 132(4), 587–594. </w:t>
      </w:r>
      <w:hyperlink r:id="rId40" w:history="1">
        <w:r w:rsidRPr="00395C17">
          <w:rPr>
            <w:rStyle w:val="Hyperlink"/>
            <w:rFonts w:ascii="Times New Roman" w:hAnsi="Times New Roman" w:cs="Times New Roman"/>
            <w:sz w:val="24"/>
            <w:szCs w:val="24"/>
          </w:rPr>
          <w:t>https://doi.org/10.5858/2008-132-587-RVNBMP</w:t>
        </w:r>
      </w:hyperlink>
    </w:p>
    <w:p w14:paraId="3B5CDC50" w14:textId="3035F71A" w:rsid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Bain, B. J. (2001). Bone marrow trephine biopsy. Journal of Clinical Pathology </w:t>
      </w:r>
      <w:hyperlink r:id="rId41" w:history="1">
        <w:r w:rsidRPr="00395C17">
          <w:rPr>
            <w:rStyle w:val="Hyperlink"/>
            <w:rFonts w:ascii="Times New Roman" w:hAnsi="Times New Roman" w:cs="Times New Roman"/>
            <w:sz w:val="24"/>
            <w:szCs w:val="24"/>
          </w:rPr>
          <w:t>https://doi.org/10.1136/jcp.54.10.737</w:t>
        </w:r>
      </w:hyperlink>
    </w:p>
    <w:p w14:paraId="05FCF777" w14:textId="593758F7" w:rsidR="002B545D" w:rsidRPr="0089664F" w:rsidRDefault="002B545D" w:rsidP="00A94C85">
      <w:pPr>
        <w:numPr>
          <w:ilvl w:val="0"/>
          <w:numId w:val="17"/>
        </w:numPr>
        <w:spacing w:line="276" w:lineRule="auto"/>
        <w:jc w:val="both"/>
        <w:rPr>
          <w:rFonts w:ascii="Times New Roman" w:hAnsi="Times New Roman" w:cs="Times New Roman"/>
          <w:sz w:val="24"/>
          <w:szCs w:val="24"/>
        </w:rPr>
      </w:pPr>
      <w:proofErr w:type="spellStart"/>
      <w:r w:rsidRPr="0089664F">
        <w:rPr>
          <w:rFonts w:ascii="Times New Roman" w:hAnsi="Times New Roman" w:cs="Times New Roman"/>
          <w:sz w:val="24"/>
          <w:szCs w:val="24"/>
        </w:rPr>
        <w:t>Yuguda</w:t>
      </w:r>
      <w:proofErr w:type="spellEnd"/>
      <w:r w:rsidRPr="0089664F">
        <w:rPr>
          <w:rFonts w:ascii="Times New Roman" w:hAnsi="Times New Roman" w:cs="Times New Roman"/>
          <w:sz w:val="24"/>
          <w:szCs w:val="24"/>
        </w:rPr>
        <w:t xml:space="preserve"> S, </w:t>
      </w:r>
      <w:proofErr w:type="spellStart"/>
      <w:r w:rsidRPr="0089664F">
        <w:rPr>
          <w:rFonts w:ascii="Times New Roman" w:hAnsi="Times New Roman" w:cs="Times New Roman"/>
          <w:sz w:val="24"/>
          <w:szCs w:val="24"/>
        </w:rPr>
        <w:t>Girei</w:t>
      </w:r>
      <w:proofErr w:type="spellEnd"/>
      <w:r w:rsidRPr="0089664F">
        <w:rPr>
          <w:rFonts w:ascii="Times New Roman" w:hAnsi="Times New Roman" w:cs="Times New Roman"/>
          <w:sz w:val="24"/>
          <w:szCs w:val="24"/>
        </w:rPr>
        <w:t xml:space="preserve"> AI, </w:t>
      </w:r>
      <w:proofErr w:type="spellStart"/>
      <w:r w:rsidRPr="0089664F">
        <w:rPr>
          <w:rFonts w:ascii="Times New Roman" w:hAnsi="Times New Roman" w:cs="Times New Roman"/>
          <w:sz w:val="24"/>
          <w:szCs w:val="24"/>
        </w:rPr>
        <w:t>Pindiga</w:t>
      </w:r>
      <w:proofErr w:type="spellEnd"/>
      <w:r w:rsidRPr="0089664F">
        <w:rPr>
          <w:rFonts w:ascii="Times New Roman" w:hAnsi="Times New Roman" w:cs="Times New Roman"/>
          <w:sz w:val="24"/>
          <w:szCs w:val="24"/>
        </w:rPr>
        <w:t xml:space="preserve"> KM, </w:t>
      </w:r>
      <w:proofErr w:type="spellStart"/>
      <w:r w:rsidRPr="0089664F">
        <w:rPr>
          <w:rFonts w:ascii="Times New Roman" w:hAnsi="Times New Roman" w:cs="Times New Roman"/>
          <w:sz w:val="24"/>
          <w:szCs w:val="24"/>
        </w:rPr>
        <w:t>Dachi</w:t>
      </w:r>
      <w:proofErr w:type="spellEnd"/>
      <w:r w:rsidRPr="0089664F">
        <w:rPr>
          <w:rFonts w:ascii="Times New Roman" w:hAnsi="Times New Roman" w:cs="Times New Roman"/>
          <w:sz w:val="24"/>
          <w:szCs w:val="24"/>
        </w:rPr>
        <w:t xml:space="preserve"> RA, Lawan AI, Abdullahi YM. Indications and diagnostic utility of bone marrow aspiration cytology: a 12-year experience at a tertiary health center in Gombe, Northeastern Nigeria. </w:t>
      </w:r>
      <w:r w:rsidRPr="0089664F">
        <w:rPr>
          <w:rFonts w:ascii="Times New Roman" w:hAnsi="Times New Roman" w:cs="Times New Roman"/>
          <w:i/>
          <w:iCs/>
          <w:sz w:val="24"/>
          <w:szCs w:val="24"/>
        </w:rPr>
        <w:t>Ann Trop Pathol.</w:t>
      </w:r>
      <w:r w:rsidRPr="0089664F">
        <w:rPr>
          <w:rFonts w:ascii="Times New Roman" w:hAnsi="Times New Roman" w:cs="Times New Roman"/>
          <w:sz w:val="24"/>
          <w:szCs w:val="24"/>
        </w:rPr>
        <w:t xml:space="preserve"> 2020;11(2):119-122.</w:t>
      </w:r>
    </w:p>
    <w:p w14:paraId="467F2D4E" w14:textId="634D74A6"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Osho</w:t>
      </w:r>
      <w:proofErr w:type="spellEnd"/>
      <w:r w:rsidRPr="00A94C85">
        <w:rPr>
          <w:rFonts w:ascii="Times New Roman" w:hAnsi="Times New Roman" w:cs="Times New Roman"/>
          <w:sz w:val="24"/>
          <w:szCs w:val="24"/>
        </w:rPr>
        <w:t xml:space="preserve">, P. O., </w:t>
      </w:r>
      <w:proofErr w:type="spellStart"/>
      <w:r w:rsidRPr="00A94C85">
        <w:rPr>
          <w:rFonts w:ascii="Times New Roman" w:hAnsi="Times New Roman" w:cs="Times New Roman"/>
          <w:sz w:val="24"/>
          <w:szCs w:val="24"/>
        </w:rPr>
        <w:t>Ojo</w:t>
      </w:r>
      <w:proofErr w:type="spellEnd"/>
      <w:r w:rsidRPr="00A94C85">
        <w:rPr>
          <w:rFonts w:ascii="Times New Roman" w:hAnsi="Times New Roman" w:cs="Times New Roman"/>
          <w:sz w:val="24"/>
          <w:szCs w:val="24"/>
        </w:rPr>
        <w:t xml:space="preserve">, M. A., </w:t>
      </w:r>
      <w:proofErr w:type="spellStart"/>
      <w:r w:rsidRPr="00A94C85">
        <w:rPr>
          <w:rFonts w:ascii="Times New Roman" w:hAnsi="Times New Roman" w:cs="Times New Roman"/>
          <w:sz w:val="24"/>
          <w:szCs w:val="24"/>
        </w:rPr>
        <w:t>Koledoye</w:t>
      </w:r>
      <w:proofErr w:type="spellEnd"/>
      <w:r w:rsidRPr="00A94C85">
        <w:rPr>
          <w:rFonts w:ascii="Times New Roman" w:hAnsi="Times New Roman" w:cs="Times New Roman"/>
          <w:sz w:val="24"/>
          <w:szCs w:val="24"/>
        </w:rPr>
        <w:t xml:space="preserve">, V., </w:t>
      </w:r>
      <w:proofErr w:type="spellStart"/>
      <w:r w:rsidRPr="00A94C85">
        <w:rPr>
          <w:rFonts w:ascii="Times New Roman" w:hAnsi="Times New Roman" w:cs="Times New Roman"/>
          <w:sz w:val="24"/>
          <w:szCs w:val="24"/>
        </w:rPr>
        <w:t>Okunnuga</w:t>
      </w:r>
      <w:proofErr w:type="spellEnd"/>
      <w:r w:rsidRPr="00A94C85">
        <w:rPr>
          <w:rFonts w:ascii="Times New Roman" w:hAnsi="Times New Roman" w:cs="Times New Roman"/>
          <w:sz w:val="24"/>
          <w:szCs w:val="24"/>
        </w:rPr>
        <w:t xml:space="preserve">, A. N., &amp; Oni, O. I. (2021). Diagnostic outcome of bone marrow aspiration in a tertiary hospital in Ondo State, Nigeria. American Journal of Laboratory Medicine, 6(2), 17-21. </w:t>
      </w:r>
      <w:hyperlink r:id="rId42" w:history="1">
        <w:r w:rsidRPr="00395C17">
          <w:rPr>
            <w:rStyle w:val="Hyperlink"/>
            <w:rFonts w:ascii="Times New Roman" w:hAnsi="Times New Roman" w:cs="Times New Roman"/>
            <w:sz w:val="24"/>
            <w:szCs w:val="24"/>
          </w:rPr>
          <w:t>https://doi.org/10.11648/j.ajlm.20210602.11</w:t>
        </w:r>
      </w:hyperlink>
    </w:p>
    <w:p w14:paraId="70822055" w14:textId="204B136E"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Awwalu</w:t>
      </w:r>
      <w:proofErr w:type="spellEnd"/>
      <w:r w:rsidRPr="00A94C85">
        <w:rPr>
          <w:rFonts w:ascii="Times New Roman" w:hAnsi="Times New Roman" w:cs="Times New Roman"/>
          <w:sz w:val="24"/>
          <w:szCs w:val="24"/>
        </w:rPr>
        <w:t xml:space="preserve">, S., Hassan, A., </w:t>
      </w:r>
      <w:proofErr w:type="spellStart"/>
      <w:r w:rsidRPr="00A94C85">
        <w:rPr>
          <w:rFonts w:ascii="Times New Roman" w:hAnsi="Times New Roman" w:cs="Times New Roman"/>
          <w:sz w:val="24"/>
          <w:szCs w:val="24"/>
        </w:rPr>
        <w:t>Dogara</w:t>
      </w:r>
      <w:proofErr w:type="spellEnd"/>
      <w:r w:rsidRPr="00A94C85">
        <w:rPr>
          <w:rFonts w:ascii="Times New Roman" w:hAnsi="Times New Roman" w:cs="Times New Roman"/>
          <w:sz w:val="24"/>
          <w:szCs w:val="24"/>
        </w:rPr>
        <w:t xml:space="preserve">, L. G., Musa, A. U., Waziri, A. D., &amp; </w:t>
      </w:r>
      <w:proofErr w:type="spellStart"/>
      <w:r w:rsidRPr="00A94C85">
        <w:rPr>
          <w:rFonts w:ascii="Times New Roman" w:hAnsi="Times New Roman" w:cs="Times New Roman"/>
          <w:sz w:val="24"/>
          <w:szCs w:val="24"/>
        </w:rPr>
        <w:t>Babadoko</w:t>
      </w:r>
      <w:proofErr w:type="spellEnd"/>
      <w:r w:rsidRPr="00A94C85">
        <w:rPr>
          <w:rFonts w:ascii="Times New Roman" w:hAnsi="Times New Roman" w:cs="Times New Roman"/>
          <w:sz w:val="24"/>
          <w:szCs w:val="24"/>
        </w:rPr>
        <w:t>, A. A. (2016). Bone marrow aspiration (BMA) in Zaria: A three-year retrospective review. *</w:t>
      </w:r>
      <w:proofErr w:type="spellStart"/>
      <w:r w:rsidRPr="00A94C85">
        <w:rPr>
          <w:rFonts w:ascii="Times New Roman" w:hAnsi="Times New Roman" w:cs="Times New Roman"/>
          <w:sz w:val="24"/>
          <w:szCs w:val="24"/>
        </w:rPr>
        <w:t>Borno</w:t>
      </w:r>
      <w:proofErr w:type="spellEnd"/>
      <w:r w:rsidRPr="00A94C85">
        <w:rPr>
          <w:rFonts w:ascii="Times New Roman" w:hAnsi="Times New Roman" w:cs="Times New Roman"/>
          <w:sz w:val="24"/>
          <w:szCs w:val="24"/>
        </w:rPr>
        <w:t xml:space="preserve"> Medical Journal*, *13*(1), 50–55. </w:t>
      </w:r>
      <w:hyperlink r:id="rId43" w:history="1">
        <w:r w:rsidRPr="00395C17">
          <w:rPr>
            <w:rStyle w:val="Hyperlink"/>
            <w:rFonts w:ascii="Times New Roman" w:hAnsi="Times New Roman" w:cs="Times New Roman"/>
            <w:sz w:val="24"/>
            <w:szCs w:val="24"/>
          </w:rPr>
          <w:t>https://www.bornomedicaljournal.com/index.php/bomj/article/view/109/109</w:t>
        </w:r>
      </w:hyperlink>
    </w:p>
    <w:p w14:paraId="434D41BA" w14:textId="0EEF2BF2" w:rsidR="00A94C85" w:rsidRDefault="00A94C85" w:rsidP="00A94C85">
      <w:pPr>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lastRenderedPageBreak/>
        <w:t>Jasini</w:t>
      </w:r>
      <w:proofErr w:type="spellEnd"/>
      <w:r w:rsidRPr="00A94C85">
        <w:rPr>
          <w:rFonts w:ascii="Times New Roman" w:hAnsi="Times New Roman" w:cs="Times New Roman"/>
          <w:sz w:val="24"/>
          <w:szCs w:val="24"/>
        </w:rPr>
        <w:t xml:space="preserve">, J., </w:t>
      </w:r>
      <w:proofErr w:type="spellStart"/>
      <w:r w:rsidRPr="00A94C85">
        <w:rPr>
          <w:rFonts w:ascii="Times New Roman" w:hAnsi="Times New Roman" w:cs="Times New Roman"/>
          <w:sz w:val="24"/>
          <w:szCs w:val="24"/>
        </w:rPr>
        <w:t>Egesie</w:t>
      </w:r>
      <w:proofErr w:type="spellEnd"/>
      <w:r w:rsidRPr="00A94C85">
        <w:rPr>
          <w:rFonts w:ascii="Times New Roman" w:hAnsi="Times New Roman" w:cs="Times New Roman"/>
          <w:sz w:val="24"/>
          <w:szCs w:val="24"/>
        </w:rPr>
        <w:t xml:space="preserve">, O. J., </w:t>
      </w:r>
      <w:proofErr w:type="spellStart"/>
      <w:r w:rsidRPr="00A94C85">
        <w:rPr>
          <w:rFonts w:ascii="Times New Roman" w:hAnsi="Times New Roman" w:cs="Times New Roman"/>
          <w:sz w:val="24"/>
          <w:szCs w:val="24"/>
        </w:rPr>
        <w:t>Damulak</w:t>
      </w:r>
      <w:proofErr w:type="spellEnd"/>
      <w:r w:rsidRPr="00A94C85">
        <w:rPr>
          <w:rFonts w:ascii="Times New Roman" w:hAnsi="Times New Roman" w:cs="Times New Roman"/>
          <w:sz w:val="24"/>
          <w:szCs w:val="24"/>
        </w:rPr>
        <w:t xml:space="preserve">, O. D., </w:t>
      </w:r>
      <w:proofErr w:type="spellStart"/>
      <w:r w:rsidRPr="00A94C85">
        <w:rPr>
          <w:rFonts w:ascii="Times New Roman" w:hAnsi="Times New Roman" w:cs="Times New Roman"/>
          <w:sz w:val="24"/>
          <w:szCs w:val="24"/>
        </w:rPr>
        <w:t>Jatau</w:t>
      </w:r>
      <w:proofErr w:type="spellEnd"/>
      <w:r w:rsidRPr="00A94C85">
        <w:rPr>
          <w:rFonts w:ascii="Times New Roman" w:hAnsi="Times New Roman" w:cs="Times New Roman"/>
          <w:sz w:val="24"/>
          <w:szCs w:val="24"/>
        </w:rPr>
        <w:t xml:space="preserve">, E. D., </w:t>
      </w:r>
      <w:proofErr w:type="spellStart"/>
      <w:r w:rsidRPr="00A94C85">
        <w:rPr>
          <w:rFonts w:ascii="Times New Roman" w:hAnsi="Times New Roman" w:cs="Times New Roman"/>
          <w:sz w:val="24"/>
          <w:szCs w:val="24"/>
        </w:rPr>
        <w:t>Zakari</w:t>
      </w:r>
      <w:proofErr w:type="spellEnd"/>
      <w:r w:rsidRPr="00A94C85">
        <w:rPr>
          <w:rFonts w:ascii="Times New Roman" w:hAnsi="Times New Roman" w:cs="Times New Roman"/>
          <w:sz w:val="24"/>
          <w:szCs w:val="24"/>
        </w:rPr>
        <w:t xml:space="preserve">, A., Okeke, C. N., Nathan, C. G., </w:t>
      </w:r>
      <w:proofErr w:type="spellStart"/>
      <w:r w:rsidRPr="00A94C85">
        <w:rPr>
          <w:rFonts w:ascii="Times New Roman" w:hAnsi="Times New Roman" w:cs="Times New Roman"/>
          <w:sz w:val="24"/>
          <w:szCs w:val="24"/>
        </w:rPr>
        <w:t>Bornoma</w:t>
      </w:r>
      <w:proofErr w:type="spellEnd"/>
      <w:r w:rsidRPr="00A94C85">
        <w:rPr>
          <w:rFonts w:ascii="Times New Roman" w:hAnsi="Times New Roman" w:cs="Times New Roman"/>
          <w:sz w:val="24"/>
          <w:szCs w:val="24"/>
        </w:rPr>
        <w:t xml:space="preserve">, A., &amp; </w:t>
      </w:r>
      <w:proofErr w:type="spellStart"/>
      <w:r w:rsidRPr="00A94C85">
        <w:rPr>
          <w:rFonts w:ascii="Times New Roman" w:hAnsi="Times New Roman" w:cs="Times New Roman"/>
          <w:sz w:val="24"/>
          <w:szCs w:val="24"/>
        </w:rPr>
        <w:t>Sayi</w:t>
      </w:r>
      <w:proofErr w:type="spellEnd"/>
      <w:r w:rsidRPr="00A94C85">
        <w:rPr>
          <w:rFonts w:ascii="Times New Roman" w:hAnsi="Times New Roman" w:cs="Times New Roman"/>
          <w:sz w:val="24"/>
          <w:szCs w:val="24"/>
        </w:rPr>
        <w:t xml:space="preserve">, A. J. D. (2021). Indications and outcomes of bone marrow aspiration cytology in a Nigerian tertiary hospital: The Federal Medical Centre, Yola experience. Highland Medical Research Journal, 21(1). </w:t>
      </w:r>
      <w:hyperlink r:id="rId44" w:history="1">
        <w:r w:rsidRPr="00395C17">
          <w:rPr>
            <w:rStyle w:val="Hyperlink"/>
            <w:rFonts w:ascii="Times New Roman" w:hAnsi="Times New Roman" w:cs="Times New Roman"/>
            <w:sz w:val="24"/>
            <w:szCs w:val="24"/>
          </w:rPr>
          <w:t>https://www.ajol.info/index.php/hmrj/article/view/212009</w:t>
        </w:r>
      </w:hyperlink>
    </w:p>
    <w:p w14:paraId="2C796A74" w14:textId="5C45FAB2" w:rsidR="00A94C85" w:rsidRPr="00A94C85" w:rsidRDefault="00A94C85" w:rsidP="00A94C85">
      <w:pPr>
        <w:numPr>
          <w:ilvl w:val="0"/>
          <w:numId w:val="17"/>
        </w:numPr>
        <w:spacing w:line="276" w:lineRule="auto"/>
        <w:jc w:val="both"/>
        <w:rPr>
          <w:rFonts w:ascii="Times New Roman" w:hAnsi="Times New Roman" w:cs="Times New Roman"/>
          <w:sz w:val="24"/>
          <w:szCs w:val="24"/>
        </w:rPr>
      </w:pPr>
      <w:r w:rsidRPr="00A94C85">
        <w:rPr>
          <w:rFonts w:ascii="Times New Roman" w:hAnsi="Times New Roman" w:cs="Times New Roman"/>
          <w:sz w:val="24"/>
          <w:szCs w:val="24"/>
        </w:rPr>
        <w:t xml:space="preserve">Babatunde, A. S., </w:t>
      </w:r>
      <w:proofErr w:type="spellStart"/>
      <w:r w:rsidRPr="00A94C85">
        <w:rPr>
          <w:rFonts w:ascii="Times New Roman" w:hAnsi="Times New Roman" w:cs="Times New Roman"/>
          <w:sz w:val="24"/>
          <w:szCs w:val="24"/>
        </w:rPr>
        <w:t>Durotoye</w:t>
      </w:r>
      <w:proofErr w:type="spellEnd"/>
      <w:r w:rsidRPr="00A94C85">
        <w:rPr>
          <w:rFonts w:ascii="Times New Roman" w:hAnsi="Times New Roman" w:cs="Times New Roman"/>
          <w:sz w:val="24"/>
          <w:szCs w:val="24"/>
        </w:rPr>
        <w:t xml:space="preserve">, I. A., Shittu, A. O., </w:t>
      </w:r>
      <w:proofErr w:type="spellStart"/>
      <w:r w:rsidRPr="00A94C85">
        <w:rPr>
          <w:rFonts w:ascii="Times New Roman" w:hAnsi="Times New Roman" w:cs="Times New Roman"/>
          <w:sz w:val="24"/>
          <w:szCs w:val="24"/>
        </w:rPr>
        <w:t>Omokanye</w:t>
      </w:r>
      <w:proofErr w:type="spellEnd"/>
      <w:r w:rsidRPr="00A94C85">
        <w:rPr>
          <w:rFonts w:ascii="Times New Roman" w:hAnsi="Times New Roman" w:cs="Times New Roman"/>
          <w:sz w:val="24"/>
          <w:szCs w:val="24"/>
        </w:rPr>
        <w:t xml:space="preserve">, K. O., </w:t>
      </w:r>
      <w:proofErr w:type="spellStart"/>
      <w:r w:rsidRPr="00A94C85">
        <w:rPr>
          <w:rFonts w:ascii="Times New Roman" w:hAnsi="Times New Roman" w:cs="Times New Roman"/>
          <w:sz w:val="24"/>
          <w:szCs w:val="24"/>
        </w:rPr>
        <w:t>Ogunfemi</w:t>
      </w:r>
      <w:proofErr w:type="spellEnd"/>
      <w:r w:rsidRPr="00A94C85">
        <w:rPr>
          <w:rFonts w:ascii="Times New Roman" w:hAnsi="Times New Roman" w:cs="Times New Roman"/>
          <w:sz w:val="24"/>
          <w:szCs w:val="24"/>
        </w:rPr>
        <w:t xml:space="preserve">, M. K., &amp; </w:t>
      </w:r>
      <w:proofErr w:type="spellStart"/>
      <w:r w:rsidRPr="00A94C85">
        <w:rPr>
          <w:rFonts w:ascii="Times New Roman" w:hAnsi="Times New Roman" w:cs="Times New Roman"/>
          <w:sz w:val="24"/>
          <w:szCs w:val="24"/>
        </w:rPr>
        <w:t>Owoeye</w:t>
      </w:r>
      <w:proofErr w:type="spellEnd"/>
      <w:r w:rsidRPr="00A94C85">
        <w:rPr>
          <w:rFonts w:ascii="Times New Roman" w:hAnsi="Times New Roman" w:cs="Times New Roman"/>
          <w:sz w:val="24"/>
          <w:szCs w:val="24"/>
        </w:rPr>
        <w:t xml:space="preserve">, O. A. (2020). </w:t>
      </w:r>
      <w:r w:rsidRPr="00A94C85">
        <w:rPr>
          <w:rFonts w:ascii="Times New Roman" w:hAnsi="Times New Roman" w:cs="Times New Roman"/>
          <w:sz w:val="24"/>
          <w:szCs w:val="24"/>
          <w:lang w:val="en-IN"/>
        </w:rPr>
        <w:t xml:space="preserve">Evaluation of the indications and diagnostic value of bone marrow examination in haematological disorders in Ilorin, Nigeria: A review of 496 cases. Tropical Journal of Health Sciences, 27(1), 27-33. </w:t>
      </w:r>
      <w:hyperlink r:id="rId45" w:history="1">
        <w:r w:rsidRPr="00395C17">
          <w:rPr>
            <w:rStyle w:val="Hyperlink"/>
            <w:rFonts w:ascii="Times New Roman" w:hAnsi="Times New Roman" w:cs="Times New Roman"/>
            <w:sz w:val="24"/>
            <w:szCs w:val="24"/>
            <w:lang w:val="en-IN"/>
          </w:rPr>
          <w:t>https://www.ajol.info/index.php/tjhc</w:t>
        </w:r>
      </w:hyperlink>
    </w:p>
    <w:p w14:paraId="1E1B2E1F" w14:textId="07615BE4" w:rsidR="002B545D" w:rsidRPr="00A94C85" w:rsidRDefault="00A94C85" w:rsidP="00A94C85">
      <w:pPr>
        <w:pStyle w:val="ListParagraph"/>
        <w:numPr>
          <w:ilvl w:val="0"/>
          <w:numId w:val="17"/>
        </w:numPr>
        <w:spacing w:line="276" w:lineRule="auto"/>
        <w:jc w:val="both"/>
        <w:rPr>
          <w:rFonts w:ascii="Times New Roman" w:hAnsi="Times New Roman" w:cs="Times New Roman"/>
          <w:sz w:val="24"/>
          <w:szCs w:val="24"/>
        </w:rPr>
      </w:pPr>
      <w:proofErr w:type="spellStart"/>
      <w:r w:rsidRPr="00A94C85">
        <w:rPr>
          <w:rFonts w:ascii="Times New Roman" w:hAnsi="Times New Roman" w:cs="Times New Roman"/>
          <w:sz w:val="24"/>
          <w:szCs w:val="24"/>
        </w:rPr>
        <w:t>Puri</w:t>
      </w:r>
      <w:proofErr w:type="spellEnd"/>
      <w:r w:rsidRPr="00A94C85">
        <w:rPr>
          <w:rFonts w:ascii="Times New Roman" w:hAnsi="Times New Roman" w:cs="Times New Roman"/>
          <w:sz w:val="24"/>
          <w:szCs w:val="24"/>
        </w:rPr>
        <w:t xml:space="preserve">, V., Sharma, P., </w:t>
      </w:r>
      <w:proofErr w:type="spellStart"/>
      <w:r w:rsidRPr="00A94C85">
        <w:rPr>
          <w:rFonts w:ascii="Times New Roman" w:hAnsi="Times New Roman" w:cs="Times New Roman"/>
          <w:sz w:val="24"/>
          <w:szCs w:val="24"/>
        </w:rPr>
        <w:t>Kotru</w:t>
      </w:r>
      <w:proofErr w:type="spellEnd"/>
      <w:r w:rsidRPr="00A94C85">
        <w:rPr>
          <w:rFonts w:ascii="Times New Roman" w:hAnsi="Times New Roman" w:cs="Times New Roman"/>
          <w:sz w:val="24"/>
          <w:szCs w:val="24"/>
        </w:rPr>
        <w:t xml:space="preserve">, M., Sikka, M., &amp; Sharma, S. (2018). Utility of simultaneous assessment of bone marrow aspirates and trephine biopsy sections in various </w:t>
      </w:r>
      <w:proofErr w:type="spellStart"/>
      <w:r w:rsidRPr="00A94C85">
        <w:rPr>
          <w:rFonts w:ascii="Times New Roman" w:hAnsi="Times New Roman" w:cs="Times New Roman"/>
          <w:sz w:val="24"/>
          <w:szCs w:val="24"/>
        </w:rPr>
        <w:t>haematological</w:t>
      </w:r>
      <w:proofErr w:type="spellEnd"/>
      <w:r w:rsidRPr="00A94C85">
        <w:rPr>
          <w:rFonts w:ascii="Times New Roman" w:hAnsi="Times New Roman" w:cs="Times New Roman"/>
          <w:sz w:val="24"/>
          <w:szCs w:val="24"/>
        </w:rPr>
        <w:t xml:space="preserve"> disorders. Iraqi Journal of Hematology, 7, 26–32. </w:t>
      </w:r>
      <w:hyperlink r:id="rId46" w:history="1">
        <w:r w:rsidRPr="00A94C85">
          <w:rPr>
            <w:rStyle w:val="Hyperlink"/>
            <w:rFonts w:ascii="Times New Roman" w:hAnsi="Times New Roman" w:cs="Times New Roman"/>
            <w:sz w:val="24"/>
            <w:szCs w:val="24"/>
          </w:rPr>
          <w:t>https://api.semanticscholar.org/CorpusID:79641016</w:t>
        </w:r>
      </w:hyperlink>
    </w:p>
    <w:p w14:paraId="5250748B" w14:textId="77777777" w:rsidR="00A94C85" w:rsidRPr="0089664F" w:rsidRDefault="00A94C85" w:rsidP="003F5A64">
      <w:pPr>
        <w:spacing w:line="276" w:lineRule="auto"/>
        <w:jc w:val="both"/>
        <w:rPr>
          <w:rFonts w:ascii="Times New Roman" w:hAnsi="Times New Roman" w:cs="Times New Roman"/>
          <w:sz w:val="24"/>
          <w:szCs w:val="24"/>
        </w:rPr>
      </w:pPr>
    </w:p>
    <w:p w14:paraId="13C519D4" w14:textId="77777777" w:rsidR="002B545D" w:rsidRPr="0089664F" w:rsidRDefault="002B545D" w:rsidP="003F5A64">
      <w:pPr>
        <w:spacing w:line="276" w:lineRule="auto"/>
        <w:jc w:val="both"/>
        <w:rPr>
          <w:rFonts w:ascii="Times New Roman" w:hAnsi="Times New Roman" w:cs="Times New Roman"/>
          <w:sz w:val="24"/>
          <w:szCs w:val="24"/>
        </w:rPr>
      </w:pPr>
    </w:p>
    <w:p w14:paraId="0B7CA732" w14:textId="77777777" w:rsidR="002B545D" w:rsidRPr="0089664F" w:rsidRDefault="002B545D" w:rsidP="003F5A64">
      <w:pPr>
        <w:spacing w:line="276" w:lineRule="auto"/>
        <w:jc w:val="both"/>
        <w:rPr>
          <w:rFonts w:ascii="Times New Roman" w:hAnsi="Times New Roman" w:cs="Times New Roman"/>
          <w:sz w:val="24"/>
          <w:szCs w:val="24"/>
        </w:rPr>
      </w:pPr>
    </w:p>
    <w:p w14:paraId="4826E016" w14:textId="77777777" w:rsidR="002B545D" w:rsidRPr="0089664F" w:rsidRDefault="002B545D" w:rsidP="003F5A64">
      <w:pPr>
        <w:spacing w:line="276" w:lineRule="auto"/>
        <w:jc w:val="both"/>
        <w:rPr>
          <w:rFonts w:ascii="Times New Roman" w:hAnsi="Times New Roman" w:cs="Times New Roman"/>
          <w:sz w:val="24"/>
          <w:szCs w:val="24"/>
        </w:rPr>
      </w:pPr>
    </w:p>
    <w:p w14:paraId="166F8B4E" w14:textId="77777777" w:rsidR="002B545D" w:rsidRPr="0089664F" w:rsidRDefault="002B545D" w:rsidP="003F5A64">
      <w:pPr>
        <w:spacing w:line="276" w:lineRule="auto"/>
        <w:jc w:val="both"/>
        <w:rPr>
          <w:rFonts w:ascii="Times New Roman" w:hAnsi="Times New Roman" w:cs="Times New Roman"/>
          <w:sz w:val="24"/>
          <w:szCs w:val="24"/>
        </w:rPr>
      </w:pPr>
    </w:p>
    <w:p w14:paraId="503FE49C" w14:textId="77777777" w:rsidR="002B545D" w:rsidRPr="0089664F" w:rsidRDefault="002B545D" w:rsidP="003F5A64">
      <w:pPr>
        <w:spacing w:line="276" w:lineRule="auto"/>
        <w:jc w:val="both"/>
        <w:rPr>
          <w:rFonts w:ascii="Times New Roman" w:hAnsi="Times New Roman" w:cs="Times New Roman"/>
          <w:sz w:val="24"/>
          <w:szCs w:val="24"/>
        </w:rPr>
      </w:pPr>
    </w:p>
    <w:p w14:paraId="3E321422" w14:textId="77777777" w:rsidR="002B545D" w:rsidRPr="0089664F" w:rsidRDefault="002B545D" w:rsidP="003F5A64">
      <w:pPr>
        <w:spacing w:line="276" w:lineRule="auto"/>
        <w:jc w:val="both"/>
        <w:rPr>
          <w:rFonts w:ascii="Times New Roman" w:hAnsi="Times New Roman" w:cs="Times New Roman"/>
          <w:sz w:val="24"/>
          <w:szCs w:val="24"/>
        </w:rPr>
      </w:pPr>
    </w:p>
    <w:p w14:paraId="223B1F90" w14:textId="77777777" w:rsidR="002B545D" w:rsidRPr="0089664F" w:rsidRDefault="002B545D" w:rsidP="003F5A64">
      <w:pPr>
        <w:spacing w:line="276" w:lineRule="auto"/>
        <w:jc w:val="both"/>
        <w:rPr>
          <w:rFonts w:ascii="Times New Roman" w:hAnsi="Times New Roman" w:cs="Times New Roman"/>
          <w:sz w:val="24"/>
          <w:szCs w:val="24"/>
        </w:rPr>
      </w:pPr>
    </w:p>
    <w:p w14:paraId="5136AE87" w14:textId="77777777" w:rsidR="002B545D" w:rsidRPr="0089664F" w:rsidRDefault="002B545D" w:rsidP="003F5A64">
      <w:pPr>
        <w:spacing w:line="276" w:lineRule="auto"/>
        <w:jc w:val="both"/>
        <w:rPr>
          <w:rFonts w:ascii="Times New Roman" w:hAnsi="Times New Roman" w:cs="Times New Roman"/>
          <w:sz w:val="24"/>
          <w:szCs w:val="24"/>
        </w:rPr>
      </w:pPr>
    </w:p>
    <w:sectPr w:rsidR="002B545D" w:rsidRPr="0089664F">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651B8" w14:textId="77777777" w:rsidR="0066615B" w:rsidRDefault="0066615B" w:rsidP="00032FEC">
      <w:pPr>
        <w:spacing w:after="0" w:line="240" w:lineRule="auto"/>
      </w:pPr>
      <w:r>
        <w:separator/>
      </w:r>
    </w:p>
  </w:endnote>
  <w:endnote w:type="continuationSeparator" w:id="0">
    <w:p w14:paraId="6B28363B" w14:textId="77777777" w:rsidR="0066615B" w:rsidRDefault="0066615B" w:rsidP="00032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E0B0E" w14:textId="77777777" w:rsidR="00481232" w:rsidRDefault="004812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D53C5" w14:textId="77777777" w:rsidR="00481232" w:rsidRDefault="004812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44A91" w14:textId="77777777" w:rsidR="00481232" w:rsidRDefault="00481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DC1D6" w14:textId="77777777" w:rsidR="0066615B" w:rsidRDefault="0066615B" w:rsidP="00032FEC">
      <w:pPr>
        <w:spacing w:after="0" w:line="240" w:lineRule="auto"/>
      </w:pPr>
      <w:r>
        <w:separator/>
      </w:r>
    </w:p>
  </w:footnote>
  <w:footnote w:type="continuationSeparator" w:id="0">
    <w:p w14:paraId="4687E02A" w14:textId="77777777" w:rsidR="0066615B" w:rsidRDefault="0066615B" w:rsidP="00032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4BA6" w14:textId="249C1298" w:rsidR="00481232" w:rsidRDefault="00481232">
    <w:pPr>
      <w:pStyle w:val="Header"/>
    </w:pPr>
    <w:r>
      <w:rPr>
        <w:noProof/>
      </w:rPr>
      <w:pict w14:anchorId="09733A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77442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CBE8" w14:textId="2934F2FB" w:rsidR="00481232" w:rsidRDefault="00481232">
    <w:pPr>
      <w:pStyle w:val="Header"/>
    </w:pPr>
    <w:r>
      <w:rPr>
        <w:noProof/>
      </w:rPr>
      <w:pict w14:anchorId="2C8C9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77442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74C0" w14:textId="612D199A" w:rsidR="00481232" w:rsidRDefault="00481232">
    <w:pPr>
      <w:pStyle w:val="Header"/>
    </w:pPr>
    <w:r>
      <w:rPr>
        <w:noProof/>
      </w:rPr>
      <w:pict w14:anchorId="3CA00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77442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9FF"/>
    <w:multiLevelType w:val="multilevel"/>
    <w:tmpl w:val="9230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05939"/>
    <w:multiLevelType w:val="hybridMultilevel"/>
    <w:tmpl w:val="EBE43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49578E3"/>
    <w:multiLevelType w:val="multilevel"/>
    <w:tmpl w:val="EDC8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332CA1"/>
    <w:multiLevelType w:val="multilevel"/>
    <w:tmpl w:val="CDA6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E02AC"/>
    <w:multiLevelType w:val="hybridMultilevel"/>
    <w:tmpl w:val="5EB269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3E61382"/>
    <w:multiLevelType w:val="multilevel"/>
    <w:tmpl w:val="49E44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EC67A6"/>
    <w:multiLevelType w:val="multilevel"/>
    <w:tmpl w:val="A170E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14331C"/>
    <w:multiLevelType w:val="multilevel"/>
    <w:tmpl w:val="EC5C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367054"/>
    <w:multiLevelType w:val="multilevel"/>
    <w:tmpl w:val="336AF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5A5E2C"/>
    <w:multiLevelType w:val="hybridMultilevel"/>
    <w:tmpl w:val="E764A0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626167D"/>
    <w:multiLevelType w:val="multilevel"/>
    <w:tmpl w:val="EC52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FD27D6"/>
    <w:multiLevelType w:val="multilevel"/>
    <w:tmpl w:val="101C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B622D4"/>
    <w:multiLevelType w:val="multilevel"/>
    <w:tmpl w:val="CB5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3C5D64"/>
    <w:multiLevelType w:val="multilevel"/>
    <w:tmpl w:val="0C127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D42986"/>
    <w:multiLevelType w:val="multilevel"/>
    <w:tmpl w:val="7036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lvlOverride w:ilvl="3"/>
    <w:lvlOverride w:ilvl="4"/>
    <w:lvlOverride w:ilvl="5"/>
    <w:lvlOverride w:ilvl="6"/>
    <w:lvlOverride w:ilvl="7"/>
    <w:lvlOverride w:ilvl="8"/>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9"/>
  </w:num>
  <w:num w:numId="10">
    <w:abstractNumId w:val="0"/>
  </w:num>
  <w:num w:numId="11">
    <w:abstractNumId w:val="10"/>
  </w:num>
  <w:num w:numId="12">
    <w:abstractNumId w:val="14"/>
  </w:num>
  <w:num w:numId="13">
    <w:abstractNumId w:val="11"/>
  </w:num>
  <w:num w:numId="14">
    <w:abstractNumId w:val="7"/>
  </w:num>
  <w:num w:numId="15">
    <w:abstractNumId w:val="12"/>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45D"/>
    <w:rsid w:val="00032FEC"/>
    <w:rsid w:val="000367BB"/>
    <w:rsid w:val="000D7F2C"/>
    <w:rsid w:val="000F61B0"/>
    <w:rsid w:val="001015BB"/>
    <w:rsid w:val="001822A6"/>
    <w:rsid w:val="001B0887"/>
    <w:rsid w:val="001C36D3"/>
    <w:rsid w:val="001D3CDC"/>
    <w:rsid w:val="001F4839"/>
    <w:rsid w:val="002968BC"/>
    <w:rsid w:val="002B545D"/>
    <w:rsid w:val="002D7A55"/>
    <w:rsid w:val="002F05F6"/>
    <w:rsid w:val="002F6B1E"/>
    <w:rsid w:val="002F7161"/>
    <w:rsid w:val="00312F63"/>
    <w:rsid w:val="003200C3"/>
    <w:rsid w:val="00344A6E"/>
    <w:rsid w:val="003B06B5"/>
    <w:rsid w:val="003F5A64"/>
    <w:rsid w:val="00404EFC"/>
    <w:rsid w:val="00425D99"/>
    <w:rsid w:val="0046385E"/>
    <w:rsid w:val="004645BD"/>
    <w:rsid w:val="00474E12"/>
    <w:rsid w:val="00481232"/>
    <w:rsid w:val="004F1E73"/>
    <w:rsid w:val="00517734"/>
    <w:rsid w:val="005672E0"/>
    <w:rsid w:val="0056778B"/>
    <w:rsid w:val="005A0E58"/>
    <w:rsid w:val="005E488F"/>
    <w:rsid w:val="00604761"/>
    <w:rsid w:val="00606A53"/>
    <w:rsid w:val="00653E0E"/>
    <w:rsid w:val="00665AFD"/>
    <w:rsid w:val="0066615B"/>
    <w:rsid w:val="007165A7"/>
    <w:rsid w:val="00777126"/>
    <w:rsid w:val="007C25DC"/>
    <w:rsid w:val="00821478"/>
    <w:rsid w:val="00836F71"/>
    <w:rsid w:val="00847335"/>
    <w:rsid w:val="0086407F"/>
    <w:rsid w:val="008938C2"/>
    <w:rsid w:val="00894FC9"/>
    <w:rsid w:val="008C2859"/>
    <w:rsid w:val="008E1EA8"/>
    <w:rsid w:val="00911774"/>
    <w:rsid w:val="00911ABD"/>
    <w:rsid w:val="00950959"/>
    <w:rsid w:val="00973A14"/>
    <w:rsid w:val="009F29BA"/>
    <w:rsid w:val="00A12CCE"/>
    <w:rsid w:val="00A542D7"/>
    <w:rsid w:val="00A55DB5"/>
    <w:rsid w:val="00A62C60"/>
    <w:rsid w:val="00A672D5"/>
    <w:rsid w:val="00A841D5"/>
    <w:rsid w:val="00A94C85"/>
    <w:rsid w:val="00A97BF6"/>
    <w:rsid w:val="00B4553F"/>
    <w:rsid w:val="00B467AE"/>
    <w:rsid w:val="00B478B2"/>
    <w:rsid w:val="00B53A77"/>
    <w:rsid w:val="00B838CA"/>
    <w:rsid w:val="00BA5FE3"/>
    <w:rsid w:val="00BB1B0E"/>
    <w:rsid w:val="00BD4E89"/>
    <w:rsid w:val="00BE165B"/>
    <w:rsid w:val="00BF4A27"/>
    <w:rsid w:val="00BF54DA"/>
    <w:rsid w:val="00C04346"/>
    <w:rsid w:val="00C46C40"/>
    <w:rsid w:val="00C57B3D"/>
    <w:rsid w:val="00CA3C57"/>
    <w:rsid w:val="00CB424D"/>
    <w:rsid w:val="00CD78FE"/>
    <w:rsid w:val="00D20481"/>
    <w:rsid w:val="00D361A8"/>
    <w:rsid w:val="00D47913"/>
    <w:rsid w:val="00DB1ABC"/>
    <w:rsid w:val="00E670AA"/>
    <w:rsid w:val="00F4263C"/>
    <w:rsid w:val="00FC5F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987AAB"/>
  <w15:docId w15:val="{2FAF22E9-8BF0-404B-8D5E-F925E178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545D"/>
    <w:pPr>
      <w:spacing w:line="259" w:lineRule="auto"/>
    </w:pPr>
    <w:rPr>
      <w:sz w:val="22"/>
      <w:szCs w:val="22"/>
    </w:rPr>
  </w:style>
  <w:style w:type="paragraph" w:styleId="Heading1">
    <w:name w:val="heading 1"/>
    <w:basedOn w:val="Normal"/>
    <w:next w:val="Normal"/>
    <w:link w:val="Heading1Char"/>
    <w:uiPriority w:val="9"/>
    <w:qFormat/>
    <w:rsid w:val="002B54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4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B54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54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4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4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4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4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4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4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4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B54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54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4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4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4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4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45D"/>
    <w:rPr>
      <w:rFonts w:eastAsiaTheme="majorEastAsia" w:cstheme="majorBidi"/>
      <w:color w:val="272727" w:themeColor="text1" w:themeTint="D8"/>
    </w:rPr>
  </w:style>
  <w:style w:type="paragraph" w:styleId="Title">
    <w:name w:val="Title"/>
    <w:basedOn w:val="Normal"/>
    <w:next w:val="Normal"/>
    <w:link w:val="TitleChar"/>
    <w:uiPriority w:val="10"/>
    <w:qFormat/>
    <w:rsid w:val="002B54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4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4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4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45D"/>
    <w:pPr>
      <w:spacing w:before="160"/>
      <w:jc w:val="center"/>
    </w:pPr>
    <w:rPr>
      <w:i/>
      <w:iCs/>
      <w:color w:val="404040" w:themeColor="text1" w:themeTint="BF"/>
    </w:rPr>
  </w:style>
  <w:style w:type="character" w:customStyle="1" w:styleId="QuoteChar">
    <w:name w:val="Quote Char"/>
    <w:basedOn w:val="DefaultParagraphFont"/>
    <w:link w:val="Quote"/>
    <w:uiPriority w:val="29"/>
    <w:rsid w:val="002B545D"/>
    <w:rPr>
      <w:i/>
      <w:iCs/>
      <w:color w:val="404040" w:themeColor="text1" w:themeTint="BF"/>
    </w:rPr>
  </w:style>
  <w:style w:type="paragraph" w:styleId="ListParagraph">
    <w:name w:val="List Paragraph"/>
    <w:basedOn w:val="Normal"/>
    <w:uiPriority w:val="34"/>
    <w:qFormat/>
    <w:rsid w:val="002B545D"/>
    <w:pPr>
      <w:ind w:left="720"/>
      <w:contextualSpacing/>
    </w:pPr>
  </w:style>
  <w:style w:type="character" w:styleId="IntenseEmphasis">
    <w:name w:val="Intense Emphasis"/>
    <w:basedOn w:val="DefaultParagraphFont"/>
    <w:uiPriority w:val="21"/>
    <w:qFormat/>
    <w:rsid w:val="002B545D"/>
    <w:rPr>
      <w:i/>
      <w:iCs/>
      <w:color w:val="2F5496" w:themeColor="accent1" w:themeShade="BF"/>
    </w:rPr>
  </w:style>
  <w:style w:type="paragraph" w:styleId="IntenseQuote">
    <w:name w:val="Intense Quote"/>
    <w:basedOn w:val="Normal"/>
    <w:next w:val="Normal"/>
    <w:link w:val="IntenseQuoteChar"/>
    <w:uiPriority w:val="30"/>
    <w:qFormat/>
    <w:rsid w:val="002B54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45D"/>
    <w:rPr>
      <w:i/>
      <w:iCs/>
      <w:color w:val="2F5496" w:themeColor="accent1" w:themeShade="BF"/>
    </w:rPr>
  </w:style>
  <w:style w:type="character" w:styleId="IntenseReference">
    <w:name w:val="Intense Reference"/>
    <w:basedOn w:val="DefaultParagraphFont"/>
    <w:uiPriority w:val="32"/>
    <w:qFormat/>
    <w:rsid w:val="002B545D"/>
    <w:rPr>
      <w:b/>
      <w:bCs/>
      <w:smallCaps/>
      <w:color w:val="2F5496" w:themeColor="accent1" w:themeShade="BF"/>
      <w:spacing w:val="5"/>
    </w:rPr>
  </w:style>
  <w:style w:type="paragraph" w:styleId="Caption">
    <w:name w:val="caption"/>
    <w:basedOn w:val="Normal"/>
    <w:next w:val="Normal"/>
    <w:uiPriority w:val="35"/>
    <w:unhideWhenUsed/>
    <w:qFormat/>
    <w:rsid w:val="002B545D"/>
    <w:pPr>
      <w:spacing w:after="200" w:line="240" w:lineRule="auto"/>
    </w:pPr>
    <w:rPr>
      <w:i/>
      <w:iCs/>
      <w:color w:val="44546A" w:themeColor="text2"/>
      <w:sz w:val="18"/>
      <w:szCs w:val="18"/>
    </w:rPr>
  </w:style>
  <w:style w:type="table" w:styleId="TableGrid">
    <w:name w:val="Table Grid"/>
    <w:basedOn w:val="TableNormal"/>
    <w:uiPriority w:val="39"/>
    <w:rsid w:val="002B545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545D"/>
    <w:rPr>
      <w:color w:val="0563C1" w:themeColor="hyperlink"/>
      <w:u w:val="single"/>
    </w:rPr>
  </w:style>
  <w:style w:type="character" w:customStyle="1" w:styleId="UnresolvedMention1">
    <w:name w:val="Unresolved Mention1"/>
    <w:basedOn w:val="DefaultParagraphFont"/>
    <w:uiPriority w:val="99"/>
    <w:semiHidden/>
    <w:unhideWhenUsed/>
    <w:rsid w:val="002B545D"/>
    <w:rPr>
      <w:color w:val="605E5C"/>
      <w:shd w:val="clear" w:color="auto" w:fill="E1DFDD"/>
    </w:rPr>
  </w:style>
  <w:style w:type="paragraph" w:styleId="BalloonText">
    <w:name w:val="Balloon Text"/>
    <w:basedOn w:val="Normal"/>
    <w:link w:val="BalloonTextChar"/>
    <w:uiPriority w:val="99"/>
    <w:semiHidden/>
    <w:unhideWhenUsed/>
    <w:rsid w:val="002B5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45D"/>
    <w:rPr>
      <w:rFonts w:ascii="Tahoma" w:hAnsi="Tahoma" w:cs="Tahoma"/>
      <w:sz w:val="16"/>
      <w:szCs w:val="16"/>
    </w:rPr>
  </w:style>
  <w:style w:type="character" w:customStyle="1" w:styleId="UnresolvedMention2">
    <w:name w:val="Unresolved Mention2"/>
    <w:basedOn w:val="DefaultParagraphFont"/>
    <w:uiPriority w:val="99"/>
    <w:semiHidden/>
    <w:unhideWhenUsed/>
    <w:rsid w:val="002B545D"/>
    <w:rPr>
      <w:color w:val="605E5C"/>
      <w:shd w:val="clear" w:color="auto" w:fill="E1DFDD"/>
    </w:rPr>
  </w:style>
  <w:style w:type="paragraph" w:styleId="NormalWeb">
    <w:name w:val="Normal (Web)"/>
    <w:basedOn w:val="Normal"/>
    <w:uiPriority w:val="99"/>
    <w:unhideWhenUsed/>
    <w:rsid w:val="002B545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2B545D"/>
    <w:rPr>
      <w:i/>
      <w:iCs/>
    </w:rPr>
  </w:style>
  <w:style w:type="paragraph" w:styleId="NoSpacing">
    <w:name w:val="No Spacing"/>
    <w:uiPriority w:val="1"/>
    <w:qFormat/>
    <w:rsid w:val="008E1EA8"/>
    <w:pPr>
      <w:spacing w:after="0" w:line="240" w:lineRule="auto"/>
    </w:pPr>
    <w:rPr>
      <w:sz w:val="22"/>
      <w:szCs w:val="22"/>
    </w:rPr>
  </w:style>
  <w:style w:type="paragraph" w:styleId="Header">
    <w:name w:val="header"/>
    <w:basedOn w:val="Normal"/>
    <w:link w:val="HeaderChar"/>
    <w:uiPriority w:val="99"/>
    <w:unhideWhenUsed/>
    <w:rsid w:val="00032F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FEC"/>
    <w:rPr>
      <w:sz w:val="22"/>
      <w:szCs w:val="22"/>
    </w:rPr>
  </w:style>
  <w:style w:type="paragraph" w:styleId="Footer">
    <w:name w:val="footer"/>
    <w:basedOn w:val="Normal"/>
    <w:link w:val="FooterChar"/>
    <w:uiPriority w:val="99"/>
    <w:unhideWhenUsed/>
    <w:rsid w:val="00032F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FEC"/>
    <w:rPr>
      <w:sz w:val="22"/>
      <w:szCs w:val="22"/>
    </w:rPr>
  </w:style>
  <w:style w:type="character" w:customStyle="1" w:styleId="accordion-tabbedtab-mobile">
    <w:name w:val="accordion-tabbed__tab-mobile"/>
    <w:basedOn w:val="DefaultParagraphFont"/>
    <w:rsid w:val="000D7F2C"/>
  </w:style>
  <w:style w:type="character" w:customStyle="1" w:styleId="comma-separator">
    <w:name w:val="comma-separator"/>
    <w:basedOn w:val="DefaultParagraphFont"/>
    <w:rsid w:val="000D7F2C"/>
  </w:style>
  <w:style w:type="character" w:styleId="UnresolvedMention">
    <w:name w:val="Unresolved Mention"/>
    <w:basedOn w:val="DefaultParagraphFont"/>
    <w:uiPriority w:val="99"/>
    <w:semiHidden/>
    <w:unhideWhenUsed/>
    <w:rsid w:val="00A94C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24270">
      <w:bodyDiv w:val="1"/>
      <w:marLeft w:val="0"/>
      <w:marRight w:val="0"/>
      <w:marTop w:val="0"/>
      <w:marBottom w:val="0"/>
      <w:divBdr>
        <w:top w:val="none" w:sz="0" w:space="0" w:color="auto"/>
        <w:left w:val="none" w:sz="0" w:space="0" w:color="auto"/>
        <w:bottom w:val="none" w:sz="0" w:space="0" w:color="auto"/>
        <w:right w:val="none" w:sz="0" w:space="0" w:color="auto"/>
      </w:divBdr>
    </w:div>
    <w:div w:id="184362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hyperlink" Target="https://pubmed.ncbi.nlm.nih.gov/1928232/?utm_source=chatgpt.com" TargetMode="External"/><Relationship Id="rId39" Type="http://schemas.openxmlformats.org/officeDocument/2006/relationships/hyperlink" Target="https://doi.org/10.1016/j.cvsm.2011.10.001" TargetMode="External"/><Relationship Id="rId21" Type="http://schemas.openxmlformats.org/officeDocument/2006/relationships/hyperlink" Target="https://doi.org/10.1186/s13287-021-02189-w" TargetMode="External"/><Relationship Id="rId34" Type="http://schemas.openxmlformats.org/officeDocument/2006/relationships/hyperlink" Target="https://doi.org/10.1002/ajh.26822" TargetMode="External"/><Relationship Id="rId42" Type="http://schemas.openxmlformats.org/officeDocument/2006/relationships/hyperlink" Target="https://doi.org/10.11648/j.ajlm.20210602.1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journalirjo.com/index.php/IRJO/article/view/18" TargetMode="External"/><Relationship Id="rId11" Type="http://schemas.openxmlformats.org/officeDocument/2006/relationships/image" Target="media/image4.jpeg"/><Relationship Id="rId24" Type="http://schemas.openxmlformats.org/officeDocument/2006/relationships/hyperlink" Target="https://doi.org/10.18203/2320-6012.ijrms20230693" TargetMode="External"/><Relationship Id="rId32" Type="http://schemas.openxmlformats.org/officeDocument/2006/relationships/hyperlink" Target="http://www.ajmms.com/index.php/ajmms/issue/view/10" TargetMode="External"/><Relationship Id="rId37" Type="http://schemas.openxmlformats.org/officeDocument/2006/relationships/hyperlink" Target="https://doi.org/10.1002/ajh.27002" TargetMode="External"/><Relationship Id="rId40" Type="http://schemas.openxmlformats.org/officeDocument/2006/relationships/hyperlink" Target="https://doi.org/10.5858/2008-132-587-RVNBMP" TargetMode="External"/><Relationship Id="rId45" Type="http://schemas.openxmlformats.org/officeDocument/2006/relationships/hyperlink" Target="https://www.ajol.info/index.php/tjhc"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yperlink" Target="https://doi.org/10.5005/jp/books/11810" TargetMode="External"/><Relationship Id="rId31" Type="http://schemas.openxmlformats.org/officeDocument/2006/relationships/hyperlink" Target="https://journalirjo.com/index.php/IRJO/article/view/18" TargetMode="External"/><Relationship Id="rId44" Type="http://schemas.openxmlformats.org/officeDocument/2006/relationships/hyperlink" Target="https://www.ajol.info/index.php/hmrj/article/view/212009"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scholar.google.com/citations?user=i_p_EvoAAAAJ&amp;hl=en&amp;oi=sra" TargetMode="External"/><Relationship Id="rId27" Type="http://schemas.openxmlformats.org/officeDocument/2006/relationships/hyperlink" Target="https://doi.org/10.1038/s41598-025-94428-w" TargetMode="External"/><Relationship Id="rId30" Type="http://schemas.openxmlformats.org/officeDocument/2006/relationships/hyperlink" Target="https://www.ajms.org/index.php/ajms/issue/view/10" TargetMode="External"/><Relationship Id="rId35" Type="http://schemas.openxmlformats.org/officeDocument/2006/relationships/hyperlink" Target="https://doi.org/10.4103/npmj.npmj_636_21" TargetMode="External"/><Relationship Id="rId43" Type="http://schemas.openxmlformats.org/officeDocument/2006/relationships/hyperlink" Target="https://www.bornomedicaljournal.com/index.php/bomj/article/view/109/109" TargetMode="External"/><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hyperlink" Target="https://pubmed.ncbi.nlm.nih.gov/1928232/" TargetMode="External"/><Relationship Id="rId33" Type="http://schemas.openxmlformats.org/officeDocument/2006/relationships/hyperlink" Target="http://www.ajmms.com/index.php/ajmms/issue/view/10" TargetMode="External"/><Relationship Id="rId38" Type="http://schemas.openxmlformats.org/officeDocument/2006/relationships/hyperlink" Target="https://doi.org/10.1038/s41598-024-55432-8" TargetMode="External"/><Relationship Id="rId46" Type="http://schemas.openxmlformats.org/officeDocument/2006/relationships/hyperlink" Target="https://api.semanticscholar.org/CorpusID:79641016" TargetMode="External"/><Relationship Id="rId20" Type="http://schemas.openxmlformats.org/officeDocument/2006/relationships/hyperlink" Target="https://doi.org/10.1016/s0092-8674(00)80165-8" TargetMode="External"/><Relationship Id="rId41" Type="http://schemas.openxmlformats.org/officeDocument/2006/relationships/hyperlink" Target="https://doi.org/10.1136/jcp.54.10.737"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books.google.com/books?hl=en&amp;lr=&amp;id=wGVOEQAAQBAJ&amp;oi=fnd&amp;pg=PP1&amp;dq=primary+hematologic+malignancies&amp;ots=cOBKddA1fq&amp;sig=sJhDHWaAU4OCd0qZhFBCDSygOVI" TargetMode="External"/><Relationship Id="rId28" Type="http://schemas.openxmlformats.org/officeDocument/2006/relationships/hyperlink" Target="https://doi.org/10.1111/bjh.12659" TargetMode="External"/><Relationship Id="rId36" Type="http://schemas.openxmlformats.org/officeDocument/2006/relationships/hyperlink" Target="https://www.ncbi.nlm.nih.gov/books/NBK513356/" TargetMode="Externa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'By YEAR'!$B$1</c:f>
              <c:strCache>
                <c:ptCount val="1"/>
                <c:pt idx="0">
                  <c:v>FREQUENCY</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'By YEAR'!$A$2:$A$8</c:f>
              <c:numCache>
                <c:formatCode>General</c:formatCode>
                <c:ptCount val="7"/>
                <c:pt idx="0">
                  <c:v>2017</c:v>
                </c:pt>
                <c:pt idx="1">
                  <c:v>2018</c:v>
                </c:pt>
                <c:pt idx="2">
                  <c:v>2019</c:v>
                </c:pt>
                <c:pt idx="3">
                  <c:v>2020</c:v>
                </c:pt>
                <c:pt idx="4">
                  <c:v>2021</c:v>
                </c:pt>
                <c:pt idx="5">
                  <c:v>2022</c:v>
                </c:pt>
                <c:pt idx="6">
                  <c:v>2023</c:v>
                </c:pt>
              </c:numCache>
            </c:numRef>
          </c:cat>
          <c:val>
            <c:numRef>
              <c:f>'By YEAR'!$B$2:$B$8</c:f>
              <c:numCache>
                <c:formatCode>General</c:formatCode>
                <c:ptCount val="7"/>
                <c:pt idx="0">
                  <c:v>10</c:v>
                </c:pt>
                <c:pt idx="1">
                  <c:v>11</c:v>
                </c:pt>
                <c:pt idx="2">
                  <c:v>20</c:v>
                </c:pt>
                <c:pt idx="3">
                  <c:v>10</c:v>
                </c:pt>
                <c:pt idx="4">
                  <c:v>13</c:v>
                </c:pt>
                <c:pt idx="5">
                  <c:v>37</c:v>
                </c:pt>
                <c:pt idx="6">
                  <c:v>24</c:v>
                </c:pt>
              </c:numCache>
            </c:numRef>
          </c:val>
          <c:extLst>
            <c:ext xmlns:c16="http://schemas.microsoft.com/office/drawing/2014/chart" uri="{C3380CC4-5D6E-409C-BE32-E72D297353CC}">
              <c16:uniqueId val="{00000000-C2ED-4B4D-9219-DF0294AA83D4}"/>
            </c:ext>
          </c:extLst>
        </c:ser>
        <c:dLbls>
          <c:dLblPos val="inEnd"/>
          <c:showLegendKey val="0"/>
          <c:showVal val="1"/>
          <c:showCatName val="0"/>
          <c:showSerName val="0"/>
          <c:showPercent val="0"/>
          <c:showBubbleSize val="0"/>
        </c:dLbls>
        <c:gapWidth val="41"/>
        <c:axId val="374129408"/>
        <c:axId val="386274048"/>
      </c:barChart>
      <c:catAx>
        <c:axId val="374129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86274048"/>
        <c:crosses val="autoZero"/>
        <c:auto val="1"/>
        <c:lblAlgn val="ctr"/>
        <c:lblOffset val="100"/>
        <c:noMultiLvlLbl val="0"/>
      </c:catAx>
      <c:valAx>
        <c:axId val="386274048"/>
        <c:scaling>
          <c:orientation val="minMax"/>
        </c:scaling>
        <c:delete val="1"/>
        <c:axPos val="l"/>
        <c:numFmt formatCode="General" sourceLinked="1"/>
        <c:majorTickMark val="none"/>
        <c:minorTickMark val="none"/>
        <c:tickLblPos val="nextTo"/>
        <c:crossAx val="37412940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'BMB-BMA Concordance'!$Y$2</c:f>
              <c:strCache>
                <c:ptCount val="1"/>
                <c:pt idx="0">
                  <c:v>Rate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'BMB-BMA Concordance'!$X$3:$X$9</c:f>
              <c:strCache>
                <c:ptCount val="7"/>
                <c:pt idx="0">
                  <c:v>ALL</c:v>
                </c:pt>
                <c:pt idx="1">
                  <c:v>AML</c:v>
                </c:pt>
                <c:pt idx="2">
                  <c:v>ET</c:v>
                </c:pt>
                <c:pt idx="3">
                  <c:v>LPN</c:v>
                </c:pt>
                <c:pt idx="4">
                  <c:v>MBD</c:v>
                </c:pt>
                <c:pt idx="5">
                  <c:v>MM</c:v>
                </c:pt>
                <c:pt idx="6">
                  <c:v>MYF</c:v>
                </c:pt>
              </c:strCache>
            </c:strRef>
          </c:cat>
          <c:val>
            <c:numRef>
              <c:f>'BMB-BMA Concordance'!$Y$3:$Y$9</c:f>
              <c:numCache>
                <c:formatCode>0.0</c:formatCode>
                <c:ptCount val="7"/>
                <c:pt idx="0">
                  <c:v>11.111111111111111</c:v>
                </c:pt>
                <c:pt idx="1">
                  <c:v>8.3333333333333321</c:v>
                </c:pt>
                <c:pt idx="2">
                  <c:v>10</c:v>
                </c:pt>
                <c:pt idx="3">
                  <c:v>15.384615384615385</c:v>
                </c:pt>
                <c:pt idx="4">
                  <c:v>80</c:v>
                </c:pt>
                <c:pt idx="5">
                  <c:v>11.76470588235294</c:v>
                </c:pt>
                <c:pt idx="6">
                  <c:v>38.461538461538467</c:v>
                </c:pt>
              </c:numCache>
            </c:numRef>
          </c:val>
          <c:extLst>
            <c:ext xmlns:c16="http://schemas.microsoft.com/office/drawing/2014/chart" uri="{C3380CC4-5D6E-409C-BE32-E72D297353CC}">
              <c16:uniqueId val="{00000000-FB07-4A56-8716-8695B71F7133}"/>
            </c:ext>
          </c:extLst>
        </c:ser>
        <c:dLbls>
          <c:dLblPos val="inEnd"/>
          <c:showLegendKey val="0"/>
          <c:showVal val="1"/>
          <c:showCatName val="0"/>
          <c:showSerName val="0"/>
          <c:showPercent val="0"/>
          <c:showBubbleSize val="0"/>
        </c:dLbls>
        <c:gapWidth val="115"/>
        <c:overlap val="-20"/>
        <c:axId val="395118464"/>
        <c:axId val="395672576"/>
      </c:barChart>
      <c:catAx>
        <c:axId val="39511846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95672576"/>
        <c:crosses val="autoZero"/>
        <c:auto val="1"/>
        <c:lblAlgn val="ctr"/>
        <c:lblOffset val="100"/>
        <c:noMultiLvlLbl val="0"/>
      </c:catAx>
      <c:valAx>
        <c:axId val="395672576"/>
        <c:scaling>
          <c:orientation val="minMax"/>
        </c:scaling>
        <c:delete val="0"/>
        <c:axPos val="b"/>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951184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19</Pages>
  <Words>5277</Words>
  <Characters>30083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Henrietta Okebanum-Ordu</dc:creator>
  <cp:keywords/>
  <dc:description/>
  <cp:lastModifiedBy>SDI 1084</cp:lastModifiedBy>
  <cp:revision>10</cp:revision>
  <dcterms:created xsi:type="dcterms:W3CDTF">2025-10-31T13:36:00Z</dcterms:created>
  <dcterms:modified xsi:type="dcterms:W3CDTF">2025-12-20T11:49:00Z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16c8491d-9845-4f36-9f97-66f386f01957</vt:lpwstr>
  </property>
</Properties>
</file>